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3B7D" w14:textId="2825F0BB" w:rsidR="00AF095B" w:rsidRDefault="00F13A62" w:rsidP="00527877">
      <w:pPr>
        <w:spacing w:after="0"/>
        <w:ind w:left="-992"/>
        <w:sectPr w:rsidR="00AF095B" w:rsidSect="006B7F56">
          <w:footerReference w:type="default" r:id="rId8"/>
          <w:footerReference w:type="first" r:id="rId9"/>
          <w:type w:val="continuous"/>
          <w:pgSz w:w="11906" w:h="16838" w:code="9"/>
          <w:pgMar w:top="0" w:right="992" w:bottom="1021" w:left="992" w:header="0" w:footer="454" w:gutter="0"/>
          <w:cols w:space="708"/>
          <w:titlePg/>
          <w:docGrid w:linePitch="360"/>
        </w:sectPr>
      </w:pPr>
      <w:r w:rsidRPr="00A023BC">
        <w:rPr>
          <w:noProof/>
        </w:rPr>
        <w:drawing>
          <wp:inline distT="0" distB="0" distL="0" distR="0" wp14:anchorId="23D71328" wp14:editId="355F0E3E">
            <wp:extent cx="7560000" cy="1267200"/>
            <wp:effectExtent l="0" t="0" r="3175" b="9525"/>
            <wp:docPr id="1007502977" name="Picture 1007502977"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02977" name="Picture 1007502977" descr="Australian Government crest and Tuition Protection Servic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inline>
        </w:drawing>
      </w:r>
    </w:p>
    <w:p w14:paraId="068BE89E" w14:textId="62DCB67A" w:rsidR="00BA7310" w:rsidRPr="00672A6F" w:rsidRDefault="004A441F" w:rsidP="00672A6F">
      <w:pPr>
        <w:pStyle w:val="Heading1"/>
      </w:pPr>
      <w:r w:rsidRPr="00672A6F">
        <w:t>202</w:t>
      </w:r>
      <w:r w:rsidR="008A0ECC">
        <w:t>6</w:t>
      </w:r>
      <w:r w:rsidRPr="00672A6F">
        <w:t xml:space="preserve"> Domestic Tuition Protection</w:t>
      </w:r>
      <w:r w:rsidR="00BA7310" w:rsidRPr="00672A6F">
        <w:t xml:space="preserve"> Levies</w:t>
      </w:r>
    </w:p>
    <w:p w14:paraId="1DCC047B" w14:textId="742AA79E" w:rsidR="00185CBF" w:rsidRPr="00091EAF" w:rsidRDefault="008E5324" w:rsidP="00091EAF">
      <w:pPr>
        <w:pStyle w:val="Subtitle"/>
      </w:pPr>
      <w:r w:rsidRPr="00091EAF">
        <w:t>Draft settings</w:t>
      </w:r>
      <w:r w:rsidR="006263A9" w:rsidRPr="00091EAF">
        <w:t xml:space="preserve"> </w:t>
      </w:r>
      <w:r w:rsidRPr="00091EAF">
        <w:t>of the 202</w:t>
      </w:r>
      <w:r w:rsidR="008A0ECC">
        <w:t>6</w:t>
      </w:r>
      <w:r w:rsidRPr="00091EAF">
        <w:t xml:space="preserve"> </w:t>
      </w:r>
      <w:r w:rsidR="004A441F" w:rsidRPr="00091EAF">
        <w:t>VSL, HELP and Up-front Payments</w:t>
      </w:r>
      <w:r w:rsidR="00F52E1E" w:rsidRPr="00091EAF">
        <w:br/>
      </w:r>
      <w:r w:rsidR="004A441F" w:rsidRPr="00091EAF">
        <w:t>Tuition Protection Lev</w:t>
      </w:r>
      <w:r w:rsidR="003943F8" w:rsidRPr="00091EAF">
        <w:t>ies</w:t>
      </w:r>
    </w:p>
    <w:p w14:paraId="41DB7FA3" w14:textId="3F1717F7" w:rsidR="00D67FC5" w:rsidRDefault="008A7A39" w:rsidP="008A7A39">
      <w:r>
        <w:t>The VSL, HELP and Up-front Payments Tuition Protection Lev</w:t>
      </w:r>
      <w:r w:rsidR="00476836">
        <w:t xml:space="preserve">ies </w:t>
      </w:r>
      <w:r w:rsidR="0019617F">
        <w:t xml:space="preserve">(the domestic levies) </w:t>
      </w:r>
      <w:r w:rsidR="00476836">
        <w:t>are</w:t>
      </w:r>
      <w:r>
        <w:t xml:space="preserve"> paid annually by registered </w:t>
      </w:r>
      <w:r w:rsidR="000A72D8">
        <w:t xml:space="preserve">education and training </w:t>
      </w:r>
      <w:r>
        <w:t>providers.</w:t>
      </w:r>
      <w:r w:rsidR="00A70A6F">
        <w:t xml:space="preserve"> </w:t>
      </w:r>
      <w:r w:rsidR="00D67FC5">
        <w:t xml:space="preserve">The levies </w:t>
      </w:r>
      <w:r>
        <w:t xml:space="preserve">fund the </w:t>
      </w:r>
      <w:r w:rsidR="00F12CE7">
        <w:t xml:space="preserve">sector-specific </w:t>
      </w:r>
      <w:r>
        <w:t>activities of the Tuition Protection Service (TPS)</w:t>
      </w:r>
      <w:r w:rsidR="00D67FC5">
        <w:t>, including the management of provider defaults and TPS operational costs.</w:t>
      </w:r>
    </w:p>
    <w:p w14:paraId="279A4B91" w14:textId="0F6C7C0E" w:rsidR="008A7A39" w:rsidRDefault="008D6440" w:rsidP="008A7A39">
      <w:r>
        <w:t>A provider default occurs when</w:t>
      </w:r>
      <w:r w:rsidR="008A7A39">
        <w:t xml:space="preserve"> a provider closes, fails to start, or ceases to provide a course or unit of study for an enrolled student.</w:t>
      </w:r>
    </w:p>
    <w:p w14:paraId="416B3434" w14:textId="700CA973" w:rsidR="00D0229D" w:rsidRPr="00D0229D" w:rsidRDefault="00807062" w:rsidP="00D0229D">
      <w:pPr>
        <w:pStyle w:val="Heading2"/>
      </w:pPr>
      <w:r>
        <w:t>C</w:t>
      </w:r>
      <w:r w:rsidR="00D0229D" w:rsidRPr="00D0229D">
        <w:t xml:space="preserve">onsultation on the </w:t>
      </w:r>
      <w:r w:rsidR="00D67FC5">
        <w:t>2026</w:t>
      </w:r>
      <w:r>
        <w:t xml:space="preserve"> domestic levies </w:t>
      </w:r>
      <w:r w:rsidR="00EE4886">
        <w:t>draft</w:t>
      </w:r>
      <w:r w:rsidR="00611C39">
        <w:t xml:space="preserve"> settings </w:t>
      </w:r>
    </w:p>
    <w:p w14:paraId="408235DC" w14:textId="15340158" w:rsidR="006C29BB" w:rsidRDefault="00C35712" w:rsidP="00C35712">
      <w:r>
        <w:t xml:space="preserve">The </w:t>
      </w:r>
      <w:hyperlink r:id="rId11" w:history="1">
        <w:r w:rsidR="006064AE" w:rsidRPr="005D2ACE">
          <w:rPr>
            <w:rStyle w:val="Hyperlink"/>
          </w:rPr>
          <w:t>TPS Advisory Board</w:t>
        </w:r>
      </w:hyperlink>
      <w:r w:rsidR="006064AE" w:rsidRPr="005D2ACE">
        <w:rPr>
          <w:rStyle w:val="FootnoteReference"/>
          <w:lang w:val="en-US"/>
        </w:rPr>
        <w:footnoteReference w:id="2"/>
      </w:r>
      <w:r w:rsidR="006064AE" w:rsidRPr="005D2ACE">
        <w:t xml:space="preserve"> </w:t>
      </w:r>
      <w:r w:rsidRPr="005D2ACE">
        <w:t>provided</w:t>
      </w:r>
      <w:r>
        <w:t xml:space="preserve"> its draft advice on the 202</w:t>
      </w:r>
      <w:r w:rsidR="008A0ECC">
        <w:t>6</w:t>
      </w:r>
      <w:r>
        <w:t xml:space="preserve"> domestic levy</w:t>
      </w:r>
      <w:r w:rsidRPr="00B30D09">
        <w:t xml:space="preserve"> settings </w:t>
      </w:r>
      <w:r w:rsidR="00E3356C">
        <w:t xml:space="preserve">to the TPS Director </w:t>
      </w:r>
      <w:r w:rsidRPr="00B30D09">
        <w:t xml:space="preserve">at its </w:t>
      </w:r>
      <w:r w:rsidR="008A0ECC">
        <w:t>March 2026</w:t>
      </w:r>
      <w:r w:rsidRPr="00B30D09">
        <w:t xml:space="preserve"> meeting. </w:t>
      </w:r>
      <w:r w:rsidR="002A6B04">
        <w:t>The TPS</w:t>
      </w:r>
      <w:r w:rsidR="00D97731">
        <w:t xml:space="preserve"> </w:t>
      </w:r>
      <w:r w:rsidR="00135E50">
        <w:t>will consult</w:t>
      </w:r>
      <w:r w:rsidR="00D97731">
        <w:t xml:space="preserve"> </w:t>
      </w:r>
      <w:r w:rsidR="00F55B21">
        <w:t xml:space="preserve">with </w:t>
      </w:r>
      <w:r w:rsidR="00AA11AB">
        <w:t>levi</w:t>
      </w:r>
      <w:r w:rsidR="00F55B21">
        <w:t>able</w:t>
      </w:r>
      <w:r w:rsidR="00AA11AB">
        <w:t xml:space="preserve"> providers and other key stakeholders </w:t>
      </w:r>
      <w:r w:rsidR="00F55B21">
        <w:t xml:space="preserve">throughout </w:t>
      </w:r>
      <w:r w:rsidR="00AA11AB">
        <w:t xml:space="preserve">March </w:t>
      </w:r>
      <w:r w:rsidR="00F55B21">
        <w:t>and April 202</w:t>
      </w:r>
      <w:r w:rsidR="008A0ECC">
        <w:t>6</w:t>
      </w:r>
      <w:r w:rsidR="004B38EA">
        <w:t>.</w:t>
      </w:r>
    </w:p>
    <w:p w14:paraId="010E2A38" w14:textId="07243C41" w:rsidR="001F2F2A" w:rsidRDefault="00B71526" w:rsidP="00C35712">
      <w:r>
        <w:t xml:space="preserve">Feedback </w:t>
      </w:r>
      <w:r w:rsidR="008A0ECC">
        <w:t>received</w:t>
      </w:r>
      <w:r>
        <w:t xml:space="preserve"> </w:t>
      </w:r>
      <w:r w:rsidR="006C29BB">
        <w:t xml:space="preserve">during the consultation period </w:t>
      </w:r>
      <w:r>
        <w:t>will be</w:t>
      </w:r>
      <w:r w:rsidR="00615C40">
        <w:t xml:space="preserve"> </w:t>
      </w:r>
      <w:r w:rsidR="006C29BB">
        <w:t>considered by</w:t>
      </w:r>
      <w:r w:rsidR="00291E4A">
        <w:t xml:space="preserve"> the Board</w:t>
      </w:r>
      <w:r w:rsidR="00BB397D">
        <w:t xml:space="preserve"> ahead of its </w:t>
      </w:r>
      <w:r w:rsidR="00F55B21">
        <w:t>May 202</w:t>
      </w:r>
      <w:r w:rsidR="008A0ECC">
        <w:t>6</w:t>
      </w:r>
      <w:r w:rsidR="00BB397D">
        <w:t xml:space="preserve"> meeting, </w:t>
      </w:r>
      <w:r w:rsidR="001471A0">
        <w:t>at which time the Board will provide its final advice to the TPS Director.</w:t>
      </w:r>
    </w:p>
    <w:p w14:paraId="0ABE347A" w14:textId="6887310E" w:rsidR="00C35712" w:rsidRDefault="00C35712" w:rsidP="00C35712">
      <w:r w:rsidRPr="00B30D09">
        <w:t>The</w:t>
      </w:r>
      <w:r>
        <w:t xml:space="preserve"> </w:t>
      </w:r>
      <w:r w:rsidRPr="008315BF">
        <w:t xml:space="preserve">Board’s letters of draft advice are available on the </w:t>
      </w:r>
      <w:hyperlink r:id="rId12" w:history="1">
        <w:r w:rsidR="008A0ECC">
          <w:rPr>
            <w:rStyle w:val="Hyperlink"/>
          </w:rPr>
          <w:t>2026 Domestic Tuition Protection Levies Consultation</w:t>
        </w:r>
      </w:hyperlink>
      <w:r w:rsidRPr="008315BF">
        <w:rPr>
          <w:rStyle w:val="FootnoteReference"/>
        </w:rPr>
        <w:footnoteReference w:id="3"/>
      </w:r>
      <w:r w:rsidRPr="008315BF">
        <w:t xml:space="preserve"> webpage.</w:t>
      </w:r>
    </w:p>
    <w:p w14:paraId="44453538" w14:textId="39CD18D7" w:rsidR="00D0229D" w:rsidRDefault="007D24F8" w:rsidP="00D0229D">
      <w:pPr>
        <w:pStyle w:val="Heading2"/>
      </w:pPr>
      <w:r>
        <w:t>Domestic</w:t>
      </w:r>
      <w:r w:rsidR="009F6170">
        <w:t xml:space="preserve"> </w:t>
      </w:r>
      <w:r w:rsidR="00E774AF">
        <w:t>t</w:t>
      </w:r>
      <w:r w:rsidR="009F6170">
        <w:t>uitio</w:t>
      </w:r>
      <w:r w:rsidR="009F6170" w:rsidRPr="4495D61E">
        <w:t xml:space="preserve">n </w:t>
      </w:r>
      <w:r w:rsidR="00E774AF" w:rsidRPr="4495D61E">
        <w:t>p</w:t>
      </w:r>
      <w:r w:rsidR="009F6170" w:rsidRPr="4495D61E">
        <w:t>r</w:t>
      </w:r>
      <w:r w:rsidR="009F6170">
        <w:t xml:space="preserve">otection </w:t>
      </w:r>
      <w:r w:rsidR="00E774AF">
        <w:t>l</w:t>
      </w:r>
      <w:r w:rsidR="009F6170">
        <w:t>evies</w:t>
      </w:r>
    </w:p>
    <w:p w14:paraId="6CE1BEA2" w14:textId="5D7AAC80" w:rsidR="000D36DB" w:rsidRDefault="00E068B2" w:rsidP="001928AD">
      <w:pPr>
        <w:spacing w:after="46"/>
      </w:pPr>
      <w:r>
        <w:t>Each</w:t>
      </w:r>
      <w:r w:rsidR="000D36DB">
        <w:t xml:space="preserve"> </w:t>
      </w:r>
      <w:r w:rsidR="00E35281">
        <w:t xml:space="preserve">domestic </w:t>
      </w:r>
      <w:r w:rsidR="000D36DB">
        <w:t xml:space="preserve">levy is comprised of </w:t>
      </w:r>
      <w:r>
        <w:t>three</w:t>
      </w:r>
      <w:r w:rsidR="000D36DB">
        <w:t xml:space="preserve"> components:</w:t>
      </w:r>
    </w:p>
    <w:p w14:paraId="2B5B4616" w14:textId="6AE7EFB1" w:rsidR="000D36DB" w:rsidRDefault="000B18B2" w:rsidP="001928AD">
      <w:pPr>
        <w:pStyle w:val="ListParagraph"/>
        <w:numPr>
          <w:ilvl w:val="0"/>
          <w:numId w:val="6"/>
        </w:numPr>
        <w:spacing w:after="46"/>
        <w:ind w:left="714" w:hanging="357"/>
        <w:contextualSpacing w:val="0"/>
      </w:pPr>
      <w:r>
        <w:t>T</w:t>
      </w:r>
      <w:r w:rsidR="000D36DB">
        <w:t xml:space="preserve">he </w:t>
      </w:r>
      <w:r w:rsidR="005352C0" w:rsidRPr="005352C0">
        <w:t>Administrative Fee component</w:t>
      </w:r>
    </w:p>
    <w:p w14:paraId="7C4AAAC6" w14:textId="763B1A28" w:rsidR="000D36DB" w:rsidRDefault="000B18B2" w:rsidP="001928AD">
      <w:pPr>
        <w:pStyle w:val="ListParagraph"/>
        <w:numPr>
          <w:ilvl w:val="0"/>
          <w:numId w:val="6"/>
        </w:numPr>
        <w:spacing w:after="46"/>
        <w:ind w:left="714" w:hanging="357"/>
        <w:contextualSpacing w:val="0"/>
      </w:pPr>
      <w:r>
        <w:t>T</w:t>
      </w:r>
      <w:r w:rsidR="000D36DB">
        <w:t xml:space="preserve">he </w:t>
      </w:r>
      <w:r w:rsidR="005352C0" w:rsidRPr="005352C0">
        <w:t>Risk Rated Premium component</w:t>
      </w:r>
    </w:p>
    <w:p w14:paraId="57865DCC" w14:textId="388BEBF5" w:rsidR="000D36DB" w:rsidRDefault="000B18B2" w:rsidP="008874A7">
      <w:pPr>
        <w:pStyle w:val="ListParagraph"/>
        <w:numPr>
          <w:ilvl w:val="0"/>
          <w:numId w:val="6"/>
        </w:numPr>
        <w:ind w:left="714" w:hanging="357"/>
        <w:contextualSpacing w:val="0"/>
      </w:pPr>
      <w:r>
        <w:t>T</w:t>
      </w:r>
      <w:r w:rsidR="000D36DB">
        <w:t xml:space="preserve">he </w:t>
      </w:r>
      <w:r w:rsidR="005352C0" w:rsidRPr="005352C0">
        <w:t>Special Tuition Protection component</w:t>
      </w:r>
      <w:r w:rsidR="000D36DB">
        <w:t>.</w:t>
      </w:r>
    </w:p>
    <w:p w14:paraId="58C93C4A" w14:textId="27C4FAD4" w:rsidR="000D36DB" w:rsidRDefault="000D36DB" w:rsidP="001928AD">
      <w:pPr>
        <w:spacing w:after="46"/>
      </w:pPr>
      <w:r>
        <w:t>Annual settings for each</w:t>
      </w:r>
      <w:r w:rsidR="00D03D11">
        <w:t xml:space="preserve"> levy</w:t>
      </w:r>
      <w:r>
        <w:t xml:space="preserve"> component are</w:t>
      </w:r>
      <w:r w:rsidR="00807062">
        <w:t xml:space="preserve"> established through </w:t>
      </w:r>
      <w:r>
        <w:t>legislative instruments</w:t>
      </w:r>
      <w:r w:rsidR="0074164B">
        <w:t xml:space="preserve"> that must be made by </w:t>
      </w:r>
      <w:r>
        <w:t xml:space="preserve">1 </w:t>
      </w:r>
      <w:r w:rsidR="001C20E4">
        <w:t>August</w:t>
      </w:r>
      <w:r>
        <w:t xml:space="preserve"> each year</w:t>
      </w:r>
      <w:r w:rsidR="00BF28DD">
        <w:t>:</w:t>
      </w:r>
    </w:p>
    <w:p w14:paraId="472BD343" w14:textId="4AD76ADC" w:rsidR="00E11FAF" w:rsidRDefault="000D36DB" w:rsidP="001928AD">
      <w:pPr>
        <w:pStyle w:val="ListParagraph"/>
        <w:numPr>
          <w:ilvl w:val="0"/>
          <w:numId w:val="11"/>
        </w:numPr>
        <w:spacing w:after="46"/>
        <w:ind w:left="714" w:hanging="357"/>
        <w:contextualSpacing w:val="0"/>
      </w:pPr>
      <w:r>
        <w:t xml:space="preserve">The </w:t>
      </w:r>
      <w:r w:rsidR="008A0ECC">
        <w:t>A</w:t>
      </w:r>
      <w:r>
        <w:t xml:space="preserve">dministrative </w:t>
      </w:r>
      <w:r w:rsidR="008A0ECC">
        <w:t>F</w:t>
      </w:r>
      <w:r>
        <w:t xml:space="preserve">ee component </w:t>
      </w:r>
      <w:r w:rsidR="007A4ECB">
        <w:t>is</w:t>
      </w:r>
      <w:r>
        <w:t xml:space="preserve"> </w:t>
      </w:r>
      <w:r w:rsidR="0074164B">
        <w:t xml:space="preserve">determined </w:t>
      </w:r>
      <w:r>
        <w:t>by the</w:t>
      </w:r>
      <w:r w:rsidR="00D01A59">
        <w:t xml:space="preserve"> relevant</w:t>
      </w:r>
      <w:r>
        <w:t xml:space="preserve"> Minister</w:t>
      </w:r>
      <w:r w:rsidR="007A4ECB">
        <w:t>.</w:t>
      </w:r>
      <w:r w:rsidR="00E86533">
        <w:rPr>
          <w:rStyle w:val="FootnoteReference"/>
        </w:rPr>
        <w:footnoteReference w:id="4"/>
      </w:r>
    </w:p>
    <w:p w14:paraId="76DC9ADE" w14:textId="73884C40" w:rsidR="000D36DB" w:rsidRDefault="000D36DB" w:rsidP="00294569">
      <w:pPr>
        <w:pStyle w:val="ListParagraph"/>
        <w:numPr>
          <w:ilvl w:val="0"/>
          <w:numId w:val="11"/>
        </w:numPr>
        <w:ind w:left="714" w:hanging="357"/>
        <w:contextualSpacing w:val="0"/>
      </w:pPr>
      <w:r>
        <w:t xml:space="preserve">The </w:t>
      </w:r>
      <w:r w:rsidR="008A0ECC">
        <w:t>R</w:t>
      </w:r>
      <w:r>
        <w:t xml:space="preserve">isk </w:t>
      </w:r>
      <w:r w:rsidR="008A0ECC">
        <w:t>R</w:t>
      </w:r>
      <w:r>
        <w:t xml:space="preserve">ated </w:t>
      </w:r>
      <w:r w:rsidR="008A0ECC">
        <w:t>P</w:t>
      </w:r>
      <w:r>
        <w:t xml:space="preserve">remium component and </w:t>
      </w:r>
      <w:r w:rsidR="008A0ECC">
        <w:t>S</w:t>
      </w:r>
      <w:r>
        <w:t xml:space="preserve">pecial </w:t>
      </w:r>
      <w:r w:rsidR="008A0ECC">
        <w:t>T</w:t>
      </w:r>
      <w:r>
        <w:t xml:space="preserve">uition </w:t>
      </w:r>
      <w:r w:rsidR="008A0ECC">
        <w:t>P</w:t>
      </w:r>
      <w:r>
        <w:t xml:space="preserve">rotection component are </w:t>
      </w:r>
      <w:r w:rsidR="0074164B">
        <w:t>determined</w:t>
      </w:r>
      <w:r>
        <w:t xml:space="preserve"> by the TPS Director</w:t>
      </w:r>
      <w:r w:rsidR="0074164B">
        <w:t>,</w:t>
      </w:r>
      <w:r>
        <w:t xml:space="preserve"> with advice from the TPS Advisory Board</w:t>
      </w:r>
      <w:r w:rsidR="00F41268">
        <w:t>.</w:t>
      </w:r>
    </w:p>
    <w:p w14:paraId="309B6790" w14:textId="77777777" w:rsidR="009D6108" w:rsidRDefault="009D6108" w:rsidP="001928AD">
      <w:pPr>
        <w:spacing w:after="46"/>
      </w:pPr>
      <w:r>
        <w:t>The domestic levies are paid into two sector-specific quarantined accounts managed by the TPS Director:</w:t>
      </w:r>
    </w:p>
    <w:p w14:paraId="54E0C3DF" w14:textId="292557B4" w:rsidR="009D6108" w:rsidRDefault="009D6108" w:rsidP="001928AD">
      <w:pPr>
        <w:pStyle w:val="ListParagraph"/>
        <w:numPr>
          <w:ilvl w:val="0"/>
          <w:numId w:val="10"/>
        </w:numPr>
        <w:spacing w:after="46"/>
        <w:ind w:left="714" w:hanging="357"/>
        <w:contextualSpacing w:val="0"/>
      </w:pPr>
      <w:r>
        <w:t xml:space="preserve">The </w:t>
      </w:r>
      <w:r w:rsidRPr="00E068B2">
        <w:rPr>
          <w:b/>
          <w:bCs/>
        </w:rPr>
        <w:t>VSL Levy</w:t>
      </w:r>
      <w:r>
        <w:t xml:space="preserve"> is paid into the </w:t>
      </w:r>
      <w:r w:rsidRPr="00E068B2">
        <w:rPr>
          <w:b/>
          <w:bCs/>
        </w:rPr>
        <w:t>VSL Tuition Protection Fund</w:t>
      </w:r>
    </w:p>
    <w:p w14:paraId="4DC72391" w14:textId="77777777" w:rsidR="009D6108" w:rsidRDefault="009D6108" w:rsidP="001928AD">
      <w:pPr>
        <w:pStyle w:val="ListParagraph"/>
        <w:numPr>
          <w:ilvl w:val="0"/>
          <w:numId w:val="10"/>
        </w:numPr>
        <w:spacing w:after="46"/>
        <w:ind w:left="714" w:hanging="357"/>
        <w:contextualSpacing w:val="0"/>
      </w:pPr>
      <w:r>
        <w:t xml:space="preserve">The </w:t>
      </w:r>
      <w:r w:rsidRPr="00E068B2">
        <w:rPr>
          <w:b/>
          <w:bCs/>
        </w:rPr>
        <w:t>HELP Levy</w:t>
      </w:r>
      <w:r>
        <w:t xml:space="preserve"> is paid into the </w:t>
      </w:r>
      <w:r w:rsidRPr="00E068B2">
        <w:rPr>
          <w:b/>
          <w:bCs/>
        </w:rPr>
        <w:t>Higher Education Tuition Protection Fund</w:t>
      </w:r>
    </w:p>
    <w:p w14:paraId="23D10DD4" w14:textId="3B1E6A34" w:rsidR="009D6108" w:rsidRDefault="009D6108" w:rsidP="001928AD">
      <w:pPr>
        <w:pStyle w:val="ListParagraph"/>
        <w:numPr>
          <w:ilvl w:val="0"/>
          <w:numId w:val="10"/>
        </w:numPr>
        <w:spacing w:after="0"/>
        <w:ind w:left="714" w:hanging="357"/>
        <w:contextualSpacing w:val="0"/>
      </w:pPr>
      <w:r>
        <w:t xml:space="preserve">The </w:t>
      </w:r>
      <w:r w:rsidRPr="00E068B2">
        <w:rPr>
          <w:b/>
          <w:bCs/>
        </w:rPr>
        <w:t xml:space="preserve">Up-front </w:t>
      </w:r>
      <w:r w:rsidR="0043314F">
        <w:rPr>
          <w:b/>
          <w:bCs/>
        </w:rPr>
        <w:t xml:space="preserve">Payments </w:t>
      </w:r>
      <w:r w:rsidRPr="00E068B2">
        <w:rPr>
          <w:b/>
          <w:bCs/>
        </w:rPr>
        <w:t>Levy</w:t>
      </w:r>
      <w:r>
        <w:t xml:space="preserve"> is paid into the </w:t>
      </w:r>
      <w:r w:rsidRPr="00E068B2">
        <w:rPr>
          <w:b/>
          <w:bCs/>
        </w:rPr>
        <w:t>Higher Education Tuition Protection Fund</w:t>
      </w:r>
      <w:r w:rsidR="00FF4A3B">
        <w:t>.</w:t>
      </w:r>
    </w:p>
    <w:p w14:paraId="36D494A9" w14:textId="4C56D72B" w:rsidR="00185CBF" w:rsidRPr="00A023BC" w:rsidRDefault="001F2813" w:rsidP="00602AB4">
      <w:pPr>
        <w:pStyle w:val="Heading3"/>
      </w:pPr>
      <w:r>
        <w:lastRenderedPageBreak/>
        <w:t>Guiding</w:t>
      </w:r>
      <w:r w:rsidR="006F1E94">
        <w:t xml:space="preserve"> principles</w:t>
      </w:r>
      <w:r>
        <w:t xml:space="preserve"> for levy setting advice</w:t>
      </w:r>
    </w:p>
    <w:p w14:paraId="6DC8E723" w14:textId="47974D46" w:rsidR="00C03726" w:rsidRDefault="00382D9B" w:rsidP="00FF4A3B">
      <w:pPr>
        <w:spacing w:after="50"/>
      </w:pPr>
      <w:r w:rsidRPr="005D2ACE">
        <w:t>The TPS Advisory Board</w:t>
      </w:r>
      <w:r w:rsidR="005D2ACE" w:rsidRPr="005D2ACE">
        <w:t xml:space="preserve"> </w:t>
      </w:r>
      <w:r w:rsidRPr="005D2ACE">
        <w:t>has</w:t>
      </w:r>
      <w:r w:rsidRPr="2D29E7D8">
        <w:t xml:space="preserve"> </w:t>
      </w:r>
      <w:r w:rsidR="00C03726" w:rsidRPr="2D29E7D8">
        <w:t xml:space="preserve">agreed to </w:t>
      </w:r>
      <w:r w:rsidR="00C03726">
        <w:t>the following</w:t>
      </w:r>
      <w:r w:rsidR="00C03726" w:rsidRPr="2D29E7D8">
        <w:t xml:space="preserve"> principles </w:t>
      </w:r>
      <w:r w:rsidR="00C03726">
        <w:t>when providing advice to the TPS Director</w:t>
      </w:r>
      <w:r w:rsidR="00C03726" w:rsidRPr="2D29E7D8">
        <w:t xml:space="preserve"> </w:t>
      </w:r>
      <w:r w:rsidR="00C03726">
        <w:t>on</w:t>
      </w:r>
      <w:r w:rsidR="00C03726" w:rsidRPr="2D29E7D8">
        <w:t xml:space="preserve"> </w:t>
      </w:r>
      <w:r w:rsidR="00C03726" w:rsidRPr="004E6564">
        <w:t>levy</w:t>
      </w:r>
      <w:r w:rsidR="00C03726" w:rsidRPr="00F93851">
        <w:rPr>
          <w:b/>
          <w:bCs/>
        </w:rPr>
        <w:t xml:space="preserve"> </w:t>
      </w:r>
      <w:r w:rsidR="00C03726" w:rsidRPr="00F93851">
        <w:t>setting</w:t>
      </w:r>
      <w:r w:rsidR="00C03726">
        <w:t xml:space="preserve">s, </w:t>
      </w:r>
      <w:r w:rsidR="00C03726" w:rsidRPr="2D29E7D8">
        <w:t xml:space="preserve">specifically the </w:t>
      </w:r>
      <w:r w:rsidR="008E41BF" w:rsidRPr="008E41BF">
        <w:t xml:space="preserve">Risk Rated Premium component and Special Tuition Protection </w:t>
      </w:r>
      <w:r w:rsidR="0023662A">
        <w:t>component</w:t>
      </w:r>
      <w:r w:rsidR="00C03726">
        <w:t>:</w:t>
      </w:r>
    </w:p>
    <w:p w14:paraId="4F581769" w14:textId="77777777" w:rsidR="00C03726" w:rsidRDefault="00C03726" w:rsidP="00FF4A3B">
      <w:pPr>
        <w:pStyle w:val="ListParagraph"/>
        <w:numPr>
          <w:ilvl w:val="0"/>
          <w:numId w:val="5"/>
        </w:numPr>
        <w:spacing w:after="50"/>
        <w:ind w:left="714" w:hanging="357"/>
        <w:contextualSpacing w:val="0"/>
      </w:pPr>
      <w:r>
        <w:t xml:space="preserve">Advice should </w:t>
      </w:r>
      <w:r w:rsidRPr="00C03726">
        <w:rPr>
          <w:b/>
          <w:bCs/>
        </w:rPr>
        <w:t>reflect the overall risk environment</w:t>
      </w:r>
      <w:r>
        <w:t xml:space="preserve"> and ensure that revenue matches what is </w:t>
      </w:r>
      <w:r w:rsidRPr="006765D6">
        <w:t xml:space="preserve">needed to </w:t>
      </w:r>
      <w:r w:rsidRPr="00C03726">
        <w:rPr>
          <w:b/>
          <w:bCs/>
        </w:rPr>
        <w:t>sustain the relevant fund</w:t>
      </w:r>
      <w:r w:rsidRPr="006765D6">
        <w:t xml:space="preserve">, while also being </w:t>
      </w:r>
      <w:r w:rsidRPr="00C03726">
        <w:rPr>
          <w:b/>
          <w:bCs/>
        </w:rPr>
        <w:t xml:space="preserve">sustainable for the </w:t>
      </w:r>
      <w:proofErr w:type="gramStart"/>
      <w:r w:rsidRPr="00C03726">
        <w:rPr>
          <w:b/>
          <w:bCs/>
        </w:rPr>
        <w:t>industry</w:t>
      </w:r>
      <w:r>
        <w:t>;</w:t>
      </w:r>
      <w:proofErr w:type="gramEnd"/>
      <w:r>
        <w:t xml:space="preserve"> </w:t>
      </w:r>
    </w:p>
    <w:p w14:paraId="0186EDFE" w14:textId="77777777" w:rsidR="00C03726" w:rsidRDefault="00C03726" w:rsidP="00FF4A3B">
      <w:pPr>
        <w:pStyle w:val="ListParagraph"/>
        <w:numPr>
          <w:ilvl w:val="0"/>
          <w:numId w:val="5"/>
        </w:numPr>
        <w:spacing w:after="50"/>
        <w:ind w:left="714" w:hanging="357"/>
        <w:contextualSpacing w:val="0"/>
      </w:pPr>
      <w:r>
        <w:t xml:space="preserve">The model for each levy should </w:t>
      </w:r>
      <w:r w:rsidRPr="00C03726">
        <w:rPr>
          <w:b/>
          <w:bCs/>
        </w:rPr>
        <w:t>reflect gradual change</w:t>
      </w:r>
      <w:r>
        <w:t xml:space="preserve"> and assist the industry with business planning by providing a stable regulatory </w:t>
      </w:r>
      <w:proofErr w:type="gramStart"/>
      <w:r>
        <w:t>environment;</w:t>
      </w:r>
      <w:proofErr w:type="gramEnd"/>
    </w:p>
    <w:p w14:paraId="3064CA65" w14:textId="77777777" w:rsidR="00C03726" w:rsidRDefault="00C03726" w:rsidP="00FF4A3B">
      <w:pPr>
        <w:pStyle w:val="ListParagraph"/>
        <w:numPr>
          <w:ilvl w:val="0"/>
          <w:numId w:val="5"/>
        </w:numPr>
        <w:spacing w:after="50"/>
        <w:ind w:left="714" w:hanging="357"/>
        <w:contextualSpacing w:val="0"/>
      </w:pPr>
      <w:r>
        <w:t xml:space="preserve">The model should be as </w:t>
      </w:r>
      <w:r w:rsidRPr="00C03726">
        <w:rPr>
          <w:b/>
          <w:bCs/>
        </w:rPr>
        <w:t>simple and transparent</w:t>
      </w:r>
      <w:r>
        <w:t xml:space="preserve"> as possible, preferably based on a small number of </w:t>
      </w:r>
      <w:proofErr w:type="gramStart"/>
      <w:r>
        <w:t>risk</w:t>
      </w:r>
      <w:proofErr w:type="gramEnd"/>
      <w:r>
        <w:t xml:space="preserve"> </w:t>
      </w:r>
      <w:proofErr w:type="gramStart"/>
      <w:r>
        <w:t>factors;</w:t>
      </w:r>
      <w:proofErr w:type="gramEnd"/>
    </w:p>
    <w:p w14:paraId="25B5431C" w14:textId="77777777" w:rsidR="00C03726" w:rsidRDefault="00C03726" w:rsidP="00FF4A3B">
      <w:pPr>
        <w:pStyle w:val="ListParagraph"/>
        <w:numPr>
          <w:ilvl w:val="0"/>
          <w:numId w:val="5"/>
        </w:numPr>
        <w:spacing w:after="50"/>
        <w:ind w:left="714" w:hanging="357"/>
        <w:contextualSpacing w:val="0"/>
      </w:pPr>
      <w:r>
        <w:t xml:space="preserve">Risk premiums imposed should provide </w:t>
      </w:r>
      <w:r w:rsidRPr="00C03726">
        <w:rPr>
          <w:b/>
          <w:bCs/>
        </w:rPr>
        <w:t>incentives for providers to adopt positive behaviours</w:t>
      </w:r>
      <w:r>
        <w:t>; and</w:t>
      </w:r>
    </w:p>
    <w:p w14:paraId="28DD600E" w14:textId="7C729FCD" w:rsidR="00C50A8A" w:rsidRDefault="00C03726" w:rsidP="00FF4A3B">
      <w:pPr>
        <w:pStyle w:val="ListParagraph"/>
        <w:numPr>
          <w:ilvl w:val="0"/>
          <w:numId w:val="5"/>
        </w:numPr>
        <w:ind w:left="714" w:hanging="357"/>
        <w:contextualSpacing w:val="0"/>
      </w:pPr>
      <w:r w:rsidRPr="00C03726">
        <w:rPr>
          <w:b/>
          <w:bCs/>
        </w:rPr>
        <w:t>Additional imposts on industry, such as data collection, should be minimised</w:t>
      </w:r>
      <w:r>
        <w:t xml:space="preserve"> where possible, consistent with the ability to set sound risk-based levies.</w:t>
      </w:r>
    </w:p>
    <w:p w14:paraId="6C19A06B" w14:textId="09A5B212" w:rsidR="00D715C5" w:rsidRDefault="00D715C5" w:rsidP="00602AB4">
      <w:pPr>
        <w:pStyle w:val="Heading3"/>
      </w:pPr>
      <w:r>
        <w:t>Legislative authority</w:t>
      </w:r>
    </w:p>
    <w:p w14:paraId="4C28F7CF" w14:textId="77777777" w:rsidR="00351D55" w:rsidRDefault="008B1935" w:rsidP="003D2E74">
      <w:r>
        <w:t>Legislative authority to collect</w:t>
      </w:r>
      <w:r w:rsidR="000D495F">
        <w:t xml:space="preserve"> </w:t>
      </w:r>
      <w:r w:rsidR="00351D55">
        <w:t>levies are as follows:</w:t>
      </w:r>
    </w:p>
    <w:p w14:paraId="73F03582" w14:textId="6E6A1CAA" w:rsidR="003D2E74" w:rsidRPr="00CD59D0" w:rsidRDefault="003D2E74" w:rsidP="00351D55">
      <w:pPr>
        <w:pStyle w:val="ListParagraph"/>
        <w:numPr>
          <w:ilvl w:val="0"/>
          <w:numId w:val="21"/>
        </w:numPr>
        <w:rPr>
          <w:i/>
          <w:iCs/>
        </w:rPr>
      </w:pPr>
      <w:r w:rsidRPr="00351D55">
        <w:rPr>
          <w:b/>
          <w:bCs/>
        </w:rPr>
        <w:t>VSL Levy</w:t>
      </w:r>
      <w:r w:rsidR="00351D55">
        <w:rPr>
          <w:b/>
          <w:bCs/>
        </w:rPr>
        <w:t>:</w:t>
      </w:r>
      <w:r w:rsidR="000D495F">
        <w:t xml:space="preserve"> </w:t>
      </w:r>
      <w:hyperlink r:id="rId13" w:history="1">
        <w:r w:rsidRPr="00351D55">
          <w:rPr>
            <w:rStyle w:val="Hyperlink"/>
            <w:i/>
            <w:iCs/>
            <w:lang w:val="en-US"/>
          </w:rPr>
          <w:t>VET Student Loans (VSL Tuition Protection Levy) Act 2020</w:t>
        </w:r>
      </w:hyperlink>
      <w:r w:rsidR="000D495F" w:rsidRPr="000D495F">
        <w:t>.</w:t>
      </w:r>
      <w:r w:rsidR="00E86533" w:rsidRPr="000D495F">
        <w:rPr>
          <w:rStyle w:val="FootnoteReference"/>
          <w:lang w:val="en-US"/>
        </w:rPr>
        <w:footnoteReference w:id="5"/>
      </w:r>
    </w:p>
    <w:p w14:paraId="328D5235" w14:textId="1F5A6FB0" w:rsidR="003D2E74" w:rsidRPr="00351D55" w:rsidRDefault="000D495F" w:rsidP="00CD59D0">
      <w:pPr>
        <w:pStyle w:val="ListParagraph"/>
        <w:numPr>
          <w:ilvl w:val="0"/>
          <w:numId w:val="21"/>
        </w:numPr>
        <w:rPr>
          <w:rStyle w:val="Hyperlink"/>
          <w:color w:val="auto"/>
          <w:u w:val="none"/>
        </w:rPr>
      </w:pPr>
      <w:r w:rsidRPr="00351D55">
        <w:rPr>
          <w:b/>
          <w:bCs/>
        </w:rPr>
        <w:t>HELP Levy</w:t>
      </w:r>
      <w:r w:rsidR="00351D55">
        <w:rPr>
          <w:b/>
          <w:bCs/>
        </w:rPr>
        <w:t>:</w:t>
      </w:r>
      <w:r>
        <w:t xml:space="preserve"> </w:t>
      </w:r>
      <w:hyperlink r:id="rId14" w:history="1">
        <w:r w:rsidR="003D2E74" w:rsidRPr="00351D55">
          <w:rPr>
            <w:rStyle w:val="Hyperlink"/>
            <w:i/>
            <w:iCs/>
            <w:lang w:val="en-US"/>
          </w:rPr>
          <w:t>Higher Education Support (HELP Tuition Protection Levy) Act 2020</w:t>
        </w:r>
      </w:hyperlink>
      <w:r w:rsidRPr="000D495F">
        <w:t>.</w:t>
      </w:r>
      <w:r w:rsidR="00E86533" w:rsidRPr="000D495F">
        <w:rPr>
          <w:rStyle w:val="FootnoteReference"/>
          <w:lang w:val="en-US"/>
        </w:rPr>
        <w:footnoteReference w:id="6"/>
      </w:r>
    </w:p>
    <w:p w14:paraId="71209A88" w14:textId="20113F13" w:rsidR="00D715C5" w:rsidRPr="00351D55" w:rsidRDefault="000D495F" w:rsidP="00CD59D0">
      <w:pPr>
        <w:pStyle w:val="ListParagraph"/>
        <w:numPr>
          <w:ilvl w:val="0"/>
          <w:numId w:val="21"/>
        </w:numPr>
        <w:rPr>
          <w:rStyle w:val="Hyperlink"/>
          <w:color w:val="auto"/>
          <w:u w:val="none"/>
        </w:rPr>
      </w:pPr>
      <w:r w:rsidRPr="00351D55">
        <w:rPr>
          <w:b/>
          <w:bCs/>
        </w:rPr>
        <w:t xml:space="preserve">Up-front </w:t>
      </w:r>
      <w:r w:rsidR="0043314F" w:rsidRPr="00351D55">
        <w:rPr>
          <w:b/>
          <w:bCs/>
        </w:rPr>
        <w:t xml:space="preserve">Payments </w:t>
      </w:r>
      <w:r w:rsidRPr="00351D55">
        <w:rPr>
          <w:b/>
          <w:bCs/>
        </w:rPr>
        <w:t>Levy</w:t>
      </w:r>
      <w:r w:rsidR="00351D55">
        <w:rPr>
          <w:b/>
          <w:bCs/>
        </w:rPr>
        <w:t>:</w:t>
      </w:r>
      <w:r>
        <w:t xml:space="preserve"> </w:t>
      </w:r>
      <w:hyperlink r:id="rId15" w:history="1">
        <w:r w:rsidR="003C3D5D" w:rsidRPr="00351D55">
          <w:rPr>
            <w:rStyle w:val="Hyperlink"/>
            <w:i/>
            <w:iCs/>
            <w:lang w:val="en-US"/>
          </w:rPr>
          <w:t>Higher Education (Up-front Payments Tuition Protection Levy) Act 2020</w:t>
        </w:r>
      </w:hyperlink>
      <w:r w:rsidRPr="0027400C">
        <w:t>.</w:t>
      </w:r>
      <w:r w:rsidR="00E86533" w:rsidRPr="0027400C">
        <w:rPr>
          <w:rStyle w:val="FootnoteReference"/>
          <w:lang w:val="en-US"/>
        </w:rPr>
        <w:footnoteReference w:id="7"/>
      </w:r>
    </w:p>
    <w:p w14:paraId="47D49E0C" w14:textId="0274C50E" w:rsidR="008156F0" w:rsidRPr="0027400C" w:rsidRDefault="003D2E74" w:rsidP="00342936">
      <w:pPr>
        <w:pStyle w:val="Heading2"/>
      </w:pPr>
      <w:r w:rsidRPr="0027400C">
        <w:t>Draft 202</w:t>
      </w:r>
      <w:r w:rsidR="00F8696A">
        <w:t>6</w:t>
      </w:r>
      <w:r w:rsidRPr="0027400C">
        <w:t xml:space="preserve"> </w:t>
      </w:r>
      <w:r w:rsidR="00E774AF">
        <w:t>d</w:t>
      </w:r>
      <w:r w:rsidRPr="0027400C">
        <w:t xml:space="preserve">omestic </w:t>
      </w:r>
      <w:r w:rsidR="00E774AF">
        <w:t>l</w:t>
      </w:r>
      <w:r w:rsidRPr="0027400C">
        <w:t>evy settings</w:t>
      </w:r>
    </w:p>
    <w:p w14:paraId="5E4B9C4E" w14:textId="5655232C" w:rsidR="008A6DE3" w:rsidRDefault="00CB6ACD" w:rsidP="008A6DE3">
      <w:r w:rsidRPr="0027400C">
        <w:t>The draft</w:t>
      </w:r>
      <w:r w:rsidR="006A04C5" w:rsidRPr="0027400C">
        <w:t xml:space="preserve"> settings for 202</w:t>
      </w:r>
      <w:r w:rsidR="00AA5163">
        <w:t>6</w:t>
      </w:r>
      <w:r w:rsidR="00704F1F" w:rsidRPr="0027400C">
        <w:t xml:space="preserve"> domestic levies</w:t>
      </w:r>
      <w:r w:rsidR="006A04C5" w:rsidRPr="0027400C">
        <w:t xml:space="preserve"> are </w:t>
      </w:r>
      <w:r w:rsidR="00351D55">
        <w:t>summarised</w:t>
      </w:r>
      <w:r w:rsidR="00351D55" w:rsidRPr="0027400C">
        <w:t xml:space="preserve"> </w:t>
      </w:r>
      <w:r w:rsidR="006A04C5" w:rsidRPr="0027400C">
        <w:t xml:space="preserve">in </w:t>
      </w:r>
      <w:r w:rsidR="00A54674" w:rsidRPr="0027400C">
        <w:t>T</w:t>
      </w:r>
      <w:r w:rsidR="006A04C5" w:rsidRPr="0027400C">
        <w:t>able</w:t>
      </w:r>
      <w:r w:rsidR="00A54674" w:rsidRPr="0027400C">
        <w:t xml:space="preserve"> 1</w:t>
      </w:r>
      <w:r w:rsidR="006A04C5" w:rsidRPr="0027400C">
        <w:t xml:space="preserve"> below.</w:t>
      </w:r>
    </w:p>
    <w:p w14:paraId="5D0B0989" w14:textId="5C43A5FE" w:rsidR="00351D55" w:rsidRDefault="00351D55" w:rsidP="00351D55">
      <w:r w:rsidRPr="00C72ABF">
        <w:t xml:space="preserve">The proposed 2026 Risk Rated Premium component </w:t>
      </w:r>
      <w:r>
        <w:t xml:space="preserve">amounts </w:t>
      </w:r>
      <w:r w:rsidRPr="00C72ABF">
        <w:t>remain unchanged from 202</w:t>
      </w:r>
      <w:r>
        <w:t>5.</w:t>
      </w:r>
    </w:p>
    <w:p w14:paraId="4C35A764" w14:textId="752F6285" w:rsidR="00351D55" w:rsidRPr="0027400C" w:rsidRDefault="006D40CC" w:rsidP="008A6DE3">
      <w:r w:rsidRPr="006D40CC">
        <w:t>The Special Tuition Protection component is proposed to be reduced to 0 per cent for the VSL Levy and retained at 0.10 per cent for the HELP and Up</w:t>
      </w:r>
      <w:r w:rsidRPr="006D40CC">
        <w:rPr>
          <w:rFonts w:ascii="Cambria Math" w:hAnsi="Cambria Math" w:cs="Cambria Math"/>
        </w:rPr>
        <w:t>‑</w:t>
      </w:r>
      <w:r w:rsidRPr="006D40CC">
        <w:t>front Payments Levies.</w:t>
      </w:r>
      <w:r>
        <w:t xml:space="preserve"> </w:t>
      </w:r>
      <w:r w:rsidR="00351D55">
        <w:t>Refer to the</w:t>
      </w:r>
      <w:r w:rsidR="00351D55" w:rsidRPr="005352C0">
        <w:t xml:space="preserve"> ‘Special Tuition Protection Component’ section of this document</w:t>
      </w:r>
      <w:r w:rsidR="00351D55">
        <w:t xml:space="preserve"> for details</w:t>
      </w:r>
      <w:r w:rsidR="00351D55" w:rsidRPr="005352C0">
        <w:t>.</w:t>
      </w:r>
    </w:p>
    <w:p w14:paraId="3F342CB4" w14:textId="19A553C7" w:rsidR="00DC6657" w:rsidRPr="00A54674" w:rsidRDefault="00DC6657" w:rsidP="00A54674">
      <w:pPr>
        <w:pStyle w:val="Caption"/>
      </w:pPr>
      <w:r w:rsidRPr="0027400C">
        <w:rPr>
          <w:b/>
          <w:bCs/>
        </w:rPr>
        <w:t>Table 1</w:t>
      </w:r>
      <w:r w:rsidRPr="0027400C">
        <w:t>:</w:t>
      </w:r>
      <w:r w:rsidR="0013430E" w:rsidRPr="0027400C">
        <w:t xml:space="preserve"> Draft levy settings for the 202</w:t>
      </w:r>
      <w:r w:rsidR="00AA5163">
        <w:t>6</w:t>
      </w:r>
      <w:r w:rsidR="0013430E" w:rsidRPr="0027400C">
        <w:t xml:space="preserve"> VSL, HELP and Up-front Payments Tuition Protection Levies</w:t>
      </w:r>
    </w:p>
    <w:tbl>
      <w:tblPr>
        <w:tblStyle w:val="TPSTable"/>
        <w:tblW w:w="5000" w:type="pct"/>
        <w:tblLook w:val="0420" w:firstRow="1" w:lastRow="0" w:firstColumn="0" w:lastColumn="0" w:noHBand="0" w:noVBand="1"/>
      </w:tblPr>
      <w:tblGrid>
        <w:gridCol w:w="1118"/>
        <w:gridCol w:w="2766"/>
        <w:gridCol w:w="3653"/>
        <w:gridCol w:w="2375"/>
      </w:tblGrid>
      <w:tr w:rsidR="00EB4A0C" w:rsidRPr="00AF068E" w14:paraId="4B5C3ABF" w14:textId="77777777" w:rsidTr="0027400C">
        <w:trPr>
          <w:cnfStyle w:val="100000000000" w:firstRow="1" w:lastRow="0" w:firstColumn="0" w:lastColumn="0" w:oddVBand="0" w:evenVBand="0" w:oddHBand="0" w:evenHBand="0" w:firstRowFirstColumn="0" w:firstRowLastColumn="0" w:lastRowFirstColumn="0" w:lastRowLastColumn="0"/>
          <w:trHeight w:val="737"/>
        </w:trPr>
        <w:tc>
          <w:tcPr>
            <w:tcW w:w="518" w:type="pct"/>
            <w:hideMark/>
          </w:tcPr>
          <w:p w14:paraId="15B8356E" w14:textId="77777777" w:rsidR="008A6DE3" w:rsidRPr="008150F8" w:rsidRDefault="008A6DE3" w:rsidP="002C6E65">
            <w:pPr>
              <w:pStyle w:val="TableHeader"/>
              <w:ind w:left="-57" w:right="-57"/>
            </w:pPr>
            <w:r w:rsidRPr="008150F8">
              <w:t>Levy</w:t>
            </w:r>
          </w:p>
        </w:tc>
        <w:tc>
          <w:tcPr>
            <w:tcW w:w="1411" w:type="pct"/>
            <w:hideMark/>
          </w:tcPr>
          <w:p w14:paraId="56E66F50" w14:textId="42C4ACBF" w:rsidR="008A6DE3" w:rsidRPr="008150F8" w:rsidRDefault="008A6DE3" w:rsidP="002C6E65">
            <w:pPr>
              <w:pStyle w:val="TableHeader"/>
              <w:ind w:left="-57" w:right="-57"/>
            </w:pPr>
            <w:r w:rsidRPr="008150F8">
              <w:t xml:space="preserve">Administrative </w:t>
            </w:r>
            <w:r w:rsidR="00952F7A">
              <w:t>F</w:t>
            </w:r>
            <w:r w:rsidRPr="008150F8">
              <w:t>ee</w:t>
            </w:r>
            <w:r w:rsidR="002C6E65">
              <w:t xml:space="preserve"> component</w:t>
            </w:r>
            <w:r w:rsidRPr="008150F8">
              <w:rPr>
                <w:vertAlign w:val="superscript"/>
              </w:rPr>
              <w:t>*</w:t>
            </w:r>
          </w:p>
        </w:tc>
        <w:tc>
          <w:tcPr>
            <w:tcW w:w="1858" w:type="pct"/>
            <w:hideMark/>
          </w:tcPr>
          <w:p w14:paraId="61492C4C" w14:textId="30618B1C" w:rsidR="008A6DE3" w:rsidRPr="008150F8" w:rsidRDefault="008A6DE3" w:rsidP="002C6E65">
            <w:pPr>
              <w:pStyle w:val="TableHeader"/>
              <w:ind w:left="-57" w:right="-57"/>
            </w:pPr>
            <w:r w:rsidRPr="008150F8">
              <w:t xml:space="preserve">Risk </w:t>
            </w:r>
            <w:r w:rsidR="00952F7A">
              <w:t>R</w:t>
            </w:r>
            <w:r w:rsidRPr="008150F8">
              <w:t xml:space="preserve">ated </w:t>
            </w:r>
            <w:r w:rsidR="00952F7A">
              <w:t>P</w:t>
            </w:r>
            <w:r w:rsidRPr="008150F8">
              <w:t>remium</w:t>
            </w:r>
            <w:r w:rsidR="002C6E65">
              <w:t xml:space="preserve"> component</w:t>
            </w:r>
            <w:r w:rsidR="003478F2" w:rsidRPr="003478F2">
              <w:rPr>
                <w:vertAlign w:val="superscript"/>
              </w:rPr>
              <w:t>^</w:t>
            </w:r>
          </w:p>
        </w:tc>
        <w:tc>
          <w:tcPr>
            <w:tcW w:w="1213" w:type="pct"/>
            <w:hideMark/>
          </w:tcPr>
          <w:p w14:paraId="4F355073" w14:textId="5EB123BA" w:rsidR="008A6DE3" w:rsidRPr="008150F8" w:rsidRDefault="008A6DE3" w:rsidP="002C6E65">
            <w:pPr>
              <w:pStyle w:val="TableHeader"/>
              <w:ind w:left="-57" w:right="-57"/>
            </w:pPr>
            <w:r w:rsidRPr="008150F8">
              <w:t xml:space="preserve">Special </w:t>
            </w:r>
            <w:r w:rsidR="00952F7A">
              <w:t>T</w:t>
            </w:r>
            <w:r w:rsidRPr="008150F8">
              <w:t xml:space="preserve">uition </w:t>
            </w:r>
            <w:r w:rsidR="00952F7A">
              <w:t>P</w:t>
            </w:r>
            <w:r w:rsidRPr="008150F8">
              <w:t>rotection</w:t>
            </w:r>
            <w:r w:rsidR="002C6E65">
              <w:t xml:space="preserve"> component</w:t>
            </w:r>
          </w:p>
        </w:tc>
      </w:tr>
      <w:tr w:rsidR="00EB4A0C" w:rsidRPr="00AF068E" w14:paraId="3D5483E5" w14:textId="77777777" w:rsidTr="002C6E65">
        <w:trPr>
          <w:cnfStyle w:val="000000100000" w:firstRow="0" w:lastRow="0" w:firstColumn="0" w:lastColumn="0" w:oddVBand="0" w:evenVBand="0" w:oddHBand="1" w:evenHBand="0" w:firstRowFirstColumn="0" w:firstRowLastColumn="0" w:lastRowFirstColumn="0" w:lastRowLastColumn="0"/>
          <w:trHeight w:val="850"/>
        </w:trPr>
        <w:tc>
          <w:tcPr>
            <w:tcW w:w="518" w:type="pct"/>
            <w:hideMark/>
          </w:tcPr>
          <w:p w14:paraId="2C468B9A" w14:textId="77777777" w:rsidR="008A6DE3" w:rsidRPr="00667813" w:rsidRDefault="008A6DE3" w:rsidP="00086147">
            <w:pPr>
              <w:pStyle w:val="Tablecontents0"/>
              <w:keepNext/>
              <w:rPr>
                <w:b/>
                <w:bCs/>
              </w:rPr>
            </w:pPr>
            <w:r w:rsidRPr="00667813">
              <w:rPr>
                <w:b/>
                <w:bCs/>
              </w:rPr>
              <w:t>VSL</w:t>
            </w:r>
          </w:p>
        </w:tc>
        <w:tc>
          <w:tcPr>
            <w:tcW w:w="1411" w:type="pct"/>
            <w:hideMark/>
          </w:tcPr>
          <w:p w14:paraId="29666119" w14:textId="674CBA28" w:rsidR="008A6DE3" w:rsidRPr="00AF068E" w:rsidRDefault="008A6DE3" w:rsidP="00086147">
            <w:pPr>
              <w:pStyle w:val="Tablecontents0"/>
              <w:keepNext/>
            </w:pPr>
            <w:r w:rsidRPr="000D7E93">
              <w:rPr>
                <w:b/>
                <w:bCs/>
              </w:rPr>
              <w:t>$1</w:t>
            </w:r>
            <w:r w:rsidR="008974F2">
              <w:rPr>
                <w:b/>
                <w:bCs/>
              </w:rPr>
              <w:t>2</w:t>
            </w:r>
            <w:r w:rsidR="00AA5163">
              <w:rPr>
                <w:b/>
                <w:bCs/>
              </w:rPr>
              <w:t>9</w:t>
            </w:r>
            <w:r w:rsidRPr="00AF068E">
              <w:t xml:space="preserve"> per provider</w:t>
            </w:r>
            <w:r>
              <w:t xml:space="preserve"> </w:t>
            </w:r>
            <w:r w:rsidRPr="007F562F">
              <w:rPr>
                <w:b/>
                <w:bCs/>
              </w:rPr>
              <w:t>+</w:t>
            </w:r>
            <w:r w:rsidRPr="00AF068E">
              <w:br/>
            </w:r>
            <w:r w:rsidRPr="000D7E93">
              <w:rPr>
                <w:b/>
                <w:bCs/>
              </w:rPr>
              <w:t>$</w:t>
            </w:r>
            <w:r w:rsidR="006A04C5">
              <w:rPr>
                <w:b/>
                <w:bCs/>
              </w:rPr>
              <w:t>10</w:t>
            </w:r>
            <w:r w:rsidRPr="000D7E93">
              <w:rPr>
                <w:b/>
                <w:bCs/>
              </w:rPr>
              <w:t>.</w:t>
            </w:r>
            <w:r w:rsidR="00AA5163">
              <w:rPr>
                <w:b/>
                <w:bCs/>
              </w:rPr>
              <w:t>8</w:t>
            </w:r>
            <w:r w:rsidR="008974F2">
              <w:rPr>
                <w:b/>
                <w:bCs/>
              </w:rPr>
              <w:t>5</w:t>
            </w:r>
            <w:r w:rsidRPr="00AF068E">
              <w:t xml:space="preserve"> per VSL student</w:t>
            </w:r>
          </w:p>
        </w:tc>
        <w:tc>
          <w:tcPr>
            <w:tcW w:w="1858" w:type="pct"/>
            <w:hideMark/>
          </w:tcPr>
          <w:p w14:paraId="57A7C0DD" w14:textId="1369D06B" w:rsidR="00905B63" w:rsidRPr="005725D0" w:rsidRDefault="008A6DE3" w:rsidP="002D3FE4">
            <w:pPr>
              <w:pStyle w:val="Tablecontents0"/>
            </w:pPr>
            <w:r w:rsidRPr="005725D0">
              <w:rPr>
                <w:b/>
                <w:bCs/>
              </w:rPr>
              <w:t>$6</w:t>
            </w:r>
            <w:r w:rsidRPr="005725D0">
              <w:t xml:space="preserve"> per VSL student +</w:t>
            </w:r>
            <w:r w:rsidR="002D3FE4" w:rsidRPr="005725D0">
              <w:br/>
            </w:r>
            <w:r w:rsidRPr="005725D0">
              <w:rPr>
                <w:b/>
                <w:bCs/>
              </w:rPr>
              <w:t>0.1</w:t>
            </w:r>
            <w:r w:rsidR="00B47152" w:rsidRPr="005725D0">
              <w:rPr>
                <w:b/>
                <w:bCs/>
              </w:rPr>
              <w:t>3</w:t>
            </w:r>
            <w:r w:rsidRPr="005725D0">
              <w:rPr>
                <w:b/>
                <w:bCs/>
              </w:rPr>
              <w:t>%</w:t>
            </w:r>
            <w:r w:rsidRPr="005725D0">
              <w:t xml:space="preserve"> x total 202</w:t>
            </w:r>
            <w:r w:rsidR="00952F7A">
              <w:t>5</w:t>
            </w:r>
            <w:r w:rsidRPr="005725D0">
              <w:t xml:space="preserve"> </w:t>
            </w:r>
            <w:r w:rsidR="005304EC" w:rsidRPr="005725D0">
              <w:t xml:space="preserve">VSL </w:t>
            </w:r>
            <w:r w:rsidRPr="005725D0">
              <w:t>loan amount</w:t>
            </w:r>
            <w:r w:rsidR="00DE1090" w:rsidRPr="005725D0">
              <w:t>s</w:t>
            </w:r>
          </w:p>
        </w:tc>
        <w:tc>
          <w:tcPr>
            <w:tcW w:w="1213" w:type="pct"/>
            <w:hideMark/>
          </w:tcPr>
          <w:p w14:paraId="599ED4BF" w14:textId="5665D461" w:rsidR="008A6DE3" w:rsidRPr="005725D0" w:rsidRDefault="008A6DE3" w:rsidP="00086147">
            <w:pPr>
              <w:pStyle w:val="Tablecontents0"/>
              <w:keepNext/>
            </w:pPr>
            <w:r w:rsidRPr="005725D0">
              <w:rPr>
                <w:b/>
                <w:bCs/>
              </w:rPr>
              <w:t>0%</w:t>
            </w:r>
            <w:r w:rsidRPr="005725D0">
              <w:t xml:space="preserve"> x total </w:t>
            </w:r>
            <w:r w:rsidR="003E2607" w:rsidRPr="005725D0">
              <w:t>202</w:t>
            </w:r>
            <w:r w:rsidR="00952F7A">
              <w:t>5</w:t>
            </w:r>
            <w:r w:rsidR="003E2607" w:rsidRPr="005725D0">
              <w:t xml:space="preserve"> </w:t>
            </w:r>
            <w:r w:rsidRPr="005725D0">
              <w:t>VSL loan amounts</w:t>
            </w:r>
          </w:p>
        </w:tc>
      </w:tr>
      <w:tr w:rsidR="00952485" w:rsidRPr="00AF068E" w14:paraId="10109228" w14:textId="77777777" w:rsidTr="002C6E65">
        <w:trPr>
          <w:cnfStyle w:val="000000010000" w:firstRow="0" w:lastRow="0" w:firstColumn="0" w:lastColumn="0" w:oddVBand="0" w:evenVBand="0" w:oddHBand="0" w:evenHBand="1" w:firstRowFirstColumn="0" w:firstRowLastColumn="0" w:lastRowFirstColumn="0" w:lastRowLastColumn="0"/>
          <w:trHeight w:val="850"/>
        </w:trPr>
        <w:tc>
          <w:tcPr>
            <w:tcW w:w="518" w:type="pct"/>
            <w:hideMark/>
          </w:tcPr>
          <w:p w14:paraId="6E54C03B" w14:textId="77777777" w:rsidR="008A6DE3" w:rsidRPr="000D7E93" w:rsidRDefault="008A6DE3" w:rsidP="00086147">
            <w:pPr>
              <w:pStyle w:val="Tablecontents0"/>
              <w:keepNext/>
              <w:rPr>
                <w:b/>
                <w:bCs/>
              </w:rPr>
            </w:pPr>
            <w:r w:rsidRPr="000D7E93">
              <w:rPr>
                <w:b/>
                <w:bCs/>
              </w:rPr>
              <w:t>HELP</w:t>
            </w:r>
          </w:p>
        </w:tc>
        <w:tc>
          <w:tcPr>
            <w:tcW w:w="1411" w:type="pct"/>
            <w:hideMark/>
          </w:tcPr>
          <w:p w14:paraId="445F81AF" w14:textId="3B1C0C6B" w:rsidR="008A6DE3" w:rsidRPr="00AF068E" w:rsidRDefault="008A6DE3" w:rsidP="00086147">
            <w:pPr>
              <w:pStyle w:val="Tablecontents0"/>
              <w:keepNext/>
            </w:pPr>
            <w:r w:rsidRPr="000D7E93">
              <w:rPr>
                <w:b/>
                <w:bCs/>
              </w:rPr>
              <w:t>$1</w:t>
            </w:r>
            <w:r w:rsidR="008974F2">
              <w:rPr>
                <w:b/>
                <w:bCs/>
              </w:rPr>
              <w:t>2</w:t>
            </w:r>
            <w:r w:rsidR="00952F7A">
              <w:rPr>
                <w:b/>
                <w:bCs/>
              </w:rPr>
              <w:t>9</w:t>
            </w:r>
            <w:r w:rsidRPr="00AF068E">
              <w:t xml:space="preserve"> per provider </w:t>
            </w:r>
            <w:r w:rsidRPr="007F562F">
              <w:rPr>
                <w:b/>
                <w:bCs/>
              </w:rPr>
              <w:t>+</w:t>
            </w:r>
            <w:r w:rsidRPr="00AF068E">
              <w:t xml:space="preserve"> </w:t>
            </w:r>
            <w:r w:rsidRPr="00AF068E">
              <w:br/>
            </w:r>
            <w:r w:rsidRPr="000D7E93">
              <w:rPr>
                <w:b/>
                <w:bCs/>
              </w:rPr>
              <w:t>$</w:t>
            </w:r>
            <w:r w:rsidR="001140FA">
              <w:rPr>
                <w:b/>
                <w:bCs/>
              </w:rPr>
              <w:t>10</w:t>
            </w:r>
            <w:r w:rsidRPr="000D7E93">
              <w:rPr>
                <w:b/>
                <w:bCs/>
              </w:rPr>
              <w:t>.</w:t>
            </w:r>
            <w:r w:rsidR="00952F7A">
              <w:rPr>
                <w:b/>
                <w:bCs/>
              </w:rPr>
              <w:t>8</w:t>
            </w:r>
            <w:r w:rsidR="008974F2">
              <w:rPr>
                <w:b/>
                <w:bCs/>
              </w:rPr>
              <w:t>5</w:t>
            </w:r>
            <w:r w:rsidRPr="00AF068E">
              <w:t xml:space="preserve"> per HELP student</w:t>
            </w:r>
          </w:p>
        </w:tc>
        <w:tc>
          <w:tcPr>
            <w:tcW w:w="1858" w:type="pct"/>
            <w:hideMark/>
          </w:tcPr>
          <w:p w14:paraId="1EFEDFEE" w14:textId="480DA1DD" w:rsidR="008A6DE3" w:rsidRPr="005725D0" w:rsidRDefault="00E64DD7" w:rsidP="002D3FE4">
            <w:pPr>
              <w:pStyle w:val="Tablecontents0"/>
            </w:pPr>
            <w:r w:rsidRPr="005725D0">
              <w:rPr>
                <w:b/>
                <w:bCs/>
              </w:rPr>
              <w:t>$6</w:t>
            </w:r>
            <w:r w:rsidRPr="005725D0">
              <w:t xml:space="preserve"> per HELP student +</w:t>
            </w:r>
            <w:r w:rsidR="002D3FE4" w:rsidRPr="005725D0">
              <w:br/>
            </w:r>
            <w:r w:rsidRPr="005725D0">
              <w:rPr>
                <w:b/>
                <w:bCs/>
              </w:rPr>
              <w:t>0.06%</w:t>
            </w:r>
            <w:r w:rsidRPr="005725D0">
              <w:t xml:space="preserve"> x total </w:t>
            </w:r>
            <w:r w:rsidR="003E2607" w:rsidRPr="005725D0">
              <w:t>202</w:t>
            </w:r>
            <w:r w:rsidR="00952F7A">
              <w:t>5</w:t>
            </w:r>
            <w:r w:rsidR="003E2607" w:rsidRPr="005725D0">
              <w:t xml:space="preserve"> </w:t>
            </w:r>
            <w:r w:rsidRPr="005725D0">
              <w:t>HELP loan amounts</w:t>
            </w:r>
          </w:p>
        </w:tc>
        <w:tc>
          <w:tcPr>
            <w:tcW w:w="1213" w:type="pct"/>
            <w:hideMark/>
          </w:tcPr>
          <w:p w14:paraId="32E180A2" w14:textId="14213B69" w:rsidR="008A6DE3" w:rsidRPr="005725D0" w:rsidRDefault="008A6DE3" w:rsidP="00086147">
            <w:pPr>
              <w:pStyle w:val="Tablecontents0"/>
              <w:keepNext/>
            </w:pPr>
            <w:r w:rsidRPr="005725D0">
              <w:rPr>
                <w:b/>
                <w:bCs/>
              </w:rPr>
              <w:t>0.10%</w:t>
            </w:r>
            <w:r w:rsidRPr="005725D0">
              <w:t xml:space="preserve"> x total </w:t>
            </w:r>
            <w:r w:rsidR="003E2607" w:rsidRPr="005725D0">
              <w:t>202</w:t>
            </w:r>
            <w:r w:rsidR="00952F7A">
              <w:t>5</w:t>
            </w:r>
            <w:r w:rsidR="003E2607" w:rsidRPr="005725D0">
              <w:t xml:space="preserve"> </w:t>
            </w:r>
            <w:r w:rsidRPr="005725D0">
              <w:t>HELP loan amounts</w:t>
            </w:r>
          </w:p>
        </w:tc>
      </w:tr>
      <w:tr w:rsidR="00EB4A0C" w:rsidRPr="00AF068E" w14:paraId="3E920C7C" w14:textId="77777777" w:rsidTr="002C6E65">
        <w:trPr>
          <w:cnfStyle w:val="000000100000" w:firstRow="0" w:lastRow="0" w:firstColumn="0" w:lastColumn="0" w:oddVBand="0" w:evenVBand="0" w:oddHBand="1" w:evenHBand="0" w:firstRowFirstColumn="0" w:firstRowLastColumn="0" w:lastRowFirstColumn="0" w:lastRowLastColumn="0"/>
          <w:trHeight w:val="850"/>
        </w:trPr>
        <w:tc>
          <w:tcPr>
            <w:tcW w:w="518" w:type="pct"/>
            <w:hideMark/>
          </w:tcPr>
          <w:p w14:paraId="66C3D10F" w14:textId="353C5DFF" w:rsidR="008A6DE3" w:rsidRPr="000D7E93" w:rsidRDefault="008A6DE3" w:rsidP="00086147">
            <w:pPr>
              <w:pStyle w:val="Tablecontents0"/>
              <w:keepNext/>
              <w:rPr>
                <w:b/>
                <w:bCs/>
              </w:rPr>
            </w:pPr>
            <w:r w:rsidRPr="000D7E93">
              <w:rPr>
                <w:b/>
                <w:bCs/>
              </w:rPr>
              <w:t>Up-front</w:t>
            </w:r>
            <w:r w:rsidR="00801C18">
              <w:rPr>
                <w:b/>
                <w:bCs/>
              </w:rPr>
              <w:t xml:space="preserve"> Payments</w:t>
            </w:r>
          </w:p>
        </w:tc>
        <w:tc>
          <w:tcPr>
            <w:tcW w:w="1411" w:type="pct"/>
            <w:hideMark/>
          </w:tcPr>
          <w:p w14:paraId="01382610" w14:textId="695D3D7C" w:rsidR="008A6DE3" w:rsidRPr="00AF068E" w:rsidRDefault="008A6DE3" w:rsidP="00086147">
            <w:pPr>
              <w:pStyle w:val="Tablecontents0"/>
              <w:keepNext/>
            </w:pPr>
            <w:r w:rsidRPr="000D7E93">
              <w:rPr>
                <w:b/>
                <w:bCs/>
              </w:rPr>
              <w:t>$1</w:t>
            </w:r>
            <w:r w:rsidR="008974F2">
              <w:rPr>
                <w:b/>
                <w:bCs/>
              </w:rPr>
              <w:t>2</w:t>
            </w:r>
            <w:r w:rsidR="00952F7A">
              <w:rPr>
                <w:b/>
                <w:bCs/>
              </w:rPr>
              <w:t>9</w:t>
            </w:r>
            <w:r w:rsidRPr="00AF068E">
              <w:t xml:space="preserve"> per provider </w:t>
            </w:r>
            <w:r w:rsidRPr="007F562F">
              <w:rPr>
                <w:b/>
                <w:bCs/>
              </w:rPr>
              <w:t>+</w:t>
            </w:r>
            <w:r w:rsidRPr="00AF068E">
              <w:br/>
            </w:r>
            <w:r w:rsidRPr="000D7E93">
              <w:rPr>
                <w:b/>
                <w:bCs/>
              </w:rPr>
              <w:t>$</w:t>
            </w:r>
            <w:r w:rsidR="001140FA">
              <w:rPr>
                <w:b/>
                <w:bCs/>
              </w:rPr>
              <w:t>10</w:t>
            </w:r>
            <w:r w:rsidRPr="000D7E93">
              <w:rPr>
                <w:b/>
                <w:bCs/>
              </w:rPr>
              <w:t>.</w:t>
            </w:r>
            <w:r w:rsidR="00952F7A">
              <w:rPr>
                <w:b/>
                <w:bCs/>
              </w:rPr>
              <w:t>8</w:t>
            </w:r>
            <w:r w:rsidR="008974F2">
              <w:rPr>
                <w:b/>
                <w:bCs/>
              </w:rPr>
              <w:t>5</w:t>
            </w:r>
            <w:r w:rsidRPr="00AF068E">
              <w:t xml:space="preserve"> per up-front student</w:t>
            </w:r>
          </w:p>
        </w:tc>
        <w:tc>
          <w:tcPr>
            <w:tcW w:w="1858" w:type="pct"/>
            <w:hideMark/>
          </w:tcPr>
          <w:p w14:paraId="6218DFB8" w14:textId="0D02F6DF" w:rsidR="008A6DE3" w:rsidRPr="005725D0" w:rsidRDefault="008A6DE3" w:rsidP="002D3FE4">
            <w:pPr>
              <w:pStyle w:val="Tablecontents0"/>
            </w:pPr>
            <w:r w:rsidRPr="005725D0">
              <w:rPr>
                <w:b/>
                <w:bCs/>
              </w:rPr>
              <w:t>$2</w:t>
            </w:r>
            <w:r w:rsidRPr="005725D0">
              <w:t xml:space="preserve"> per up-front fee-paying student +</w:t>
            </w:r>
            <w:r w:rsidRPr="005725D0">
              <w:br/>
            </w:r>
            <w:r w:rsidRPr="005725D0">
              <w:rPr>
                <w:b/>
                <w:bCs/>
              </w:rPr>
              <w:t>0.04%</w:t>
            </w:r>
            <w:r w:rsidRPr="005725D0">
              <w:t xml:space="preserve"> x total </w:t>
            </w:r>
            <w:r w:rsidR="003E2607" w:rsidRPr="005725D0">
              <w:t>202</w:t>
            </w:r>
            <w:r w:rsidR="00952F7A">
              <w:t>5</w:t>
            </w:r>
            <w:r w:rsidR="003E2607" w:rsidRPr="005725D0">
              <w:t xml:space="preserve"> </w:t>
            </w:r>
            <w:r w:rsidRPr="005725D0">
              <w:t>up-front payments</w:t>
            </w:r>
          </w:p>
        </w:tc>
        <w:tc>
          <w:tcPr>
            <w:tcW w:w="1213" w:type="pct"/>
            <w:hideMark/>
          </w:tcPr>
          <w:p w14:paraId="6F4B809D" w14:textId="468FFEB3" w:rsidR="008A6DE3" w:rsidRPr="005725D0" w:rsidRDefault="008A6DE3" w:rsidP="00086147">
            <w:pPr>
              <w:pStyle w:val="Tablecontents0"/>
              <w:keepNext/>
            </w:pPr>
            <w:r w:rsidRPr="005725D0">
              <w:rPr>
                <w:b/>
                <w:bCs/>
              </w:rPr>
              <w:t>0.10%</w:t>
            </w:r>
            <w:r w:rsidRPr="005725D0">
              <w:t xml:space="preserve"> x total </w:t>
            </w:r>
            <w:r w:rsidR="003E2607" w:rsidRPr="005725D0">
              <w:t>202</w:t>
            </w:r>
            <w:r w:rsidR="00952F7A">
              <w:t>5</w:t>
            </w:r>
            <w:r w:rsidRPr="005725D0">
              <w:br/>
              <w:t>up-front payments</w:t>
            </w:r>
          </w:p>
        </w:tc>
      </w:tr>
    </w:tbl>
    <w:p w14:paraId="03F5B7DC" w14:textId="3358D798" w:rsidR="008A6DE3" w:rsidRDefault="008A6DE3" w:rsidP="00F12E87">
      <w:pPr>
        <w:pStyle w:val="Footnote"/>
        <w:spacing w:after="80"/>
      </w:pPr>
      <w:r w:rsidRPr="004F7316">
        <w:rPr>
          <w:b/>
          <w:bCs/>
        </w:rPr>
        <w:t>*</w:t>
      </w:r>
      <w:r w:rsidRPr="001F553F">
        <w:t xml:space="preserve">Administrative </w:t>
      </w:r>
      <w:r w:rsidR="0083696C">
        <w:t>F</w:t>
      </w:r>
      <w:r w:rsidRPr="001F553F">
        <w:t xml:space="preserve">ee figures quoted </w:t>
      </w:r>
      <w:r w:rsidR="00D22A92">
        <w:t>were applied</w:t>
      </w:r>
      <w:r w:rsidRPr="001F553F">
        <w:t xml:space="preserve"> for </w:t>
      </w:r>
      <w:r w:rsidR="00D22A92">
        <w:t xml:space="preserve">the </w:t>
      </w:r>
      <w:r w:rsidRPr="001F553F">
        <w:t>202</w:t>
      </w:r>
      <w:r w:rsidR="0083696C">
        <w:t>5</w:t>
      </w:r>
      <w:r w:rsidRPr="001F553F">
        <w:t xml:space="preserve"> </w:t>
      </w:r>
      <w:r w:rsidR="00D22A92">
        <w:t>domestic levie</w:t>
      </w:r>
      <w:r w:rsidR="00700002">
        <w:t xml:space="preserve">s and </w:t>
      </w:r>
      <w:r w:rsidR="00FE3D70">
        <w:t>will</w:t>
      </w:r>
      <w:r w:rsidRPr="001F553F">
        <w:t xml:space="preserve"> be indexed to CPI for 202</w:t>
      </w:r>
      <w:r w:rsidR="0083696C">
        <w:t>6</w:t>
      </w:r>
      <w:r w:rsidR="00991EF9">
        <w:t xml:space="preserve"> if the responsible Minister decides not to determine new amounts in a legislative instrument</w:t>
      </w:r>
      <w:r w:rsidR="00681675">
        <w:t xml:space="preserve"> for each levy</w:t>
      </w:r>
      <w:r w:rsidRPr="001F553F">
        <w:t>.</w:t>
      </w:r>
    </w:p>
    <w:p w14:paraId="266D2DDC" w14:textId="6EEA5779" w:rsidR="00E27F83" w:rsidRDefault="00265410" w:rsidP="00726256">
      <w:r w:rsidRPr="00AA4302">
        <w:lastRenderedPageBreak/>
        <w:t xml:space="preserve">The </w:t>
      </w:r>
      <w:r w:rsidR="00180255" w:rsidRPr="00AA4302">
        <w:t>202</w:t>
      </w:r>
      <w:r w:rsidR="00726256" w:rsidRPr="00AA4302">
        <w:t>6</w:t>
      </w:r>
      <w:r w:rsidR="00C80CB2" w:rsidRPr="00AA4302">
        <w:t xml:space="preserve"> domestic</w:t>
      </w:r>
      <w:r w:rsidR="00180255" w:rsidRPr="00AA4302">
        <w:t xml:space="preserve"> levies will be calculated using </w:t>
      </w:r>
      <w:r w:rsidR="00B63353">
        <w:t xml:space="preserve">provider-level data from the 2025 calendar year, including </w:t>
      </w:r>
      <w:r w:rsidR="00180255" w:rsidRPr="00AA4302">
        <w:t xml:space="preserve">student enrolment numbers and </w:t>
      </w:r>
      <w:r w:rsidR="0090057D">
        <w:t>tuition fee income (loan amounts of up-front payments)</w:t>
      </w:r>
      <w:r w:rsidR="00180255">
        <w:t>.</w:t>
      </w:r>
    </w:p>
    <w:p w14:paraId="59FDE46D" w14:textId="38614202" w:rsidR="00FF5D96" w:rsidRDefault="00FF5D96" w:rsidP="00105750">
      <w:pPr>
        <w:pStyle w:val="Heading3"/>
      </w:pPr>
      <w:r>
        <w:t xml:space="preserve">Risk </w:t>
      </w:r>
      <w:r w:rsidR="00726256">
        <w:t>R</w:t>
      </w:r>
      <w:r>
        <w:t xml:space="preserve">ated </w:t>
      </w:r>
      <w:r w:rsidR="00726256">
        <w:t>P</w:t>
      </w:r>
      <w:r>
        <w:t>remium component</w:t>
      </w:r>
    </w:p>
    <w:p w14:paraId="19C61D56" w14:textId="527516E6" w:rsidR="00582A93" w:rsidRDefault="0042728A" w:rsidP="00627DD2">
      <w:r>
        <w:t xml:space="preserve">The </w:t>
      </w:r>
      <w:r w:rsidR="00726256">
        <w:t>R</w:t>
      </w:r>
      <w:r>
        <w:t xml:space="preserve">isk </w:t>
      </w:r>
      <w:r w:rsidR="00726256">
        <w:t>R</w:t>
      </w:r>
      <w:r w:rsidR="009C065C">
        <w:t>ated</w:t>
      </w:r>
      <w:r>
        <w:t xml:space="preserve"> </w:t>
      </w:r>
      <w:r w:rsidR="00726256">
        <w:t>P</w:t>
      </w:r>
      <w:r>
        <w:t>remium component</w:t>
      </w:r>
      <w:r w:rsidR="009C065C">
        <w:t xml:space="preserve"> reflect</w:t>
      </w:r>
      <w:r w:rsidR="00B63353">
        <w:t>s</w:t>
      </w:r>
      <w:r w:rsidR="009C065C">
        <w:t xml:space="preserve"> the risk of </w:t>
      </w:r>
      <w:r w:rsidR="007D5EDD">
        <w:t>a</w:t>
      </w:r>
      <w:r w:rsidR="002B2CBB">
        <w:t xml:space="preserve"> </w:t>
      </w:r>
      <w:r w:rsidR="009C065C">
        <w:t>provider defaulting.</w:t>
      </w:r>
      <w:r w:rsidR="00582A93">
        <w:t xml:space="preserve"> </w:t>
      </w:r>
      <w:r w:rsidR="00AD5CA1">
        <w:t xml:space="preserve">Providers assessed as </w:t>
      </w:r>
      <w:r w:rsidR="00582A93">
        <w:t xml:space="preserve">presenting </w:t>
      </w:r>
      <w:r w:rsidR="0002418F">
        <w:t xml:space="preserve">a </w:t>
      </w:r>
      <w:r w:rsidR="00582A93">
        <w:t xml:space="preserve">higher risk of default will </w:t>
      </w:r>
      <w:r w:rsidR="00AD5CA1">
        <w:t>incur a higher Risk Rated Premium</w:t>
      </w:r>
      <w:r w:rsidR="00582A93">
        <w:t>.</w:t>
      </w:r>
    </w:p>
    <w:p w14:paraId="26FEE856" w14:textId="18E0B9FD" w:rsidR="0042728A" w:rsidRDefault="00DA41A3" w:rsidP="00EB0D5B">
      <w:pPr>
        <w:spacing w:after="50"/>
      </w:pPr>
      <w:r>
        <w:t>Three risk factors are used in calculating the</w:t>
      </w:r>
      <w:r w:rsidR="009C065C">
        <w:t xml:space="preserve"> </w:t>
      </w:r>
      <w:r w:rsidR="00943890" w:rsidRPr="00943890">
        <w:t xml:space="preserve">Risk Rated Premium </w:t>
      </w:r>
      <w:r w:rsidR="009C065C">
        <w:t>component:</w:t>
      </w:r>
    </w:p>
    <w:p w14:paraId="19CD74BF" w14:textId="77777777" w:rsidR="009C065C" w:rsidRDefault="009C065C" w:rsidP="00EB0D5B">
      <w:pPr>
        <w:pStyle w:val="ListParagraph"/>
        <w:numPr>
          <w:ilvl w:val="0"/>
          <w:numId w:val="12"/>
        </w:numPr>
        <w:spacing w:after="50"/>
        <w:ind w:left="714" w:hanging="357"/>
        <w:contextualSpacing w:val="0"/>
      </w:pPr>
      <w:r>
        <w:t>Financial strength</w:t>
      </w:r>
    </w:p>
    <w:p w14:paraId="7A0480D3" w14:textId="77777777" w:rsidR="009C065C" w:rsidRDefault="009C065C" w:rsidP="00EB0D5B">
      <w:pPr>
        <w:pStyle w:val="ListParagraph"/>
        <w:numPr>
          <w:ilvl w:val="0"/>
          <w:numId w:val="12"/>
        </w:numPr>
        <w:spacing w:after="50"/>
        <w:ind w:left="714" w:hanging="357"/>
        <w:contextualSpacing w:val="0"/>
      </w:pPr>
      <w:r>
        <w:t>Completion rate</w:t>
      </w:r>
    </w:p>
    <w:p w14:paraId="19CF1CC2" w14:textId="77777777" w:rsidR="009C065C" w:rsidRDefault="009C065C" w:rsidP="00EB0D5B">
      <w:pPr>
        <w:pStyle w:val="ListParagraph"/>
        <w:numPr>
          <w:ilvl w:val="0"/>
          <w:numId w:val="12"/>
        </w:numPr>
        <w:ind w:left="714" w:hanging="357"/>
        <w:contextualSpacing w:val="0"/>
      </w:pPr>
      <w:r>
        <w:t>Non-compliance history and registration renewal.</w:t>
      </w:r>
    </w:p>
    <w:p w14:paraId="0E8D11EE" w14:textId="5042BAC9" w:rsidR="00DA41A3" w:rsidRDefault="00DA41A3" w:rsidP="008513AB">
      <w:r>
        <w:t xml:space="preserve">A provider will receive a </w:t>
      </w:r>
      <w:r>
        <w:rPr>
          <w:b/>
          <w:bCs/>
        </w:rPr>
        <w:t>risk factor value</w:t>
      </w:r>
      <w:r w:rsidRPr="009B65DF">
        <w:t xml:space="preserve"> for each </w:t>
      </w:r>
      <w:r>
        <w:t xml:space="preserve">of the three </w:t>
      </w:r>
      <w:r w:rsidRPr="009B65DF">
        <w:t>risk factor</w:t>
      </w:r>
      <w:r>
        <w:t>s, which are summed together and used as a multiplier for the provider’s Risk Rated Premium component calculation.</w:t>
      </w:r>
    </w:p>
    <w:p w14:paraId="38A7A4C4" w14:textId="48D4F88E" w:rsidR="00FB4E3A" w:rsidRDefault="003356AD" w:rsidP="00627DD2">
      <w:r>
        <w:t xml:space="preserve">The </w:t>
      </w:r>
      <w:r w:rsidR="001C2508">
        <w:t xml:space="preserve">Risk Rated Premium </w:t>
      </w:r>
      <w:r>
        <w:t>component formula</w:t>
      </w:r>
      <w:r w:rsidR="00B15895">
        <w:t xml:space="preserve"> for the 202</w:t>
      </w:r>
      <w:r w:rsidR="001C2508">
        <w:t>6</w:t>
      </w:r>
      <w:r w:rsidR="00B15895">
        <w:t xml:space="preserve"> domestic levies</w:t>
      </w:r>
      <w:r>
        <w:t xml:space="preserve"> is </w:t>
      </w:r>
      <w:r w:rsidR="005663BD">
        <w:t>calculated as follows:</w:t>
      </w:r>
    </w:p>
    <w:p w14:paraId="72B9B3F2" w14:textId="30BF682C" w:rsidR="00701B15" w:rsidRPr="00701B15" w:rsidRDefault="00000000" w:rsidP="00701B15">
      <w:pPr>
        <w:spacing w:after="0"/>
        <w:rPr>
          <w:rFonts w:cstheme="minorHAnsi"/>
        </w:rPr>
      </w:pPr>
      <m:oMathPara>
        <m:oMathParaPr>
          <m:jc m:val="left"/>
        </m:oMathParaPr>
        <m:oMath>
          <m:d>
            <m:dPr>
              <m:begChr m:val="["/>
              <m:endChr m:val="]"/>
              <m:ctrlPr>
                <w:rPr>
                  <w:rFonts w:ascii="Cambria Math" w:hAnsi="Cambria Math" w:cstheme="minorHAnsi"/>
                </w:rPr>
              </m:ctrlPr>
            </m:dPr>
            <m:e>
              <m:d>
                <m:dPr>
                  <m:ctrlPr>
                    <w:rPr>
                      <w:rFonts w:ascii="Cambria Math" w:hAnsi="Cambria Math" w:cstheme="minorHAnsi"/>
                    </w:rPr>
                  </m:ctrlPr>
                </m:dPr>
                <m:e>
                  <m:eqArr>
                    <m:eqArrPr>
                      <m:ctrlPr>
                        <w:rPr>
                          <w:rFonts w:ascii="Cambria Math" w:hAnsi="Cambria Math" w:cstheme="minorHAnsi"/>
                        </w:rPr>
                      </m:ctrlPr>
                    </m:eqArrPr>
                    <m:e>
                      <m:r>
                        <m:rPr>
                          <m:sty m:val="p"/>
                        </m:rPr>
                        <w:rPr>
                          <w:rFonts w:ascii="Cambria Math" w:hAnsi="Cambria Math" w:cstheme="minorHAnsi"/>
                        </w:rPr>
                        <m:t>total students</m:t>
                      </m:r>
                    </m:e>
                    <m:e>
                      <m:r>
                        <m:rPr>
                          <m:sty m:val="p"/>
                        </m:rPr>
                        <w:rPr>
                          <w:rFonts w:ascii="Cambria Math" w:hAnsi="Cambria Math" w:cstheme="minorHAnsi"/>
                        </w:rPr>
                        <m:t>for 2025</m:t>
                      </m:r>
                    </m:e>
                    <m:e>
                      <m:r>
                        <m:rPr>
                          <m:sty m:val="p"/>
                        </m:rPr>
                        <w:rPr>
                          <w:rFonts w:ascii="Cambria Math" w:hAnsi="Cambria Math" w:cstheme="minorHAnsi"/>
                        </w:rPr>
                        <m:t>×</m:t>
                      </m:r>
                    </m:e>
                    <m:e>
                      <m:r>
                        <m:rPr>
                          <m:sty m:val="p"/>
                        </m:rPr>
                        <w:rPr>
                          <w:rFonts w:ascii="Cambria Math" w:hAnsi="Cambria Math" w:cstheme="minorHAnsi"/>
                        </w:rPr>
                        <m:t>specified amount</m:t>
                      </m:r>
                    </m:e>
                  </m:eqArr>
                </m:e>
              </m:d>
              <m:r>
                <m:rPr>
                  <m:sty m:val="p"/>
                </m:rPr>
                <w:rPr>
                  <w:rFonts w:ascii="Cambria Math" w:hAnsi="Cambria Math" w:cstheme="minorHAnsi"/>
                </w:rPr>
                <m:t>+</m:t>
              </m:r>
              <m:d>
                <m:dPr>
                  <m:ctrlPr>
                    <w:rPr>
                      <w:rFonts w:ascii="Cambria Math" w:hAnsi="Cambria Math" w:cstheme="minorHAnsi"/>
                    </w:rPr>
                  </m:ctrlPr>
                </m:dPr>
                <m:e>
                  <m:eqArr>
                    <m:eqArrPr>
                      <m:ctrlPr>
                        <w:rPr>
                          <w:rFonts w:ascii="Cambria Math" w:hAnsi="Cambria Math" w:cstheme="minorHAnsi"/>
                        </w:rPr>
                      </m:ctrlPr>
                    </m:eqArrPr>
                    <m:e>
                      <m:r>
                        <m:rPr>
                          <m:sty m:val="p"/>
                        </m:rPr>
                        <w:rPr>
                          <w:rFonts w:ascii="Cambria Math" w:hAnsi="Cambria Math" w:cstheme="minorHAnsi"/>
                        </w:rPr>
                        <m:t>total tuition fee income</m:t>
                      </m:r>
                    </m:e>
                    <m:e>
                      <m:r>
                        <m:rPr>
                          <m:sty m:val="p"/>
                        </m:rPr>
                        <w:rPr>
                          <w:rFonts w:ascii="Cambria Math" w:hAnsi="Cambria Math" w:cstheme="minorHAnsi"/>
                        </w:rPr>
                        <m:t>received in 2025</m:t>
                      </m:r>
                    </m:e>
                    <m:e>
                      <m:r>
                        <m:rPr>
                          <m:sty m:val="p"/>
                        </m:rPr>
                        <w:rPr>
                          <w:rFonts w:ascii="Cambria Math" w:hAnsi="Cambria Math" w:cstheme="minorHAnsi"/>
                        </w:rPr>
                        <m:t>×</m:t>
                      </m:r>
                    </m:e>
                    <m:e>
                      <m:r>
                        <m:rPr>
                          <m:sty m:val="p"/>
                        </m:rPr>
                        <w:rPr>
                          <w:rFonts w:ascii="Cambria Math" w:hAnsi="Cambria Math" w:cstheme="minorHAnsi"/>
                        </w:rPr>
                        <m:t>specified percentage</m:t>
                      </m:r>
                    </m:e>
                  </m:eqArr>
                </m:e>
              </m:d>
            </m:e>
          </m:d>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sum of risk factor values+1</m:t>
              </m:r>
            </m:e>
          </m:d>
        </m:oMath>
      </m:oMathPara>
    </w:p>
    <w:p w14:paraId="1098427D" w14:textId="39741DBE" w:rsidR="00FF5D96" w:rsidRDefault="00FF5D96" w:rsidP="00EC529F"/>
    <w:p w14:paraId="475A0069" w14:textId="73EE1B3F" w:rsidR="00BC5754" w:rsidRPr="004F54A1" w:rsidRDefault="00DE7F31" w:rsidP="004F54A1">
      <w:pPr>
        <w:pStyle w:val="Heading5"/>
      </w:pPr>
      <w:r w:rsidRPr="0027400C">
        <w:t>Risk Fact</w:t>
      </w:r>
      <w:r w:rsidR="000871E3" w:rsidRPr="0027400C">
        <w:t>or</w:t>
      </w:r>
      <w:r w:rsidRPr="0027400C">
        <w:t xml:space="preserve"> 1: Financial strength</w:t>
      </w:r>
    </w:p>
    <w:p w14:paraId="28D122E0" w14:textId="0DD96B39" w:rsidR="008D4994" w:rsidRDefault="008D4994" w:rsidP="008D4994">
      <w:pPr>
        <w:spacing w:after="50"/>
      </w:pPr>
      <w:r>
        <w:t>The financial strength risk factor is calculated using two ratios:</w:t>
      </w:r>
    </w:p>
    <w:p w14:paraId="2A8FB54A" w14:textId="467F9C54" w:rsidR="008D4994" w:rsidRDefault="000B18B2" w:rsidP="008D4994">
      <w:pPr>
        <w:pStyle w:val="ListParagraph"/>
        <w:numPr>
          <w:ilvl w:val="0"/>
          <w:numId w:val="15"/>
        </w:numPr>
        <w:spacing w:after="50"/>
        <w:ind w:left="714" w:hanging="357"/>
        <w:contextualSpacing w:val="0"/>
      </w:pPr>
      <w:r>
        <w:t>R</w:t>
      </w:r>
      <w:r w:rsidR="008D4994" w:rsidRPr="00E8327F">
        <w:t>eturn on assets</w:t>
      </w:r>
    </w:p>
    <w:p w14:paraId="736262DE" w14:textId="31984B5B" w:rsidR="008D4994" w:rsidRDefault="00A94498" w:rsidP="00334849">
      <w:pPr>
        <w:pStyle w:val="ListParagraph"/>
        <w:numPr>
          <w:ilvl w:val="0"/>
          <w:numId w:val="15"/>
        </w:numPr>
        <w:ind w:left="714" w:hanging="357"/>
        <w:contextualSpacing w:val="0"/>
      </w:pPr>
      <w:r>
        <w:t>D</w:t>
      </w:r>
      <w:r w:rsidR="008D4994" w:rsidRPr="00E8327F">
        <w:t>ebt to equity</w:t>
      </w:r>
      <w:r w:rsidR="008D4994">
        <w:t>.</w:t>
      </w:r>
    </w:p>
    <w:p w14:paraId="5111250C" w14:textId="7D0BEE78" w:rsidR="00B71C67" w:rsidRDefault="005B0B7D" w:rsidP="00B71C67">
      <w:r>
        <w:t>Financial strength</w:t>
      </w:r>
      <w:r w:rsidR="00994F9C">
        <w:t xml:space="preserve"> risk scores</w:t>
      </w:r>
      <w:r>
        <w:t xml:space="preserve"> will </w:t>
      </w:r>
      <w:r w:rsidR="00FA6466">
        <w:t xml:space="preserve">be calculated </w:t>
      </w:r>
      <w:r w:rsidR="00994F9C">
        <w:t>in</w:t>
      </w:r>
      <w:r w:rsidR="0090212A">
        <w:t xml:space="preserve"> accordance with</w:t>
      </w:r>
      <w:r w:rsidR="00994F9C">
        <w:t xml:space="preserve"> Table 2 for 202</w:t>
      </w:r>
      <w:r w:rsidR="00931A3E">
        <w:t>6</w:t>
      </w:r>
      <w:r w:rsidR="00FA6466">
        <w:t>.</w:t>
      </w:r>
    </w:p>
    <w:p w14:paraId="44754B0A" w14:textId="4F64EC4C" w:rsidR="00A54674" w:rsidRDefault="00A54674" w:rsidP="00C168E6">
      <w:pPr>
        <w:pStyle w:val="Caption"/>
      </w:pPr>
      <w:r w:rsidRPr="00613AC1">
        <w:rPr>
          <w:b/>
          <w:bCs/>
        </w:rPr>
        <w:t>Table 2</w:t>
      </w:r>
      <w:r w:rsidRPr="00613AC1">
        <w:t xml:space="preserve">: </w:t>
      </w:r>
      <w:r w:rsidR="0066290D" w:rsidRPr="00613AC1">
        <w:t>Financial strength</w:t>
      </w:r>
      <w:r w:rsidR="000340CB" w:rsidRPr="00613AC1">
        <w:t xml:space="preserve"> </w:t>
      </w:r>
      <w:r w:rsidR="00C168E6" w:rsidRPr="00613AC1">
        <w:t>calculations</w:t>
      </w:r>
      <w:r w:rsidR="006979BD" w:rsidRPr="00613AC1">
        <w:t xml:space="preserve"> and scores</w:t>
      </w:r>
    </w:p>
    <w:tbl>
      <w:tblPr>
        <w:tblStyle w:val="TPSTable"/>
        <w:tblW w:w="5000" w:type="pct"/>
        <w:tblLook w:val="04A0" w:firstRow="1" w:lastRow="0" w:firstColumn="1" w:lastColumn="0" w:noHBand="0" w:noVBand="1"/>
      </w:tblPr>
      <w:tblGrid>
        <w:gridCol w:w="1981"/>
        <w:gridCol w:w="1983"/>
        <w:gridCol w:w="1983"/>
        <w:gridCol w:w="1983"/>
        <w:gridCol w:w="1982"/>
      </w:tblGrid>
      <w:tr w:rsidR="00191883" w14:paraId="64016E07" w14:textId="77777777" w:rsidTr="0027400C">
        <w:trPr>
          <w:cnfStyle w:val="100000000000" w:firstRow="1" w:lastRow="0" w:firstColumn="0" w:lastColumn="0" w:oddVBand="0" w:evenVBand="0" w:oddHBand="0" w:evenHBand="0" w:firstRowFirstColumn="0" w:firstRowLastColumn="0" w:lastRowFirstColumn="0" w:lastRowLastColumn="0"/>
          <w:cantSplit/>
          <w:trHeight w:val="454"/>
        </w:trPr>
        <w:tc>
          <w:tcPr>
            <w:tcW w:w="999" w:type="pct"/>
          </w:tcPr>
          <w:p w14:paraId="19C72E94" w14:textId="77777777" w:rsidR="00B71C67" w:rsidRPr="007C70BF" w:rsidRDefault="00B71C67" w:rsidP="00C168E6">
            <w:pPr>
              <w:pStyle w:val="TableHeader"/>
              <w:keepNext/>
            </w:pPr>
            <w:r w:rsidRPr="007C70BF">
              <w:t>Ratio</w:t>
            </w:r>
          </w:p>
        </w:tc>
        <w:tc>
          <w:tcPr>
            <w:tcW w:w="1000" w:type="pct"/>
          </w:tcPr>
          <w:p w14:paraId="0952A8DA" w14:textId="77777777" w:rsidR="00B71C67" w:rsidRPr="007C70BF" w:rsidRDefault="00B71C67" w:rsidP="00C168E6">
            <w:pPr>
              <w:pStyle w:val="TableHeader"/>
              <w:keepNext/>
            </w:pPr>
            <w:r w:rsidRPr="007C70BF">
              <w:t>Formula</w:t>
            </w:r>
          </w:p>
        </w:tc>
        <w:tc>
          <w:tcPr>
            <w:tcW w:w="1000" w:type="pct"/>
          </w:tcPr>
          <w:p w14:paraId="432478CE" w14:textId="77777777" w:rsidR="00B71C67" w:rsidRPr="007C70BF" w:rsidRDefault="00B71C67" w:rsidP="00C168E6">
            <w:pPr>
              <w:pStyle w:val="TableHeader"/>
              <w:keepNext/>
            </w:pPr>
            <w:r w:rsidRPr="007C70BF">
              <w:t>Below average</w:t>
            </w:r>
          </w:p>
        </w:tc>
        <w:tc>
          <w:tcPr>
            <w:tcW w:w="1000" w:type="pct"/>
          </w:tcPr>
          <w:p w14:paraId="693B46DB" w14:textId="77777777" w:rsidR="00B71C67" w:rsidRPr="007C70BF" w:rsidRDefault="00B71C67" w:rsidP="00C168E6">
            <w:pPr>
              <w:pStyle w:val="TableHeader"/>
              <w:keepNext/>
            </w:pPr>
            <w:r w:rsidRPr="007C70BF">
              <w:t>Average</w:t>
            </w:r>
          </w:p>
        </w:tc>
        <w:tc>
          <w:tcPr>
            <w:tcW w:w="1000" w:type="pct"/>
          </w:tcPr>
          <w:p w14:paraId="221A3F77" w14:textId="77777777" w:rsidR="00B71C67" w:rsidRPr="007C70BF" w:rsidRDefault="00B71C67" w:rsidP="00C168E6">
            <w:pPr>
              <w:pStyle w:val="TableHeader"/>
              <w:keepNext/>
            </w:pPr>
            <w:r w:rsidRPr="007C70BF">
              <w:t>Above average</w:t>
            </w:r>
          </w:p>
        </w:tc>
      </w:tr>
      <w:tr w:rsidR="00191883" w14:paraId="5B445078" w14:textId="77777777" w:rsidTr="00A05BFF">
        <w:trPr>
          <w:cnfStyle w:val="000000100000" w:firstRow="0" w:lastRow="0" w:firstColumn="0" w:lastColumn="0" w:oddVBand="0" w:evenVBand="0" w:oddHBand="1" w:evenHBand="0" w:firstRowFirstColumn="0" w:firstRowLastColumn="0" w:lastRowFirstColumn="0" w:lastRowLastColumn="0"/>
          <w:cantSplit/>
          <w:trHeight w:val="850"/>
        </w:trPr>
        <w:tc>
          <w:tcPr>
            <w:tcW w:w="999" w:type="pct"/>
          </w:tcPr>
          <w:p w14:paraId="6CB3AED0" w14:textId="77777777" w:rsidR="00B71C67" w:rsidRPr="007C70BF" w:rsidRDefault="00B71C67" w:rsidP="00C168E6">
            <w:pPr>
              <w:pStyle w:val="Tablecontents0"/>
              <w:keepNext/>
              <w:rPr>
                <w:b/>
                <w:bCs/>
              </w:rPr>
            </w:pPr>
            <w:r w:rsidRPr="007C70BF">
              <w:rPr>
                <w:b/>
                <w:bCs/>
              </w:rPr>
              <w:t>Return on assets</w:t>
            </w:r>
          </w:p>
        </w:tc>
        <w:tc>
          <w:tcPr>
            <w:tcW w:w="1000" w:type="pct"/>
          </w:tcPr>
          <w:p w14:paraId="444656C0" w14:textId="07B4D0A6" w:rsidR="00B71C67" w:rsidRDefault="00000000" w:rsidP="00C168E6">
            <w:pPr>
              <w:pStyle w:val="Tablecontents0"/>
              <w:keepNext/>
            </w:pPr>
            <m:oMathPara>
              <m:oMath>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NPBT</m:t>
                        </m:r>
                      </m:num>
                      <m:den>
                        <m:r>
                          <m:rPr>
                            <m:sty m:val="p"/>
                          </m:rPr>
                          <w:rPr>
                            <w:rFonts w:ascii="Cambria Math" w:hAnsi="Cambria Math"/>
                          </w:rPr>
                          <m:t>Total assets</m:t>
                        </m:r>
                      </m:den>
                    </m:f>
                  </m:e>
                </m:d>
              </m:oMath>
            </m:oMathPara>
          </w:p>
        </w:tc>
        <w:tc>
          <w:tcPr>
            <w:tcW w:w="1000" w:type="pct"/>
          </w:tcPr>
          <w:p w14:paraId="597AE0E2" w14:textId="77777777" w:rsidR="00B71C67" w:rsidRPr="003F59A9" w:rsidRDefault="00B71C67" w:rsidP="000870B8">
            <w:pPr>
              <w:pStyle w:val="Tablecontents0"/>
              <w:keepNext/>
              <w:jc w:val="center"/>
            </w:pPr>
            <w:r w:rsidRPr="003F59A9">
              <w:t>≤ 0.0</w:t>
            </w:r>
          </w:p>
        </w:tc>
        <w:tc>
          <w:tcPr>
            <w:tcW w:w="1000" w:type="pct"/>
          </w:tcPr>
          <w:p w14:paraId="5A1235D6" w14:textId="77777777" w:rsidR="00B71C67" w:rsidRPr="003F59A9" w:rsidRDefault="00B71C67" w:rsidP="000870B8">
            <w:pPr>
              <w:pStyle w:val="Tablecontents0"/>
              <w:keepNext/>
              <w:jc w:val="center"/>
            </w:pPr>
            <w:r w:rsidRPr="003F59A9">
              <w:t>&gt; 0.0 to ≤ 0.1</w:t>
            </w:r>
          </w:p>
        </w:tc>
        <w:tc>
          <w:tcPr>
            <w:tcW w:w="1000" w:type="pct"/>
          </w:tcPr>
          <w:p w14:paraId="07A836A0" w14:textId="77777777" w:rsidR="00B71C67" w:rsidRPr="003F59A9" w:rsidRDefault="00B71C67" w:rsidP="000870B8">
            <w:pPr>
              <w:pStyle w:val="Tablecontents0"/>
              <w:keepNext/>
              <w:jc w:val="center"/>
            </w:pPr>
            <w:r w:rsidRPr="003F59A9">
              <w:t>&gt; 0.1</w:t>
            </w:r>
          </w:p>
        </w:tc>
      </w:tr>
      <w:tr w:rsidR="00B71C67" w14:paraId="6FDCAEE9" w14:textId="77777777" w:rsidTr="00B52F90">
        <w:trPr>
          <w:cnfStyle w:val="000000010000" w:firstRow="0" w:lastRow="0" w:firstColumn="0" w:lastColumn="0" w:oddVBand="0" w:evenVBand="0" w:oddHBand="0" w:evenHBand="1" w:firstRowFirstColumn="0" w:firstRowLastColumn="0" w:lastRowFirstColumn="0" w:lastRowLastColumn="0"/>
          <w:cantSplit/>
          <w:trHeight w:val="850"/>
        </w:trPr>
        <w:tc>
          <w:tcPr>
            <w:tcW w:w="999" w:type="pct"/>
          </w:tcPr>
          <w:p w14:paraId="66CFFC35" w14:textId="77777777" w:rsidR="00B71C67" w:rsidRPr="007C70BF" w:rsidRDefault="00B71C67" w:rsidP="00C168E6">
            <w:pPr>
              <w:pStyle w:val="Tablecontents0"/>
              <w:keepNext/>
              <w:rPr>
                <w:b/>
                <w:bCs/>
              </w:rPr>
            </w:pPr>
            <w:r w:rsidRPr="007C70BF">
              <w:rPr>
                <w:b/>
                <w:bCs/>
              </w:rPr>
              <w:t>Debt to equity</w:t>
            </w:r>
          </w:p>
        </w:tc>
        <w:tc>
          <w:tcPr>
            <w:tcW w:w="1000" w:type="pct"/>
          </w:tcPr>
          <w:p w14:paraId="540B7DAE" w14:textId="67293EA7" w:rsidR="00B71C67" w:rsidRDefault="00000000" w:rsidP="00C168E6">
            <w:pPr>
              <w:pStyle w:val="Tablecontents0"/>
              <w:keepNext/>
            </w:pPr>
            <m:oMathPara>
              <m:oMath>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Total liabilities</m:t>
                        </m:r>
                      </m:num>
                      <m:den>
                        <m:r>
                          <m:rPr>
                            <m:sty m:val="p"/>
                          </m:rPr>
                          <w:rPr>
                            <w:rFonts w:ascii="Cambria Math" w:hAnsi="Cambria Math"/>
                          </w:rPr>
                          <m:t>Total equity</m:t>
                        </m:r>
                      </m:den>
                    </m:f>
                  </m:e>
                </m:d>
              </m:oMath>
            </m:oMathPara>
          </w:p>
        </w:tc>
        <w:tc>
          <w:tcPr>
            <w:tcW w:w="1000" w:type="pct"/>
          </w:tcPr>
          <w:p w14:paraId="57E162C9" w14:textId="77777777" w:rsidR="00B71C67" w:rsidRPr="003F59A9" w:rsidRDefault="00B71C67" w:rsidP="000870B8">
            <w:pPr>
              <w:pStyle w:val="Tablecontents0"/>
              <w:keepNext/>
              <w:jc w:val="center"/>
            </w:pPr>
            <w:r w:rsidRPr="003F59A9">
              <w:t>≥ 2.5</w:t>
            </w:r>
          </w:p>
          <w:p w14:paraId="7C97AC68" w14:textId="3CF014ED" w:rsidR="00B71C67" w:rsidRPr="003F59A9" w:rsidRDefault="00B71C67" w:rsidP="000870B8">
            <w:pPr>
              <w:pStyle w:val="Tablecontents0"/>
              <w:keepNext/>
              <w:jc w:val="center"/>
            </w:pPr>
            <w:r w:rsidRPr="00613AC1">
              <w:t>or if the total equity</w:t>
            </w:r>
            <w:r w:rsidR="00613AC1" w:rsidRPr="00613AC1">
              <w:t xml:space="preserve"> is</w:t>
            </w:r>
            <w:r w:rsidRPr="00613AC1">
              <w:t xml:space="preserve"> ≤ 0.0</w:t>
            </w:r>
          </w:p>
        </w:tc>
        <w:tc>
          <w:tcPr>
            <w:tcW w:w="1000" w:type="pct"/>
          </w:tcPr>
          <w:p w14:paraId="61BE077E" w14:textId="77777777" w:rsidR="00B71C67" w:rsidRPr="003F59A9" w:rsidRDefault="00B71C67" w:rsidP="000870B8">
            <w:pPr>
              <w:pStyle w:val="Tablecontents0"/>
              <w:keepNext/>
              <w:jc w:val="center"/>
            </w:pPr>
            <w:r w:rsidRPr="003F59A9">
              <w:t>≥ 1.5 to &lt; 2.5</w:t>
            </w:r>
          </w:p>
        </w:tc>
        <w:tc>
          <w:tcPr>
            <w:tcW w:w="1000" w:type="pct"/>
          </w:tcPr>
          <w:p w14:paraId="52325466" w14:textId="77777777" w:rsidR="00B71C67" w:rsidRPr="003F59A9" w:rsidRDefault="00B71C67" w:rsidP="000870B8">
            <w:pPr>
              <w:pStyle w:val="Tablecontents0"/>
              <w:keepNext/>
              <w:jc w:val="center"/>
            </w:pPr>
            <w:r w:rsidRPr="003F59A9">
              <w:t>≥ 0.0 to &lt; 1.5</w:t>
            </w:r>
          </w:p>
        </w:tc>
      </w:tr>
      <w:tr w:rsidR="00191883" w14:paraId="3E0EF783" w14:textId="77777777" w:rsidTr="00191883">
        <w:trPr>
          <w:cnfStyle w:val="000000100000" w:firstRow="0" w:lastRow="0" w:firstColumn="0" w:lastColumn="0" w:oddVBand="0" w:evenVBand="0" w:oddHBand="1" w:evenHBand="0" w:firstRowFirstColumn="0" w:firstRowLastColumn="0" w:lastRowFirstColumn="0" w:lastRowLastColumn="0"/>
          <w:cantSplit/>
          <w:trHeight w:val="454"/>
        </w:trPr>
        <w:tc>
          <w:tcPr>
            <w:tcW w:w="999" w:type="pct"/>
          </w:tcPr>
          <w:p w14:paraId="002F0308" w14:textId="77777777" w:rsidR="00B71C67" w:rsidRPr="00873FBC" w:rsidRDefault="00B71C67" w:rsidP="00C168E6">
            <w:pPr>
              <w:pStyle w:val="Tablecontents0"/>
              <w:keepNext/>
              <w:rPr>
                <w:b/>
                <w:bCs/>
              </w:rPr>
            </w:pPr>
            <w:r w:rsidRPr="00873FBC">
              <w:rPr>
                <w:b/>
                <w:bCs/>
              </w:rPr>
              <w:t>Score</w:t>
            </w:r>
          </w:p>
        </w:tc>
        <w:tc>
          <w:tcPr>
            <w:tcW w:w="1000" w:type="pct"/>
          </w:tcPr>
          <w:p w14:paraId="2693EA0D" w14:textId="77777777" w:rsidR="00B71C67" w:rsidRPr="00873FBC" w:rsidRDefault="00B71C67" w:rsidP="00C168E6">
            <w:pPr>
              <w:pStyle w:val="Tablecontents0"/>
              <w:keepNext/>
              <w:rPr>
                <w:b/>
                <w:bCs/>
              </w:rPr>
            </w:pPr>
          </w:p>
        </w:tc>
        <w:tc>
          <w:tcPr>
            <w:tcW w:w="1000" w:type="pct"/>
          </w:tcPr>
          <w:p w14:paraId="1386CBA5" w14:textId="5A4D8BC4" w:rsidR="00B71C67" w:rsidRPr="00873FBC" w:rsidRDefault="00B71C67" w:rsidP="000870B8">
            <w:pPr>
              <w:pStyle w:val="Tablecontents0"/>
              <w:keepNext/>
              <w:jc w:val="center"/>
              <w:rPr>
                <w:b/>
                <w:bCs/>
              </w:rPr>
            </w:pPr>
            <w:r w:rsidRPr="00873FBC">
              <w:rPr>
                <w:b/>
                <w:bCs/>
              </w:rPr>
              <w:t>1</w:t>
            </w:r>
            <w:r w:rsidR="00ED2283">
              <w:rPr>
                <w:b/>
                <w:bCs/>
              </w:rPr>
              <w:t>.5</w:t>
            </w:r>
          </w:p>
        </w:tc>
        <w:tc>
          <w:tcPr>
            <w:tcW w:w="1000" w:type="pct"/>
          </w:tcPr>
          <w:p w14:paraId="353F2F6A" w14:textId="260B2980" w:rsidR="00B71C67" w:rsidRPr="00873FBC" w:rsidRDefault="00ED2283" w:rsidP="000870B8">
            <w:pPr>
              <w:pStyle w:val="Tablecontents0"/>
              <w:keepNext/>
              <w:jc w:val="center"/>
              <w:rPr>
                <w:b/>
                <w:bCs/>
              </w:rPr>
            </w:pPr>
            <w:r>
              <w:rPr>
                <w:b/>
                <w:bCs/>
              </w:rPr>
              <w:t>3.0</w:t>
            </w:r>
          </w:p>
        </w:tc>
        <w:tc>
          <w:tcPr>
            <w:tcW w:w="1000" w:type="pct"/>
          </w:tcPr>
          <w:p w14:paraId="540AD15E" w14:textId="0835231A" w:rsidR="00B71C67" w:rsidRPr="00873FBC" w:rsidRDefault="00ED2283" w:rsidP="000870B8">
            <w:pPr>
              <w:pStyle w:val="Tablecontents0"/>
              <w:keepNext/>
              <w:jc w:val="center"/>
              <w:rPr>
                <w:b/>
                <w:bCs/>
              </w:rPr>
            </w:pPr>
            <w:r>
              <w:rPr>
                <w:b/>
                <w:bCs/>
              </w:rPr>
              <w:t>4.5</w:t>
            </w:r>
          </w:p>
        </w:tc>
      </w:tr>
    </w:tbl>
    <w:p w14:paraId="5F3A39CD" w14:textId="77777777" w:rsidR="00B71C67" w:rsidRDefault="00B71C67" w:rsidP="00B52F90">
      <w:pPr>
        <w:pStyle w:val="Footnote"/>
      </w:pPr>
      <w:r w:rsidRPr="004F7316">
        <w:rPr>
          <w:b/>
          <w:bCs/>
        </w:rPr>
        <w:t>NPBT</w:t>
      </w:r>
      <w:r w:rsidRPr="00F42332">
        <w:t>: Net profit before tax</w:t>
      </w:r>
    </w:p>
    <w:p w14:paraId="6E4E2DFE" w14:textId="26DDA9C0" w:rsidR="002A072B" w:rsidRPr="00B96F9E" w:rsidRDefault="007844BB" w:rsidP="00B96F9E">
      <w:r>
        <w:t xml:space="preserve">Providers will receive a score of 1.5, 3.0 or 4.5 for each ratio, which are summed together to give an overall financial strength score. The financial strength score will determine the provider’s financial strength risk factor value according to Table 3. </w:t>
      </w:r>
    </w:p>
    <w:p w14:paraId="731C4F88" w14:textId="77777777" w:rsidR="00B96F9E" w:rsidRDefault="00B96F9E">
      <w:pPr>
        <w:spacing w:after="0"/>
        <w:rPr>
          <w:b/>
          <w:bCs/>
        </w:rPr>
      </w:pPr>
      <w:r>
        <w:rPr>
          <w:b/>
          <w:bCs/>
        </w:rPr>
        <w:br w:type="page"/>
      </w:r>
    </w:p>
    <w:p w14:paraId="41310076" w14:textId="103F9AA4" w:rsidR="00C03EA4" w:rsidRPr="00DA4AA7" w:rsidRDefault="00C03EA4" w:rsidP="00546A65">
      <w:pPr>
        <w:pStyle w:val="Caption"/>
      </w:pPr>
      <w:r w:rsidRPr="00613AC1">
        <w:rPr>
          <w:b/>
          <w:bCs/>
        </w:rPr>
        <w:lastRenderedPageBreak/>
        <w:t>Table 3</w:t>
      </w:r>
      <w:r w:rsidRPr="00613AC1">
        <w:t>: Financial strength</w:t>
      </w:r>
      <w:r w:rsidR="006979BD" w:rsidRPr="00613AC1">
        <w:t xml:space="preserve"> risk factor values</w:t>
      </w:r>
    </w:p>
    <w:tbl>
      <w:tblPr>
        <w:tblStyle w:val="TPSTable"/>
        <w:tblW w:w="5000" w:type="pct"/>
        <w:tblLook w:val="04A0" w:firstRow="1" w:lastRow="0" w:firstColumn="1" w:lastColumn="0" w:noHBand="0" w:noVBand="1"/>
      </w:tblPr>
      <w:tblGrid>
        <w:gridCol w:w="4516"/>
        <w:gridCol w:w="2698"/>
        <w:gridCol w:w="2698"/>
      </w:tblGrid>
      <w:tr w:rsidR="00B71C67" w:rsidRPr="00DA4AA7" w14:paraId="6CF6E3A1" w14:textId="77777777" w:rsidTr="0027400C">
        <w:trPr>
          <w:cnfStyle w:val="100000000000" w:firstRow="1" w:lastRow="0" w:firstColumn="0" w:lastColumn="0" w:oddVBand="0" w:evenVBand="0" w:oddHBand="0" w:evenHBand="0" w:firstRowFirstColumn="0" w:firstRowLastColumn="0" w:lastRowFirstColumn="0" w:lastRowLastColumn="0"/>
          <w:trHeight w:val="737"/>
        </w:trPr>
        <w:tc>
          <w:tcPr>
            <w:tcW w:w="2278" w:type="pct"/>
          </w:tcPr>
          <w:p w14:paraId="392B1C52" w14:textId="77777777" w:rsidR="00B71C67" w:rsidRPr="00BC6028" w:rsidRDefault="00B71C67" w:rsidP="00BC6028">
            <w:pPr>
              <w:pStyle w:val="TableHeader"/>
            </w:pPr>
            <w:r w:rsidRPr="00BC6028">
              <w:t>Financial strength score</w:t>
            </w:r>
          </w:p>
        </w:tc>
        <w:tc>
          <w:tcPr>
            <w:tcW w:w="1361" w:type="pct"/>
          </w:tcPr>
          <w:p w14:paraId="45EA54DF" w14:textId="133CBBA3" w:rsidR="00B71C67" w:rsidRPr="00BC6028" w:rsidRDefault="00B71C67" w:rsidP="00BC6028">
            <w:pPr>
              <w:pStyle w:val="TableHeader"/>
            </w:pPr>
            <w:r w:rsidRPr="00BC6028">
              <w:t>2022</w:t>
            </w:r>
            <w:r w:rsidR="007576EB">
              <w:t>-2</w:t>
            </w:r>
            <w:r w:rsidR="00EC5C1A">
              <w:t>5</w:t>
            </w:r>
            <w:r w:rsidR="00DC12B5">
              <w:br/>
            </w:r>
            <w:r w:rsidRPr="00BC6028">
              <w:t>risk factor value</w:t>
            </w:r>
            <w:r w:rsidR="00701B15">
              <w:t>s</w:t>
            </w:r>
          </w:p>
        </w:tc>
        <w:tc>
          <w:tcPr>
            <w:tcW w:w="1361" w:type="pct"/>
          </w:tcPr>
          <w:p w14:paraId="49C6DC1B" w14:textId="15C3BEAE" w:rsidR="00B71C67" w:rsidRPr="00BC6028" w:rsidRDefault="00B71C67" w:rsidP="00BC6028">
            <w:pPr>
              <w:pStyle w:val="TableHeader"/>
            </w:pPr>
            <w:r w:rsidRPr="00BC6028">
              <w:t>Proposed 202</w:t>
            </w:r>
            <w:r w:rsidR="00EC5C1A">
              <w:t>6</w:t>
            </w:r>
            <w:r w:rsidRPr="00BC6028">
              <w:br/>
              <w:t>risk factor value</w:t>
            </w:r>
            <w:r w:rsidR="00701B15">
              <w:t>s</w:t>
            </w:r>
          </w:p>
        </w:tc>
      </w:tr>
      <w:tr w:rsidR="00B71C67" w:rsidRPr="00DA4AA7" w14:paraId="0F45FD91" w14:textId="77777777" w:rsidTr="009D6021">
        <w:trPr>
          <w:cnfStyle w:val="000000100000" w:firstRow="0" w:lastRow="0" w:firstColumn="0" w:lastColumn="0" w:oddVBand="0" w:evenVBand="0" w:oddHBand="1" w:evenHBand="0" w:firstRowFirstColumn="0" w:firstRowLastColumn="0" w:lastRowFirstColumn="0" w:lastRowLastColumn="0"/>
          <w:trHeight w:val="454"/>
        </w:trPr>
        <w:tc>
          <w:tcPr>
            <w:tcW w:w="2278" w:type="pct"/>
          </w:tcPr>
          <w:p w14:paraId="56877FF0" w14:textId="4C05D283" w:rsidR="00B71C67" w:rsidRPr="00BC6028" w:rsidRDefault="00B71C67" w:rsidP="00BC6028">
            <w:pPr>
              <w:pStyle w:val="Tablecontents0"/>
            </w:pPr>
            <w:r w:rsidRPr="00BC6028">
              <w:t>9</w:t>
            </w:r>
          </w:p>
        </w:tc>
        <w:tc>
          <w:tcPr>
            <w:tcW w:w="1361" w:type="pct"/>
          </w:tcPr>
          <w:p w14:paraId="2743FC1F" w14:textId="77777777" w:rsidR="00B71C67" w:rsidRPr="00BC6028" w:rsidRDefault="00B71C67" w:rsidP="00BC6028">
            <w:pPr>
              <w:pStyle w:val="Tablecontents0"/>
              <w:jc w:val="center"/>
            </w:pPr>
            <w:r w:rsidRPr="00BC6028">
              <w:t>0.0</w:t>
            </w:r>
          </w:p>
        </w:tc>
        <w:tc>
          <w:tcPr>
            <w:tcW w:w="1361" w:type="pct"/>
          </w:tcPr>
          <w:p w14:paraId="762BF43F" w14:textId="77777777" w:rsidR="00B71C67" w:rsidRPr="00BC6028" w:rsidRDefault="00B71C67" w:rsidP="00BC6028">
            <w:pPr>
              <w:pStyle w:val="Tablecontents0"/>
              <w:jc w:val="center"/>
            </w:pPr>
            <w:r w:rsidRPr="00BC6028">
              <w:t>0.0</w:t>
            </w:r>
          </w:p>
        </w:tc>
      </w:tr>
      <w:tr w:rsidR="00B71C67" w:rsidRPr="00DA4AA7" w14:paraId="036BEDE4" w14:textId="77777777" w:rsidTr="009D6021">
        <w:trPr>
          <w:cnfStyle w:val="000000010000" w:firstRow="0" w:lastRow="0" w:firstColumn="0" w:lastColumn="0" w:oddVBand="0" w:evenVBand="0" w:oddHBand="0" w:evenHBand="1" w:firstRowFirstColumn="0" w:firstRowLastColumn="0" w:lastRowFirstColumn="0" w:lastRowLastColumn="0"/>
          <w:trHeight w:val="454"/>
        </w:trPr>
        <w:tc>
          <w:tcPr>
            <w:tcW w:w="2278" w:type="pct"/>
          </w:tcPr>
          <w:p w14:paraId="0B1D4DB7" w14:textId="0376529C" w:rsidR="00B71C67" w:rsidRPr="00BC6028" w:rsidRDefault="00B71C67" w:rsidP="00BC6028">
            <w:pPr>
              <w:pStyle w:val="Tablecontents0"/>
            </w:pPr>
            <w:r w:rsidRPr="00BC6028">
              <w:t>6 or 7</w:t>
            </w:r>
            <w:r w:rsidR="00496EDE">
              <w:t>.5</w:t>
            </w:r>
          </w:p>
        </w:tc>
        <w:tc>
          <w:tcPr>
            <w:tcW w:w="1361" w:type="pct"/>
          </w:tcPr>
          <w:p w14:paraId="7E3B1522" w14:textId="77777777" w:rsidR="00B71C67" w:rsidRPr="00BC6028" w:rsidRDefault="00B71C67" w:rsidP="00BC6028">
            <w:pPr>
              <w:pStyle w:val="Tablecontents0"/>
              <w:jc w:val="center"/>
            </w:pPr>
            <w:r w:rsidRPr="00BC6028">
              <w:t>1.0</w:t>
            </w:r>
          </w:p>
        </w:tc>
        <w:tc>
          <w:tcPr>
            <w:tcW w:w="1361" w:type="pct"/>
          </w:tcPr>
          <w:p w14:paraId="3BA6A746" w14:textId="77777777" w:rsidR="00B71C67" w:rsidRPr="00BC6028" w:rsidRDefault="00B71C67" w:rsidP="00BC6028">
            <w:pPr>
              <w:pStyle w:val="Tablecontents0"/>
              <w:jc w:val="center"/>
            </w:pPr>
            <w:r w:rsidRPr="00BC6028">
              <w:t>1.0</w:t>
            </w:r>
          </w:p>
        </w:tc>
      </w:tr>
      <w:tr w:rsidR="00B71C67" w:rsidRPr="00DA4AA7" w14:paraId="38A717AA" w14:textId="77777777" w:rsidTr="009D6021">
        <w:trPr>
          <w:cnfStyle w:val="000000100000" w:firstRow="0" w:lastRow="0" w:firstColumn="0" w:lastColumn="0" w:oddVBand="0" w:evenVBand="0" w:oddHBand="1" w:evenHBand="0" w:firstRowFirstColumn="0" w:firstRowLastColumn="0" w:lastRowFirstColumn="0" w:lastRowLastColumn="0"/>
          <w:trHeight w:val="454"/>
        </w:trPr>
        <w:tc>
          <w:tcPr>
            <w:tcW w:w="2278" w:type="pct"/>
          </w:tcPr>
          <w:p w14:paraId="5E9205EA" w14:textId="29E78FD5" w:rsidR="00B71C67" w:rsidRPr="00BC6028" w:rsidRDefault="003F0E6F" w:rsidP="00BC6028">
            <w:pPr>
              <w:pStyle w:val="Tablecontents0"/>
            </w:pPr>
            <w:r>
              <w:t>3 or 4.5</w:t>
            </w:r>
          </w:p>
        </w:tc>
        <w:tc>
          <w:tcPr>
            <w:tcW w:w="1361" w:type="pct"/>
          </w:tcPr>
          <w:p w14:paraId="22F9C3CB" w14:textId="77777777" w:rsidR="00B71C67" w:rsidRPr="00BC6028" w:rsidRDefault="00B71C67" w:rsidP="00BC6028">
            <w:pPr>
              <w:pStyle w:val="Tablecontents0"/>
              <w:jc w:val="center"/>
            </w:pPr>
            <w:r w:rsidRPr="00BC6028">
              <w:t>2.0</w:t>
            </w:r>
          </w:p>
        </w:tc>
        <w:tc>
          <w:tcPr>
            <w:tcW w:w="1361" w:type="pct"/>
          </w:tcPr>
          <w:p w14:paraId="62D8F7CB" w14:textId="77777777" w:rsidR="00B71C67" w:rsidRPr="00BC6028" w:rsidRDefault="00B71C67" w:rsidP="00BC6028">
            <w:pPr>
              <w:pStyle w:val="Tablecontents0"/>
              <w:jc w:val="center"/>
            </w:pPr>
            <w:r w:rsidRPr="00BC6028">
              <w:t>2.0</w:t>
            </w:r>
          </w:p>
        </w:tc>
      </w:tr>
      <w:tr w:rsidR="00B71C67" w14:paraId="792E20AD" w14:textId="77777777" w:rsidTr="009D6021">
        <w:trPr>
          <w:cnfStyle w:val="000000010000" w:firstRow="0" w:lastRow="0" w:firstColumn="0" w:lastColumn="0" w:oddVBand="0" w:evenVBand="0" w:oddHBand="0" w:evenHBand="1" w:firstRowFirstColumn="0" w:firstRowLastColumn="0" w:lastRowFirstColumn="0" w:lastRowLastColumn="0"/>
          <w:trHeight w:val="454"/>
        </w:trPr>
        <w:tc>
          <w:tcPr>
            <w:tcW w:w="2278" w:type="pct"/>
          </w:tcPr>
          <w:p w14:paraId="7D43A454" w14:textId="77777777" w:rsidR="00B71C67" w:rsidRPr="00BC6028" w:rsidRDefault="00B71C67" w:rsidP="00BC6028">
            <w:pPr>
              <w:pStyle w:val="Tablecontents0"/>
            </w:pPr>
            <w:r w:rsidRPr="00BC6028">
              <w:t>Provider did not submit financial statements</w:t>
            </w:r>
          </w:p>
        </w:tc>
        <w:tc>
          <w:tcPr>
            <w:tcW w:w="1361" w:type="pct"/>
          </w:tcPr>
          <w:p w14:paraId="270426F9" w14:textId="77777777" w:rsidR="00B71C67" w:rsidRPr="00BC6028" w:rsidRDefault="00B71C67" w:rsidP="00BC6028">
            <w:pPr>
              <w:pStyle w:val="Tablecontents0"/>
              <w:jc w:val="center"/>
            </w:pPr>
            <w:r w:rsidRPr="00BC6028">
              <w:t>2.5</w:t>
            </w:r>
          </w:p>
        </w:tc>
        <w:tc>
          <w:tcPr>
            <w:tcW w:w="1361" w:type="pct"/>
          </w:tcPr>
          <w:p w14:paraId="6557ED0E" w14:textId="77777777" w:rsidR="00B71C67" w:rsidRPr="00BC6028" w:rsidRDefault="00B71C67" w:rsidP="00BC6028">
            <w:pPr>
              <w:pStyle w:val="Tablecontents0"/>
              <w:jc w:val="center"/>
            </w:pPr>
            <w:r w:rsidRPr="00BC6028">
              <w:t>2.5</w:t>
            </w:r>
          </w:p>
        </w:tc>
      </w:tr>
    </w:tbl>
    <w:p w14:paraId="48BF2DDD" w14:textId="2210C65C" w:rsidR="00C03EA4" w:rsidRPr="00C03EA4" w:rsidRDefault="00C03EA4" w:rsidP="00546A65">
      <w:pPr>
        <w:spacing w:before="200"/>
      </w:pPr>
      <w:r w:rsidRPr="00DA4AA7">
        <w:t>The proposed 202</w:t>
      </w:r>
      <w:r w:rsidR="00EC5C1A">
        <w:t>6</w:t>
      </w:r>
      <w:r w:rsidRPr="00DA4AA7">
        <w:t xml:space="preserve"> financial strength risk factor values remain </w:t>
      </w:r>
      <w:r w:rsidR="00701B15">
        <w:t>unchanged from</w:t>
      </w:r>
      <w:r w:rsidRPr="00DA4AA7">
        <w:t xml:space="preserve"> </w:t>
      </w:r>
      <w:r w:rsidR="007576EB">
        <w:t>202</w:t>
      </w:r>
      <w:r w:rsidR="00EC5C1A">
        <w:t>5</w:t>
      </w:r>
      <w:r w:rsidR="005663BD">
        <w:t xml:space="preserve"> (and since 2022)</w:t>
      </w:r>
      <w:r w:rsidRPr="00DA4AA7">
        <w:t>.</w:t>
      </w:r>
    </w:p>
    <w:p w14:paraId="242045E2" w14:textId="030DF00F" w:rsidR="00504610" w:rsidRDefault="003468C5" w:rsidP="00AE62F7">
      <w:pPr>
        <w:pStyle w:val="Heading5"/>
      </w:pPr>
      <w:r w:rsidRPr="0027400C">
        <w:t xml:space="preserve">Risk </w:t>
      </w:r>
      <w:r w:rsidR="00727512" w:rsidRPr="0027400C">
        <w:t>F</w:t>
      </w:r>
      <w:r w:rsidRPr="0027400C">
        <w:t>actor 2: Completion rate</w:t>
      </w:r>
    </w:p>
    <w:p w14:paraId="7C748418" w14:textId="3D8FCB3A" w:rsidR="008905E7" w:rsidRDefault="00DD377E" w:rsidP="008905E7">
      <w:r>
        <w:t>A</w:t>
      </w:r>
      <w:r w:rsidR="00980F53">
        <w:t xml:space="preserve"> provider’s </w:t>
      </w:r>
      <w:r w:rsidR="004E73AA">
        <w:t xml:space="preserve">unit </w:t>
      </w:r>
      <w:r w:rsidR="00980F53">
        <w:t>completion rate percentage</w:t>
      </w:r>
      <w:r w:rsidR="00846155">
        <w:t xml:space="preserve"> will be calculated using the following formula for the 202</w:t>
      </w:r>
      <w:r w:rsidR="00EC5C1A">
        <w:t>6</w:t>
      </w:r>
      <w:r w:rsidR="00846155">
        <w:t xml:space="preserve"> levies</w:t>
      </w:r>
      <w:r w:rsidR="00980F53">
        <w:t>:</w:t>
      </w:r>
    </w:p>
    <w:p w14:paraId="23ED5E85" w14:textId="527BEE7E" w:rsidR="008905E7" w:rsidRPr="000B6B27" w:rsidRDefault="00000000" w:rsidP="00701B15">
      <w:pPr>
        <w:spacing w:after="0" w:line="240" w:lineRule="auto"/>
        <w:rPr>
          <w:rFonts w:cstheme="minorHAnsi"/>
        </w:rPr>
      </w:pPr>
      <m:oMathPara>
        <m:oMathParaPr>
          <m:jc m:val="left"/>
        </m:oMathParaPr>
        <m:oMath>
          <m:d>
            <m:dPr>
              <m:begChr m:val="["/>
              <m:endChr m:val="]"/>
              <m:ctrlPr>
                <w:rPr>
                  <w:rFonts w:ascii="Cambria Math" w:hAnsi="Cambria Math" w:cstheme="minorHAnsi"/>
                  <w:i/>
                </w:rPr>
              </m:ctrlPr>
            </m:dPr>
            <m:e>
              <m:f>
                <m:fPr>
                  <m:ctrlPr>
                    <w:rPr>
                      <w:rFonts w:ascii="Cambria Math" w:hAnsi="Cambria Math" w:cstheme="minorHAnsi"/>
                      <w:i/>
                    </w:rPr>
                  </m:ctrlPr>
                </m:fPr>
                <m:num>
                  <m:r>
                    <m:rPr>
                      <m:sty m:val="p"/>
                    </m:rPr>
                    <w:rPr>
                      <w:rFonts w:ascii="Cambria Math" w:eastAsia="Calibri" w:hAnsi="Cambria Math" w:cstheme="minorHAnsi"/>
                    </w:rPr>
                    <m:t>Passed EFTSL</m:t>
                  </m:r>
                </m:num>
                <m:den>
                  <m:d>
                    <m:dPr>
                      <m:ctrlPr>
                        <w:rPr>
                          <w:rFonts w:ascii="Cambria Math" w:hAnsi="Cambria Math" w:cstheme="minorHAnsi"/>
                          <w:i/>
                        </w:rPr>
                      </m:ctrlPr>
                    </m:dPr>
                    <m:e>
                      <m:r>
                        <m:rPr>
                          <m:sty m:val="p"/>
                        </m:rPr>
                        <w:rPr>
                          <w:rFonts w:ascii="Cambria Math" w:eastAsia="Calibri" w:hAnsi="Cambria Math" w:cstheme="minorHAnsi"/>
                        </w:rPr>
                        <m:t>Passed EFTSL+Failed EFTSL+Ongoing EFTSL+Data missing EFTSL</m:t>
                      </m:r>
                    </m:e>
                  </m:d>
                </m:den>
              </m:f>
            </m:e>
          </m:d>
          <m:r>
            <w:rPr>
              <w:rFonts w:ascii="Cambria Math" w:eastAsiaTheme="minorEastAsia" w:hAnsi="Cambria Math" w:cstheme="minorHAnsi"/>
            </w:rPr>
            <m:t xml:space="preserve"> ×100</m:t>
          </m:r>
        </m:oMath>
      </m:oMathPara>
    </w:p>
    <w:p w14:paraId="48DA17CD" w14:textId="77777777" w:rsidR="001A772C" w:rsidRDefault="001A772C" w:rsidP="004F7316">
      <w:pPr>
        <w:pStyle w:val="Footnote"/>
      </w:pPr>
      <w:r w:rsidRPr="004F7316">
        <w:rPr>
          <w:b/>
          <w:bCs/>
        </w:rPr>
        <w:t>EFTSL</w:t>
      </w:r>
      <w:r w:rsidRPr="00F42332">
        <w:t>: Equivalent full-time student load for a year</w:t>
      </w:r>
    </w:p>
    <w:p w14:paraId="5C1E30D0" w14:textId="03119BF0" w:rsidR="00F40D41" w:rsidRDefault="00F40D41" w:rsidP="00980F53">
      <w:pPr>
        <w:rPr>
          <w:rFonts w:cstheme="minorHAnsi"/>
        </w:rPr>
      </w:pPr>
      <w:r>
        <w:rPr>
          <w:rFonts w:cstheme="minorHAnsi"/>
        </w:rPr>
        <w:t>A provider’s completion rate percentage determine</w:t>
      </w:r>
      <w:r w:rsidR="00CC3364">
        <w:rPr>
          <w:rFonts w:cstheme="minorHAnsi"/>
        </w:rPr>
        <w:t>s</w:t>
      </w:r>
      <w:r w:rsidR="002D32C4">
        <w:rPr>
          <w:rFonts w:cstheme="minorHAnsi"/>
        </w:rPr>
        <w:t xml:space="preserve"> its completion rate risk factor value </w:t>
      </w:r>
      <w:r w:rsidR="00BF4D82">
        <w:rPr>
          <w:rFonts w:cstheme="minorHAnsi"/>
        </w:rPr>
        <w:t xml:space="preserve">according to </w:t>
      </w:r>
      <w:r w:rsidR="00C87CD3">
        <w:rPr>
          <w:rFonts w:cstheme="minorHAnsi"/>
        </w:rPr>
        <w:t>Table 4</w:t>
      </w:r>
      <w:r w:rsidR="00BF4D82">
        <w:rPr>
          <w:rFonts w:cstheme="minorHAnsi"/>
        </w:rPr>
        <w:t>.</w:t>
      </w:r>
    </w:p>
    <w:p w14:paraId="655C85ED" w14:textId="3947AF73" w:rsidR="00C87CD3" w:rsidRPr="00BF4D82" w:rsidRDefault="00C87CD3" w:rsidP="000E0D14">
      <w:pPr>
        <w:pStyle w:val="Caption"/>
      </w:pPr>
      <w:r w:rsidRPr="000E0D14">
        <w:rPr>
          <w:b/>
          <w:bCs/>
        </w:rPr>
        <w:t>Table 4</w:t>
      </w:r>
      <w:r>
        <w:t xml:space="preserve">: </w:t>
      </w:r>
      <w:r w:rsidR="000E0D14">
        <w:t>Completion rate risk factor values</w:t>
      </w:r>
    </w:p>
    <w:tbl>
      <w:tblPr>
        <w:tblStyle w:val="TPSTable"/>
        <w:tblW w:w="3573" w:type="pct"/>
        <w:tblLook w:val="04A0" w:firstRow="1" w:lastRow="0" w:firstColumn="1" w:lastColumn="0" w:noHBand="0" w:noVBand="1"/>
      </w:tblPr>
      <w:tblGrid>
        <w:gridCol w:w="2308"/>
        <w:gridCol w:w="2082"/>
        <w:gridCol w:w="2693"/>
      </w:tblGrid>
      <w:tr w:rsidR="00EB4935" w14:paraId="0DD75401" w14:textId="3B1DD0A2" w:rsidTr="00B96F9E">
        <w:trPr>
          <w:cnfStyle w:val="100000000000" w:firstRow="1" w:lastRow="0" w:firstColumn="0" w:lastColumn="0" w:oddVBand="0" w:evenVBand="0" w:oddHBand="0" w:evenHBand="0" w:firstRowFirstColumn="0" w:firstRowLastColumn="0" w:lastRowFirstColumn="0" w:lastRowLastColumn="0"/>
          <w:trHeight w:val="737"/>
        </w:trPr>
        <w:tc>
          <w:tcPr>
            <w:tcW w:w="1629" w:type="pct"/>
          </w:tcPr>
          <w:p w14:paraId="2604B238" w14:textId="77777777" w:rsidR="00EB4935" w:rsidRPr="00BC6028" w:rsidRDefault="00EB4935" w:rsidP="00BC6028">
            <w:pPr>
              <w:pStyle w:val="TableHeader"/>
            </w:pPr>
            <w:r w:rsidRPr="00BC6028">
              <w:t>Completion rate percentage</w:t>
            </w:r>
          </w:p>
        </w:tc>
        <w:tc>
          <w:tcPr>
            <w:tcW w:w="1470" w:type="pct"/>
          </w:tcPr>
          <w:p w14:paraId="20162D5F" w14:textId="79BD7B85" w:rsidR="00EB4935" w:rsidRPr="00BC6028" w:rsidRDefault="00EB4935" w:rsidP="008966EC">
            <w:pPr>
              <w:pStyle w:val="TableHeader"/>
            </w:pPr>
            <w:r>
              <w:t>2023-25</w:t>
            </w:r>
            <w:r w:rsidR="008966EC">
              <w:br/>
            </w:r>
            <w:r>
              <w:t>ri</w:t>
            </w:r>
            <w:r w:rsidRPr="00BC6028">
              <w:t>sk factor</w:t>
            </w:r>
            <w:r>
              <w:t xml:space="preserve"> </w:t>
            </w:r>
            <w:r w:rsidRPr="00BC6028">
              <w:t>value</w:t>
            </w:r>
            <w:r>
              <w:t>s</w:t>
            </w:r>
          </w:p>
        </w:tc>
        <w:tc>
          <w:tcPr>
            <w:tcW w:w="1901" w:type="pct"/>
          </w:tcPr>
          <w:p w14:paraId="01D9ABD3" w14:textId="7F95FD04" w:rsidR="00EB4935" w:rsidRPr="00BC6028" w:rsidRDefault="00EB4935" w:rsidP="00BC6028">
            <w:pPr>
              <w:pStyle w:val="TableHeader"/>
            </w:pPr>
            <w:r>
              <w:t>Proposed 2026</w:t>
            </w:r>
            <w:r>
              <w:br/>
              <w:t>risk factor values</w:t>
            </w:r>
          </w:p>
        </w:tc>
      </w:tr>
      <w:tr w:rsidR="00EB4935" w14:paraId="32F2BE7A" w14:textId="08FAB0E2" w:rsidTr="00B96F9E">
        <w:trPr>
          <w:cnfStyle w:val="000000100000" w:firstRow="0" w:lastRow="0" w:firstColumn="0" w:lastColumn="0" w:oddVBand="0" w:evenVBand="0" w:oddHBand="1" w:evenHBand="0" w:firstRowFirstColumn="0" w:firstRowLastColumn="0" w:lastRowFirstColumn="0" w:lastRowLastColumn="0"/>
          <w:trHeight w:val="454"/>
        </w:trPr>
        <w:tc>
          <w:tcPr>
            <w:tcW w:w="1629" w:type="pct"/>
          </w:tcPr>
          <w:p w14:paraId="18BE7093" w14:textId="77777777" w:rsidR="00EB4935" w:rsidRPr="00BC6028" w:rsidRDefault="00EB4935" w:rsidP="00E90073">
            <w:pPr>
              <w:pStyle w:val="Tablecontents0"/>
            </w:pPr>
            <w:r w:rsidRPr="00BC6028">
              <w:t>85% or higher</w:t>
            </w:r>
          </w:p>
        </w:tc>
        <w:tc>
          <w:tcPr>
            <w:tcW w:w="1470" w:type="pct"/>
          </w:tcPr>
          <w:p w14:paraId="2FF05B7E" w14:textId="77777777" w:rsidR="00EB4935" w:rsidRPr="00BC6028" w:rsidRDefault="00EB4935" w:rsidP="00E90073">
            <w:pPr>
              <w:pStyle w:val="Tablecontents0"/>
              <w:jc w:val="center"/>
            </w:pPr>
            <w:r w:rsidRPr="00BC6028">
              <w:t>0.0</w:t>
            </w:r>
          </w:p>
        </w:tc>
        <w:tc>
          <w:tcPr>
            <w:tcW w:w="1901" w:type="pct"/>
          </w:tcPr>
          <w:p w14:paraId="14608F84" w14:textId="059B4646" w:rsidR="00EB4935" w:rsidRPr="00BC6028" w:rsidRDefault="00EB4935" w:rsidP="00E90073">
            <w:pPr>
              <w:pStyle w:val="Tablecontents0"/>
              <w:jc w:val="center"/>
            </w:pPr>
            <w:r w:rsidRPr="00BC6028">
              <w:t>0.0</w:t>
            </w:r>
          </w:p>
        </w:tc>
      </w:tr>
      <w:tr w:rsidR="00EB4935" w14:paraId="17EC7D83" w14:textId="43B9A935" w:rsidTr="00B96F9E">
        <w:trPr>
          <w:cnfStyle w:val="000000010000" w:firstRow="0" w:lastRow="0" w:firstColumn="0" w:lastColumn="0" w:oddVBand="0" w:evenVBand="0" w:oddHBand="0" w:evenHBand="1" w:firstRowFirstColumn="0" w:firstRowLastColumn="0" w:lastRowFirstColumn="0" w:lastRowLastColumn="0"/>
          <w:trHeight w:val="454"/>
        </w:trPr>
        <w:tc>
          <w:tcPr>
            <w:tcW w:w="1629" w:type="pct"/>
          </w:tcPr>
          <w:p w14:paraId="25820FA9" w14:textId="77777777" w:rsidR="00EB4935" w:rsidRPr="00BC6028" w:rsidRDefault="00EB4935" w:rsidP="00E90073">
            <w:pPr>
              <w:pStyle w:val="Tablecontents0"/>
            </w:pPr>
            <w:r w:rsidRPr="00BC6028">
              <w:t>60% to &lt; 85%</w:t>
            </w:r>
          </w:p>
        </w:tc>
        <w:tc>
          <w:tcPr>
            <w:tcW w:w="1470" w:type="pct"/>
          </w:tcPr>
          <w:p w14:paraId="10689A19" w14:textId="77777777" w:rsidR="00EB4935" w:rsidRPr="00BC6028" w:rsidRDefault="00EB4935" w:rsidP="00E90073">
            <w:pPr>
              <w:pStyle w:val="Tablecontents0"/>
              <w:jc w:val="center"/>
            </w:pPr>
            <w:r w:rsidRPr="00BC6028">
              <w:t>1.0</w:t>
            </w:r>
          </w:p>
        </w:tc>
        <w:tc>
          <w:tcPr>
            <w:tcW w:w="1901" w:type="pct"/>
          </w:tcPr>
          <w:p w14:paraId="449D1F29" w14:textId="30E396AA" w:rsidR="00EB4935" w:rsidRPr="00BC6028" w:rsidRDefault="00EB4935" w:rsidP="00E90073">
            <w:pPr>
              <w:pStyle w:val="Tablecontents0"/>
              <w:jc w:val="center"/>
            </w:pPr>
            <w:r w:rsidRPr="00BC6028">
              <w:t>1.0</w:t>
            </w:r>
          </w:p>
        </w:tc>
      </w:tr>
      <w:tr w:rsidR="00EB4935" w14:paraId="7245193C" w14:textId="553B1E3E" w:rsidTr="00B96F9E">
        <w:trPr>
          <w:cnfStyle w:val="000000100000" w:firstRow="0" w:lastRow="0" w:firstColumn="0" w:lastColumn="0" w:oddVBand="0" w:evenVBand="0" w:oddHBand="1" w:evenHBand="0" w:firstRowFirstColumn="0" w:firstRowLastColumn="0" w:lastRowFirstColumn="0" w:lastRowLastColumn="0"/>
          <w:trHeight w:val="454"/>
        </w:trPr>
        <w:tc>
          <w:tcPr>
            <w:tcW w:w="1629" w:type="pct"/>
          </w:tcPr>
          <w:p w14:paraId="6697C88E" w14:textId="77777777" w:rsidR="00EB4935" w:rsidRPr="00BC6028" w:rsidRDefault="00EB4935" w:rsidP="00E90073">
            <w:pPr>
              <w:pStyle w:val="Tablecontents0"/>
            </w:pPr>
            <w:r w:rsidRPr="00BC6028">
              <w:t>35% to &lt; 60%</w:t>
            </w:r>
          </w:p>
        </w:tc>
        <w:tc>
          <w:tcPr>
            <w:tcW w:w="1470" w:type="pct"/>
          </w:tcPr>
          <w:p w14:paraId="25601652" w14:textId="77777777" w:rsidR="00EB4935" w:rsidRPr="00BC6028" w:rsidRDefault="00EB4935" w:rsidP="00E90073">
            <w:pPr>
              <w:pStyle w:val="Tablecontents0"/>
              <w:jc w:val="center"/>
            </w:pPr>
            <w:r w:rsidRPr="00BC6028">
              <w:t>2.5</w:t>
            </w:r>
          </w:p>
        </w:tc>
        <w:tc>
          <w:tcPr>
            <w:tcW w:w="1901" w:type="pct"/>
          </w:tcPr>
          <w:p w14:paraId="580418E6" w14:textId="2617CA2E" w:rsidR="00EB4935" w:rsidRPr="00BC6028" w:rsidRDefault="00EB4935" w:rsidP="00E90073">
            <w:pPr>
              <w:pStyle w:val="Tablecontents0"/>
              <w:jc w:val="center"/>
            </w:pPr>
            <w:r w:rsidRPr="00BC6028">
              <w:t>2.5</w:t>
            </w:r>
          </w:p>
        </w:tc>
      </w:tr>
      <w:tr w:rsidR="00EB4935" w14:paraId="0257ADF2" w14:textId="1CD5DEC1" w:rsidTr="00B96F9E">
        <w:trPr>
          <w:cnfStyle w:val="000000010000" w:firstRow="0" w:lastRow="0" w:firstColumn="0" w:lastColumn="0" w:oddVBand="0" w:evenVBand="0" w:oddHBand="0" w:evenHBand="1" w:firstRowFirstColumn="0" w:firstRowLastColumn="0" w:lastRowFirstColumn="0" w:lastRowLastColumn="0"/>
          <w:trHeight w:val="454"/>
        </w:trPr>
        <w:tc>
          <w:tcPr>
            <w:tcW w:w="1629" w:type="pct"/>
          </w:tcPr>
          <w:p w14:paraId="5FE5FDA5" w14:textId="77777777" w:rsidR="00EB4935" w:rsidRPr="00BC6028" w:rsidRDefault="00EB4935" w:rsidP="00E90073">
            <w:pPr>
              <w:pStyle w:val="Tablecontents0"/>
            </w:pPr>
            <w:r w:rsidRPr="00BC6028">
              <w:t>0% to &lt; 35%</w:t>
            </w:r>
          </w:p>
        </w:tc>
        <w:tc>
          <w:tcPr>
            <w:tcW w:w="1470" w:type="pct"/>
          </w:tcPr>
          <w:p w14:paraId="4E1B2498" w14:textId="77777777" w:rsidR="00EB4935" w:rsidRPr="00BC6028" w:rsidRDefault="00EB4935" w:rsidP="00E90073">
            <w:pPr>
              <w:pStyle w:val="Tablecontents0"/>
              <w:jc w:val="center"/>
            </w:pPr>
            <w:r w:rsidRPr="00BC6028">
              <w:t>3.5</w:t>
            </w:r>
          </w:p>
        </w:tc>
        <w:tc>
          <w:tcPr>
            <w:tcW w:w="1901" w:type="pct"/>
          </w:tcPr>
          <w:p w14:paraId="53CF6535" w14:textId="79B4190E" w:rsidR="00EB4935" w:rsidRPr="00BC6028" w:rsidRDefault="00EB4935" w:rsidP="00E90073">
            <w:pPr>
              <w:pStyle w:val="Tablecontents0"/>
              <w:jc w:val="center"/>
            </w:pPr>
            <w:r w:rsidRPr="00BC6028">
              <w:t>3.5</w:t>
            </w:r>
          </w:p>
        </w:tc>
      </w:tr>
    </w:tbl>
    <w:p w14:paraId="59E02F34" w14:textId="4ABAFE7A" w:rsidR="00864496" w:rsidRDefault="00864496" w:rsidP="000B6B27">
      <w:pPr>
        <w:spacing w:before="200" w:after="0"/>
      </w:pPr>
      <w:r>
        <w:t xml:space="preserve">The proposed </w:t>
      </w:r>
      <w:r w:rsidR="000B6B27">
        <w:t>202</w:t>
      </w:r>
      <w:r w:rsidR="00896718">
        <w:t>6</w:t>
      </w:r>
      <w:r w:rsidR="000B6B27">
        <w:t xml:space="preserve"> completion rate </w:t>
      </w:r>
      <w:r>
        <w:t>risk factor values remain unchanged from 20</w:t>
      </w:r>
      <w:r w:rsidR="00317FB6">
        <w:t>2</w:t>
      </w:r>
      <w:r w:rsidR="00896718">
        <w:t>5</w:t>
      </w:r>
      <w:r w:rsidR="005663BD">
        <w:t xml:space="preserve"> (and since 2023)</w:t>
      </w:r>
      <w:r>
        <w:t>.</w:t>
      </w:r>
    </w:p>
    <w:p w14:paraId="5A4943EF" w14:textId="2AF1FEA0" w:rsidR="003468C5" w:rsidRPr="00552FA9" w:rsidRDefault="00980F53" w:rsidP="00552FA9">
      <w:pPr>
        <w:pStyle w:val="Heading5"/>
      </w:pPr>
      <w:r w:rsidRPr="00552FA9">
        <w:t xml:space="preserve">Risk </w:t>
      </w:r>
      <w:r w:rsidR="00727512" w:rsidRPr="00552FA9">
        <w:t>F</w:t>
      </w:r>
      <w:r w:rsidRPr="00552FA9">
        <w:t>actor 3: Non-compliance history and registration renewal</w:t>
      </w:r>
    </w:p>
    <w:p w14:paraId="0B8C9D66" w14:textId="24A5B048" w:rsidR="00E5297F" w:rsidRDefault="00142E9E" w:rsidP="002A3987">
      <w:pPr>
        <w:spacing w:after="50"/>
      </w:pPr>
      <w:r>
        <w:t xml:space="preserve">The non-compliance history and registration renewal risk factor offers a financial incentive </w:t>
      </w:r>
      <w:r w:rsidR="0085665B">
        <w:t xml:space="preserve">for providers </w:t>
      </w:r>
      <w:r>
        <w:t xml:space="preserve">to adopt </w:t>
      </w:r>
      <w:r w:rsidR="002929AE">
        <w:t>compliant</w:t>
      </w:r>
      <w:r>
        <w:t xml:space="preserve"> behaviours.</w:t>
      </w:r>
      <w:r w:rsidR="008F639B">
        <w:t xml:space="preserve"> </w:t>
      </w:r>
      <w:r w:rsidR="00F22BDC">
        <w:t>There are two components to this risk factor</w:t>
      </w:r>
      <w:r w:rsidR="00E5297F">
        <w:t>:</w:t>
      </w:r>
    </w:p>
    <w:p w14:paraId="4ACD7D94" w14:textId="6553F1AD" w:rsidR="00E5297F" w:rsidRDefault="00E5297F" w:rsidP="002A3987">
      <w:pPr>
        <w:pStyle w:val="ListParagraph"/>
        <w:numPr>
          <w:ilvl w:val="0"/>
          <w:numId w:val="14"/>
        </w:numPr>
        <w:spacing w:after="50"/>
        <w:ind w:left="714" w:hanging="357"/>
        <w:contextualSpacing w:val="0"/>
      </w:pPr>
      <w:r w:rsidRPr="00E5297F">
        <w:rPr>
          <w:b/>
          <w:bCs/>
        </w:rPr>
        <w:t>N</w:t>
      </w:r>
      <w:r w:rsidR="008F639B" w:rsidRPr="00E5297F">
        <w:rPr>
          <w:b/>
          <w:bCs/>
        </w:rPr>
        <w:t>on-compliance history</w:t>
      </w:r>
      <w:r>
        <w:t xml:space="preserve"> </w:t>
      </w:r>
      <w:r w:rsidR="00C021DC">
        <w:t>penalises providers for late payment of the relevant levy</w:t>
      </w:r>
      <w:r w:rsidR="00F36A85">
        <w:t xml:space="preserve"> and/or the annual provider registration charge over the previous three years</w:t>
      </w:r>
      <w:r w:rsidR="008C09D8">
        <w:t xml:space="preserve"> (i.e. 2023-25)</w:t>
      </w:r>
      <w:r w:rsidR="00F36A85">
        <w:t>.</w:t>
      </w:r>
    </w:p>
    <w:p w14:paraId="11F22C1B" w14:textId="70B55869" w:rsidR="00F32765" w:rsidRDefault="00E5297F" w:rsidP="002A3987">
      <w:pPr>
        <w:pStyle w:val="ListParagraph"/>
        <w:numPr>
          <w:ilvl w:val="0"/>
          <w:numId w:val="14"/>
        </w:numPr>
        <w:ind w:left="714" w:hanging="357"/>
        <w:contextualSpacing w:val="0"/>
      </w:pPr>
      <w:r w:rsidRPr="00D334A1">
        <w:rPr>
          <w:b/>
          <w:bCs/>
        </w:rPr>
        <w:t>Registration renewal</w:t>
      </w:r>
      <w:r>
        <w:t xml:space="preserve"> penalises </w:t>
      </w:r>
      <w:r w:rsidR="002A2E52">
        <w:t xml:space="preserve">any </w:t>
      </w:r>
      <w:r>
        <w:t>providers</w:t>
      </w:r>
      <w:r w:rsidR="001E5F75">
        <w:t xml:space="preserve"> that applied </w:t>
      </w:r>
      <w:r w:rsidR="002A2E52">
        <w:t>for</w:t>
      </w:r>
      <w:r w:rsidR="00230CDD">
        <w:t xml:space="preserve"> renewal of its</w:t>
      </w:r>
      <w:r w:rsidR="001E5F75">
        <w:t xml:space="preserve"> registration</w:t>
      </w:r>
      <w:r w:rsidR="00D334A1">
        <w:t xml:space="preserve"> and, for risk management reason</w:t>
      </w:r>
      <w:r w:rsidR="00230CDD">
        <w:t>s</w:t>
      </w:r>
      <w:r w:rsidR="00D334A1">
        <w:t>, had its registration renewed for a period less than the maximum allowable</w:t>
      </w:r>
      <w:r w:rsidR="000B6B27">
        <w:t>.</w:t>
      </w:r>
    </w:p>
    <w:p w14:paraId="2F809391" w14:textId="7042FCF6" w:rsidR="002212CE" w:rsidRDefault="0037078B" w:rsidP="00473BE8">
      <w:pPr>
        <w:pStyle w:val="Caption"/>
        <w:rPr>
          <w:b/>
          <w:bCs/>
        </w:rPr>
      </w:pPr>
      <w:r>
        <w:t>A provider’s</w:t>
      </w:r>
      <w:r w:rsidRPr="00A436BE">
        <w:t xml:space="preserve"> </w:t>
      </w:r>
      <w:r>
        <w:t>total</w:t>
      </w:r>
      <w:r w:rsidRPr="00A436BE">
        <w:t xml:space="preserve"> non-compliance history and registration renewal risk factor</w:t>
      </w:r>
      <w:r>
        <w:t xml:space="preserve"> value </w:t>
      </w:r>
      <w:r w:rsidRPr="00A436BE">
        <w:t xml:space="preserve">is the sum of the applicable risk factor values </w:t>
      </w:r>
      <w:r>
        <w:t xml:space="preserve">in </w:t>
      </w:r>
      <w:r w:rsidR="00473BE8">
        <w:t>Table 5</w:t>
      </w:r>
      <w:r>
        <w:t>.</w:t>
      </w:r>
    </w:p>
    <w:p w14:paraId="27190BE3" w14:textId="77777777" w:rsidR="00E019FD" w:rsidRDefault="00E019FD">
      <w:pPr>
        <w:spacing w:after="0"/>
        <w:rPr>
          <w:b/>
          <w:bCs/>
        </w:rPr>
      </w:pPr>
      <w:r>
        <w:rPr>
          <w:b/>
          <w:bCs/>
        </w:rPr>
        <w:br w:type="page"/>
      </w:r>
    </w:p>
    <w:p w14:paraId="0E03987A" w14:textId="2633AA4D" w:rsidR="00473BE8" w:rsidRPr="00A436BE" w:rsidRDefault="00473BE8" w:rsidP="00473BE8">
      <w:pPr>
        <w:pStyle w:val="Caption"/>
      </w:pPr>
      <w:r w:rsidRPr="00473BE8">
        <w:rPr>
          <w:b/>
          <w:bCs/>
        </w:rPr>
        <w:lastRenderedPageBreak/>
        <w:t>Table 5</w:t>
      </w:r>
      <w:r>
        <w:t>: Non-compliance history and registration renewal risk factor values</w:t>
      </w:r>
    </w:p>
    <w:tbl>
      <w:tblPr>
        <w:tblStyle w:val="TPSTable"/>
        <w:tblW w:w="5000" w:type="pct"/>
        <w:tblLook w:val="04A0" w:firstRow="1" w:lastRow="0" w:firstColumn="1" w:lastColumn="0" w:noHBand="0" w:noVBand="1"/>
      </w:tblPr>
      <w:tblGrid>
        <w:gridCol w:w="5476"/>
        <w:gridCol w:w="2218"/>
        <w:gridCol w:w="2218"/>
      </w:tblGrid>
      <w:tr w:rsidR="0037078B" w14:paraId="7A1912D1" w14:textId="77777777" w:rsidTr="0027400C">
        <w:trPr>
          <w:cnfStyle w:val="100000000000" w:firstRow="1" w:lastRow="0" w:firstColumn="0" w:lastColumn="0" w:oddVBand="0" w:evenVBand="0" w:oddHBand="0" w:evenHBand="0" w:firstRowFirstColumn="0" w:firstRowLastColumn="0" w:lastRowFirstColumn="0" w:lastRowLastColumn="0"/>
          <w:cantSplit/>
          <w:trHeight w:val="737"/>
          <w:tblHeader/>
        </w:trPr>
        <w:tc>
          <w:tcPr>
            <w:tcW w:w="2762" w:type="pct"/>
          </w:tcPr>
          <w:p w14:paraId="765C3DBD" w14:textId="77777777" w:rsidR="0037078B" w:rsidRPr="00BC6028" w:rsidRDefault="0037078B" w:rsidP="00BC6028">
            <w:pPr>
              <w:pStyle w:val="TableHeader"/>
            </w:pPr>
            <w:r w:rsidRPr="00BC6028">
              <w:t>Non-compliance history category</w:t>
            </w:r>
          </w:p>
        </w:tc>
        <w:tc>
          <w:tcPr>
            <w:tcW w:w="1119" w:type="pct"/>
          </w:tcPr>
          <w:p w14:paraId="4BB96DC7" w14:textId="043E7EE9" w:rsidR="0037078B" w:rsidRPr="00BC6028" w:rsidRDefault="0037078B" w:rsidP="00BC6028">
            <w:pPr>
              <w:pStyle w:val="TableHeader"/>
            </w:pPr>
            <w:r w:rsidRPr="00BC6028">
              <w:t>2022</w:t>
            </w:r>
            <w:r w:rsidR="001E3B73">
              <w:t>-</w:t>
            </w:r>
            <w:r w:rsidR="000F7862">
              <w:t>2</w:t>
            </w:r>
            <w:r w:rsidR="000D4BE4">
              <w:t>5</w:t>
            </w:r>
            <w:r w:rsidRPr="00BC6028">
              <w:br/>
              <w:t>risk factor value</w:t>
            </w:r>
            <w:r w:rsidR="00701B15">
              <w:t>s</w:t>
            </w:r>
          </w:p>
        </w:tc>
        <w:tc>
          <w:tcPr>
            <w:tcW w:w="1119" w:type="pct"/>
          </w:tcPr>
          <w:p w14:paraId="23B53759" w14:textId="0883D872" w:rsidR="0037078B" w:rsidRPr="00BC6028" w:rsidRDefault="0037078B" w:rsidP="00BC6028">
            <w:pPr>
              <w:pStyle w:val="TableHeader"/>
            </w:pPr>
            <w:r w:rsidRPr="00BC6028">
              <w:t>Proposed 202</w:t>
            </w:r>
            <w:r w:rsidR="000D4BE4">
              <w:t>6</w:t>
            </w:r>
            <w:r w:rsidRPr="00BC6028">
              <w:t xml:space="preserve"> </w:t>
            </w:r>
            <w:r w:rsidRPr="00BC6028">
              <w:br/>
              <w:t>risk factor value</w:t>
            </w:r>
            <w:r w:rsidR="00701B15">
              <w:t>s</w:t>
            </w:r>
          </w:p>
        </w:tc>
      </w:tr>
      <w:tr w:rsidR="0037078B" w14:paraId="0ED44097" w14:textId="77777777" w:rsidTr="00A35DF0">
        <w:trPr>
          <w:cnfStyle w:val="000000100000" w:firstRow="0" w:lastRow="0" w:firstColumn="0" w:lastColumn="0" w:oddVBand="0" w:evenVBand="0" w:oddHBand="1" w:evenHBand="0" w:firstRowFirstColumn="0" w:firstRowLastColumn="0" w:lastRowFirstColumn="0" w:lastRowLastColumn="0"/>
          <w:cantSplit/>
          <w:trHeight w:val="454"/>
        </w:trPr>
        <w:tc>
          <w:tcPr>
            <w:tcW w:w="2762" w:type="pct"/>
          </w:tcPr>
          <w:p w14:paraId="2EF3D2B0" w14:textId="77777777" w:rsidR="0037078B" w:rsidRPr="00BC6028" w:rsidRDefault="0037078B" w:rsidP="00BC6028">
            <w:pPr>
              <w:pStyle w:val="Tablecontents0"/>
            </w:pPr>
            <w:r w:rsidRPr="00BC6028">
              <w:t>A weighted late payment measure of 30 days or more</w:t>
            </w:r>
          </w:p>
        </w:tc>
        <w:tc>
          <w:tcPr>
            <w:tcW w:w="1119" w:type="pct"/>
          </w:tcPr>
          <w:p w14:paraId="5AE68007" w14:textId="77777777" w:rsidR="0037078B" w:rsidRPr="00BC6028" w:rsidRDefault="0037078B" w:rsidP="00BC6028">
            <w:pPr>
              <w:pStyle w:val="Tablecontents0"/>
              <w:jc w:val="center"/>
            </w:pPr>
            <w:r w:rsidRPr="00BC6028">
              <w:t>2.0</w:t>
            </w:r>
          </w:p>
        </w:tc>
        <w:tc>
          <w:tcPr>
            <w:tcW w:w="1119" w:type="pct"/>
          </w:tcPr>
          <w:p w14:paraId="57CA816E" w14:textId="77777777" w:rsidR="0037078B" w:rsidRPr="00BC6028" w:rsidRDefault="0037078B" w:rsidP="00BC6028">
            <w:pPr>
              <w:pStyle w:val="Tablecontents0"/>
              <w:jc w:val="center"/>
            </w:pPr>
            <w:r w:rsidRPr="00BC6028">
              <w:t>2.0</w:t>
            </w:r>
          </w:p>
        </w:tc>
      </w:tr>
      <w:tr w:rsidR="0037078B" w14:paraId="57BFEED3" w14:textId="77777777" w:rsidTr="00A35DF0">
        <w:trPr>
          <w:cnfStyle w:val="000000010000" w:firstRow="0" w:lastRow="0" w:firstColumn="0" w:lastColumn="0" w:oddVBand="0" w:evenVBand="0" w:oddHBand="0" w:evenHBand="1" w:firstRowFirstColumn="0" w:firstRowLastColumn="0" w:lastRowFirstColumn="0" w:lastRowLastColumn="0"/>
          <w:cantSplit/>
          <w:trHeight w:val="454"/>
        </w:trPr>
        <w:tc>
          <w:tcPr>
            <w:tcW w:w="2762" w:type="pct"/>
          </w:tcPr>
          <w:p w14:paraId="7FBE9C58" w14:textId="77777777" w:rsidR="0037078B" w:rsidRPr="00BC6028" w:rsidRDefault="0037078B" w:rsidP="00BC6028">
            <w:pPr>
              <w:pStyle w:val="Tablecontents0"/>
            </w:pPr>
            <w:r w:rsidRPr="00BC6028">
              <w:t>A weighted late payment measure of 15 days to &lt; 30 days</w:t>
            </w:r>
          </w:p>
        </w:tc>
        <w:tc>
          <w:tcPr>
            <w:tcW w:w="1119" w:type="pct"/>
          </w:tcPr>
          <w:p w14:paraId="4E80E4B6" w14:textId="77777777" w:rsidR="0037078B" w:rsidRPr="00BC6028" w:rsidRDefault="0037078B" w:rsidP="00BC6028">
            <w:pPr>
              <w:pStyle w:val="Tablecontents0"/>
              <w:jc w:val="center"/>
            </w:pPr>
            <w:r w:rsidRPr="00BC6028">
              <w:t>0.9</w:t>
            </w:r>
          </w:p>
        </w:tc>
        <w:tc>
          <w:tcPr>
            <w:tcW w:w="1119" w:type="pct"/>
          </w:tcPr>
          <w:p w14:paraId="41D306FD" w14:textId="77777777" w:rsidR="0037078B" w:rsidRPr="00BC6028" w:rsidRDefault="0037078B" w:rsidP="00BC6028">
            <w:pPr>
              <w:pStyle w:val="Tablecontents0"/>
              <w:jc w:val="center"/>
            </w:pPr>
            <w:r w:rsidRPr="00BC6028">
              <w:t>0.9</w:t>
            </w:r>
          </w:p>
        </w:tc>
      </w:tr>
      <w:tr w:rsidR="0037078B" w14:paraId="13D1DCCD" w14:textId="77777777" w:rsidTr="00A35DF0">
        <w:trPr>
          <w:cnfStyle w:val="000000100000" w:firstRow="0" w:lastRow="0" w:firstColumn="0" w:lastColumn="0" w:oddVBand="0" w:evenVBand="0" w:oddHBand="1" w:evenHBand="0" w:firstRowFirstColumn="0" w:firstRowLastColumn="0" w:lastRowFirstColumn="0" w:lastRowLastColumn="0"/>
          <w:cantSplit/>
          <w:trHeight w:val="454"/>
        </w:trPr>
        <w:tc>
          <w:tcPr>
            <w:tcW w:w="2762" w:type="pct"/>
          </w:tcPr>
          <w:p w14:paraId="793A0976" w14:textId="77777777" w:rsidR="0037078B" w:rsidRPr="00BC6028" w:rsidRDefault="0037078B" w:rsidP="00BC6028">
            <w:pPr>
              <w:pStyle w:val="Tablecontents0"/>
            </w:pPr>
            <w:r w:rsidRPr="00BC6028">
              <w:t>A weighted late payment measure of 1 day to &lt; 15 days</w:t>
            </w:r>
          </w:p>
        </w:tc>
        <w:tc>
          <w:tcPr>
            <w:tcW w:w="1119" w:type="pct"/>
          </w:tcPr>
          <w:p w14:paraId="4289FAE3" w14:textId="77777777" w:rsidR="0037078B" w:rsidRPr="00BC6028" w:rsidRDefault="0037078B" w:rsidP="00BC6028">
            <w:pPr>
              <w:pStyle w:val="Tablecontents0"/>
              <w:jc w:val="center"/>
            </w:pPr>
            <w:r w:rsidRPr="00BC6028">
              <w:t>0.7</w:t>
            </w:r>
          </w:p>
        </w:tc>
        <w:tc>
          <w:tcPr>
            <w:tcW w:w="1119" w:type="pct"/>
          </w:tcPr>
          <w:p w14:paraId="426ABC98" w14:textId="77777777" w:rsidR="0037078B" w:rsidRPr="00BC6028" w:rsidRDefault="0037078B" w:rsidP="00BC6028">
            <w:pPr>
              <w:pStyle w:val="Tablecontents0"/>
              <w:jc w:val="center"/>
            </w:pPr>
            <w:r w:rsidRPr="00BC6028">
              <w:t>0.7</w:t>
            </w:r>
          </w:p>
        </w:tc>
      </w:tr>
      <w:tr w:rsidR="0037078B" w14:paraId="382151DF" w14:textId="77777777" w:rsidTr="00A35DF0">
        <w:trPr>
          <w:cnfStyle w:val="000000010000" w:firstRow="0" w:lastRow="0" w:firstColumn="0" w:lastColumn="0" w:oddVBand="0" w:evenVBand="0" w:oddHBand="0" w:evenHBand="1" w:firstRowFirstColumn="0" w:firstRowLastColumn="0" w:lastRowFirstColumn="0" w:lastRowLastColumn="0"/>
          <w:cantSplit/>
          <w:trHeight w:val="454"/>
        </w:trPr>
        <w:tc>
          <w:tcPr>
            <w:tcW w:w="2762" w:type="pct"/>
          </w:tcPr>
          <w:p w14:paraId="7510662F" w14:textId="11F8B918" w:rsidR="0037078B" w:rsidRPr="00BC6028" w:rsidRDefault="000B6B27" w:rsidP="00BC6028">
            <w:pPr>
              <w:pStyle w:val="Tablecontents0"/>
            </w:pPr>
            <w:r>
              <w:t>A weighted late payment measure of less than 1 day (including having a weighted late payment measure of 0)</w:t>
            </w:r>
          </w:p>
        </w:tc>
        <w:tc>
          <w:tcPr>
            <w:tcW w:w="1119" w:type="pct"/>
          </w:tcPr>
          <w:p w14:paraId="112CFE61" w14:textId="77777777" w:rsidR="0037078B" w:rsidRPr="00BC6028" w:rsidRDefault="0037078B" w:rsidP="00BC6028">
            <w:pPr>
              <w:pStyle w:val="Tablecontents0"/>
              <w:jc w:val="center"/>
            </w:pPr>
            <w:r w:rsidRPr="00BC6028">
              <w:t>0.0</w:t>
            </w:r>
          </w:p>
        </w:tc>
        <w:tc>
          <w:tcPr>
            <w:tcW w:w="1119" w:type="pct"/>
          </w:tcPr>
          <w:p w14:paraId="062798E6" w14:textId="77777777" w:rsidR="0037078B" w:rsidRPr="00BC6028" w:rsidRDefault="0037078B" w:rsidP="00BC6028">
            <w:pPr>
              <w:pStyle w:val="Tablecontents0"/>
              <w:jc w:val="center"/>
            </w:pPr>
            <w:r w:rsidRPr="00BC6028">
              <w:t>0.0</w:t>
            </w:r>
          </w:p>
        </w:tc>
      </w:tr>
    </w:tbl>
    <w:p w14:paraId="714EB931" w14:textId="77777777" w:rsidR="0037078B" w:rsidRDefault="0037078B" w:rsidP="0037078B">
      <w:pPr>
        <w:keepNext/>
        <w:spacing w:before="100" w:after="100"/>
        <w:jc w:val="center"/>
        <w:rPr>
          <w:b/>
          <w:bCs/>
        </w:rPr>
      </w:pPr>
      <w:r w:rsidRPr="008F21DD">
        <w:rPr>
          <w:b/>
          <w:bCs/>
        </w:rPr>
        <w:t>Plus</w:t>
      </w:r>
    </w:p>
    <w:tbl>
      <w:tblPr>
        <w:tblStyle w:val="TPSTable"/>
        <w:tblW w:w="5000" w:type="pct"/>
        <w:tblLook w:val="04A0" w:firstRow="1" w:lastRow="0" w:firstColumn="1" w:lastColumn="0" w:noHBand="0" w:noVBand="1"/>
      </w:tblPr>
      <w:tblGrid>
        <w:gridCol w:w="5476"/>
        <w:gridCol w:w="2218"/>
        <w:gridCol w:w="2218"/>
      </w:tblGrid>
      <w:tr w:rsidR="0037078B" w14:paraId="6CF789B4" w14:textId="77777777" w:rsidTr="0027400C">
        <w:trPr>
          <w:cnfStyle w:val="100000000000" w:firstRow="1" w:lastRow="0" w:firstColumn="0" w:lastColumn="0" w:oddVBand="0" w:evenVBand="0" w:oddHBand="0" w:evenHBand="0" w:firstRowFirstColumn="0" w:firstRowLastColumn="0" w:lastRowFirstColumn="0" w:lastRowLastColumn="0"/>
          <w:trHeight w:val="737"/>
        </w:trPr>
        <w:tc>
          <w:tcPr>
            <w:tcW w:w="2762" w:type="pct"/>
          </w:tcPr>
          <w:p w14:paraId="74237D31" w14:textId="77777777" w:rsidR="0037078B" w:rsidRPr="00BC6028" w:rsidRDefault="0037078B" w:rsidP="00BC6028">
            <w:pPr>
              <w:pStyle w:val="TableHeader"/>
            </w:pPr>
            <w:r w:rsidRPr="00BC6028">
              <w:t>Registration renewal category</w:t>
            </w:r>
          </w:p>
        </w:tc>
        <w:tc>
          <w:tcPr>
            <w:tcW w:w="1119" w:type="pct"/>
          </w:tcPr>
          <w:p w14:paraId="1086AC53" w14:textId="0C8B1513" w:rsidR="0037078B" w:rsidRPr="00BC6028" w:rsidRDefault="0037078B" w:rsidP="00BC6028">
            <w:pPr>
              <w:pStyle w:val="TableHeader"/>
            </w:pPr>
            <w:r w:rsidRPr="00BC6028">
              <w:t>2022</w:t>
            </w:r>
            <w:r w:rsidR="001E3B73">
              <w:t>-</w:t>
            </w:r>
            <w:r w:rsidR="009354E5">
              <w:t>2</w:t>
            </w:r>
            <w:r w:rsidR="000D4BE4">
              <w:t>5</w:t>
            </w:r>
            <w:r w:rsidRPr="00BC6028">
              <w:br/>
              <w:t>risk factor value</w:t>
            </w:r>
            <w:r w:rsidR="00701B15">
              <w:t>s</w:t>
            </w:r>
          </w:p>
        </w:tc>
        <w:tc>
          <w:tcPr>
            <w:tcW w:w="1119" w:type="pct"/>
          </w:tcPr>
          <w:p w14:paraId="198DB8CF" w14:textId="73881986" w:rsidR="0037078B" w:rsidRPr="00BC6028" w:rsidRDefault="0037078B" w:rsidP="00BC6028">
            <w:pPr>
              <w:pStyle w:val="TableHeader"/>
            </w:pPr>
            <w:r w:rsidRPr="00BC6028">
              <w:t>Proposed 202</w:t>
            </w:r>
            <w:r w:rsidR="000D4BE4">
              <w:t>6</w:t>
            </w:r>
            <w:r w:rsidRPr="00BC6028">
              <w:t xml:space="preserve"> </w:t>
            </w:r>
            <w:r w:rsidRPr="00BC6028">
              <w:br/>
              <w:t>risk factor value</w:t>
            </w:r>
            <w:r w:rsidR="00701B15">
              <w:t>s</w:t>
            </w:r>
          </w:p>
        </w:tc>
      </w:tr>
      <w:tr w:rsidR="0037078B" w14:paraId="5BA21374" w14:textId="77777777" w:rsidTr="009D6021">
        <w:trPr>
          <w:cnfStyle w:val="000000100000" w:firstRow="0" w:lastRow="0" w:firstColumn="0" w:lastColumn="0" w:oddVBand="0" w:evenVBand="0" w:oddHBand="1" w:evenHBand="0" w:firstRowFirstColumn="0" w:firstRowLastColumn="0" w:lastRowFirstColumn="0" w:lastRowLastColumn="0"/>
          <w:trHeight w:val="454"/>
        </w:trPr>
        <w:tc>
          <w:tcPr>
            <w:tcW w:w="2762" w:type="pct"/>
          </w:tcPr>
          <w:p w14:paraId="6F6ABA8B" w14:textId="77777777" w:rsidR="0037078B" w:rsidRPr="00BC6028" w:rsidRDefault="0037078B" w:rsidP="00BC6028">
            <w:pPr>
              <w:pStyle w:val="Tablecontents0"/>
            </w:pPr>
            <w:r w:rsidRPr="00BC6028">
              <w:t>For registration periods less than the maximum allowable</w:t>
            </w:r>
          </w:p>
        </w:tc>
        <w:tc>
          <w:tcPr>
            <w:tcW w:w="1119" w:type="pct"/>
          </w:tcPr>
          <w:p w14:paraId="6C8365F2" w14:textId="77777777" w:rsidR="0037078B" w:rsidRPr="00BC6028" w:rsidRDefault="0037078B" w:rsidP="00BC6028">
            <w:pPr>
              <w:pStyle w:val="Tablecontents0"/>
              <w:jc w:val="center"/>
            </w:pPr>
            <w:r w:rsidRPr="00BC6028">
              <w:t>1.0</w:t>
            </w:r>
          </w:p>
        </w:tc>
        <w:tc>
          <w:tcPr>
            <w:tcW w:w="1119" w:type="pct"/>
          </w:tcPr>
          <w:p w14:paraId="07EAF412" w14:textId="77777777" w:rsidR="0037078B" w:rsidRPr="00BC6028" w:rsidRDefault="0037078B" w:rsidP="00BC6028">
            <w:pPr>
              <w:pStyle w:val="Tablecontents0"/>
              <w:jc w:val="center"/>
            </w:pPr>
            <w:r w:rsidRPr="00BC6028">
              <w:t>1.0</w:t>
            </w:r>
          </w:p>
        </w:tc>
      </w:tr>
      <w:tr w:rsidR="0037078B" w14:paraId="0752F855" w14:textId="77777777" w:rsidTr="009D6021">
        <w:trPr>
          <w:cnfStyle w:val="000000010000" w:firstRow="0" w:lastRow="0" w:firstColumn="0" w:lastColumn="0" w:oddVBand="0" w:evenVBand="0" w:oddHBand="0" w:evenHBand="1" w:firstRowFirstColumn="0" w:firstRowLastColumn="0" w:lastRowFirstColumn="0" w:lastRowLastColumn="0"/>
          <w:trHeight w:val="454"/>
        </w:trPr>
        <w:tc>
          <w:tcPr>
            <w:tcW w:w="2762" w:type="pct"/>
          </w:tcPr>
          <w:p w14:paraId="73D13CD4" w14:textId="77777777" w:rsidR="0037078B" w:rsidRPr="00BC6028" w:rsidRDefault="0037078B" w:rsidP="00BC6028">
            <w:pPr>
              <w:pStyle w:val="Tablecontents0"/>
            </w:pPr>
            <w:r w:rsidRPr="00BC6028">
              <w:t>For registration periods equal to the maximum allowable</w:t>
            </w:r>
          </w:p>
        </w:tc>
        <w:tc>
          <w:tcPr>
            <w:tcW w:w="1119" w:type="pct"/>
          </w:tcPr>
          <w:p w14:paraId="3D177C3D" w14:textId="77777777" w:rsidR="0037078B" w:rsidRPr="00BC6028" w:rsidRDefault="0037078B" w:rsidP="00BC6028">
            <w:pPr>
              <w:pStyle w:val="Tablecontents0"/>
              <w:jc w:val="center"/>
            </w:pPr>
            <w:r w:rsidRPr="00BC6028">
              <w:t>0.0</w:t>
            </w:r>
          </w:p>
        </w:tc>
        <w:tc>
          <w:tcPr>
            <w:tcW w:w="1119" w:type="pct"/>
          </w:tcPr>
          <w:p w14:paraId="4906074D" w14:textId="77777777" w:rsidR="0037078B" w:rsidRPr="00BC6028" w:rsidRDefault="0037078B" w:rsidP="00BC6028">
            <w:pPr>
              <w:pStyle w:val="Tablecontents0"/>
              <w:jc w:val="center"/>
            </w:pPr>
            <w:r w:rsidRPr="00BC6028">
              <w:t>0.0</w:t>
            </w:r>
          </w:p>
        </w:tc>
      </w:tr>
    </w:tbl>
    <w:p w14:paraId="49CF4389" w14:textId="0B7B9815" w:rsidR="008D6B39" w:rsidRPr="008D6B39" w:rsidRDefault="008D6B39" w:rsidP="000B6B27">
      <w:pPr>
        <w:spacing w:before="200"/>
      </w:pPr>
      <w:r w:rsidRPr="00F42332">
        <w:t>The proposed 202</w:t>
      </w:r>
      <w:r w:rsidR="001B33AD">
        <w:t>6</w:t>
      </w:r>
      <w:r w:rsidRPr="00F42332">
        <w:t xml:space="preserve"> </w:t>
      </w:r>
      <w:r w:rsidR="00886015">
        <w:t xml:space="preserve">non-compliance history and registration renewal </w:t>
      </w:r>
      <w:r>
        <w:t xml:space="preserve">risk factor </w:t>
      </w:r>
      <w:r w:rsidRPr="00F42332">
        <w:t xml:space="preserve">values remain </w:t>
      </w:r>
      <w:r>
        <w:t>unchanged from</w:t>
      </w:r>
      <w:r w:rsidRPr="00F42332">
        <w:t xml:space="preserve"> 20</w:t>
      </w:r>
      <w:r w:rsidR="003C6774">
        <w:t>25</w:t>
      </w:r>
      <w:r w:rsidR="005663BD">
        <w:t xml:space="preserve"> (and since 2022)</w:t>
      </w:r>
      <w:r w:rsidRPr="00F42332">
        <w:t>.</w:t>
      </w:r>
    </w:p>
    <w:p w14:paraId="6A4E0860" w14:textId="3A152C69" w:rsidR="00980F53" w:rsidRDefault="0037078B" w:rsidP="00F8744F">
      <w:pPr>
        <w:pStyle w:val="Heading3"/>
      </w:pPr>
      <w:r w:rsidRPr="0027400C">
        <w:t xml:space="preserve">Special </w:t>
      </w:r>
      <w:r w:rsidR="003C6774">
        <w:t>T</w:t>
      </w:r>
      <w:r w:rsidRPr="0027400C">
        <w:t xml:space="preserve">uition </w:t>
      </w:r>
      <w:r w:rsidR="003C6774">
        <w:t>P</w:t>
      </w:r>
      <w:r w:rsidRPr="0027400C">
        <w:t>rotection component</w:t>
      </w:r>
    </w:p>
    <w:p w14:paraId="4091EE9C" w14:textId="01DA8ECC" w:rsidR="001277B2" w:rsidRDefault="00C57DA7" w:rsidP="00C57DA7">
      <w:r w:rsidRPr="1AB39AC0">
        <w:t xml:space="preserve">The </w:t>
      </w:r>
      <w:r w:rsidR="003C6774" w:rsidRPr="003C6774">
        <w:t xml:space="preserve">Special Tuition Protection </w:t>
      </w:r>
      <w:r w:rsidRPr="1AB39AC0">
        <w:t xml:space="preserve">component is intended to build the </w:t>
      </w:r>
      <w:r w:rsidR="00231BF9">
        <w:t>balance</w:t>
      </w:r>
      <w:r w:rsidRPr="1AB39AC0">
        <w:t xml:space="preserve"> of the </w:t>
      </w:r>
      <w:r w:rsidR="00E233F5">
        <w:t xml:space="preserve">levy </w:t>
      </w:r>
      <w:r w:rsidRPr="1AB39AC0">
        <w:t>funds when they are below their target size and help meet</w:t>
      </w:r>
      <w:r>
        <w:t xml:space="preserve"> Commonwealth</w:t>
      </w:r>
      <w:r w:rsidRPr="1AB39AC0">
        <w:t xml:space="preserve"> seed </w:t>
      </w:r>
      <w:r w:rsidR="008634EA">
        <w:t>funding</w:t>
      </w:r>
      <w:r w:rsidR="008634EA" w:rsidRPr="1AB39AC0">
        <w:t xml:space="preserve"> </w:t>
      </w:r>
      <w:r w:rsidRPr="1AB39AC0">
        <w:t>repayments.</w:t>
      </w:r>
    </w:p>
    <w:p w14:paraId="7E0C276A" w14:textId="4C56FF6E" w:rsidR="00C57DA7" w:rsidRDefault="00C57DA7" w:rsidP="00C57DA7">
      <w:r w:rsidRPr="1AB39AC0">
        <w:t xml:space="preserve">It is calculated as a percentage of </w:t>
      </w:r>
      <w:r w:rsidR="00A74808">
        <w:t>the</w:t>
      </w:r>
      <w:r w:rsidRPr="1AB39AC0">
        <w:t xml:space="preserve"> income (loan</w:t>
      </w:r>
      <w:r>
        <w:t xml:space="preserve"> amounts</w:t>
      </w:r>
      <w:r w:rsidRPr="1AB39AC0">
        <w:t xml:space="preserve"> or up-front </w:t>
      </w:r>
      <w:r>
        <w:t>payments</w:t>
      </w:r>
      <w:r w:rsidRPr="1AB39AC0">
        <w:t>)</w:t>
      </w:r>
      <w:r w:rsidR="00231BF9">
        <w:t xml:space="preserve"> received </w:t>
      </w:r>
      <w:r w:rsidR="00A74808">
        <w:t xml:space="preserve">by a provider </w:t>
      </w:r>
      <w:r w:rsidR="00231BF9">
        <w:t>in the previous calendar year</w:t>
      </w:r>
      <w:r w:rsidRPr="1AB39AC0">
        <w:t>.</w:t>
      </w:r>
    </w:p>
    <w:p w14:paraId="1A278C3C" w14:textId="755BAFF1" w:rsidR="004518FD" w:rsidRDefault="004518FD" w:rsidP="00C57DA7">
      <w:r w:rsidRPr="004518FD">
        <w:t>For 2026, the VSL Fund is expected to remain within its target range following the commencement of seed funding repayments in 2025. As a result, the draft settings propose reducing the VSL Special Tuition Protection component to 0 per cent.</w:t>
      </w:r>
    </w:p>
    <w:p w14:paraId="00D28EE5" w14:textId="1B733ED0" w:rsidR="00B27F57" w:rsidRPr="00DC102A" w:rsidRDefault="00B27F57" w:rsidP="00C57DA7">
      <w:r w:rsidRPr="00B27F57">
        <w:t xml:space="preserve">The Higher Education Tuition Protection Fund </w:t>
      </w:r>
      <w:r>
        <w:t>is</w:t>
      </w:r>
      <w:r w:rsidRPr="00B27F57">
        <w:t xml:space="preserve"> </w:t>
      </w:r>
      <w:r>
        <w:t>at the lower end of</w:t>
      </w:r>
      <w:r w:rsidRPr="00B27F57">
        <w:t xml:space="preserve"> its target range, and seed funding repayments are yet to commence. Accordingly, the draft settings propose retaining the Special Tuition Protection component at 0.10 per cent for the HELP and Up</w:t>
      </w:r>
      <w:r w:rsidRPr="00B27F57">
        <w:rPr>
          <w:rFonts w:ascii="Cambria Math" w:hAnsi="Cambria Math" w:cs="Cambria Math"/>
        </w:rPr>
        <w:t>‑</w:t>
      </w:r>
      <w:r w:rsidRPr="00B27F57">
        <w:t>front Payments Levies.</w:t>
      </w:r>
    </w:p>
    <w:p w14:paraId="53813424" w14:textId="1EBA211F" w:rsidR="00C57DA7" w:rsidRDefault="00C57DA7">
      <w:pPr>
        <w:spacing w:after="0"/>
      </w:pPr>
      <w:r>
        <w:br w:type="page"/>
      </w:r>
    </w:p>
    <w:p w14:paraId="76683393" w14:textId="6EDD9FE2" w:rsidR="00C57DA7" w:rsidRDefault="00866E5D" w:rsidP="00886015">
      <w:pPr>
        <w:pStyle w:val="Heading2"/>
      </w:pPr>
      <w:r>
        <w:lastRenderedPageBreak/>
        <w:t>202</w:t>
      </w:r>
      <w:r w:rsidR="00DC102A">
        <w:t>6</w:t>
      </w:r>
      <w:r>
        <w:t xml:space="preserve"> </w:t>
      </w:r>
      <w:r w:rsidR="00C57DA7" w:rsidRPr="000B18B2">
        <w:t xml:space="preserve">VSL </w:t>
      </w:r>
      <w:r w:rsidR="00107F54" w:rsidRPr="000B18B2">
        <w:t>Levy</w:t>
      </w:r>
      <w:r w:rsidR="00886015" w:rsidRPr="000B18B2">
        <w:t xml:space="preserve"> calculation</w:t>
      </w:r>
      <w:r w:rsidR="00C57DA7" w:rsidRPr="000B18B2">
        <w:t xml:space="preserve"> example</w:t>
      </w:r>
    </w:p>
    <w:p w14:paraId="76A4238A" w14:textId="37A0EB50" w:rsidR="005A037E" w:rsidRPr="006F6B7C" w:rsidRDefault="005A037E" w:rsidP="00A471EA">
      <w:r>
        <w:t>Th</w:t>
      </w:r>
      <w:r w:rsidR="007844BB">
        <w:t>is</w:t>
      </w:r>
      <w:r w:rsidR="00107F54">
        <w:t xml:space="preserve"> example is based on a</w:t>
      </w:r>
      <w:r w:rsidR="00F06DE3">
        <w:t xml:space="preserve"> VSL provider that had </w:t>
      </w:r>
      <w:r w:rsidR="00F06DE3" w:rsidRPr="004C5F48">
        <w:rPr>
          <w:b/>
          <w:bCs/>
        </w:rPr>
        <w:t>75</w:t>
      </w:r>
      <w:r w:rsidR="00890ABB">
        <w:rPr>
          <w:b/>
          <w:bCs/>
        </w:rPr>
        <w:t xml:space="preserve"> VSL</w:t>
      </w:r>
      <w:r w:rsidR="00F06DE3" w:rsidRPr="004C5F48">
        <w:rPr>
          <w:b/>
          <w:bCs/>
        </w:rPr>
        <w:t xml:space="preserve"> students</w:t>
      </w:r>
      <w:r w:rsidR="00F06DE3">
        <w:t xml:space="preserve"> and</w:t>
      </w:r>
      <w:r w:rsidR="00F979AE">
        <w:t xml:space="preserve"> received </w:t>
      </w:r>
      <w:r w:rsidR="00F979AE" w:rsidRPr="004C5F48">
        <w:rPr>
          <w:b/>
          <w:bCs/>
        </w:rPr>
        <w:t>$250,000 in VSL loan amounts</w:t>
      </w:r>
      <w:r w:rsidR="004C5F48">
        <w:t xml:space="preserve"> in 202</w:t>
      </w:r>
      <w:r w:rsidR="00DC102A">
        <w:t>5</w:t>
      </w:r>
      <w:r w:rsidR="004C5F48">
        <w:t>.</w:t>
      </w:r>
    </w:p>
    <w:tbl>
      <w:tblPr>
        <w:tblStyle w:val="TPSTable"/>
        <w:tblW w:w="5000" w:type="pct"/>
        <w:tblLook w:val="0420" w:firstRow="1" w:lastRow="0" w:firstColumn="0" w:lastColumn="0" w:noHBand="0" w:noVBand="1"/>
      </w:tblPr>
      <w:tblGrid>
        <w:gridCol w:w="2831"/>
        <w:gridCol w:w="7081"/>
      </w:tblGrid>
      <w:tr w:rsidR="00A471EA" w:rsidRPr="00AE2C41" w14:paraId="0420EB79" w14:textId="77777777" w:rsidTr="003B15BE">
        <w:trPr>
          <w:cnfStyle w:val="100000000000" w:firstRow="1" w:lastRow="0" w:firstColumn="0" w:lastColumn="0" w:oddVBand="0" w:evenVBand="0" w:oddHBand="0" w:evenHBand="0" w:firstRowFirstColumn="0" w:firstRowLastColumn="0" w:lastRowFirstColumn="0" w:lastRowLastColumn="0"/>
          <w:trHeight w:val="454"/>
        </w:trPr>
        <w:tc>
          <w:tcPr>
            <w:tcW w:w="1428" w:type="pct"/>
            <w:hideMark/>
          </w:tcPr>
          <w:p w14:paraId="05D993A9" w14:textId="3514526F" w:rsidR="00A471EA" w:rsidRPr="00AE2C41" w:rsidRDefault="00B94C74">
            <w:pPr>
              <w:pStyle w:val="TableHeader"/>
              <w:keepNext/>
            </w:pPr>
            <w:r>
              <w:t>L</w:t>
            </w:r>
            <w:r w:rsidR="00A471EA">
              <w:t>evy c</w:t>
            </w:r>
            <w:r w:rsidR="00A471EA" w:rsidRPr="00AE2C41">
              <w:t>omponent</w:t>
            </w:r>
          </w:p>
        </w:tc>
        <w:tc>
          <w:tcPr>
            <w:tcW w:w="3572" w:type="pct"/>
            <w:hideMark/>
          </w:tcPr>
          <w:p w14:paraId="070273CB" w14:textId="77777777" w:rsidR="00A471EA" w:rsidRPr="0020225B" w:rsidRDefault="00A471EA">
            <w:pPr>
              <w:pStyle w:val="TableHeader"/>
              <w:keepNext/>
            </w:pPr>
            <w:r w:rsidRPr="0020225B">
              <w:t>Levy calculation</w:t>
            </w:r>
          </w:p>
        </w:tc>
      </w:tr>
      <w:tr w:rsidR="00A471EA" w:rsidRPr="00AE2C41" w14:paraId="728730FB"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7DF62153" w14:textId="724996AA" w:rsidR="00A471EA" w:rsidRPr="00845E96" w:rsidRDefault="00A471EA" w:rsidP="00FB0698">
            <w:pPr>
              <w:pStyle w:val="Tablecontents0"/>
              <w:keepNext/>
              <w:rPr>
                <w:b/>
                <w:bCs/>
                <w:color w:val="auto"/>
                <w:highlight w:val="cyan"/>
              </w:rPr>
            </w:pPr>
            <w:r w:rsidRPr="00E64F84">
              <w:rPr>
                <w:b/>
                <w:bCs/>
                <w:color w:val="auto"/>
              </w:rPr>
              <w:t xml:space="preserve">Administrative </w:t>
            </w:r>
            <w:r w:rsidR="00DC102A">
              <w:rPr>
                <w:b/>
                <w:bCs/>
                <w:color w:val="auto"/>
              </w:rPr>
              <w:t>F</w:t>
            </w:r>
            <w:r w:rsidRPr="00E64F84">
              <w:rPr>
                <w:b/>
                <w:bCs/>
                <w:color w:val="auto"/>
              </w:rPr>
              <w:t>ee</w:t>
            </w:r>
            <w:r w:rsidR="00874E30" w:rsidRPr="00E64F84">
              <w:rPr>
                <w:b/>
                <w:bCs/>
                <w:color w:val="auto"/>
                <w:vertAlign w:val="superscript"/>
              </w:rPr>
              <w:t>*</w:t>
            </w:r>
          </w:p>
        </w:tc>
        <w:tc>
          <w:tcPr>
            <w:tcW w:w="3572" w:type="pct"/>
            <w:hideMark/>
          </w:tcPr>
          <w:p w14:paraId="666958F9" w14:textId="57590D06" w:rsidR="00A471EA" w:rsidRPr="00CE20DA" w:rsidRDefault="00A471EA">
            <w:pPr>
              <w:pStyle w:val="Tablecontents0"/>
              <w:keepNext/>
              <w:rPr>
                <w:color w:val="auto"/>
              </w:rPr>
            </w:pPr>
            <w:r w:rsidRPr="00CE20DA">
              <w:rPr>
                <w:color w:val="auto"/>
              </w:rPr>
              <w:t>$1</w:t>
            </w:r>
            <w:r w:rsidR="00510702">
              <w:rPr>
                <w:color w:val="auto"/>
              </w:rPr>
              <w:t>2</w:t>
            </w:r>
            <w:r w:rsidR="00FB2F39">
              <w:rPr>
                <w:color w:val="auto"/>
              </w:rPr>
              <w:t>9</w:t>
            </w:r>
            <w:r w:rsidRPr="00CE20DA">
              <w:rPr>
                <w:color w:val="auto"/>
              </w:rPr>
              <w:t xml:space="preserve"> + (</w:t>
            </w:r>
            <w:r w:rsidR="00D50F48" w:rsidRPr="00CE20DA">
              <w:rPr>
                <w:color w:val="auto"/>
              </w:rPr>
              <w:t xml:space="preserve">75 x </w:t>
            </w:r>
            <w:r w:rsidRPr="00CE20DA">
              <w:rPr>
                <w:color w:val="auto"/>
              </w:rPr>
              <w:t>$</w:t>
            </w:r>
            <w:r w:rsidR="000F5D6F" w:rsidRPr="00CE20DA">
              <w:rPr>
                <w:color w:val="auto"/>
              </w:rPr>
              <w:t>10</w:t>
            </w:r>
            <w:r w:rsidRPr="00CE20DA">
              <w:rPr>
                <w:color w:val="auto"/>
              </w:rPr>
              <w:t>.</w:t>
            </w:r>
            <w:r w:rsidR="00DC102A">
              <w:rPr>
                <w:color w:val="auto"/>
              </w:rPr>
              <w:t>8</w:t>
            </w:r>
            <w:r w:rsidR="00510702">
              <w:rPr>
                <w:color w:val="auto"/>
              </w:rPr>
              <w:t>5</w:t>
            </w:r>
            <w:r w:rsidRPr="00CE20DA">
              <w:rPr>
                <w:color w:val="auto"/>
              </w:rPr>
              <w:t xml:space="preserve">) = </w:t>
            </w:r>
            <w:r w:rsidRPr="00D029CC">
              <w:rPr>
                <w:color w:val="BC360C"/>
              </w:rPr>
              <w:t>$</w:t>
            </w:r>
            <w:r w:rsidR="00E64F84">
              <w:rPr>
                <w:color w:val="BC360C"/>
              </w:rPr>
              <w:t>9</w:t>
            </w:r>
            <w:r w:rsidR="00FE0BBF">
              <w:rPr>
                <w:color w:val="BC360C"/>
              </w:rPr>
              <w:t>42</w:t>
            </w:r>
            <w:r w:rsidRPr="00D029CC">
              <w:rPr>
                <w:color w:val="BC360C"/>
              </w:rPr>
              <w:t>.</w:t>
            </w:r>
            <w:r w:rsidR="00FE0BBF">
              <w:rPr>
                <w:color w:val="BC360C"/>
              </w:rPr>
              <w:t>7</w:t>
            </w:r>
            <w:r w:rsidRPr="00D029CC">
              <w:rPr>
                <w:color w:val="BC360C"/>
              </w:rPr>
              <w:t>5</w:t>
            </w:r>
          </w:p>
        </w:tc>
      </w:tr>
      <w:tr w:rsidR="00A471EA" w:rsidRPr="00AE2C41" w14:paraId="7D89FFA1" w14:textId="77777777" w:rsidTr="003B15BE">
        <w:trPr>
          <w:cnfStyle w:val="000000010000" w:firstRow="0" w:lastRow="0" w:firstColumn="0" w:lastColumn="0" w:oddVBand="0" w:evenVBand="0" w:oddHBand="0" w:evenHBand="1" w:firstRowFirstColumn="0" w:firstRowLastColumn="0" w:lastRowFirstColumn="0" w:lastRowLastColumn="0"/>
          <w:trHeight w:val="2697"/>
        </w:trPr>
        <w:tc>
          <w:tcPr>
            <w:tcW w:w="1428" w:type="pct"/>
            <w:vAlign w:val="top"/>
            <w:hideMark/>
          </w:tcPr>
          <w:p w14:paraId="476EF5EF" w14:textId="3F9C0B0A" w:rsidR="00A471EA" w:rsidRPr="00845E96" w:rsidRDefault="00A471EA" w:rsidP="00FB0698">
            <w:pPr>
              <w:pStyle w:val="Tablecontents0"/>
              <w:keepNext/>
              <w:rPr>
                <w:b/>
                <w:bCs/>
                <w:color w:val="auto"/>
                <w:highlight w:val="cyan"/>
              </w:rPr>
            </w:pPr>
            <w:r w:rsidRPr="008C6FED">
              <w:rPr>
                <w:b/>
                <w:bCs/>
                <w:color w:val="auto"/>
              </w:rPr>
              <w:t xml:space="preserve">Risk </w:t>
            </w:r>
            <w:r w:rsidR="00DC102A">
              <w:rPr>
                <w:b/>
                <w:bCs/>
                <w:color w:val="auto"/>
              </w:rPr>
              <w:t>R</w:t>
            </w:r>
            <w:r w:rsidRPr="008C6FED">
              <w:rPr>
                <w:b/>
                <w:bCs/>
                <w:color w:val="auto"/>
              </w:rPr>
              <w:t xml:space="preserve">ated </w:t>
            </w:r>
            <w:r w:rsidR="00DC102A">
              <w:rPr>
                <w:b/>
                <w:bCs/>
                <w:color w:val="auto"/>
              </w:rPr>
              <w:t>P</w:t>
            </w:r>
            <w:r w:rsidRPr="008C6FED">
              <w:rPr>
                <w:b/>
                <w:bCs/>
                <w:color w:val="auto"/>
              </w:rPr>
              <w:t>remium</w:t>
            </w:r>
            <w:r w:rsidR="00880A8E" w:rsidRPr="008C6FED">
              <w:rPr>
                <w:b/>
                <w:bCs/>
                <w:color w:val="auto"/>
                <w:vertAlign w:val="superscript"/>
              </w:rPr>
              <w:t>^</w:t>
            </w:r>
          </w:p>
        </w:tc>
        <w:tc>
          <w:tcPr>
            <w:tcW w:w="3572" w:type="pct"/>
            <w:hideMark/>
          </w:tcPr>
          <w:p w14:paraId="06DDA945" w14:textId="77777777" w:rsidR="00A471EA" w:rsidRPr="00CE20DA" w:rsidRDefault="00A471EA">
            <w:pPr>
              <w:pStyle w:val="Tablecontents0"/>
              <w:keepNext/>
              <w:rPr>
                <w:color w:val="auto"/>
              </w:rPr>
            </w:pPr>
            <w:r w:rsidRPr="00CE20DA">
              <w:rPr>
                <w:b/>
                <w:bCs/>
                <w:color w:val="262626" w:themeColor="text1" w:themeTint="D9"/>
              </w:rPr>
              <w:t>Step 1</w:t>
            </w:r>
            <w:r w:rsidRPr="00CE20DA">
              <w:rPr>
                <w:color w:val="auto"/>
                <w:spacing w:val="20"/>
              </w:rPr>
              <w:t xml:space="preserve">: </w:t>
            </w:r>
            <w:r w:rsidRPr="00CE20DA">
              <w:rPr>
                <w:color w:val="auto"/>
              </w:rPr>
              <w:t xml:space="preserve">75 x </w:t>
            </w:r>
            <w:r w:rsidRPr="00CE20DA">
              <w:rPr>
                <w:b/>
                <w:bCs/>
                <w:color w:val="auto"/>
              </w:rPr>
              <w:t>$6</w:t>
            </w:r>
            <w:r w:rsidRPr="00CE20DA">
              <w:rPr>
                <w:color w:val="auto"/>
              </w:rPr>
              <w:t xml:space="preserve"> = $450</w:t>
            </w:r>
          </w:p>
          <w:p w14:paraId="00B36E93" w14:textId="64FC1339" w:rsidR="00A471EA" w:rsidRPr="00CE20DA" w:rsidRDefault="00A471EA">
            <w:pPr>
              <w:pStyle w:val="Tablecontents0"/>
              <w:keepNext/>
              <w:rPr>
                <w:color w:val="auto"/>
              </w:rPr>
            </w:pPr>
            <w:r w:rsidRPr="00CE20DA">
              <w:rPr>
                <w:b/>
                <w:bCs/>
                <w:color w:val="262626" w:themeColor="text1" w:themeTint="D9"/>
              </w:rPr>
              <w:t>Step 2</w:t>
            </w:r>
            <w:r w:rsidRPr="00CE20DA">
              <w:rPr>
                <w:color w:val="auto"/>
                <w:spacing w:val="20"/>
              </w:rPr>
              <w:t xml:space="preserve">: </w:t>
            </w:r>
            <w:r w:rsidRPr="00CE20DA">
              <w:rPr>
                <w:color w:val="auto"/>
              </w:rPr>
              <w:t xml:space="preserve">$250,000 x </w:t>
            </w:r>
            <w:r w:rsidRPr="00CE20DA">
              <w:rPr>
                <w:b/>
                <w:bCs/>
                <w:color w:val="auto"/>
              </w:rPr>
              <w:t>0.1</w:t>
            </w:r>
            <w:r w:rsidR="006E1898" w:rsidRPr="00CE20DA">
              <w:rPr>
                <w:b/>
                <w:bCs/>
                <w:color w:val="auto"/>
              </w:rPr>
              <w:t>3</w:t>
            </w:r>
            <w:r w:rsidRPr="00CE20DA">
              <w:rPr>
                <w:b/>
                <w:bCs/>
                <w:color w:val="auto"/>
              </w:rPr>
              <w:t>%</w:t>
            </w:r>
            <w:r w:rsidRPr="00CE20DA">
              <w:rPr>
                <w:color w:val="auto"/>
              </w:rPr>
              <w:t xml:space="preserve"> = $</w:t>
            </w:r>
            <w:r w:rsidR="00091975" w:rsidRPr="00CE20DA">
              <w:rPr>
                <w:color w:val="auto"/>
              </w:rPr>
              <w:t>3</w:t>
            </w:r>
            <w:r w:rsidRPr="00CE20DA">
              <w:rPr>
                <w:color w:val="auto"/>
              </w:rPr>
              <w:t>25</w:t>
            </w:r>
          </w:p>
          <w:p w14:paraId="7EA59AD8" w14:textId="5A9A8C4E" w:rsidR="00A471EA" w:rsidRPr="00CE20DA" w:rsidRDefault="00A471EA">
            <w:pPr>
              <w:pStyle w:val="Tablecontents0"/>
              <w:keepNext/>
              <w:rPr>
                <w:color w:val="auto"/>
              </w:rPr>
            </w:pPr>
            <w:r w:rsidRPr="00CE20DA">
              <w:rPr>
                <w:b/>
                <w:bCs/>
                <w:color w:val="262626" w:themeColor="text1" w:themeTint="D9"/>
              </w:rPr>
              <w:t>Step 3</w:t>
            </w:r>
            <w:r w:rsidRPr="00CE20DA">
              <w:rPr>
                <w:color w:val="auto"/>
                <w:spacing w:val="20"/>
              </w:rPr>
              <w:t xml:space="preserve">: </w:t>
            </w:r>
            <w:r w:rsidRPr="00CE20DA">
              <w:rPr>
                <w:color w:val="auto"/>
              </w:rPr>
              <w:t>$450 + $</w:t>
            </w:r>
            <w:r w:rsidR="00091975" w:rsidRPr="00CE20DA">
              <w:rPr>
                <w:color w:val="auto"/>
              </w:rPr>
              <w:t>3</w:t>
            </w:r>
            <w:r w:rsidRPr="00CE20DA">
              <w:rPr>
                <w:color w:val="auto"/>
              </w:rPr>
              <w:t>25 = $</w:t>
            </w:r>
            <w:r w:rsidR="00525573" w:rsidRPr="00CE20DA">
              <w:rPr>
                <w:color w:val="auto"/>
              </w:rPr>
              <w:t>7</w:t>
            </w:r>
            <w:r w:rsidRPr="00CE20DA">
              <w:rPr>
                <w:color w:val="auto"/>
              </w:rPr>
              <w:t>75</w:t>
            </w:r>
          </w:p>
          <w:p w14:paraId="32325F6F" w14:textId="05D27BFE" w:rsidR="00A471EA" w:rsidRPr="00CE20DA" w:rsidRDefault="00A471EA">
            <w:pPr>
              <w:pStyle w:val="Tablecontents0"/>
              <w:keepNext/>
              <w:rPr>
                <w:color w:val="auto"/>
              </w:rPr>
            </w:pPr>
            <w:r w:rsidRPr="00CE20DA">
              <w:rPr>
                <w:b/>
                <w:bCs/>
                <w:color w:val="262626" w:themeColor="text1" w:themeTint="D9"/>
              </w:rPr>
              <w:t>Step 4</w:t>
            </w:r>
            <w:r w:rsidRPr="00CE20DA">
              <w:rPr>
                <w:color w:val="auto"/>
                <w:spacing w:val="20"/>
              </w:rPr>
              <w:t xml:space="preserve">: </w:t>
            </w:r>
            <w:r w:rsidRPr="00CE20DA">
              <w:rPr>
                <w:color w:val="auto"/>
              </w:rPr>
              <w:t xml:space="preserve">Financial strength score: 6 (risk factor value = </w:t>
            </w:r>
            <w:r w:rsidRPr="00CE20DA">
              <w:rPr>
                <w:b/>
                <w:bCs/>
                <w:color w:val="auto"/>
              </w:rPr>
              <w:t>1</w:t>
            </w:r>
            <w:r w:rsidR="006C1FC2" w:rsidRPr="00CE20DA">
              <w:rPr>
                <w:b/>
                <w:bCs/>
                <w:color w:val="auto"/>
              </w:rPr>
              <w:t>.0</w:t>
            </w:r>
            <w:r w:rsidRPr="00CE20DA">
              <w:rPr>
                <w:color w:val="auto"/>
              </w:rPr>
              <w:t>)</w:t>
            </w:r>
          </w:p>
          <w:p w14:paraId="5183FA38" w14:textId="77777777" w:rsidR="00A471EA" w:rsidRPr="00CE20DA" w:rsidRDefault="00A471EA">
            <w:pPr>
              <w:pStyle w:val="Tablecontents0"/>
              <w:keepNext/>
              <w:ind w:left="692"/>
              <w:rPr>
                <w:color w:val="auto"/>
              </w:rPr>
            </w:pPr>
            <w:r w:rsidRPr="00CE20DA">
              <w:rPr>
                <w:color w:val="auto"/>
              </w:rPr>
              <w:t xml:space="preserve">Completion rate percentage: 50% (risk factor value = </w:t>
            </w:r>
            <w:r w:rsidRPr="00CE20DA">
              <w:rPr>
                <w:b/>
                <w:bCs/>
                <w:color w:val="auto"/>
              </w:rPr>
              <w:t>2.5</w:t>
            </w:r>
            <w:r w:rsidRPr="00CE20DA">
              <w:rPr>
                <w:color w:val="auto"/>
              </w:rPr>
              <w:t>)</w:t>
            </w:r>
          </w:p>
          <w:p w14:paraId="4F230877" w14:textId="77777777" w:rsidR="00A471EA" w:rsidRPr="00CE20DA" w:rsidRDefault="00A471EA">
            <w:pPr>
              <w:pStyle w:val="Tablecontents0"/>
              <w:keepNext/>
              <w:ind w:left="692"/>
              <w:rPr>
                <w:color w:val="auto"/>
              </w:rPr>
            </w:pPr>
            <w:r w:rsidRPr="00CE20DA">
              <w:rPr>
                <w:color w:val="auto"/>
              </w:rPr>
              <w:t xml:space="preserve">Non-compliance history and registration renewal: weighted late payment measure of 17 days applied (risk factor value = </w:t>
            </w:r>
            <w:r w:rsidRPr="00CE20DA">
              <w:rPr>
                <w:b/>
                <w:bCs/>
                <w:color w:val="auto"/>
              </w:rPr>
              <w:t>0.9</w:t>
            </w:r>
            <w:r w:rsidRPr="00CE20DA">
              <w:rPr>
                <w:color w:val="auto"/>
              </w:rPr>
              <w:t>)</w:t>
            </w:r>
          </w:p>
          <w:p w14:paraId="0E089A12" w14:textId="22EB2BAA" w:rsidR="00A471EA" w:rsidRPr="00CE20DA" w:rsidRDefault="00A471EA">
            <w:pPr>
              <w:pStyle w:val="Tablecontents0"/>
              <w:keepNext/>
              <w:rPr>
                <w:color w:val="auto"/>
              </w:rPr>
            </w:pPr>
            <w:r w:rsidRPr="00CE20DA">
              <w:rPr>
                <w:b/>
                <w:bCs/>
                <w:color w:val="262626" w:themeColor="text1" w:themeTint="D9"/>
              </w:rPr>
              <w:t>Step 5</w:t>
            </w:r>
            <w:r w:rsidRPr="00CE20DA">
              <w:rPr>
                <w:color w:val="auto"/>
                <w:spacing w:val="20"/>
              </w:rPr>
              <w:t xml:space="preserve">: </w:t>
            </w:r>
            <w:r w:rsidRPr="00CE20DA">
              <w:rPr>
                <w:color w:val="auto"/>
              </w:rPr>
              <w:t>(1</w:t>
            </w:r>
            <w:r w:rsidR="009F654F" w:rsidRPr="00CE20DA">
              <w:rPr>
                <w:color w:val="auto"/>
              </w:rPr>
              <w:t>.0</w:t>
            </w:r>
            <w:r w:rsidRPr="00CE20DA">
              <w:rPr>
                <w:color w:val="auto"/>
              </w:rPr>
              <w:t xml:space="preserve"> + 2.5 + 0.9) + 1 = 5.4</w:t>
            </w:r>
          </w:p>
          <w:p w14:paraId="7B0B5A09" w14:textId="2920492F" w:rsidR="00A471EA" w:rsidRPr="00CE20DA" w:rsidRDefault="00A471EA">
            <w:pPr>
              <w:pStyle w:val="Tablecontents0"/>
              <w:keepNext/>
              <w:rPr>
                <w:color w:val="auto"/>
              </w:rPr>
            </w:pPr>
            <w:r w:rsidRPr="00CE20DA">
              <w:rPr>
                <w:b/>
                <w:bCs/>
                <w:color w:val="262626" w:themeColor="text1" w:themeTint="D9"/>
              </w:rPr>
              <w:t>Step 6</w:t>
            </w:r>
            <w:r w:rsidRPr="00CE20DA">
              <w:rPr>
                <w:color w:val="auto"/>
                <w:spacing w:val="20"/>
              </w:rPr>
              <w:t xml:space="preserve">: </w:t>
            </w:r>
            <w:r w:rsidRPr="00CE20DA">
              <w:rPr>
                <w:color w:val="auto"/>
              </w:rPr>
              <w:t>$</w:t>
            </w:r>
            <w:r w:rsidR="00D47842" w:rsidRPr="00CE20DA">
              <w:rPr>
                <w:color w:val="auto"/>
              </w:rPr>
              <w:t>7</w:t>
            </w:r>
            <w:r w:rsidRPr="00CE20DA">
              <w:rPr>
                <w:color w:val="auto"/>
              </w:rPr>
              <w:t xml:space="preserve">75 x 5.4 = </w:t>
            </w:r>
            <w:r w:rsidRPr="00D029CC">
              <w:rPr>
                <w:color w:val="BC360C"/>
              </w:rPr>
              <w:t>$4,</w:t>
            </w:r>
            <w:r w:rsidR="001C5269" w:rsidRPr="00D029CC">
              <w:rPr>
                <w:color w:val="BC360C"/>
              </w:rPr>
              <w:t>18</w:t>
            </w:r>
            <w:r w:rsidRPr="00D029CC">
              <w:rPr>
                <w:color w:val="BC360C"/>
              </w:rPr>
              <w:t>5</w:t>
            </w:r>
          </w:p>
        </w:tc>
      </w:tr>
      <w:tr w:rsidR="00A471EA" w:rsidRPr="00AE2C41" w14:paraId="28C0C6B0"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3220C723" w14:textId="79E5C46E" w:rsidR="00A471EA" w:rsidRPr="00845E96" w:rsidRDefault="00A471EA" w:rsidP="00FB0698">
            <w:pPr>
              <w:pStyle w:val="Tablecontents0"/>
              <w:keepNext/>
              <w:rPr>
                <w:b/>
                <w:bCs/>
                <w:color w:val="auto"/>
                <w:highlight w:val="cyan"/>
              </w:rPr>
            </w:pPr>
            <w:r w:rsidRPr="005A75F5">
              <w:rPr>
                <w:b/>
                <w:bCs/>
                <w:color w:val="auto"/>
              </w:rPr>
              <w:t xml:space="preserve">Special </w:t>
            </w:r>
            <w:r w:rsidR="00DC102A">
              <w:rPr>
                <w:b/>
                <w:bCs/>
                <w:color w:val="auto"/>
              </w:rPr>
              <w:t>T</w:t>
            </w:r>
            <w:r w:rsidRPr="005A75F5">
              <w:rPr>
                <w:b/>
                <w:bCs/>
                <w:color w:val="auto"/>
              </w:rPr>
              <w:t xml:space="preserve">uition </w:t>
            </w:r>
            <w:r w:rsidR="00DC102A">
              <w:rPr>
                <w:b/>
                <w:bCs/>
                <w:color w:val="auto"/>
              </w:rPr>
              <w:t>P</w:t>
            </w:r>
            <w:r w:rsidRPr="005A75F5">
              <w:rPr>
                <w:b/>
                <w:bCs/>
                <w:color w:val="auto"/>
              </w:rPr>
              <w:t>rotection</w:t>
            </w:r>
          </w:p>
        </w:tc>
        <w:tc>
          <w:tcPr>
            <w:tcW w:w="3572" w:type="pct"/>
            <w:hideMark/>
          </w:tcPr>
          <w:p w14:paraId="2E84691A" w14:textId="2966539A" w:rsidR="00A471EA" w:rsidRPr="00092584" w:rsidRDefault="00A471EA">
            <w:pPr>
              <w:pStyle w:val="Tablecontents0"/>
              <w:keepNext/>
              <w:rPr>
                <w:color w:val="auto"/>
              </w:rPr>
            </w:pPr>
            <w:r w:rsidRPr="00092584">
              <w:rPr>
                <w:color w:val="auto"/>
              </w:rPr>
              <w:t xml:space="preserve">$250,000 x 0% = </w:t>
            </w:r>
            <w:r w:rsidRPr="00092584">
              <w:rPr>
                <w:color w:val="BC360C"/>
              </w:rPr>
              <w:t>$</w:t>
            </w:r>
            <w:r w:rsidR="00430D02" w:rsidRPr="00092584">
              <w:rPr>
                <w:color w:val="BC360C"/>
              </w:rPr>
              <w:t>0</w:t>
            </w:r>
          </w:p>
        </w:tc>
      </w:tr>
      <w:tr w:rsidR="00A471EA" w:rsidRPr="00AE2C41" w14:paraId="51B5F8EF" w14:textId="77777777" w:rsidTr="003B15BE">
        <w:trPr>
          <w:cnfStyle w:val="000000010000" w:firstRow="0" w:lastRow="0" w:firstColumn="0" w:lastColumn="0" w:oddVBand="0" w:evenVBand="0" w:oddHBand="0" w:evenHBand="1" w:firstRowFirstColumn="0" w:firstRowLastColumn="0" w:lastRowFirstColumn="0" w:lastRowLastColumn="0"/>
          <w:trHeight w:val="454"/>
        </w:trPr>
        <w:tc>
          <w:tcPr>
            <w:tcW w:w="1428" w:type="pct"/>
            <w:vAlign w:val="top"/>
            <w:hideMark/>
          </w:tcPr>
          <w:p w14:paraId="06932947" w14:textId="0DA1AD58" w:rsidR="00A471EA" w:rsidRPr="00AD0DBC" w:rsidRDefault="00A471EA" w:rsidP="00FB0698">
            <w:pPr>
              <w:pStyle w:val="Tablecontents0"/>
              <w:keepNext/>
              <w:rPr>
                <w:b/>
                <w:bCs/>
                <w:color w:val="auto"/>
              </w:rPr>
            </w:pPr>
            <w:r w:rsidRPr="005A75F5">
              <w:rPr>
                <w:b/>
                <w:bCs/>
                <w:color w:val="auto"/>
              </w:rPr>
              <w:t xml:space="preserve">Total </w:t>
            </w:r>
            <w:r w:rsidR="00140495" w:rsidRPr="005A75F5">
              <w:rPr>
                <w:b/>
                <w:bCs/>
                <w:color w:val="auto"/>
              </w:rPr>
              <w:t>202</w:t>
            </w:r>
            <w:r w:rsidR="00DC102A">
              <w:rPr>
                <w:b/>
                <w:bCs/>
                <w:color w:val="auto"/>
              </w:rPr>
              <w:t>6</w:t>
            </w:r>
            <w:r w:rsidR="00140495" w:rsidRPr="005A75F5">
              <w:rPr>
                <w:b/>
                <w:bCs/>
                <w:color w:val="auto"/>
              </w:rPr>
              <w:t xml:space="preserve"> VSL L</w:t>
            </w:r>
            <w:r w:rsidRPr="005A75F5">
              <w:rPr>
                <w:b/>
                <w:bCs/>
                <w:color w:val="auto"/>
              </w:rPr>
              <w:t>evy</w:t>
            </w:r>
          </w:p>
        </w:tc>
        <w:tc>
          <w:tcPr>
            <w:tcW w:w="3572" w:type="pct"/>
            <w:hideMark/>
          </w:tcPr>
          <w:p w14:paraId="56A34C61" w14:textId="05987D53" w:rsidR="00A471EA" w:rsidRPr="00092584" w:rsidRDefault="00F33F81">
            <w:pPr>
              <w:pStyle w:val="Tablecontents0"/>
              <w:keepNext/>
              <w:rPr>
                <w:color w:val="auto"/>
              </w:rPr>
            </w:pPr>
            <w:r w:rsidRPr="00092584">
              <w:rPr>
                <w:color w:val="auto"/>
              </w:rPr>
              <w:t>$942.75</w:t>
            </w:r>
            <w:r w:rsidR="00A471EA" w:rsidRPr="00092584">
              <w:rPr>
                <w:color w:val="auto"/>
              </w:rPr>
              <w:t xml:space="preserve"> + $4,</w:t>
            </w:r>
            <w:r w:rsidR="001C5269" w:rsidRPr="00092584">
              <w:rPr>
                <w:color w:val="auto"/>
              </w:rPr>
              <w:t>18</w:t>
            </w:r>
            <w:r w:rsidR="00A471EA" w:rsidRPr="00092584">
              <w:rPr>
                <w:color w:val="auto"/>
              </w:rPr>
              <w:t xml:space="preserve">5 + $0 = </w:t>
            </w:r>
            <w:r w:rsidR="00A471EA" w:rsidRPr="00092584">
              <w:rPr>
                <w:b/>
                <w:bCs/>
                <w:color w:val="BC360C"/>
              </w:rPr>
              <w:t>$5,</w:t>
            </w:r>
            <w:r w:rsidR="00092584" w:rsidRPr="00092584">
              <w:rPr>
                <w:b/>
                <w:bCs/>
                <w:color w:val="BC360C"/>
              </w:rPr>
              <w:t>12</w:t>
            </w:r>
            <w:r w:rsidR="0046019C" w:rsidRPr="00092584">
              <w:rPr>
                <w:b/>
                <w:bCs/>
                <w:color w:val="BC360C"/>
              </w:rPr>
              <w:t>7</w:t>
            </w:r>
            <w:r w:rsidR="00A471EA" w:rsidRPr="00092584">
              <w:rPr>
                <w:b/>
                <w:bCs/>
                <w:color w:val="BC360C"/>
              </w:rPr>
              <w:t>.</w:t>
            </w:r>
            <w:r w:rsidR="0046019C" w:rsidRPr="00092584">
              <w:rPr>
                <w:b/>
                <w:bCs/>
                <w:color w:val="BC360C"/>
              </w:rPr>
              <w:t>7</w:t>
            </w:r>
            <w:r w:rsidR="00A471EA" w:rsidRPr="00092584">
              <w:rPr>
                <w:b/>
                <w:bCs/>
                <w:color w:val="BC360C"/>
              </w:rPr>
              <w:t>5</w:t>
            </w:r>
          </w:p>
        </w:tc>
      </w:tr>
    </w:tbl>
    <w:p w14:paraId="1400B50B" w14:textId="3EA42B1A" w:rsidR="00F95D39" w:rsidRPr="005A75F5" w:rsidRDefault="00F95D39" w:rsidP="009215DD">
      <w:pPr>
        <w:pStyle w:val="Footnote"/>
        <w:spacing w:after="80"/>
      </w:pPr>
      <w:r w:rsidRPr="005A75F5">
        <w:rPr>
          <w:b/>
          <w:bCs/>
        </w:rPr>
        <w:t>*</w:t>
      </w:r>
      <w:r w:rsidRPr="005A75F5">
        <w:t xml:space="preserve">Administrative </w:t>
      </w:r>
      <w:r w:rsidR="00DC102A">
        <w:t>F</w:t>
      </w:r>
      <w:r w:rsidRPr="005A75F5">
        <w:t>ee figures quoted were applied for the 202</w:t>
      </w:r>
      <w:r w:rsidR="00DC102A">
        <w:t>5</w:t>
      </w:r>
      <w:r w:rsidRPr="005A75F5">
        <w:t xml:space="preserve"> </w:t>
      </w:r>
      <w:r w:rsidR="00845E96" w:rsidRPr="005A75F5">
        <w:t>VSL Levy</w:t>
      </w:r>
      <w:r w:rsidRPr="005A75F5">
        <w:t xml:space="preserve"> and will be indexed to CPI for 202</w:t>
      </w:r>
      <w:r w:rsidR="00DC102A">
        <w:t>6</w:t>
      </w:r>
      <w:r w:rsidRPr="005A75F5">
        <w:t xml:space="preserve"> if the responsible Minister decides not to determine new amounts in a legislative instrument.</w:t>
      </w:r>
    </w:p>
    <w:p w14:paraId="61C68472" w14:textId="579EDE81" w:rsidR="00886015" w:rsidRPr="00F95D39" w:rsidRDefault="008E7940" w:rsidP="00886015">
      <w:pPr>
        <w:pStyle w:val="Footnote"/>
        <w:spacing w:after="0"/>
      </w:pPr>
      <w:r w:rsidRPr="005A75F5">
        <w:rPr>
          <w:b/>
          <w:bCs/>
        </w:rPr>
        <w:t>^</w:t>
      </w:r>
      <w:r w:rsidR="00886015" w:rsidRPr="005A75F5">
        <w:t xml:space="preserve">The calculation </w:t>
      </w:r>
      <w:r w:rsidR="0078769E" w:rsidRPr="005A75F5">
        <w:t>method is given</w:t>
      </w:r>
      <w:r w:rsidR="00873871" w:rsidRPr="005A75F5">
        <w:t xml:space="preserve"> in </w:t>
      </w:r>
      <w:r w:rsidR="00EE69EC">
        <w:t>s</w:t>
      </w:r>
      <w:r w:rsidR="00873871" w:rsidRPr="005A75F5">
        <w:t xml:space="preserve">ection 11 of the </w:t>
      </w:r>
      <w:r w:rsidR="00873871" w:rsidRPr="00362846">
        <w:rPr>
          <w:i/>
          <w:iCs/>
        </w:rPr>
        <w:t>VET Student Loans (VSL Tuition Protection Levy) Act 2020</w:t>
      </w:r>
      <w:r w:rsidR="00BB3D40" w:rsidRPr="005A75F5">
        <w:t>.</w:t>
      </w:r>
    </w:p>
    <w:p w14:paraId="4D1BBE8B" w14:textId="7321424E" w:rsidR="00A471EA" w:rsidRPr="00A471EA" w:rsidRDefault="00866E5D" w:rsidP="00886015">
      <w:pPr>
        <w:pStyle w:val="Heading2"/>
        <w:spacing w:before="200"/>
      </w:pPr>
      <w:r>
        <w:t>202</w:t>
      </w:r>
      <w:r w:rsidR="0046019C">
        <w:t>6</w:t>
      </w:r>
      <w:r>
        <w:t xml:space="preserve"> </w:t>
      </w:r>
      <w:r w:rsidR="00A471EA" w:rsidRPr="000B18B2">
        <w:t xml:space="preserve">HELP </w:t>
      </w:r>
      <w:r w:rsidR="00107F54" w:rsidRPr="000B18B2">
        <w:t>Levy</w:t>
      </w:r>
      <w:r w:rsidR="00A471EA" w:rsidRPr="000B18B2">
        <w:t xml:space="preserve"> </w:t>
      </w:r>
      <w:r w:rsidR="00140495" w:rsidRPr="000B18B2">
        <w:t xml:space="preserve">calculation </w:t>
      </w:r>
      <w:r w:rsidR="00A471EA" w:rsidRPr="000B18B2">
        <w:t>example</w:t>
      </w:r>
    </w:p>
    <w:p w14:paraId="3C69AC8B" w14:textId="4BC8BC0F" w:rsidR="00A471EA" w:rsidRPr="00531A60" w:rsidRDefault="00C51DB3" w:rsidP="00A471EA">
      <w:r>
        <w:t>Th</w:t>
      </w:r>
      <w:r w:rsidR="007844BB">
        <w:t xml:space="preserve">is </w:t>
      </w:r>
      <w:r>
        <w:t xml:space="preserve">example is based on a HELP provider that had </w:t>
      </w:r>
      <w:r>
        <w:rPr>
          <w:b/>
          <w:bCs/>
        </w:rPr>
        <w:t>650</w:t>
      </w:r>
      <w:r w:rsidRPr="004C5F48">
        <w:rPr>
          <w:b/>
          <w:bCs/>
        </w:rPr>
        <w:t xml:space="preserve"> </w:t>
      </w:r>
      <w:r w:rsidR="00890ABB">
        <w:rPr>
          <w:b/>
          <w:bCs/>
        </w:rPr>
        <w:t xml:space="preserve">HELP </w:t>
      </w:r>
      <w:r w:rsidRPr="004C5F48">
        <w:rPr>
          <w:b/>
          <w:bCs/>
        </w:rPr>
        <w:t>students</w:t>
      </w:r>
      <w:r>
        <w:t xml:space="preserve"> and received </w:t>
      </w:r>
      <w:r w:rsidRPr="004C5F48">
        <w:rPr>
          <w:b/>
          <w:bCs/>
        </w:rPr>
        <w:t>$</w:t>
      </w:r>
      <w:r>
        <w:rPr>
          <w:b/>
          <w:bCs/>
        </w:rPr>
        <w:t>10 million</w:t>
      </w:r>
      <w:r w:rsidRPr="004C5F48">
        <w:rPr>
          <w:b/>
          <w:bCs/>
        </w:rPr>
        <w:t xml:space="preserve"> in </w:t>
      </w:r>
      <w:r w:rsidR="00097BBB">
        <w:rPr>
          <w:b/>
          <w:bCs/>
        </w:rPr>
        <w:t>HELP</w:t>
      </w:r>
      <w:r w:rsidRPr="004C5F48">
        <w:rPr>
          <w:b/>
          <w:bCs/>
        </w:rPr>
        <w:t xml:space="preserve"> loan amounts</w:t>
      </w:r>
      <w:r>
        <w:t xml:space="preserve"> in 202</w:t>
      </w:r>
      <w:r w:rsidR="0046019C">
        <w:t>5</w:t>
      </w:r>
      <w:r>
        <w:t>.</w:t>
      </w:r>
    </w:p>
    <w:tbl>
      <w:tblPr>
        <w:tblStyle w:val="TPSTable"/>
        <w:tblW w:w="5000" w:type="pct"/>
        <w:tblLook w:val="0420" w:firstRow="1" w:lastRow="0" w:firstColumn="0" w:lastColumn="0" w:noHBand="0" w:noVBand="1"/>
      </w:tblPr>
      <w:tblGrid>
        <w:gridCol w:w="2831"/>
        <w:gridCol w:w="7081"/>
      </w:tblGrid>
      <w:tr w:rsidR="00A471EA" w:rsidRPr="00AE2C41" w14:paraId="6D025C31" w14:textId="77777777" w:rsidTr="003B15BE">
        <w:trPr>
          <w:cnfStyle w:val="100000000000" w:firstRow="1" w:lastRow="0" w:firstColumn="0" w:lastColumn="0" w:oddVBand="0" w:evenVBand="0" w:oddHBand="0" w:evenHBand="0" w:firstRowFirstColumn="0" w:firstRowLastColumn="0" w:lastRowFirstColumn="0" w:lastRowLastColumn="0"/>
          <w:trHeight w:val="454"/>
        </w:trPr>
        <w:tc>
          <w:tcPr>
            <w:tcW w:w="1428" w:type="pct"/>
            <w:hideMark/>
          </w:tcPr>
          <w:p w14:paraId="3D0D265D" w14:textId="31670A32" w:rsidR="00A471EA" w:rsidRPr="00810E5A" w:rsidRDefault="00B94C74">
            <w:pPr>
              <w:pStyle w:val="TableHeader"/>
              <w:keepNext/>
            </w:pPr>
            <w:r>
              <w:t>L</w:t>
            </w:r>
            <w:r w:rsidR="00A471EA" w:rsidRPr="00810E5A">
              <w:t xml:space="preserve">evy </w:t>
            </w:r>
            <w:r w:rsidR="00A471EA">
              <w:t>c</w:t>
            </w:r>
            <w:r w:rsidR="00A471EA" w:rsidRPr="00810E5A">
              <w:t>omponent</w:t>
            </w:r>
          </w:p>
        </w:tc>
        <w:tc>
          <w:tcPr>
            <w:tcW w:w="3572" w:type="pct"/>
            <w:hideMark/>
          </w:tcPr>
          <w:p w14:paraId="3C859DC5" w14:textId="77777777" w:rsidR="00A471EA" w:rsidRPr="00810E5A" w:rsidRDefault="00A471EA">
            <w:pPr>
              <w:pStyle w:val="TableHeader"/>
              <w:keepNext/>
            </w:pPr>
            <w:r w:rsidRPr="00810E5A">
              <w:t>Levy calculation</w:t>
            </w:r>
          </w:p>
        </w:tc>
      </w:tr>
      <w:tr w:rsidR="00DC102A" w:rsidRPr="00AE2C41" w14:paraId="2CEE5474"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0E97A489" w14:textId="01725732" w:rsidR="00DC102A" w:rsidRPr="00845E96" w:rsidRDefault="00DC102A" w:rsidP="00DC102A">
            <w:pPr>
              <w:pStyle w:val="Tablecontents0"/>
              <w:keepNext/>
              <w:rPr>
                <w:b/>
                <w:bCs/>
                <w:highlight w:val="cyan"/>
              </w:rPr>
            </w:pPr>
            <w:r w:rsidRPr="00E64F84">
              <w:rPr>
                <w:b/>
                <w:bCs/>
                <w:color w:val="auto"/>
              </w:rPr>
              <w:t xml:space="preserve">Administrative </w:t>
            </w:r>
            <w:r>
              <w:rPr>
                <w:b/>
                <w:bCs/>
                <w:color w:val="auto"/>
              </w:rPr>
              <w:t>F</w:t>
            </w:r>
            <w:r w:rsidRPr="00E64F84">
              <w:rPr>
                <w:b/>
                <w:bCs/>
                <w:color w:val="auto"/>
              </w:rPr>
              <w:t>ee</w:t>
            </w:r>
            <w:r w:rsidRPr="00E64F84">
              <w:rPr>
                <w:b/>
                <w:bCs/>
                <w:color w:val="auto"/>
                <w:vertAlign w:val="superscript"/>
              </w:rPr>
              <w:t>*</w:t>
            </w:r>
          </w:p>
        </w:tc>
        <w:tc>
          <w:tcPr>
            <w:tcW w:w="3572" w:type="pct"/>
            <w:hideMark/>
          </w:tcPr>
          <w:p w14:paraId="6A8FE26D" w14:textId="2EBF9117" w:rsidR="00DC102A" w:rsidRPr="001904CE" w:rsidRDefault="00DC102A" w:rsidP="00DC102A">
            <w:pPr>
              <w:pStyle w:val="Tablecontents0"/>
              <w:keepNext/>
            </w:pPr>
            <w:r w:rsidRPr="001904CE">
              <w:t>$1</w:t>
            </w:r>
            <w:r>
              <w:t>2</w:t>
            </w:r>
            <w:r w:rsidR="0046019C">
              <w:t>9</w:t>
            </w:r>
            <w:r w:rsidRPr="001904CE">
              <w:t xml:space="preserve"> + (650 x $</w:t>
            </w:r>
            <w:r w:rsidRPr="001904CE">
              <w:rPr>
                <w:color w:val="auto"/>
              </w:rPr>
              <w:t>10.</w:t>
            </w:r>
            <w:r w:rsidR="0046019C">
              <w:rPr>
                <w:color w:val="auto"/>
              </w:rPr>
              <w:t>8</w:t>
            </w:r>
            <w:r>
              <w:rPr>
                <w:color w:val="auto"/>
              </w:rPr>
              <w:t>5</w:t>
            </w:r>
            <w:r w:rsidRPr="001904CE">
              <w:t xml:space="preserve">) = </w:t>
            </w:r>
            <w:r w:rsidRPr="00D029CC">
              <w:rPr>
                <w:color w:val="BC360C"/>
              </w:rPr>
              <w:t>$</w:t>
            </w:r>
            <w:r w:rsidR="00F605F9">
              <w:rPr>
                <w:color w:val="BC360C"/>
              </w:rPr>
              <w:t>7</w:t>
            </w:r>
            <w:r w:rsidRPr="00D029CC">
              <w:rPr>
                <w:color w:val="BC360C"/>
              </w:rPr>
              <w:t>,</w:t>
            </w:r>
            <w:r w:rsidR="00F605F9">
              <w:rPr>
                <w:color w:val="BC360C"/>
              </w:rPr>
              <w:t>181</w:t>
            </w:r>
            <w:r w:rsidRPr="00D029CC">
              <w:rPr>
                <w:color w:val="BC360C"/>
              </w:rPr>
              <w:t>.50</w:t>
            </w:r>
          </w:p>
        </w:tc>
      </w:tr>
      <w:tr w:rsidR="00DC102A" w:rsidRPr="00AE2C41" w14:paraId="2710D5AE" w14:textId="77777777" w:rsidTr="003B15BE">
        <w:trPr>
          <w:cnfStyle w:val="000000010000" w:firstRow="0" w:lastRow="0" w:firstColumn="0" w:lastColumn="0" w:oddVBand="0" w:evenVBand="0" w:oddHBand="0" w:evenHBand="1" w:firstRowFirstColumn="0" w:firstRowLastColumn="0" w:lastRowFirstColumn="0" w:lastRowLastColumn="0"/>
          <w:trHeight w:val="584"/>
        </w:trPr>
        <w:tc>
          <w:tcPr>
            <w:tcW w:w="1428" w:type="pct"/>
            <w:vAlign w:val="top"/>
            <w:hideMark/>
          </w:tcPr>
          <w:p w14:paraId="4E2AAC59" w14:textId="680FF23F" w:rsidR="00DC102A" w:rsidRPr="00845E96" w:rsidRDefault="00DC102A" w:rsidP="00DC102A">
            <w:pPr>
              <w:pStyle w:val="Tablecontents0"/>
              <w:keepNext/>
              <w:rPr>
                <w:b/>
                <w:bCs/>
                <w:highlight w:val="cyan"/>
              </w:rPr>
            </w:pPr>
            <w:r w:rsidRPr="008C6FED">
              <w:rPr>
                <w:b/>
                <w:bCs/>
                <w:color w:val="auto"/>
              </w:rPr>
              <w:t xml:space="preserve">Risk </w:t>
            </w:r>
            <w:r>
              <w:rPr>
                <w:b/>
                <w:bCs/>
                <w:color w:val="auto"/>
              </w:rPr>
              <w:t>R</w:t>
            </w:r>
            <w:r w:rsidRPr="008C6FED">
              <w:rPr>
                <w:b/>
                <w:bCs/>
                <w:color w:val="auto"/>
              </w:rPr>
              <w:t xml:space="preserve">ated </w:t>
            </w:r>
            <w:r>
              <w:rPr>
                <w:b/>
                <w:bCs/>
                <w:color w:val="auto"/>
              </w:rPr>
              <w:t>P</w:t>
            </w:r>
            <w:r w:rsidRPr="008C6FED">
              <w:rPr>
                <w:b/>
                <w:bCs/>
                <w:color w:val="auto"/>
              </w:rPr>
              <w:t>remium</w:t>
            </w:r>
            <w:r w:rsidRPr="008C6FED">
              <w:rPr>
                <w:b/>
                <w:bCs/>
                <w:color w:val="auto"/>
                <w:vertAlign w:val="superscript"/>
              </w:rPr>
              <w:t>^</w:t>
            </w:r>
          </w:p>
        </w:tc>
        <w:tc>
          <w:tcPr>
            <w:tcW w:w="3572" w:type="pct"/>
            <w:hideMark/>
          </w:tcPr>
          <w:p w14:paraId="5622B3BD" w14:textId="77777777" w:rsidR="00DC102A" w:rsidRPr="001904CE" w:rsidRDefault="00DC102A" w:rsidP="00DC102A">
            <w:pPr>
              <w:pStyle w:val="Tablecontents0"/>
              <w:keepNext/>
            </w:pPr>
            <w:r w:rsidRPr="001904CE">
              <w:rPr>
                <w:b/>
                <w:bCs/>
                <w:color w:val="262626" w:themeColor="text1" w:themeTint="D9"/>
              </w:rPr>
              <w:t>Step 1</w:t>
            </w:r>
            <w:r w:rsidRPr="001904CE">
              <w:rPr>
                <w:color w:val="auto"/>
                <w:spacing w:val="20"/>
              </w:rPr>
              <w:t xml:space="preserve">: </w:t>
            </w:r>
            <w:r w:rsidRPr="001904CE">
              <w:t>65</w:t>
            </w:r>
            <w:r w:rsidRPr="001904CE">
              <w:rPr>
                <w:color w:val="auto"/>
              </w:rPr>
              <w:t xml:space="preserve">0 x </w:t>
            </w:r>
            <w:r w:rsidRPr="001904CE">
              <w:rPr>
                <w:b/>
                <w:bCs/>
                <w:color w:val="auto"/>
              </w:rPr>
              <w:t>$6</w:t>
            </w:r>
            <w:r w:rsidRPr="001904CE">
              <w:rPr>
                <w:color w:val="auto"/>
              </w:rPr>
              <w:t xml:space="preserve"> = $3</w:t>
            </w:r>
            <w:r w:rsidRPr="001904CE">
              <w:t>,900</w:t>
            </w:r>
          </w:p>
          <w:p w14:paraId="0C563899" w14:textId="77777777" w:rsidR="00DC102A" w:rsidRPr="001904CE" w:rsidRDefault="00DC102A" w:rsidP="00DC102A">
            <w:pPr>
              <w:pStyle w:val="Tablecontents0"/>
              <w:keepNext/>
            </w:pPr>
            <w:r w:rsidRPr="001904CE">
              <w:rPr>
                <w:b/>
                <w:bCs/>
                <w:color w:val="262626" w:themeColor="text1" w:themeTint="D9"/>
              </w:rPr>
              <w:t>Step 2</w:t>
            </w:r>
            <w:r w:rsidRPr="001904CE">
              <w:rPr>
                <w:color w:val="auto"/>
                <w:spacing w:val="20"/>
              </w:rPr>
              <w:t xml:space="preserve">: </w:t>
            </w:r>
            <w:r w:rsidRPr="001904CE">
              <w:t xml:space="preserve">$10m x </w:t>
            </w:r>
            <w:r w:rsidRPr="001904CE">
              <w:rPr>
                <w:b/>
                <w:bCs/>
                <w:color w:val="auto"/>
              </w:rPr>
              <w:t>0.06%</w:t>
            </w:r>
            <w:r w:rsidRPr="001904CE">
              <w:rPr>
                <w:color w:val="auto"/>
              </w:rPr>
              <w:t xml:space="preserve"> </w:t>
            </w:r>
            <w:r w:rsidRPr="001904CE">
              <w:t>= $6,000</w:t>
            </w:r>
          </w:p>
          <w:p w14:paraId="62C5FE60" w14:textId="77777777" w:rsidR="00DC102A" w:rsidRPr="001904CE" w:rsidRDefault="00DC102A" w:rsidP="00DC102A">
            <w:pPr>
              <w:pStyle w:val="Tablecontents0"/>
              <w:keepNext/>
            </w:pPr>
            <w:r w:rsidRPr="001904CE">
              <w:rPr>
                <w:b/>
                <w:bCs/>
                <w:color w:val="262626" w:themeColor="text1" w:themeTint="D9"/>
              </w:rPr>
              <w:t>Step 3</w:t>
            </w:r>
            <w:r w:rsidRPr="001904CE">
              <w:rPr>
                <w:color w:val="auto"/>
                <w:spacing w:val="20"/>
              </w:rPr>
              <w:t xml:space="preserve">: </w:t>
            </w:r>
            <w:r w:rsidRPr="001904CE">
              <w:t>$3,900 + $6,000 = $9,900</w:t>
            </w:r>
          </w:p>
          <w:p w14:paraId="60BC9CF0" w14:textId="19A0C1B7" w:rsidR="00DC102A" w:rsidRPr="001904CE" w:rsidRDefault="00DC102A" w:rsidP="00DC102A">
            <w:pPr>
              <w:pStyle w:val="Tablecontents0"/>
              <w:keepNext/>
            </w:pPr>
            <w:r w:rsidRPr="001904CE">
              <w:rPr>
                <w:b/>
                <w:bCs/>
                <w:color w:val="262626" w:themeColor="text1" w:themeTint="D9"/>
              </w:rPr>
              <w:t>Step 4</w:t>
            </w:r>
            <w:r w:rsidRPr="001904CE">
              <w:rPr>
                <w:color w:val="auto"/>
                <w:spacing w:val="20"/>
              </w:rPr>
              <w:t xml:space="preserve">: </w:t>
            </w:r>
            <w:r w:rsidRPr="001904CE">
              <w:t xml:space="preserve">Financial strength score: 6 (risk factor value = </w:t>
            </w:r>
            <w:r w:rsidRPr="001904CE">
              <w:rPr>
                <w:b/>
                <w:bCs/>
              </w:rPr>
              <w:t>1.0</w:t>
            </w:r>
            <w:r w:rsidRPr="001904CE">
              <w:t>)</w:t>
            </w:r>
          </w:p>
          <w:p w14:paraId="3EDD8AE3" w14:textId="08E866CA" w:rsidR="00DC102A" w:rsidRPr="001904CE" w:rsidRDefault="00DC102A" w:rsidP="00DC102A">
            <w:pPr>
              <w:pStyle w:val="Tablecontents0"/>
              <w:keepNext/>
              <w:ind w:left="692"/>
            </w:pPr>
            <w:r w:rsidRPr="001904CE">
              <w:t xml:space="preserve">Completion rate percentage: 65% (risk factor value = </w:t>
            </w:r>
            <w:r w:rsidRPr="001904CE">
              <w:rPr>
                <w:b/>
                <w:bCs/>
              </w:rPr>
              <w:t>1.0</w:t>
            </w:r>
            <w:r w:rsidRPr="001904CE">
              <w:t>)</w:t>
            </w:r>
          </w:p>
          <w:p w14:paraId="54260F4A" w14:textId="525208E0" w:rsidR="00DC102A" w:rsidRPr="001904CE" w:rsidRDefault="00DC102A" w:rsidP="00DC102A">
            <w:pPr>
              <w:pStyle w:val="Tablecontents0"/>
              <w:keepNext/>
              <w:ind w:left="692"/>
            </w:pPr>
            <w:r w:rsidRPr="001904CE">
              <w:t xml:space="preserve">Non-compliance history and registration renewal: No weighted late payment measure applied (risk factor value = </w:t>
            </w:r>
            <w:r w:rsidRPr="001904CE">
              <w:rPr>
                <w:b/>
                <w:bCs/>
              </w:rPr>
              <w:t>0.0</w:t>
            </w:r>
            <w:r w:rsidRPr="001904CE">
              <w:t>)</w:t>
            </w:r>
          </w:p>
          <w:p w14:paraId="53256824" w14:textId="38E39196" w:rsidR="00DC102A" w:rsidRPr="001904CE" w:rsidRDefault="00DC102A" w:rsidP="00DC102A">
            <w:pPr>
              <w:pStyle w:val="Tablecontents0"/>
              <w:keepNext/>
            </w:pPr>
            <w:r w:rsidRPr="001904CE">
              <w:rPr>
                <w:b/>
                <w:bCs/>
                <w:color w:val="262626" w:themeColor="text1" w:themeTint="D9"/>
              </w:rPr>
              <w:t>Step 5</w:t>
            </w:r>
            <w:r w:rsidRPr="001904CE">
              <w:rPr>
                <w:color w:val="auto"/>
                <w:spacing w:val="20"/>
              </w:rPr>
              <w:t xml:space="preserve">: </w:t>
            </w:r>
            <w:r w:rsidRPr="001904CE">
              <w:t>(1.0 + 1.0 + 0.0) + 1 = 3.0</w:t>
            </w:r>
          </w:p>
          <w:p w14:paraId="5D191A3F" w14:textId="320E144F" w:rsidR="00DC102A" w:rsidRPr="001904CE" w:rsidRDefault="00DC102A" w:rsidP="00DC102A">
            <w:pPr>
              <w:pStyle w:val="Tablecontents0"/>
              <w:keepNext/>
            </w:pPr>
            <w:r w:rsidRPr="001904CE">
              <w:rPr>
                <w:b/>
                <w:bCs/>
                <w:color w:val="262626" w:themeColor="text1" w:themeTint="D9"/>
              </w:rPr>
              <w:t>Step 6</w:t>
            </w:r>
            <w:r w:rsidRPr="001904CE">
              <w:rPr>
                <w:color w:val="auto"/>
                <w:spacing w:val="20"/>
              </w:rPr>
              <w:t xml:space="preserve">: </w:t>
            </w:r>
            <w:r w:rsidRPr="001904CE">
              <w:t xml:space="preserve">$9,900 x 3.0 = </w:t>
            </w:r>
            <w:r w:rsidRPr="00D029CC">
              <w:rPr>
                <w:color w:val="BC360C"/>
              </w:rPr>
              <w:t>$29,700</w:t>
            </w:r>
          </w:p>
        </w:tc>
      </w:tr>
      <w:tr w:rsidR="00DC102A" w:rsidRPr="00AE2C41" w14:paraId="3C848EC1"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4BE2322D" w14:textId="4E2DEE82" w:rsidR="00DC102A" w:rsidRPr="00845E96" w:rsidRDefault="00DC102A" w:rsidP="00DC102A">
            <w:pPr>
              <w:pStyle w:val="Tablecontents0"/>
              <w:keepNext/>
              <w:rPr>
                <w:b/>
                <w:bCs/>
                <w:highlight w:val="cyan"/>
              </w:rPr>
            </w:pPr>
            <w:r w:rsidRPr="005A75F5">
              <w:rPr>
                <w:b/>
                <w:bCs/>
                <w:color w:val="auto"/>
              </w:rPr>
              <w:t xml:space="preserve">Special </w:t>
            </w:r>
            <w:r>
              <w:rPr>
                <w:b/>
                <w:bCs/>
                <w:color w:val="auto"/>
              </w:rPr>
              <w:t>T</w:t>
            </w:r>
            <w:r w:rsidRPr="005A75F5">
              <w:rPr>
                <w:b/>
                <w:bCs/>
                <w:color w:val="auto"/>
              </w:rPr>
              <w:t xml:space="preserve">uition </w:t>
            </w:r>
            <w:r>
              <w:rPr>
                <w:b/>
                <w:bCs/>
                <w:color w:val="auto"/>
              </w:rPr>
              <w:t>P</w:t>
            </w:r>
            <w:r w:rsidRPr="005A75F5">
              <w:rPr>
                <w:b/>
                <w:bCs/>
                <w:color w:val="auto"/>
              </w:rPr>
              <w:t>rotection</w:t>
            </w:r>
          </w:p>
        </w:tc>
        <w:tc>
          <w:tcPr>
            <w:tcW w:w="3572" w:type="pct"/>
            <w:hideMark/>
          </w:tcPr>
          <w:p w14:paraId="3FABCA81" w14:textId="77777777" w:rsidR="00DC102A" w:rsidRPr="001904CE" w:rsidRDefault="00DC102A" w:rsidP="00DC102A">
            <w:pPr>
              <w:pStyle w:val="Tablecontents0"/>
              <w:keepNext/>
            </w:pPr>
            <w:r w:rsidRPr="001904CE">
              <w:t xml:space="preserve">$10m x 0.10% = </w:t>
            </w:r>
            <w:r w:rsidRPr="00D029CC">
              <w:rPr>
                <w:color w:val="BC360C"/>
              </w:rPr>
              <w:t>$10,000</w:t>
            </w:r>
          </w:p>
        </w:tc>
      </w:tr>
      <w:tr w:rsidR="00A471EA" w:rsidRPr="00AE2C41" w14:paraId="746C89D7" w14:textId="77777777" w:rsidTr="003B15BE">
        <w:trPr>
          <w:cnfStyle w:val="000000010000" w:firstRow="0" w:lastRow="0" w:firstColumn="0" w:lastColumn="0" w:oddVBand="0" w:evenVBand="0" w:oddHBand="0" w:evenHBand="1" w:firstRowFirstColumn="0" w:firstRowLastColumn="0" w:lastRowFirstColumn="0" w:lastRowLastColumn="0"/>
          <w:trHeight w:val="454"/>
        </w:trPr>
        <w:tc>
          <w:tcPr>
            <w:tcW w:w="1428" w:type="pct"/>
            <w:vAlign w:val="top"/>
            <w:hideMark/>
          </w:tcPr>
          <w:p w14:paraId="44655E6D" w14:textId="59D28A56" w:rsidR="00A471EA" w:rsidRPr="001904CE" w:rsidRDefault="00140495" w:rsidP="00964E66">
            <w:pPr>
              <w:pStyle w:val="Tablecontents0"/>
              <w:keepNext/>
              <w:rPr>
                <w:b/>
                <w:bCs/>
              </w:rPr>
            </w:pPr>
            <w:r w:rsidRPr="00495333">
              <w:rPr>
                <w:b/>
                <w:bCs/>
                <w:color w:val="auto"/>
              </w:rPr>
              <w:t>Total 202</w:t>
            </w:r>
            <w:r w:rsidR="00DC102A">
              <w:rPr>
                <w:b/>
                <w:bCs/>
                <w:color w:val="auto"/>
              </w:rPr>
              <w:t>6</w:t>
            </w:r>
            <w:r w:rsidRPr="00495333">
              <w:rPr>
                <w:b/>
                <w:bCs/>
                <w:color w:val="auto"/>
              </w:rPr>
              <w:t xml:space="preserve"> HELP Levy</w:t>
            </w:r>
          </w:p>
        </w:tc>
        <w:tc>
          <w:tcPr>
            <w:tcW w:w="3572" w:type="pct"/>
            <w:hideMark/>
          </w:tcPr>
          <w:p w14:paraId="7FE44D0B" w14:textId="6877EF2A" w:rsidR="00A471EA" w:rsidRPr="001904CE" w:rsidRDefault="00F605F9">
            <w:pPr>
              <w:pStyle w:val="Tablecontents0"/>
              <w:keepNext/>
            </w:pPr>
            <w:r w:rsidRPr="00F605F9">
              <w:t>$7,181.50</w:t>
            </w:r>
            <w:r w:rsidR="00A471EA" w:rsidRPr="001904CE">
              <w:t xml:space="preserve"> + $</w:t>
            </w:r>
            <w:r w:rsidR="00A90100" w:rsidRPr="001904CE">
              <w:t>29,700</w:t>
            </w:r>
            <w:r w:rsidR="00A471EA" w:rsidRPr="001904CE">
              <w:t xml:space="preserve"> + $10,000 = </w:t>
            </w:r>
            <w:r w:rsidR="00A471EA" w:rsidRPr="00D029CC">
              <w:rPr>
                <w:b/>
                <w:bCs/>
                <w:color w:val="BC360C"/>
              </w:rPr>
              <w:t>$</w:t>
            </w:r>
            <w:r w:rsidR="0064580C" w:rsidRPr="00D029CC">
              <w:rPr>
                <w:b/>
                <w:bCs/>
                <w:color w:val="BC360C"/>
              </w:rPr>
              <w:t>46</w:t>
            </w:r>
            <w:r w:rsidR="00A471EA" w:rsidRPr="00D029CC">
              <w:rPr>
                <w:b/>
                <w:bCs/>
                <w:color w:val="BC360C"/>
              </w:rPr>
              <w:t>,</w:t>
            </w:r>
            <w:r w:rsidR="00A56450">
              <w:rPr>
                <w:b/>
                <w:bCs/>
                <w:color w:val="BC360C"/>
              </w:rPr>
              <w:t>881</w:t>
            </w:r>
            <w:r w:rsidR="00A471EA" w:rsidRPr="00D029CC">
              <w:rPr>
                <w:b/>
                <w:bCs/>
                <w:color w:val="BC360C"/>
              </w:rPr>
              <w:t>.50</w:t>
            </w:r>
          </w:p>
        </w:tc>
      </w:tr>
    </w:tbl>
    <w:p w14:paraId="736711A3" w14:textId="00670B9B" w:rsidR="00AD0DBC" w:rsidRPr="00495333" w:rsidRDefault="00AD0DBC" w:rsidP="009215DD">
      <w:pPr>
        <w:pStyle w:val="Footnote"/>
        <w:spacing w:after="80"/>
      </w:pPr>
      <w:r w:rsidRPr="00495333">
        <w:rPr>
          <w:b/>
          <w:bCs/>
        </w:rPr>
        <w:t>*</w:t>
      </w:r>
      <w:r w:rsidRPr="00495333">
        <w:t xml:space="preserve">Administrative </w:t>
      </w:r>
      <w:r w:rsidR="00DC102A">
        <w:t>F</w:t>
      </w:r>
      <w:r w:rsidRPr="00495333">
        <w:t>ee figures quoted were applied for the 20</w:t>
      </w:r>
      <w:r w:rsidR="00845E96" w:rsidRPr="00495333">
        <w:t>2</w:t>
      </w:r>
      <w:r w:rsidR="00DC102A">
        <w:t>5</w:t>
      </w:r>
      <w:r w:rsidRPr="00495333">
        <w:t xml:space="preserve"> </w:t>
      </w:r>
      <w:r w:rsidR="000452FE" w:rsidRPr="00495333">
        <w:t>HELP Levy</w:t>
      </w:r>
      <w:r w:rsidRPr="00495333">
        <w:t xml:space="preserve"> and will be indexed to CPI for 202</w:t>
      </w:r>
      <w:r w:rsidR="00DC102A">
        <w:t>6</w:t>
      </w:r>
      <w:r w:rsidRPr="00495333">
        <w:t xml:space="preserve"> if the responsible Minister decides not to determine new amounts in a legislative instrument.</w:t>
      </w:r>
    </w:p>
    <w:p w14:paraId="1C276991" w14:textId="74D5E1CD" w:rsidR="00E23996" w:rsidRPr="00E23996" w:rsidRDefault="00AD0DBC" w:rsidP="00140495">
      <w:pPr>
        <w:pStyle w:val="Footnote"/>
        <w:spacing w:after="0"/>
      </w:pPr>
      <w:r w:rsidRPr="00495333">
        <w:rPr>
          <w:b/>
          <w:bCs/>
        </w:rPr>
        <w:t>^</w:t>
      </w:r>
      <w:r w:rsidRPr="00495333">
        <w:t xml:space="preserve">The </w:t>
      </w:r>
      <w:r w:rsidR="00886015" w:rsidRPr="00495333">
        <w:t xml:space="preserve">calculation </w:t>
      </w:r>
      <w:r w:rsidRPr="00495333">
        <w:t xml:space="preserve">method is given in </w:t>
      </w:r>
      <w:r w:rsidR="00EE69EC">
        <w:t>s</w:t>
      </w:r>
      <w:r w:rsidRPr="00495333">
        <w:t xml:space="preserve">ection 11 of the </w:t>
      </w:r>
      <w:r w:rsidR="00F91DC9" w:rsidRPr="00362846">
        <w:rPr>
          <w:i/>
          <w:iCs/>
        </w:rPr>
        <w:t>Higher Education Support</w:t>
      </w:r>
      <w:r w:rsidRPr="00362846">
        <w:rPr>
          <w:i/>
          <w:iCs/>
        </w:rPr>
        <w:t xml:space="preserve"> (</w:t>
      </w:r>
      <w:r w:rsidR="00DB0696" w:rsidRPr="00362846">
        <w:rPr>
          <w:i/>
          <w:iCs/>
        </w:rPr>
        <w:t>HELP</w:t>
      </w:r>
      <w:r w:rsidRPr="00362846">
        <w:rPr>
          <w:i/>
          <w:iCs/>
        </w:rPr>
        <w:t xml:space="preserve"> Tuition Protection Levy) Act 2020</w:t>
      </w:r>
      <w:r w:rsidRPr="00495333">
        <w:t>.</w:t>
      </w:r>
    </w:p>
    <w:p w14:paraId="72550FE4" w14:textId="2BF27F51" w:rsidR="00A471EA" w:rsidRPr="00A471EA" w:rsidRDefault="00866E5D" w:rsidP="00886015">
      <w:pPr>
        <w:pStyle w:val="Heading2"/>
        <w:spacing w:before="240"/>
      </w:pPr>
      <w:r>
        <w:lastRenderedPageBreak/>
        <w:t>202</w:t>
      </w:r>
      <w:r w:rsidR="00A56450">
        <w:t>6</w:t>
      </w:r>
      <w:r>
        <w:t xml:space="preserve"> </w:t>
      </w:r>
      <w:r w:rsidR="00A471EA" w:rsidRPr="000B18B2">
        <w:t xml:space="preserve">Up-front </w:t>
      </w:r>
      <w:r w:rsidR="004E4D87">
        <w:t xml:space="preserve">Payments </w:t>
      </w:r>
      <w:r w:rsidR="00107F54" w:rsidRPr="000B18B2">
        <w:t>Levy</w:t>
      </w:r>
      <w:r w:rsidR="00A471EA" w:rsidRPr="000B18B2">
        <w:t xml:space="preserve"> </w:t>
      </w:r>
      <w:r w:rsidR="00140495" w:rsidRPr="000B18B2">
        <w:t xml:space="preserve">calculation </w:t>
      </w:r>
      <w:r w:rsidR="00A471EA" w:rsidRPr="000B18B2">
        <w:t>example</w:t>
      </w:r>
    </w:p>
    <w:p w14:paraId="444F9976" w14:textId="6DF97AE3" w:rsidR="00A471EA" w:rsidRPr="005F3D58" w:rsidRDefault="007844BB" w:rsidP="00A471EA">
      <w:r>
        <w:t>This</w:t>
      </w:r>
      <w:r w:rsidR="003725BD">
        <w:t xml:space="preserve"> example is based on an up-front provider that had </w:t>
      </w:r>
      <w:r w:rsidR="003725BD" w:rsidRPr="003725BD">
        <w:rPr>
          <w:b/>
          <w:bCs/>
        </w:rPr>
        <w:t>350</w:t>
      </w:r>
      <w:r w:rsidR="003725BD" w:rsidRPr="006F6B7C">
        <w:rPr>
          <w:b/>
          <w:bCs/>
        </w:rPr>
        <w:t xml:space="preserve"> </w:t>
      </w:r>
      <w:r w:rsidR="003725BD">
        <w:rPr>
          <w:b/>
          <w:bCs/>
        </w:rPr>
        <w:t xml:space="preserve">up-front fee-paying </w:t>
      </w:r>
      <w:r w:rsidR="003725BD" w:rsidRPr="006F6B7C">
        <w:rPr>
          <w:b/>
          <w:bCs/>
        </w:rPr>
        <w:t>students</w:t>
      </w:r>
      <w:r w:rsidR="003725BD">
        <w:t xml:space="preserve"> and received </w:t>
      </w:r>
      <w:r w:rsidR="003725BD" w:rsidRPr="004C5F48">
        <w:rPr>
          <w:b/>
          <w:bCs/>
        </w:rPr>
        <w:t>$</w:t>
      </w:r>
      <w:r w:rsidR="003725BD">
        <w:rPr>
          <w:b/>
          <w:bCs/>
        </w:rPr>
        <w:t xml:space="preserve">400,000 </w:t>
      </w:r>
      <w:r w:rsidR="003725BD" w:rsidRPr="004C5F48">
        <w:rPr>
          <w:b/>
          <w:bCs/>
        </w:rPr>
        <w:t xml:space="preserve">in </w:t>
      </w:r>
      <w:r w:rsidR="003725BD">
        <w:rPr>
          <w:b/>
          <w:bCs/>
        </w:rPr>
        <w:t>up-front payments</w:t>
      </w:r>
      <w:r w:rsidR="003725BD">
        <w:t xml:space="preserve"> in 202</w:t>
      </w:r>
      <w:r w:rsidR="00A56450">
        <w:t>5</w:t>
      </w:r>
      <w:r w:rsidR="003725BD">
        <w:t>.</w:t>
      </w:r>
    </w:p>
    <w:tbl>
      <w:tblPr>
        <w:tblStyle w:val="TPSTable"/>
        <w:tblW w:w="5000" w:type="pct"/>
        <w:tblLook w:val="0420" w:firstRow="1" w:lastRow="0" w:firstColumn="0" w:lastColumn="0" w:noHBand="0" w:noVBand="1"/>
      </w:tblPr>
      <w:tblGrid>
        <w:gridCol w:w="2831"/>
        <w:gridCol w:w="7081"/>
      </w:tblGrid>
      <w:tr w:rsidR="00A471EA" w:rsidRPr="00AE2C41" w14:paraId="6351DBB6" w14:textId="77777777" w:rsidTr="003B15BE">
        <w:trPr>
          <w:cnfStyle w:val="100000000000" w:firstRow="1" w:lastRow="0" w:firstColumn="0" w:lastColumn="0" w:oddVBand="0" w:evenVBand="0" w:oddHBand="0" w:evenHBand="0" w:firstRowFirstColumn="0" w:firstRowLastColumn="0" w:lastRowFirstColumn="0" w:lastRowLastColumn="0"/>
          <w:trHeight w:val="454"/>
        </w:trPr>
        <w:tc>
          <w:tcPr>
            <w:tcW w:w="1428" w:type="pct"/>
            <w:hideMark/>
          </w:tcPr>
          <w:p w14:paraId="3CBF298C" w14:textId="21C2466C" w:rsidR="00A471EA" w:rsidRPr="00834F5F" w:rsidRDefault="00B94C74">
            <w:pPr>
              <w:pStyle w:val="TableHeader"/>
            </w:pPr>
            <w:r>
              <w:t>L</w:t>
            </w:r>
            <w:r w:rsidR="00A471EA" w:rsidRPr="00834F5F">
              <w:t xml:space="preserve">evy </w:t>
            </w:r>
            <w:r w:rsidR="00A471EA">
              <w:t>c</w:t>
            </w:r>
            <w:r w:rsidR="00A471EA" w:rsidRPr="00834F5F">
              <w:t>omponent</w:t>
            </w:r>
          </w:p>
        </w:tc>
        <w:tc>
          <w:tcPr>
            <w:tcW w:w="3572" w:type="pct"/>
            <w:hideMark/>
          </w:tcPr>
          <w:p w14:paraId="0CA9A5FF" w14:textId="77777777" w:rsidR="00A471EA" w:rsidRPr="00834F5F" w:rsidRDefault="00A471EA">
            <w:pPr>
              <w:pStyle w:val="TableHeader"/>
            </w:pPr>
            <w:r w:rsidRPr="00834F5F">
              <w:t>Levy calculation</w:t>
            </w:r>
          </w:p>
        </w:tc>
      </w:tr>
      <w:tr w:rsidR="00DC102A" w:rsidRPr="00AE2C41" w14:paraId="493EACCA"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5666B82C" w14:textId="71835A9E" w:rsidR="00DC102A" w:rsidRPr="000452FE" w:rsidRDefault="00DC102A" w:rsidP="00DC102A">
            <w:pPr>
              <w:pStyle w:val="Tablecontents0"/>
              <w:rPr>
                <w:b/>
                <w:bCs/>
                <w:highlight w:val="cyan"/>
              </w:rPr>
            </w:pPr>
            <w:r w:rsidRPr="00E64F84">
              <w:rPr>
                <w:b/>
                <w:bCs/>
                <w:color w:val="auto"/>
              </w:rPr>
              <w:t xml:space="preserve">Administrative </w:t>
            </w:r>
            <w:r>
              <w:rPr>
                <w:b/>
                <w:bCs/>
                <w:color w:val="auto"/>
              </w:rPr>
              <w:t>F</w:t>
            </w:r>
            <w:r w:rsidRPr="00E64F84">
              <w:rPr>
                <w:b/>
                <w:bCs/>
                <w:color w:val="auto"/>
              </w:rPr>
              <w:t>ee</w:t>
            </w:r>
            <w:r w:rsidRPr="00E64F84">
              <w:rPr>
                <w:b/>
                <w:bCs/>
                <w:color w:val="auto"/>
                <w:vertAlign w:val="superscript"/>
              </w:rPr>
              <w:t>*</w:t>
            </w:r>
          </w:p>
        </w:tc>
        <w:tc>
          <w:tcPr>
            <w:tcW w:w="3572" w:type="pct"/>
            <w:hideMark/>
          </w:tcPr>
          <w:p w14:paraId="3DB44EC5" w14:textId="7A7DAF66" w:rsidR="00DC102A" w:rsidRPr="00F7756D" w:rsidRDefault="00DC102A" w:rsidP="00DC102A">
            <w:pPr>
              <w:pStyle w:val="Tablecontents0"/>
            </w:pPr>
            <w:r w:rsidRPr="00F7756D">
              <w:t>$1</w:t>
            </w:r>
            <w:r>
              <w:t>2</w:t>
            </w:r>
            <w:r w:rsidR="00A56450">
              <w:t>9</w:t>
            </w:r>
            <w:r w:rsidRPr="00F7756D">
              <w:t xml:space="preserve"> + (350 x $10.</w:t>
            </w:r>
            <w:r w:rsidR="00A56450">
              <w:t>85</w:t>
            </w:r>
            <w:r w:rsidRPr="00F7756D">
              <w:t xml:space="preserve">) = </w:t>
            </w:r>
            <w:r w:rsidRPr="00D029CC">
              <w:rPr>
                <w:color w:val="BC360C"/>
              </w:rPr>
              <w:t>$3,</w:t>
            </w:r>
            <w:r w:rsidR="0029509C">
              <w:rPr>
                <w:color w:val="BC360C"/>
              </w:rPr>
              <w:t>926</w:t>
            </w:r>
            <w:r w:rsidRPr="00D029CC">
              <w:rPr>
                <w:color w:val="BC360C"/>
              </w:rPr>
              <w:t>.50</w:t>
            </w:r>
          </w:p>
        </w:tc>
      </w:tr>
      <w:tr w:rsidR="00DC102A" w:rsidRPr="00AE2C41" w14:paraId="5A512EF1" w14:textId="77777777" w:rsidTr="003B15BE">
        <w:trPr>
          <w:cnfStyle w:val="000000010000" w:firstRow="0" w:lastRow="0" w:firstColumn="0" w:lastColumn="0" w:oddVBand="0" w:evenVBand="0" w:oddHBand="0" w:evenHBand="1" w:firstRowFirstColumn="0" w:firstRowLastColumn="0" w:lastRowFirstColumn="0" w:lastRowLastColumn="0"/>
          <w:trHeight w:val="136"/>
        </w:trPr>
        <w:tc>
          <w:tcPr>
            <w:tcW w:w="1428" w:type="pct"/>
            <w:vAlign w:val="top"/>
            <w:hideMark/>
          </w:tcPr>
          <w:p w14:paraId="04779754" w14:textId="25C74A94" w:rsidR="00DC102A" w:rsidRPr="000452FE" w:rsidRDefault="00DC102A" w:rsidP="00DC102A">
            <w:pPr>
              <w:pStyle w:val="Tablecontents0"/>
              <w:rPr>
                <w:b/>
                <w:bCs/>
                <w:highlight w:val="cyan"/>
              </w:rPr>
            </w:pPr>
            <w:r w:rsidRPr="008C6FED">
              <w:rPr>
                <w:b/>
                <w:bCs/>
                <w:color w:val="auto"/>
              </w:rPr>
              <w:t xml:space="preserve">Risk </w:t>
            </w:r>
            <w:r>
              <w:rPr>
                <w:b/>
                <w:bCs/>
                <w:color w:val="auto"/>
              </w:rPr>
              <w:t>R</w:t>
            </w:r>
            <w:r w:rsidRPr="008C6FED">
              <w:rPr>
                <w:b/>
                <w:bCs/>
                <w:color w:val="auto"/>
              </w:rPr>
              <w:t xml:space="preserve">ated </w:t>
            </w:r>
            <w:r>
              <w:rPr>
                <w:b/>
                <w:bCs/>
                <w:color w:val="auto"/>
              </w:rPr>
              <w:t>P</w:t>
            </w:r>
            <w:r w:rsidRPr="008C6FED">
              <w:rPr>
                <w:b/>
                <w:bCs/>
                <w:color w:val="auto"/>
              </w:rPr>
              <w:t>remium</w:t>
            </w:r>
            <w:r w:rsidRPr="008C6FED">
              <w:rPr>
                <w:b/>
                <w:bCs/>
                <w:color w:val="auto"/>
                <w:vertAlign w:val="superscript"/>
              </w:rPr>
              <w:t>^</w:t>
            </w:r>
          </w:p>
        </w:tc>
        <w:tc>
          <w:tcPr>
            <w:tcW w:w="3572" w:type="pct"/>
            <w:hideMark/>
          </w:tcPr>
          <w:p w14:paraId="7AF5321A" w14:textId="77777777" w:rsidR="00DC102A" w:rsidRPr="00F7756D" w:rsidRDefault="00DC102A" w:rsidP="00DC102A">
            <w:pPr>
              <w:pStyle w:val="Tablecontents0"/>
            </w:pPr>
            <w:r w:rsidRPr="00F7756D">
              <w:rPr>
                <w:b/>
                <w:bCs/>
                <w:color w:val="262626" w:themeColor="text1" w:themeTint="D9"/>
              </w:rPr>
              <w:t>Step 1</w:t>
            </w:r>
            <w:r w:rsidRPr="00F7756D">
              <w:rPr>
                <w:color w:val="auto"/>
                <w:spacing w:val="20"/>
              </w:rPr>
              <w:t xml:space="preserve">: </w:t>
            </w:r>
            <w:r w:rsidRPr="00F7756D">
              <w:t xml:space="preserve">350 </w:t>
            </w:r>
            <w:r w:rsidRPr="00F7756D">
              <w:rPr>
                <w:color w:val="auto"/>
              </w:rPr>
              <w:t xml:space="preserve">x </w:t>
            </w:r>
            <w:r w:rsidRPr="00F7756D">
              <w:rPr>
                <w:b/>
                <w:bCs/>
                <w:color w:val="auto"/>
              </w:rPr>
              <w:t>$2</w:t>
            </w:r>
            <w:r w:rsidRPr="00F7756D">
              <w:rPr>
                <w:color w:val="auto"/>
              </w:rPr>
              <w:t xml:space="preserve"> = </w:t>
            </w:r>
            <w:r w:rsidRPr="00F7756D">
              <w:t>$700</w:t>
            </w:r>
          </w:p>
          <w:p w14:paraId="2B8FFF51" w14:textId="77777777" w:rsidR="00DC102A" w:rsidRPr="00F7756D" w:rsidRDefault="00DC102A" w:rsidP="00DC102A">
            <w:pPr>
              <w:pStyle w:val="Tablecontents0"/>
            </w:pPr>
            <w:r w:rsidRPr="00F7756D">
              <w:rPr>
                <w:b/>
                <w:bCs/>
                <w:color w:val="262626" w:themeColor="text1" w:themeTint="D9"/>
              </w:rPr>
              <w:t>Step 2</w:t>
            </w:r>
            <w:r w:rsidRPr="00F7756D">
              <w:rPr>
                <w:color w:val="auto"/>
                <w:spacing w:val="20"/>
              </w:rPr>
              <w:t xml:space="preserve">: </w:t>
            </w:r>
            <w:r w:rsidRPr="00F7756D">
              <w:t>$400,</w:t>
            </w:r>
            <w:r w:rsidRPr="00F7756D">
              <w:rPr>
                <w:color w:val="auto"/>
              </w:rPr>
              <w:t xml:space="preserve">000 x </w:t>
            </w:r>
            <w:r w:rsidRPr="00F7756D">
              <w:rPr>
                <w:b/>
                <w:bCs/>
                <w:color w:val="auto"/>
              </w:rPr>
              <w:t>0.04%</w:t>
            </w:r>
            <w:r w:rsidRPr="00F7756D">
              <w:rPr>
                <w:color w:val="auto"/>
              </w:rPr>
              <w:t xml:space="preserve"> = $</w:t>
            </w:r>
            <w:r w:rsidRPr="00F7756D">
              <w:t>160</w:t>
            </w:r>
          </w:p>
          <w:p w14:paraId="4E42813E" w14:textId="77777777" w:rsidR="00DC102A" w:rsidRPr="00F7756D" w:rsidRDefault="00DC102A" w:rsidP="00DC102A">
            <w:pPr>
              <w:pStyle w:val="Tablecontents0"/>
            </w:pPr>
            <w:r w:rsidRPr="00F7756D">
              <w:rPr>
                <w:b/>
                <w:bCs/>
                <w:color w:val="262626" w:themeColor="text1" w:themeTint="D9"/>
              </w:rPr>
              <w:t>Step 3</w:t>
            </w:r>
            <w:r w:rsidRPr="00F7756D">
              <w:rPr>
                <w:color w:val="auto"/>
                <w:spacing w:val="20"/>
              </w:rPr>
              <w:t xml:space="preserve">: </w:t>
            </w:r>
            <w:r w:rsidRPr="00F7756D">
              <w:t>$700 + $160 = $860</w:t>
            </w:r>
          </w:p>
          <w:p w14:paraId="686517EA" w14:textId="0D6A3405" w:rsidR="00DC102A" w:rsidRPr="00F7756D" w:rsidRDefault="00DC102A" w:rsidP="00DC102A">
            <w:pPr>
              <w:pStyle w:val="Tablecontents0"/>
              <w:rPr>
                <w:color w:val="auto"/>
              </w:rPr>
            </w:pPr>
            <w:r w:rsidRPr="00F7756D">
              <w:rPr>
                <w:b/>
                <w:bCs/>
                <w:color w:val="262626" w:themeColor="text1" w:themeTint="D9"/>
              </w:rPr>
              <w:t>Step 4</w:t>
            </w:r>
            <w:r w:rsidRPr="00F7756D">
              <w:rPr>
                <w:color w:val="auto"/>
                <w:spacing w:val="20"/>
              </w:rPr>
              <w:t xml:space="preserve">: </w:t>
            </w:r>
            <w:r w:rsidRPr="00F7756D">
              <w:rPr>
                <w:color w:val="auto"/>
              </w:rPr>
              <w:t xml:space="preserve">Financial strength score: 6 (risk factor value = </w:t>
            </w:r>
            <w:r w:rsidRPr="00F7756D">
              <w:rPr>
                <w:b/>
                <w:bCs/>
                <w:color w:val="auto"/>
              </w:rPr>
              <w:t>1.0</w:t>
            </w:r>
            <w:r w:rsidRPr="00F7756D">
              <w:rPr>
                <w:color w:val="auto"/>
              </w:rPr>
              <w:t>)</w:t>
            </w:r>
          </w:p>
          <w:p w14:paraId="09535789" w14:textId="6AA2D116" w:rsidR="00DC102A" w:rsidRPr="00F7756D" w:rsidRDefault="00DC102A" w:rsidP="00DC102A">
            <w:pPr>
              <w:pStyle w:val="Tablecontents0"/>
              <w:ind w:left="692"/>
              <w:rPr>
                <w:color w:val="auto"/>
              </w:rPr>
            </w:pPr>
            <w:r w:rsidRPr="00F7756D">
              <w:rPr>
                <w:color w:val="auto"/>
              </w:rPr>
              <w:t xml:space="preserve">Completion rate percentage: 30% (risk factor value = </w:t>
            </w:r>
            <w:r w:rsidRPr="00F7756D">
              <w:rPr>
                <w:b/>
                <w:bCs/>
                <w:color w:val="auto"/>
              </w:rPr>
              <w:t>3.5</w:t>
            </w:r>
            <w:r w:rsidRPr="00F7756D">
              <w:rPr>
                <w:color w:val="auto"/>
              </w:rPr>
              <w:t>)</w:t>
            </w:r>
          </w:p>
          <w:p w14:paraId="5D51C8FB" w14:textId="77777777" w:rsidR="00DC102A" w:rsidRPr="00F7756D" w:rsidRDefault="00DC102A" w:rsidP="00DC102A">
            <w:pPr>
              <w:pStyle w:val="Tablecontents0"/>
              <w:ind w:left="692"/>
              <w:rPr>
                <w:color w:val="auto"/>
              </w:rPr>
            </w:pPr>
            <w:r w:rsidRPr="00F7756D">
              <w:rPr>
                <w:color w:val="auto"/>
              </w:rPr>
              <w:t xml:space="preserve">Non-compliance history and registration renewal: weighted late payment measure of 2 days applied (risk factor value = </w:t>
            </w:r>
            <w:r w:rsidRPr="00F7756D">
              <w:rPr>
                <w:b/>
                <w:bCs/>
                <w:color w:val="auto"/>
              </w:rPr>
              <w:t>0.7</w:t>
            </w:r>
            <w:r w:rsidRPr="00F7756D">
              <w:rPr>
                <w:color w:val="auto"/>
              </w:rPr>
              <w:t>)</w:t>
            </w:r>
          </w:p>
          <w:p w14:paraId="25983774" w14:textId="6C1CB53A" w:rsidR="00DC102A" w:rsidRPr="00F7756D" w:rsidRDefault="00DC102A" w:rsidP="00DC102A">
            <w:pPr>
              <w:pStyle w:val="Tablecontents0"/>
            </w:pPr>
            <w:r w:rsidRPr="00F7756D">
              <w:rPr>
                <w:b/>
                <w:bCs/>
                <w:color w:val="262626" w:themeColor="text1" w:themeTint="D9"/>
              </w:rPr>
              <w:t>Step 5</w:t>
            </w:r>
            <w:r w:rsidRPr="00F7756D">
              <w:rPr>
                <w:color w:val="auto"/>
                <w:spacing w:val="20"/>
              </w:rPr>
              <w:t xml:space="preserve">: </w:t>
            </w:r>
            <w:r w:rsidRPr="00F7756D">
              <w:rPr>
                <w:color w:val="auto"/>
              </w:rPr>
              <w:t>(1.0 + 3.5 + 0.7) + 1 = 6.2</w:t>
            </w:r>
          </w:p>
          <w:p w14:paraId="5B9410B1" w14:textId="22337A05" w:rsidR="00DC102A" w:rsidRPr="00F7756D" w:rsidRDefault="00DC102A" w:rsidP="00DC102A">
            <w:pPr>
              <w:pStyle w:val="Tablecontents0"/>
            </w:pPr>
            <w:r w:rsidRPr="00F7756D">
              <w:rPr>
                <w:b/>
                <w:bCs/>
                <w:color w:val="262626" w:themeColor="text1" w:themeTint="D9"/>
              </w:rPr>
              <w:t>Step 6</w:t>
            </w:r>
            <w:r w:rsidRPr="00F7756D">
              <w:rPr>
                <w:color w:val="auto"/>
                <w:spacing w:val="20"/>
              </w:rPr>
              <w:t xml:space="preserve">: </w:t>
            </w:r>
            <w:r w:rsidRPr="00F7756D">
              <w:rPr>
                <w:color w:val="auto"/>
              </w:rPr>
              <w:t xml:space="preserve">$860 x 6.2 = </w:t>
            </w:r>
            <w:r w:rsidRPr="00D029CC">
              <w:rPr>
                <w:color w:val="BC360C"/>
              </w:rPr>
              <w:t>$5,332</w:t>
            </w:r>
          </w:p>
        </w:tc>
      </w:tr>
      <w:tr w:rsidR="00DC102A" w:rsidRPr="00AE2C41" w14:paraId="30464923"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7782A8D1" w14:textId="2711BE60" w:rsidR="00DC102A" w:rsidRPr="000452FE" w:rsidRDefault="00DC102A" w:rsidP="00DC102A">
            <w:pPr>
              <w:pStyle w:val="Tablecontents0"/>
              <w:rPr>
                <w:b/>
                <w:bCs/>
                <w:color w:val="auto"/>
                <w:highlight w:val="cyan"/>
              </w:rPr>
            </w:pPr>
            <w:r w:rsidRPr="005A75F5">
              <w:rPr>
                <w:b/>
                <w:bCs/>
                <w:color w:val="auto"/>
              </w:rPr>
              <w:t xml:space="preserve">Special </w:t>
            </w:r>
            <w:r>
              <w:rPr>
                <w:b/>
                <w:bCs/>
                <w:color w:val="auto"/>
              </w:rPr>
              <w:t>T</w:t>
            </w:r>
            <w:r w:rsidRPr="005A75F5">
              <w:rPr>
                <w:b/>
                <w:bCs/>
                <w:color w:val="auto"/>
              </w:rPr>
              <w:t xml:space="preserve">uition </w:t>
            </w:r>
            <w:r>
              <w:rPr>
                <w:b/>
                <w:bCs/>
                <w:color w:val="auto"/>
              </w:rPr>
              <w:t>P</w:t>
            </w:r>
            <w:r w:rsidRPr="005A75F5">
              <w:rPr>
                <w:b/>
                <w:bCs/>
                <w:color w:val="auto"/>
              </w:rPr>
              <w:t>rotection</w:t>
            </w:r>
          </w:p>
        </w:tc>
        <w:tc>
          <w:tcPr>
            <w:tcW w:w="3572" w:type="pct"/>
            <w:hideMark/>
          </w:tcPr>
          <w:p w14:paraId="6A934EE3" w14:textId="77777777" w:rsidR="00DC102A" w:rsidRPr="00F7756D" w:rsidRDefault="00DC102A" w:rsidP="00DC102A">
            <w:pPr>
              <w:pStyle w:val="Tablecontents0"/>
              <w:rPr>
                <w:color w:val="auto"/>
              </w:rPr>
            </w:pPr>
            <w:r w:rsidRPr="00F7756D">
              <w:rPr>
                <w:color w:val="auto"/>
              </w:rPr>
              <w:t xml:space="preserve">$400,000 x 0.10% = </w:t>
            </w:r>
            <w:r w:rsidRPr="00D029CC">
              <w:rPr>
                <w:color w:val="BC360C"/>
              </w:rPr>
              <w:t>$400</w:t>
            </w:r>
          </w:p>
        </w:tc>
      </w:tr>
      <w:tr w:rsidR="00A471EA" w:rsidRPr="00AE2C41" w14:paraId="7992497D" w14:textId="77777777" w:rsidTr="003B15BE">
        <w:trPr>
          <w:cnfStyle w:val="000000010000" w:firstRow="0" w:lastRow="0" w:firstColumn="0" w:lastColumn="0" w:oddVBand="0" w:evenVBand="0" w:oddHBand="0" w:evenHBand="1" w:firstRowFirstColumn="0" w:firstRowLastColumn="0" w:lastRowFirstColumn="0" w:lastRowLastColumn="0"/>
          <w:trHeight w:val="454"/>
        </w:trPr>
        <w:tc>
          <w:tcPr>
            <w:tcW w:w="1428" w:type="pct"/>
            <w:vAlign w:val="top"/>
            <w:hideMark/>
          </w:tcPr>
          <w:p w14:paraId="1370820F" w14:textId="6DCE7903" w:rsidR="00A471EA" w:rsidRPr="00031D1B" w:rsidRDefault="00140495" w:rsidP="00964E66">
            <w:pPr>
              <w:pStyle w:val="Tablecontents0"/>
              <w:rPr>
                <w:b/>
                <w:bCs/>
                <w:color w:val="auto"/>
              </w:rPr>
            </w:pPr>
            <w:r w:rsidRPr="000B18B2">
              <w:rPr>
                <w:b/>
                <w:bCs/>
                <w:color w:val="auto"/>
              </w:rPr>
              <w:t>Total 202</w:t>
            </w:r>
            <w:r w:rsidR="00DC102A">
              <w:rPr>
                <w:b/>
                <w:bCs/>
                <w:color w:val="auto"/>
              </w:rPr>
              <w:t>6</w:t>
            </w:r>
            <w:r w:rsidRPr="000B18B2">
              <w:rPr>
                <w:b/>
                <w:bCs/>
                <w:color w:val="auto"/>
              </w:rPr>
              <w:t xml:space="preserve"> Up-front </w:t>
            </w:r>
            <w:r w:rsidR="00401A85">
              <w:rPr>
                <w:b/>
                <w:bCs/>
                <w:color w:val="auto"/>
              </w:rPr>
              <w:t xml:space="preserve">Payments </w:t>
            </w:r>
            <w:r w:rsidRPr="000B18B2">
              <w:rPr>
                <w:b/>
                <w:bCs/>
                <w:color w:val="auto"/>
              </w:rPr>
              <w:t>Levy</w:t>
            </w:r>
          </w:p>
        </w:tc>
        <w:tc>
          <w:tcPr>
            <w:tcW w:w="3572" w:type="pct"/>
            <w:hideMark/>
          </w:tcPr>
          <w:p w14:paraId="5E3A31B8" w14:textId="6443258B" w:rsidR="00A471EA" w:rsidRPr="002B3725" w:rsidRDefault="0029509C">
            <w:pPr>
              <w:pStyle w:val="Tablecontents0"/>
              <w:rPr>
                <w:color w:val="auto"/>
              </w:rPr>
            </w:pPr>
            <w:r w:rsidRPr="0029509C">
              <w:rPr>
                <w:color w:val="auto"/>
              </w:rPr>
              <w:t>$3,926.50</w:t>
            </w:r>
            <w:r w:rsidR="00A471EA" w:rsidRPr="002B3725">
              <w:rPr>
                <w:color w:val="auto"/>
              </w:rPr>
              <w:t xml:space="preserve"> + $</w:t>
            </w:r>
            <w:r w:rsidR="006F3C01" w:rsidRPr="002B3725">
              <w:rPr>
                <w:color w:val="auto"/>
              </w:rPr>
              <w:t>5</w:t>
            </w:r>
            <w:r w:rsidR="00A471EA" w:rsidRPr="002B3725">
              <w:rPr>
                <w:color w:val="auto"/>
              </w:rPr>
              <w:t>,</w:t>
            </w:r>
            <w:r w:rsidR="006F3C01" w:rsidRPr="002B3725">
              <w:rPr>
                <w:color w:val="auto"/>
              </w:rPr>
              <w:t>33</w:t>
            </w:r>
            <w:r w:rsidR="00A471EA" w:rsidRPr="002B3725">
              <w:rPr>
                <w:color w:val="auto"/>
              </w:rPr>
              <w:t xml:space="preserve">2 + $400 = </w:t>
            </w:r>
            <w:r w:rsidR="00A471EA" w:rsidRPr="00D029CC">
              <w:rPr>
                <w:b/>
                <w:bCs/>
                <w:color w:val="BC360C"/>
              </w:rPr>
              <w:t>$</w:t>
            </w:r>
            <w:r w:rsidR="001F69F2" w:rsidRPr="00D029CC">
              <w:rPr>
                <w:b/>
                <w:bCs/>
                <w:color w:val="BC360C"/>
              </w:rPr>
              <w:t>9,</w:t>
            </w:r>
            <w:r w:rsidR="00E87685">
              <w:rPr>
                <w:b/>
                <w:bCs/>
                <w:color w:val="BC360C"/>
              </w:rPr>
              <w:t>658</w:t>
            </w:r>
            <w:r w:rsidR="00A471EA" w:rsidRPr="00D029CC">
              <w:rPr>
                <w:b/>
                <w:bCs/>
                <w:color w:val="BC360C"/>
              </w:rPr>
              <w:t>.50</w:t>
            </w:r>
          </w:p>
        </w:tc>
      </w:tr>
    </w:tbl>
    <w:p w14:paraId="4CE65786" w14:textId="0C79362F" w:rsidR="00DB0696" w:rsidRPr="000B18B2" w:rsidRDefault="00DB0696" w:rsidP="009215DD">
      <w:pPr>
        <w:pStyle w:val="Footnote"/>
        <w:spacing w:after="80"/>
      </w:pPr>
      <w:r w:rsidRPr="000B18B2">
        <w:rPr>
          <w:b/>
          <w:bCs/>
        </w:rPr>
        <w:t>*</w:t>
      </w:r>
      <w:r w:rsidRPr="000B18B2">
        <w:t xml:space="preserve">Administrative </w:t>
      </w:r>
      <w:r w:rsidR="00DC102A">
        <w:t>F</w:t>
      </w:r>
      <w:r w:rsidRPr="000B18B2">
        <w:t>ee figures quoted were applied for the 202</w:t>
      </w:r>
      <w:r w:rsidR="00DC102A">
        <w:t>5</w:t>
      </w:r>
      <w:r w:rsidR="000452FE" w:rsidRPr="000B18B2">
        <w:t xml:space="preserve"> Up-front</w:t>
      </w:r>
      <w:r w:rsidR="00EE69EC">
        <w:t xml:space="preserve"> Payments</w:t>
      </w:r>
      <w:r w:rsidR="000452FE" w:rsidRPr="000B18B2">
        <w:t xml:space="preserve"> Levy</w:t>
      </w:r>
      <w:r w:rsidRPr="000B18B2">
        <w:t xml:space="preserve"> and will be indexed to CPI for 202</w:t>
      </w:r>
      <w:r w:rsidR="00DC102A">
        <w:t>6</w:t>
      </w:r>
      <w:r w:rsidRPr="000B18B2">
        <w:t xml:space="preserve"> if the responsible Minister decides not to determine new amounts in a legislative instrument.</w:t>
      </w:r>
    </w:p>
    <w:p w14:paraId="47EFE29B" w14:textId="0A710DB0" w:rsidR="00A471EA" w:rsidRPr="00A471EA" w:rsidRDefault="00DB0696" w:rsidP="00DB0696">
      <w:pPr>
        <w:pStyle w:val="Footnote"/>
      </w:pPr>
      <w:r w:rsidRPr="000B18B2">
        <w:rPr>
          <w:b/>
          <w:bCs/>
        </w:rPr>
        <w:t>^</w:t>
      </w:r>
      <w:r w:rsidRPr="000B18B2">
        <w:t>The</w:t>
      </w:r>
      <w:r w:rsidR="00886015" w:rsidRPr="000B18B2">
        <w:t xml:space="preserve"> calculation</w:t>
      </w:r>
      <w:r w:rsidRPr="000B18B2">
        <w:t xml:space="preserve"> method is given in </w:t>
      </w:r>
      <w:r w:rsidR="00EE69EC">
        <w:t>s</w:t>
      </w:r>
      <w:r w:rsidRPr="000B18B2">
        <w:t xml:space="preserve">ection 11 of the </w:t>
      </w:r>
      <w:r w:rsidRPr="00362846">
        <w:rPr>
          <w:i/>
          <w:iCs/>
        </w:rPr>
        <w:t>Higher Education (</w:t>
      </w:r>
      <w:r w:rsidR="009968D0" w:rsidRPr="00362846">
        <w:rPr>
          <w:i/>
          <w:iCs/>
        </w:rPr>
        <w:t>Up-front Payments</w:t>
      </w:r>
      <w:r w:rsidRPr="00362846">
        <w:rPr>
          <w:i/>
          <w:iCs/>
        </w:rPr>
        <w:t xml:space="preserve"> Tuition Protection Levy) Act 2020</w:t>
      </w:r>
      <w:r w:rsidRPr="000B18B2">
        <w:t>.</w:t>
      </w:r>
    </w:p>
    <w:sectPr w:rsidR="00A471EA" w:rsidRPr="00A471EA" w:rsidSect="00F009A9">
      <w:type w:val="continuous"/>
      <w:pgSz w:w="11906" w:h="16838" w:code="9"/>
      <w:pgMar w:top="1021" w:right="992" w:bottom="993" w:left="992" w:header="794" w:footer="3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BEE7" w14:textId="77777777" w:rsidR="00133721" w:rsidRDefault="00133721" w:rsidP="00185CBF">
      <w:pPr>
        <w:spacing w:after="0" w:line="240" w:lineRule="auto"/>
      </w:pPr>
      <w:r>
        <w:separator/>
      </w:r>
    </w:p>
  </w:endnote>
  <w:endnote w:type="continuationSeparator" w:id="0">
    <w:p w14:paraId="6AE85990" w14:textId="77777777" w:rsidR="00133721" w:rsidRDefault="00133721" w:rsidP="00185CBF">
      <w:pPr>
        <w:spacing w:after="0" w:line="240" w:lineRule="auto"/>
      </w:pPr>
      <w:r>
        <w:continuationSeparator/>
      </w:r>
    </w:p>
  </w:endnote>
  <w:endnote w:type="continuationNotice" w:id="1">
    <w:p w14:paraId="75C62CFF" w14:textId="77777777" w:rsidR="00133721" w:rsidRDefault="00133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0A3F" w14:textId="65E1756D" w:rsidR="00FB359F" w:rsidRPr="009F5E8A" w:rsidRDefault="006D0C22" w:rsidP="009F5E8A">
    <w:pPr>
      <w:jc w:val="right"/>
      <w:rPr>
        <w:sz w:val="20"/>
        <w:szCs w:val="20"/>
      </w:rPr>
    </w:pPr>
    <w:r w:rsidRPr="009F5E8A">
      <w:rPr>
        <w:sz w:val="20"/>
        <w:szCs w:val="20"/>
      </w:rPr>
      <w:t xml:space="preserve">Draft </w:t>
    </w:r>
    <w:r w:rsidR="00FF7FC8" w:rsidRPr="009F5E8A">
      <w:rPr>
        <w:sz w:val="20"/>
        <w:szCs w:val="20"/>
      </w:rPr>
      <w:t xml:space="preserve">Settings of the </w:t>
    </w:r>
    <w:r w:rsidRPr="009F5E8A">
      <w:rPr>
        <w:sz w:val="20"/>
        <w:szCs w:val="20"/>
      </w:rPr>
      <w:t>202</w:t>
    </w:r>
    <w:r w:rsidR="00F8696A">
      <w:rPr>
        <w:sz w:val="20"/>
        <w:szCs w:val="20"/>
      </w:rPr>
      <w:t>6</w:t>
    </w:r>
    <w:r w:rsidRPr="009F5E8A">
      <w:rPr>
        <w:sz w:val="20"/>
        <w:szCs w:val="20"/>
      </w:rPr>
      <w:t xml:space="preserve"> </w:t>
    </w:r>
    <w:r w:rsidR="00FF7FC8" w:rsidRPr="009F5E8A">
      <w:rPr>
        <w:sz w:val="20"/>
        <w:szCs w:val="20"/>
      </w:rPr>
      <w:t>VSL, HELP and Up-front Payments</w:t>
    </w:r>
    <w:r w:rsidRPr="009F5E8A">
      <w:rPr>
        <w:sz w:val="20"/>
        <w:szCs w:val="20"/>
      </w:rPr>
      <w:t xml:space="preserve"> Tuition Protection Lev</w:t>
    </w:r>
    <w:r w:rsidR="00FF7FC8" w:rsidRPr="009F5E8A">
      <w:rPr>
        <w:sz w:val="20"/>
        <w:szCs w:val="20"/>
      </w:rPr>
      <w:t>ies</w:t>
    </w:r>
    <w:r w:rsidRPr="009F5E8A">
      <w:rPr>
        <w:sz w:val="20"/>
        <w:szCs w:val="20"/>
      </w:rPr>
      <w:t xml:space="preserve"> </w:t>
    </w:r>
    <w:r w:rsidR="00FB359F" w:rsidRPr="009F5E8A">
      <w:rPr>
        <w:sz w:val="20"/>
        <w:szCs w:val="20"/>
      </w:rPr>
      <w:t xml:space="preserve">| </w:t>
    </w:r>
    <w:sdt>
      <w:sdtPr>
        <w:rPr>
          <w:sz w:val="20"/>
          <w:szCs w:val="20"/>
        </w:rPr>
        <w:id w:val="1479881853"/>
        <w:docPartObj>
          <w:docPartGallery w:val="Page Numbers (Bottom of Page)"/>
          <w:docPartUnique/>
        </w:docPartObj>
      </w:sdtPr>
      <w:sdtEndPr>
        <w:rPr>
          <w:noProof/>
        </w:rPr>
      </w:sdtEndPr>
      <w:sdtContent>
        <w:r w:rsidR="00FB359F" w:rsidRPr="009F5E8A">
          <w:rPr>
            <w:sz w:val="20"/>
            <w:szCs w:val="20"/>
          </w:rPr>
          <w:fldChar w:fldCharType="begin"/>
        </w:r>
        <w:r w:rsidR="00FB359F" w:rsidRPr="009F5E8A">
          <w:rPr>
            <w:sz w:val="20"/>
            <w:szCs w:val="20"/>
          </w:rPr>
          <w:instrText xml:space="preserve"> PAGE   \* MERGEFORMAT </w:instrText>
        </w:r>
        <w:r w:rsidR="00FB359F" w:rsidRPr="009F5E8A">
          <w:rPr>
            <w:sz w:val="20"/>
            <w:szCs w:val="20"/>
          </w:rPr>
          <w:fldChar w:fldCharType="separate"/>
        </w:r>
        <w:r w:rsidR="00FB359F" w:rsidRPr="009F5E8A">
          <w:rPr>
            <w:sz w:val="20"/>
            <w:szCs w:val="20"/>
          </w:rPr>
          <w:t>1</w:t>
        </w:r>
        <w:r w:rsidR="00FB359F" w:rsidRPr="009F5E8A">
          <w:rPr>
            <w:noProof/>
            <w:sz w:val="20"/>
            <w:szCs w:val="20"/>
          </w:rPr>
          <w:fldChar w:fldCharType="end"/>
        </w:r>
      </w:sdtContent>
    </w:sdt>
    <w:r w:rsidR="00FB359F" w:rsidRPr="009F5E8A">
      <w:rPr>
        <w:noProof/>
        <w:sz w:val="20"/>
        <w:szCs w:val="20"/>
      </w:rPr>
      <mc:AlternateContent>
        <mc:Choice Requires="wps">
          <w:drawing>
            <wp:anchor distT="0" distB="0" distL="114300" distR="114300" simplePos="0" relativeHeight="251658241" behindDoc="0" locked="0" layoutInCell="1" allowOverlap="1" wp14:anchorId="54E18DC0" wp14:editId="6C07DA4F">
              <wp:simplePos x="0" y="0"/>
              <wp:positionH relativeFrom="page">
                <wp:align>left</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16B96391">
            <v:rect id="Rectangle 1" style="position:absolute;margin-left:0;margin-top:0;width:595.3pt;height:15.6pt;z-index:25166950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4997a2" stroked="f" strokeweight="1pt" w14:anchorId="6D678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FB08" w14:textId="105DE897" w:rsidR="00A023BC" w:rsidRPr="00A2234A" w:rsidRDefault="00A2234A" w:rsidP="009F5E8A">
    <w:pPr>
      <w:jc w:val="right"/>
    </w:pPr>
    <w:r w:rsidRPr="009F5E8A">
      <w:rPr>
        <w:sz w:val="20"/>
        <w:szCs w:val="20"/>
      </w:rPr>
      <w:t>Draft Settings of the 202</w:t>
    </w:r>
    <w:r w:rsidR="00F8696A">
      <w:rPr>
        <w:sz w:val="20"/>
        <w:szCs w:val="20"/>
      </w:rPr>
      <w:t>6</w:t>
    </w:r>
    <w:r w:rsidRPr="009F5E8A">
      <w:rPr>
        <w:sz w:val="20"/>
        <w:szCs w:val="20"/>
      </w:rPr>
      <w:t xml:space="preserve"> VSL, HELP and Up-front Payments Tuition Protection Levies</w:t>
    </w:r>
    <w:r w:rsidR="006D0C22" w:rsidRPr="009F5E8A">
      <w:rPr>
        <w:sz w:val="20"/>
        <w:szCs w:val="20"/>
      </w:rPr>
      <w:t xml:space="preserve"> </w:t>
    </w:r>
    <w:r w:rsidR="00FB359F" w:rsidRPr="009F5E8A">
      <w:rPr>
        <w:sz w:val="20"/>
        <w:szCs w:val="20"/>
      </w:rPr>
      <w:t xml:space="preserve">| </w:t>
    </w:r>
    <w:sdt>
      <w:sdtPr>
        <w:rPr>
          <w:sz w:val="20"/>
          <w:szCs w:val="20"/>
        </w:rPr>
        <w:id w:val="1230123552"/>
        <w:docPartObj>
          <w:docPartGallery w:val="Page Numbers (Bottom of Page)"/>
          <w:docPartUnique/>
        </w:docPartObj>
      </w:sdtPr>
      <w:sdtContent>
        <w:r w:rsidR="00FB359F" w:rsidRPr="009F5E8A">
          <w:rPr>
            <w:sz w:val="20"/>
            <w:szCs w:val="20"/>
          </w:rPr>
          <w:fldChar w:fldCharType="begin"/>
        </w:r>
        <w:r w:rsidR="00FB359F" w:rsidRPr="009F5E8A">
          <w:rPr>
            <w:sz w:val="20"/>
            <w:szCs w:val="20"/>
          </w:rPr>
          <w:instrText xml:space="preserve"> PAGE   \* MERGEFORMAT </w:instrText>
        </w:r>
        <w:r w:rsidR="00FB359F" w:rsidRPr="009F5E8A">
          <w:rPr>
            <w:sz w:val="20"/>
            <w:szCs w:val="20"/>
          </w:rPr>
          <w:fldChar w:fldCharType="separate"/>
        </w:r>
        <w:r w:rsidR="00FB359F" w:rsidRPr="009F5E8A">
          <w:rPr>
            <w:sz w:val="20"/>
            <w:szCs w:val="20"/>
          </w:rPr>
          <w:t>2</w:t>
        </w:r>
        <w:r w:rsidR="00FB359F" w:rsidRPr="009F5E8A">
          <w:rPr>
            <w:noProof/>
            <w:sz w:val="20"/>
            <w:szCs w:val="20"/>
          </w:rPr>
          <w:fldChar w:fldCharType="end"/>
        </w:r>
      </w:sdtContent>
    </w:sdt>
    <w:r w:rsidR="00A023BC" w:rsidRPr="00A2234A">
      <w:rPr>
        <w:noProof/>
      </w:rPr>
      <mc:AlternateContent>
        <mc:Choice Requires="wps">
          <w:drawing>
            <wp:anchor distT="0" distB="0" distL="114300" distR="114300" simplePos="0" relativeHeight="251658240" behindDoc="0" locked="0" layoutInCell="1" allowOverlap="1" wp14:anchorId="77DD8315" wp14:editId="5B081388">
              <wp:simplePos x="0" y="0"/>
              <wp:positionH relativeFrom="page">
                <wp:align>left</wp:align>
              </wp:positionH>
              <wp:positionV relativeFrom="page">
                <wp:align>bottom</wp:align>
              </wp:positionV>
              <wp:extent cx="7560000" cy="198000"/>
              <wp:effectExtent l="0" t="0" r="317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w14:anchorId="08321EF2">
            <v:rect id="Rectangle 12" style="position:absolute;margin-left:0;margin-top:0;width:595.3pt;height:15.6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alt="&quot;&quot;" o:spid="_x0000_s1026" fillcolor="#4997a2" stroked="f" strokeweight="1pt" w14:anchorId="3B37C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B0C9" w14:textId="77777777" w:rsidR="00133721" w:rsidRDefault="00133721" w:rsidP="00185CBF">
      <w:pPr>
        <w:spacing w:after="0" w:line="240" w:lineRule="auto"/>
      </w:pPr>
      <w:r>
        <w:separator/>
      </w:r>
    </w:p>
  </w:footnote>
  <w:footnote w:type="continuationSeparator" w:id="0">
    <w:p w14:paraId="70D53E23" w14:textId="77777777" w:rsidR="00133721" w:rsidRDefault="00133721" w:rsidP="00185CBF">
      <w:pPr>
        <w:spacing w:after="0" w:line="240" w:lineRule="auto"/>
      </w:pPr>
      <w:r>
        <w:continuationSeparator/>
      </w:r>
    </w:p>
  </w:footnote>
  <w:footnote w:type="continuationNotice" w:id="1">
    <w:p w14:paraId="6AD1443A" w14:textId="77777777" w:rsidR="00133721" w:rsidRDefault="00133721">
      <w:pPr>
        <w:spacing w:after="0" w:line="240" w:lineRule="auto"/>
      </w:pPr>
    </w:p>
  </w:footnote>
  <w:footnote w:id="2">
    <w:p w14:paraId="6B1F5C4B" w14:textId="77777777" w:rsidR="006064AE" w:rsidRPr="00556852" w:rsidRDefault="006064AE" w:rsidP="00F009A9">
      <w:pPr>
        <w:pStyle w:val="Footnote"/>
        <w:spacing w:before="0" w:after="20" w:line="240" w:lineRule="auto"/>
        <w:rPr>
          <w:sz w:val="18"/>
          <w:szCs w:val="18"/>
        </w:rPr>
      </w:pPr>
      <w:r w:rsidRPr="00556852">
        <w:rPr>
          <w:rStyle w:val="FootnoteReference"/>
          <w:sz w:val="18"/>
          <w:szCs w:val="18"/>
        </w:rPr>
        <w:footnoteRef/>
      </w:r>
      <w:r w:rsidRPr="00556852">
        <w:rPr>
          <w:sz w:val="18"/>
          <w:szCs w:val="18"/>
        </w:rPr>
        <w:t xml:space="preserve"> www.education.gov.au/tps/tuition-protection-service-advisory-board</w:t>
      </w:r>
    </w:p>
  </w:footnote>
  <w:footnote w:id="3">
    <w:p w14:paraId="3DEFF527" w14:textId="2D6A17B7" w:rsidR="00C35712" w:rsidRPr="00556852" w:rsidRDefault="00C35712" w:rsidP="00F009A9">
      <w:pPr>
        <w:pStyle w:val="Footnote"/>
        <w:spacing w:before="0" w:after="20" w:line="240" w:lineRule="auto"/>
        <w:rPr>
          <w:sz w:val="18"/>
          <w:szCs w:val="18"/>
        </w:rPr>
      </w:pPr>
      <w:r w:rsidRPr="00556852">
        <w:rPr>
          <w:rStyle w:val="FootnoteReference"/>
          <w:sz w:val="18"/>
          <w:szCs w:val="18"/>
        </w:rPr>
        <w:footnoteRef/>
      </w:r>
      <w:r w:rsidRPr="00556852">
        <w:rPr>
          <w:sz w:val="18"/>
          <w:szCs w:val="18"/>
        </w:rPr>
        <w:t xml:space="preserve"> </w:t>
      </w:r>
      <w:r w:rsidR="008A0ECC" w:rsidRPr="008A0ECC">
        <w:rPr>
          <w:sz w:val="18"/>
          <w:szCs w:val="18"/>
        </w:rPr>
        <w:t>https://www.education.gov.au/tps/announcements/2026-domestic-tuition-protection-levies-consultation</w:t>
      </w:r>
    </w:p>
  </w:footnote>
  <w:footnote w:id="4">
    <w:p w14:paraId="45EB424E" w14:textId="77777777" w:rsidR="00E86533" w:rsidRDefault="00E86533" w:rsidP="00E86533">
      <w:pPr>
        <w:pStyle w:val="FootnoteText"/>
        <w:spacing w:after="20"/>
      </w:pPr>
      <w:r w:rsidRPr="00556852">
        <w:rPr>
          <w:rStyle w:val="FootnoteReference"/>
          <w:sz w:val="18"/>
          <w:szCs w:val="18"/>
        </w:rPr>
        <w:footnoteRef/>
      </w:r>
      <w:r w:rsidRPr="00556852">
        <w:rPr>
          <w:sz w:val="18"/>
          <w:szCs w:val="18"/>
        </w:rPr>
        <w:t xml:space="preserve"> For the VSL Levy, the relevant Minister is the Minister for Skills and Training. For the HELP and Up-front Payments Levies, the relevant Minister is the Minister for Education.</w:t>
      </w:r>
    </w:p>
  </w:footnote>
  <w:footnote w:id="5">
    <w:p w14:paraId="5DF9047F" w14:textId="77777777" w:rsidR="00E86533" w:rsidRPr="00556852" w:rsidRDefault="00E86533" w:rsidP="00E86533">
      <w:pPr>
        <w:pStyle w:val="FootnoteText"/>
        <w:spacing w:after="20"/>
        <w:rPr>
          <w:sz w:val="18"/>
          <w:szCs w:val="18"/>
        </w:rPr>
      </w:pPr>
      <w:r w:rsidRPr="00556852">
        <w:rPr>
          <w:rStyle w:val="FootnoteReference"/>
          <w:sz w:val="18"/>
          <w:szCs w:val="18"/>
        </w:rPr>
        <w:footnoteRef/>
      </w:r>
      <w:r w:rsidRPr="00556852">
        <w:rPr>
          <w:sz w:val="18"/>
          <w:szCs w:val="18"/>
        </w:rPr>
        <w:t xml:space="preserve"> www.legislation.gov.au/C2020A00005/latest/versions</w:t>
      </w:r>
    </w:p>
  </w:footnote>
  <w:footnote w:id="6">
    <w:p w14:paraId="33616ED3" w14:textId="77777777" w:rsidR="00E86533" w:rsidRPr="00556852" w:rsidRDefault="00E86533" w:rsidP="00E86533">
      <w:pPr>
        <w:pStyle w:val="FootnoteText"/>
        <w:spacing w:after="20"/>
        <w:rPr>
          <w:sz w:val="18"/>
          <w:szCs w:val="18"/>
        </w:rPr>
      </w:pPr>
      <w:r w:rsidRPr="00556852">
        <w:rPr>
          <w:rStyle w:val="FootnoteReference"/>
          <w:sz w:val="18"/>
          <w:szCs w:val="18"/>
        </w:rPr>
        <w:footnoteRef/>
      </w:r>
      <w:r w:rsidRPr="00556852">
        <w:rPr>
          <w:sz w:val="18"/>
          <w:szCs w:val="18"/>
        </w:rPr>
        <w:t xml:space="preserve"> www.legislation.gov.au/C2020A00004/latest/versions</w:t>
      </w:r>
    </w:p>
  </w:footnote>
  <w:footnote w:id="7">
    <w:p w14:paraId="60E575CD" w14:textId="77777777" w:rsidR="00E86533" w:rsidRDefault="00E86533" w:rsidP="00E86533">
      <w:pPr>
        <w:pStyle w:val="FootnoteText"/>
        <w:spacing w:after="20"/>
      </w:pPr>
      <w:r w:rsidRPr="00556852">
        <w:rPr>
          <w:rStyle w:val="FootnoteReference"/>
          <w:sz w:val="18"/>
          <w:szCs w:val="18"/>
        </w:rPr>
        <w:footnoteRef/>
      </w:r>
      <w:r w:rsidRPr="00556852">
        <w:rPr>
          <w:sz w:val="18"/>
          <w:szCs w:val="18"/>
        </w:rPr>
        <w:t xml:space="preserve"> www.legislation.gov.au/C2020A00102/latest/versions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B1A"/>
    <w:multiLevelType w:val="hybridMultilevel"/>
    <w:tmpl w:val="D72414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AD2589"/>
    <w:multiLevelType w:val="hybridMultilevel"/>
    <w:tmpl w:val="4380D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BB438E"/>
    <w:multiLevelType w:val="hybridMultilevel"/>
    <w:tmpl w:val="D72414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CC572A"/>
    <w:multiLevelType w:val="hybridMultilevel"/>
    <w:tmpl w:val="31609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8F698A"/>
    <w:multiLevelType w:val="hybridMultilevel"/>
    <w:tmpl w:val="61381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AF68BC"/>
    <w:multiLevelType w:val="hybridMultilevel"/>
    <w:tmpl w:val="A87ABC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970FE1"/>
    <w:multiLevelType w:val="hybridMultilevel"/>
    <w:tmpl w:val="D0480BC6"/>
    <w:lvl w:ilvl="0" w:tplc="F88A5078">
      <w:start w:val="1"/>
      <w:numFmt w:val="decimal"/>
      <w:lvlText w:val="%1."/>
      <w:lvlJc w:val="left"/>
      <w:pPr>
        <w:ind w:left="1020" w:hanging="360"/>
      </w:pPr>
    </w:lvl>
    <w:lvl w:ilvl="1" w:tplc="80D4DBE2">
      <w:start w:val="1"/>
      <w:numFmt w:val="decimal"/>
      <w:lvlText w:val="%2."/>
      <w:lvlJc w:val="left"/>
      <w:pPr>
        <w:ind w:left="1020" w:hanging="360"/>
      </w:pPr>
    </w:lvl>
    <w:lvl w:ilvl="2" w:tplc="E99CC02E">
      <w:start w:val="1"/>
      <w:numFmt w:val="decimal"/>
      <w:lvlText w:val="%3."/>
      <w:lvlJc w:val="left"/>
      <w:pPr>
        <w:ind w:left="1020" w:hanging="360"/>
      </w:pPr>
    </w:lvl>
    <w:lvl w:ilvl="3" w:tplc="24D4248E">
      <w:start w:val="1"/>
      <w:numFmt w:val="decimal"/>
      <w:lvlText w:val="%4."/>
      <w:lvlJc w:val="left"/>
      <w:pPr>
        <w:ind w:left="1020" w:hanging="360"/>
      </w:pPr>
    </w:lvl>
    <w:lvl w:ilvl="4" w:tplc="E24E63A4">
      <w:start w:val="1"/>
      <w:numFmt w:val="decimal"/>
      <w:lvlText w:val="%5."/>
      <w:lvlJc w:val="left"/>
      <w:pPr>
        <w:ind w:left="1020" w:hanging="360"/>
      </w:pPr>
    </w:lvl>
    <w:lvl w:ilvl="5" w:tplc="ED987932">
      <w:start w:val="1"/>
      <w:numFmt w:val="decimal"/>
      <w:lvlText w:val="%6."/>
      <w:lvlJc w:val="left"/>
      <w:pPr>
        <w:ind w:left="1020" w:hanging="360"/>
      </w:pPr>
    </w:lvl>
    <w:lvl w:ilvl="6" w:tplc="00D673B4">
      <w:start w:val="1"/>
      <w:numFmt w:val="decimal"/>
      <w:lvlText w:val="%7."/>
      <w:lvlJc w:val="left"/>
      <w:pPr>
        <w:ind w:left="1020" w:hanging="360"/>
      </w:pPr>
    </w:lvl>
    <w:lvl w:ilvl="7" w:tplc="3EF6DC32">
      <w:start w:val="1"/>
      <w:numFmt w:val="decimal"/>
      <w:lvlText w:val="%8."/>
      <w:lvlJc w:val="left"/>
      <w:pPr>
        <w:ind w:left="1020" w:hanging="360"/>
      </w:pPr>
    </w:lvl>
    <w:lvl w:ilvl="8" w:tplc="190404D0">
      <w:start w:val="1"/>
      <w:numFmt w:val="decimal"/>
      <w:lvlText w:val="%9."/>
      <w:lvlJc w:val="left"/>
      <w:pPr>
        <w:ind w:left="1020" w:hanging="360"/>
      </w:pPr>
    </w:lvl>
  </w:abstractNum>
  <w:abstractNum w:abstractNumId="8" w15:restartNumberingAfterBreak="0">
    <w:nsid w:val="24F57AE4"/>
    <w:multiLevelType w:val="hybridMultilevel"/>
    <w:tmpl w:val="9110AFB2"/>
    <w:lvl w:ilvl="0" w:tplc="EB141CE0">
      <w:start w:val="1"/>
      <w:numFmt w:val="decimal"/>
      <w:lvlText w:val="%1."/>
      <w:lvlJc w:val="left"/>
      <w:pPr>
        <w:ind w:left="1020" w:hanging="360"/>
      </w:pPr>
    </w:lvl>
    <w:lvl w:ilvl="1" w:tplc="23249CF4">
      <w:start w:val="1"/>
      <w:numFmt w:val="decimal"/>
      <w:lvlText w:val="%2."/>
      <w:lvlJc w:val="left"/>
      <w:pPr>
        <w:ind w:left="1020" w:hanging="360"/>
      </w:pPr>
    </w:lvl>
    <w:lvl w:ilvl="2" w:tplc="B680F2C8">
      <w:start w:val="1"/>
      <w:numFmt w:val="decimal"/>
      <w:lvlText w:val="%3."/>
      <w:lvlJc w:val="left"/>
      <w:pPr>
        <w:ind w:left="1020" w:hanging="360"/>
      </w:pPr>
    </w:lvl>
    <w:lvl w:ilvl="3" w:tplc="8E46985A">
      <w:start w:val="1"/>
      <w:numFmt w:val="decimal"/>
      <w:lvlText w:val="%4."/>
      <w:lvlJc w:val="left"/>
      <w:pPr>
        <w:ind w:left="1020" w:hanging="360"/>
      </w:pPr>
    </w:lvl>
    <w:lvl w:ilvl="4" w:tplc="4470C83C">
      <w:start w:val="1"/>
      <w:numFmt w:val="decimal"/>
      <w:lvlText w:val="%5."/>
      <w:lvlJc w:val="left"/>
      <w:pPr>
        <w:ind w:left="1020" w:hanging="360"/>
      </w:pPr>
    </w:lvl>
    <w:lvl w:ilvl="5" w:tplc="23A48B8E">
      <w:start w:val="1"/>
      <w:numFmt w:val="decimal"/>
      <w:lvlText w:val="%6."/>
      <w:lvlJc w:val="left"/>
      <w:pPr>
        <w:ind w:left="1020" w:hanging="360"/>
      </w:pPr>
    </w:lvl>
    <w:lvl w:ilvl="6" w:tplc="5712BCB8">
      <w:start w:val="1"/>
      <w:numFmt w:val="decimal"/>
      <w:lvlText w:val="%7."/>
      <w:lvlJc w:val="left"/>
      <w:pPr>
        <w:ind w:left="1020" w:hanging="360"/>
      </w:pPr>
    </w:lvl>
    <w:lvl w:ilvl="7" w:tplc="94981734">
      <w:start w:val="1"/>
      <w:numFmt w:val="decimal"/>
      <w:lvlText w:val="%8."/>
      <w:lvlJc w:val="left"/>
      <w:pPr>
        <w:ind w:left="1020" w:hanging="360"/>
      </w:pPr>
    </w:lvl>
    <w:lvl w:ilvl="8" w:tplc="96F0DEB4">
      <w:start w:val="1"/>
      <w:numFmt w:val="decimal"/>
      <w:lvlText w:val="%9."/>
      <w:lvlJc w:val="left"/>
      <w:pPr>
        <w:ind w:left="1020" w:hanging="360"/>
      </w:pPr>
    </w:lvl>
  </w:abstractNum>
  <w:abstractNum w:abstractNumId="9" w15:restartNumberingAfterBreak="0">
    <w:nsid w:val="273A0D2E"/>
    <w:multiLevelType w:val="hybridMultilevel"/>
    <w:tmpl w:val="C520F9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C27F61"/>
    <w:multiLevelType w:val="hybridMultilevel"/>
    <w:tmpl w:val="3B7C6F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C92543"/>
    <w:multiLevelType w:val="hybridMultilevel"/>
    <w:tmpl w:val="8F74F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912A57"/>
    <w:multiLevelType w:val="hybridMultilevel"/>
    <w:tmpl w:val="FCA6F1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E16E6E"/>
    <w:multiLevelType w:val="hybridMultilevel"/>
    <w:tmpl w:val="7CBCB8A4"/>
    <w:lvl w:ilvl="0" w:tplc="E42E3A40">
      <w:start w:val="1"/>
      <w:numFmt w:val="decimal"/>
      <w:lvlText w:val="%1."/>
      <w:lvlJc w:val="left"/>
      <w:pPr>
        <w:ind w:left="1020" w:hanging="360"/>
      </w:pPr>
    </w:lvl>
    <w:lvl w:ilvl="1" w:tplc="21FE757C">
      <w:start w:val="1"/>
      <w:numFmt w:val="decimal"/>
      <w:lvlText w:val="%2."/>
      <w:lvlJc w:val="left"/>
      <w:pPr>
        <w:ind w:left="1020" w:hanging="360"/>
      </w:pPr>
    </w:lvl>
    <w:lvl w:ilvl="2" w:tplc="988494DE">
      <w:start w:val="1"/>
      <w:numFmt w:val="decimal"/>
      <w:lvlText w:val="%3."/>
      <w:lvlJc w:val="left"/>
      <w:pPr>
        <w:ind w:left="1020" w:hanging="360"/>
      </w:pPr>
    </w:lvl>
    <w:lvl w:ilvl="3" w:tplc="81EE0DEA">
      <w:start w:val="1"/>
      <w:numFmt w:val="decimal"/>
      <w:lvlText w:val="%4."/>
      <w:lvlJc w:val="left"/>
      <w:pPr>
        <w:ind w:left="1020" w:hanging="360"/>
      </w:pPr>
    </w:lvl>
    <w:lvl w:ilvl="4" w:tplc="3776238A">
      <w:start w:val="1"/>
      <w:numFmt w:val="decimal"/>
      <w:lvlText w:val="%5."/>
      <w:lvlJc w:val="left"/>
      <w:pPr>
        <w:ind w:left="1020" w:hanging="360"/>
      </w:pPr>
    </w:lvl>
    <w:lvl w:ilvl="5" w:tplc="E1807022">
      <w:start w:val="1"/>
      <w:numFmt w:val="decimal"/>
      <w:lvlText w:val="%6."/>
      <w:lvlJc w:val="left"/>
      <w:pPr>
        <w:ind w:left="1020" w:hanging="360"/>
      </w:pPr>
    </w:lvl>
    <w:lvl w:ilvl="6" w:tplc="2460F44E">
      <w:start w:val="1"/>
      <w:numFmt w:val="decimal"/>
      <w:lvlText w:val="%7."/>
      <w:lvlJc w:val="left"/>
      <w:pPr>
        <w:ind w:left="1020" w:hanging="360"/>
      </w:pPr>
    </w:lvl>
    <w:lvl w:ilvl="7" w:tplc="D938C600">
      <w:start w:val="1"/>
      <w:numFmt w:val="decimal"/>
      <w:lvlText w:val="%8."/>
      <w:lvlJc w:val="left"/>
      <w:pPr>
        <w:ind w:left="1020" w:hanging="360"/>
      </w:pPr>
    </w:lvl>
    <w:lvl w:ilvl="8" w:tplc="9594D236">
      <w:start w:val="1"/>
      <w:numFmt w:val="decimal"/>
      <w:lvlText w:val="%9."/>
      <w:lvlJc w:val="left"/>
      <w:pPr>
        <w:ind w:left="1020" w:hanging="360"/>
      </w:pPr>
    </w:lvl>
  </w:abstractNum>
  <w:abstractNum w:abstractNumId="14" w15:restartNumberingAfterBreak="0">
    <w:nsid w:val="475548A6"/>
    <w:multiLevelType w:val="hybridMultilevel"/>
    <w:tmpl w:val="4636F8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F012B4"/>
    <w:multiLevelType w:val="hybridMultilevel"/>
    <w:tmpl w:val="ED50DF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46317C"/>
    <w:multiLevelType w:val="hybridMultilevel"/>
    <w:tmpl w:val="4296C87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347DF0"/>
    <w:multiLevelType w:val="hybridMultilevel"/>
    <w:tmpl w:val="3B7C6F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1B4016"/>
    <w:multiLevelType w:val="hybridMultilevel"/>
    <w:tmpl w:val="AA8C468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1E4B9E"/>
    <w:multiLevelType w:val="hybridMultilevel"/>
    <w:tmpl w:val="53741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6059542">
    <w:abstractNumId w:val="11"/>
  </w:num>
  <w:num w:numId="2" w16cid:durableId="398866418">
    <w:abstractNumId w:val="15"/>
  </w:num>
  <w:num w:numId="3" w16cid:durableId="200823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8550748">
    <w:abstractNumId w:val="1"/>
  </w:num>
  <w:num w:numId="5" w16cid:durableId="2004627678">
    <w:abstractNumId w:val="19"/>
  </w:num>
  <w:num w:numId="6" w16cid:durableId="1921015874">
    <w:abstractNumId w:val="16"/>
  </w:num>
  <w:num w:numId="7" w16cid:durableId="1932002895">
    <w:abstractNumId w:val="12"/>
  </w:num>
  <w:num w:numId="8" w16cid:durableId="589122491">
    <w:abstractNumId w:val="2"/>
  </w:num>
  <w:num w:numId="9" w16cid:durableId="1592205420">
    <w:abstractNumId w:val="3"/>
  </w:num>
  <w:num w:numId="10" w16cid:durableId="163984469">
    <w:abstractNumId w:val="9"/>
  </w:num>
  <w:num w:numId="11" w16cid:durableId="1130634968">
    <w:abstractNumId w:val="14"/>
  </w:num>
  <w:num w:numId="12" w16cid:durableId="500778753">
    <w:abstractNumId w:val="0"/>
  </w:num>
  <w:num w:numId="13" w16cid:durableId="425006328">
    <w:abstractNumId w:val="5"/>
  </w:num>
  <w:num w:numId="14" w16cid:durableId="337922932">
    <w:abstractNumId w:val="18"/>
  </w:num>
  <w:num w:numId="15" w16cid:durableId="623581362">
    <w:abstractNumId w:val="10"/>
  </w:num>
  <w:num w:numId="16" w16cid:durableId="735204669">
    <w:abstractNumId w:val="8"/>
  </w:num>
  <w:num w:numId="17" w16cid:durableId="145901582">
    <w:abstractNumId w:val="7"/>
  </w:num>
  <w:num w:numId="18" w16cid:durableId="116879917">
    <w:abstractNumId w:val="13"/>
  </w:num>
  <w:num w:numId="19" w16cid:durableId="802311415">
    <w:abstractNumId w:val="17"/>
  </w:num>
  <w:num w:numId="20" w16cid:durableId="205802856">
    <w:abstractNumId w:val="6"/>
  </w:num>
  <w:num w:numId="21" w16cid:durableId="1610120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95"/>
    <w:rsid w:val="00002649"/>
    <w:rsid w:val="000042FB"/>
    <w:rsid w:val="00004877"/>
    <w:rsid w:val="0000770C"/>
    <w:rsid w:val="00011B9A"/>
    <w:rsid w:val="000136CE"/>
    <w:rsid w:val="000154BC"/>
    <w:rsid w:val="0001797D"/>
    <w:rsid w:val="000202E0"/>
    <w:rsid w:val="00022C5C"/>
    <w:rsid w:val="0002418F"/>
    <w:rsid w:val="00031D1B"/>
    <w:rsid w:val="00032030"/>
    <w:rsid w:val="000340CB"/>
    <w:rsid w:val="00040A40"/>
    <w:rsid w:val="00041A68"/>
    <w:rsid w:val="00042FEC"/>
    <w:rsid w:val="000452FE"/>
    <w:rsid w:val="000516CF"/>
    <w:rsid w:val="00055A98"/>
    <w:rsid w:val="00061A78"/>
    <w:rsid w:val="00066197"/>
    <w:rsid w:val="00070FAD"/>
    <w:rsid w:val="000717FD"/>
    <w:rsid w:val="00074084"/>
    <w:rsid w:val="00076A79"/>
    <w:rsid w:val="00081C40"/>
    <w:rsid w:val="000826EE"/>
    <w:rsid w:val="00085D34"/>
    <w:rsid w:val="00086147"/>
    <w:rsid w:val="000870B8"/>
    <w:rsid w:val="000871A8"/>
    <w:rsid w:val="000871E3"/>
    <w:rsid w:val="00091726"/>
    <w:rsid w:val="00091975"/>
    <w:rsid w:val="00091EAF"/>
    <w:rsid w:val="00092584"/>
    <w:rsid w:val="0009585A"/>
    <w:rsid w:val="00097953"/>
    <w:rsid w:val="00097AA9"/>
    <w:rsid w:val="00097BBB"/>
    <w:rsid w:val="00097E9C"/>
    <w:rsid w:val="000A2040"/>
    <w:rsid w:val="000A5BEE"/>
    <w:rsid w:val="000A6D7D"/>
    <w:rsid w:val="000A720A"/>
    <w:rsid w:val="000A72D8"/>
    <w:rsid w:val="000B18B2"/>
    <w:rsid w:val="000B66C7"/>
    <w:rsid w:val="000B6B27"/>
    <w:rsid w:val="000B6FD9"/>
    <w:rsid w:val="000B7DFE"/>
    <w:rsid w:val="000C05F6"/>
    <w:rsid w:val="000C1051"/>
    <w:rsid w:val="000D0ED3"/>
    <w:rsid w:val="000D15CD"/>
    <w:rsid w:val="000D25F1"/>
    <w:rsid w:val="000D36DB"/>
    <w:rsid w:val="000D495F"/>
    <w:rsid w:val="000D4BE4"/>
    <w:rsid w:val="000D4C67"/>
    <w:rsid w:val="000D4D9B"/>
    <w:rsid w:val="000D6E91"/>
    <w:rsid w:val="000E0D14"/>
    <w:rsid w:val="000E4677"/>
    <w:rsid w:val="000E5ABF"/>
    <w:rsid w:val="000E6CAE"/>
    <w:rsid w:val="000E781A"/>
    <w:rsid w:val="000E7E21"/>
    <w:rsid w:val="000F0088"/>
    <w:rsid w:val="000F53B2"/>
    <w:rsid w:val="000F5D6F"/>
    <w:rsid w:val="000F6C2A"/>
    <w:rsid w:val="000F7862"/>
    <w:rsid w:val="001022DC"/>
    <w:rsid w:val="00102447"/>
    <w:rsid w:val="00103A76"/>
    <w:rsid w:val="00105750"/>
    <w:rsid w:val="00107F54"/>
    <w:rsid w:val="001110B8"/>
    <w:rsid w:val="001140FA"/>
    <w:rsid w:val="00120333"/>
    <w:rsid w:val="00126AD2"/>
    <w:rsid w:val="001277B2"/>
    <w:rsid w:val="00133721"/>
    <w:rsid w:val="0013430E"/>
    <w:rsid w:val="00135E50"/>
    <w:rsid w:val="00140495"/>
    <w:rsid w:val="00142E51"/>
    <w:rsid w:val="00142E9E"/>
    <w:rsid w:val="00143BFC"/>
    <w:rsid w:val="00143EBF"/>
    <w:rsid w:val="00143ECD"/>
    <w:rsid w:val="001471A0"/>
    <w:rsid w:val="001525D6"/>
    <w:rsid w:val="0015466D"/>
    <w:rsid w:val="00155B7C"/>
    <w:rsid w:val="00157519"/>
    <w:rsid w:val="001663EB"/>
    <w:rsid w:val="001671B9"/>
    <w:rsid w:val="00175BFB"/>
    <w:rsid w:val="00180255"/>
    <w:rsid w:val="00181D1E"/>
    <w:rsid w:val="00181DD7"/>
    <w:rsid w:val="00182C32"/>
    <w:rsid w:val="00185CBF"/>
    <w:rsid w:val="00185F46"/>
    <w:rsid w:val="00187A47"/>
    <w:rsid w:val="001904CE"/>
    <w:rsid w:val="00191883"/>
    <w:rsid w:val="001920BC"/>
    <w:rsid w:val="001927AC"/>
    <w:rsid w:val="001928AD"/>
    <w:rsid w:val="00194E56"/>
    <w:rsid w:val="0019617F"/>
    <w:rsid w:val="0019772D"/>
    <w:rsid w:val="00197D99"/>
    <w:rsid w:val="001A65D1"/>
    <w:rsid w:val="001A772C"/>
    <w:rsid w:val="001B1251"/>
    <w:rsid w:val="001B2818"/>
    <w:rsid w:val="001B2E87"/>
    <w:rsid w:val="001B33AD"/>
    <w:rsid w:val="001C076C"/>
    <w:rsid w:val="001C1E9E"/>
    <w:rsid w:val="001C20E4"/>
    <w:rsid w:val="001C2508"/>
    <w:rsid w:val="001C39AF"/>
    <w:rsid w:val="001C4008"/>
    <w:rsid w:val="001C49FB"/>
    <w:rsid w:val="001C5269"/>
    <w:rsid w:val="001C64B4"/>
    <w:rsid w:val="001C7509"/>
    <w:rsid w:val="001D7D1E"/>
    <w:rsid w:val="001E0E42"/>
    <w:rsid w:val="001E2D08"/>
    <w:rsid w:val="001E3B73"/>
    <w:rsid w:val="001E49A9"/>
    <w:rsid w:val="001E5F75"/>
    <w:rsid w:val="001F1513"/>
    <w:rsid w:val="001F2813"/>
    <w:rsid w:val="001F2F2A"/>
    <w:rsid w:val="001F553F"/>
    <w:rsid w:val="001F5A78"/>
    <w:rsid w:val="001F69F2"/>
    <w:rsid w:val="00201E78"/>
    <w:rsid w:val="00204FF5"/>
    <w:rsid w:val="002124FE"/>
    <w:rsid w:val="00212956"/>
    <w:rsid w:val="00220160"/>
    <w:rsid w:val="002212CE"/>
    <w:rsid w:val="00224D3A"/>
    <w:rsid w:val="00225EFE"/>
    <w:rsid w:val="00230CDD"/>
    <w:rsid w:val="00231BF9"/>
    <w:rsid w:val="002334AC"/>
    <w:rsid w:val="0023662A"/>
    <w:rsid w:val="00237DFB"/>
    <w:rsid w:val="002407AE"/>
    <w:rsid w:val="002415BD"/>
    <w:rsid w:val="0024212E"/>
    <w:rsid w:val="002443DD"/>
    <w:rsid w:val="00250796"/>
    <w:rsid w:val="00254018"/>
    <w:rsid w:val="00254EF7"/>
    <w:rsid w:val="00255E17"/>
    <w:rsid w:val="0026301C"/>
    <w:rsid w:val="0026324D"/>
    <w:rsid w:val="0026383F"/>
    <w:rsid w:val="00265410"/>
    <w:rsid w:val="0026550D"/>
    <w:rsid w:val="00270F9D"/>
    <w:rsid w:val="002715B2"/>
    <w:rsid w:val="00271E37"/>
    <w:rsid w:val="0027400C"/>
    <w:rsid w:val="0027462D"/>
    <w:rsid w:val="002765A6"/>
    <w:rsid w:val="002811B7"/>
    <w:rsid w:val="002812EE"/>
    <w:rsid w:val="00286880"/>
    <w:rsid w:val="00286A37"/>
    <w:rsid w:val="00287AEE"/>
    <w:rsid w:val="00291413"/>
    <w:rsid w:val="00291E4A"/>
    <w:rsid w:val="002929AE"/>
    <w:rsid w:val="00294470"/>
    <w:rsid w:val="00294569"/>
    <w:rsid w:val="00294E3E"/>
    <w:rsid w:val="0029509C"/>
    <w:rsid w:val="0029692B"/>
    <w:rsid w:val="002A072B"/>
    <w:rsid w:val="002A2E48"/>
    <w:rsid w:val="002A2E52"/>
    <w:rsid w:val="002A3987"/>
    <w:rsid w:val="002A5EA4"/>
    <w:rsid w:val="002A69BC"/>
    <w:rsid w:val="002A6B04"/>
    <w:rsid w:val="002A7B4A"/>
    <w:rsid w:val="002B2B91"/>
    <w:rsid w:val="002B2CBB"/>
    <w:rsid w:val="002B2F57"/>
    <w:rsid w:val="002B3725"/>
    <w:rsid w:val="002B55B7"/>
    <w:rsid w:val="002B6519"/>
    <w:rsid w:val="002B7B56"/>
    <w:rsid w:val="002C3973"/>
    <w:rsid w:val="002C48C8"/>
    <w:rsid w:val="002C5A3A"/>
    <w:rsid w:val="002C6E65"/>
    <w:rsid w:val="002D1D5F"/>
    <w:rsid w:val="002D32C4"/>
    <w:rsid w:val="002D3FE4"/>
    <w:rsid w:val="002D4D51"/>
    <w:rsid w:val="002D5F91"/>
    <w:rsid w:val="002E071D"/>
    <w:rsid w:val="002E2B75"/>
    <w:rsid w:val="002E422A"/>
    <w:rsid w:val="002E5437"/>
    <w:rsid w:val="002E75A7"/>
    <w:rsid w:val="002E7A35"/>
    <w:rsid w:val="002F0781"/>
    <w:rsid w:val="00301D8C"/>
    <w:rsid w:val="00303B89"/>
    <w:rsid w:val="003040F9"/>
    <w:rsid w:val="00304ABA"/>
    <w:rsid w:val="00304F62"/>
    <w:rsid w:val="00311B5E"/>
    <w:rsid w:val="003144A8"/>
    <w:rsid w:val="00314D56"/>
    <w:rsid w:val="00317FB6"/>
    <w:rsid w:val="00321B7E"/>
    <w:rsid w:val="00324465"/>
    <w:rsid w:val="0033161C"/>
    <w:rsid w:val="00331EB0"/>
    <w:rsid w:val="003328F4"/>
    <w:rsid w:val="00334610"/>
    <w:rsid w:val="00334849"/>
    <w:rsid w:val="003356AD"/>
    <w:rsid w:val="00336AD1"/>
    <w:rsid w:val="00336C17"/>
    <w:rsid w:val="00340470"/>
    <w:rsid w:val="00342936"/>
    <w:rsid w:val="003468C5"/>
    <w:rsid w:val="00346EEE"/>
    <w:rsid w:val="003478F2"/>
    <w:rsid w:val="00350505"/>
    <w:rsid w:val="00351A34"/>
    <w:rsid w:val="00351D55"/>
    <w:rsid w:val="00352277"/>
    <w:rsid w:val="00362846"/>
    <w:rsid w:val="00362B9D"/>
    <w:rsid w:val="00367ACE"/>
    <w:rsid w:val="0037078B"/>
    <w:rsid w:val="003725BD"/>
    <w:rsid w:val="00373193"/>
    <w:rsid w:val="003762E1"/>
    <w:rsid w:val="00376F6B"/>
    <w:rsid w:val="0038209D"/>
    <w:rsid w:val="00382D9B"/>
    <w:rsid w:val="0038304B"/>
    <w:rsid w:val="0038511B"/>
    <w:rsid w:val="0038556A"/>
    <w:rsid w:val="003943F8"/>
    <w:rsid w:val="0039593D"/>
    <w:rsid w:val="00396975"/>
    <w:rsid w:val="003A1182"/>
    <w:rsid w:val="003A2229"/>
    <w:rsid w:val="003A4912"/>
    <w:rsid w:val="003A5DE8"/>
    <w:rsid w:val="003A69BD"/>
    <w:rsid w:val="003B023D"/>
    <w:rsid w:val="003B15BE"/>
    <w:rsid w:val="003B2C5C"/>
    <w:rsid w:val="003B2D95"/>
    <w:rsid w:val="003B62CD"/>
    <w:rsid w:val="003B6D5E"/>
    <w:rsid w:val="003B7FF6"/>
    <w:rsid w:val="003C3D5D"/>
    <w:rsid w:val="003C432B"/>
    <w:rsid w:val="003C5770"/>
    <w:rsid w:val="003C60E8"/>
    <w:rsid w:val="003C6774"/>
    <w:rsid w:val="003C729C"/>
    <w:rsid w:val="003D0E9A"/>
    <w:rsid w:val="003D1FCB"/>
    <w:rsid w:val="003D2E74"/>
    <w:rsid w:val="003E1729"/>
    <w:rsid w:val="003E2607"/>
    <w:rsid w:val="003E426C"/>
    <w:rsid w:val="003E73EC"/>
    <w:rsid w:val="003F0B62"/>
    <w:rsid w:val="003F0E6F"/>
    <w:rsid w:val="003F22F7"/>
    <w:rsid w:val="003F59A9"/>
    <w:rsid w:val="00400A3F"/>
    <w:rsid w:val="00401584"/>
    <w:rsid w:val="004018FB"/>
    <w:rsid w:val="00401A85"/>
    <w:rsid w:val="00403008"/>
    <w:rsid w:val="004040C0"/>
    <w:rsid w:val="00404DE0"/>
    <w:rsid w:val="00405054"/>
    <w:rsid w:val="00407E50"/>
    <w:rsid w:val="00413F5B"/>
    <w:rsid w:val="004217A1"/>
    <w:rsid w:val="0042203B"/>
    <w:rsid w:val="00422665"/>
    <w:rsid w:val="00422854"/>
    <w:rsid w:val="00422FA1"/>
    <w:rsid w:val="0042345E"/>
    <w:rsid w:val="00426D21"/>
    <w:rsid w:val="0042728A"/>
    <w:rsid w:val="004275DD"/>
    <w:rsid w:val="00427A18"/>
    <w:rsid w:val="00430D02"/>
    <w:rsid w:val="00431055"/>
    <w:rsid w:val="00432BD8"/>
    <w:rsid w:val="0043314F"/>
    <w:rsid w:val="004355E6"/>
    <w:rsid w:val="00435FE3"/>
    <w:rsid w:val="00436BA6"/>
    <w:rsid w:val="00440E5C"/>
    <w:rsid w:val="004438D2"/>
    <w:rsid w:val="00443DC8"/>
    <w:rsid w:val="00445BBD"/>
    <w:rsid w:val="004518FD"/>
    <w:rsid w:val="00454AC0"/>
    <w:rsid w:val="00454B99"/>
    <w:rsid w:val="0045747F"/>
    <w:rsid w:val="0046019C"/>
    <w:rsid w:val="00464C70"/>
    <w:rsid w:val="004674C3"/>
    <w:rsid w:val="004727C4"/>
    <w:rsid w:val="00473BE8"/>
    <w:rsid w:val="004742A4"/>
    <w:rsid w:val="00476836"/>
    <w:rsid w:val="00477409"/>
    <w:rsid w:val="00480606"/>
    <w:rsid w:val="004831CC"/>
    <w:rsid w:val="00483915"/>
    <w:rsid w:val="004852EA"/>
    <w:rsid w:val="00487579"/>
    <w:rsid w:val="00491120"/>
    <w:rsid w:val="00491967"/>
    <w:rsid w:val="00495333"/>
    <w:rsid w:val="00496EDE"/>
    <w:rsid w:val="004A441F"/>
    <w:rsid w:val="004A4DC5"/>
    <w:rsid w:val="004A62F5"/>
    <w:rsid w:val="004B38EA"/>
    <w:rsid w:val="004B3939"/>
    <w:rsid w:val="004C35BF"/>
    <w:rsid w:val="004C48F9"/>
    <w:rsid w:val="004C51DF"/>
    <w:rsid w:val="004C5F48"/>
    <w:rsid w:val="004C7385"/>
    <w:rsid w:val="004D0B1E"/>
    <w:rsid w:val="004D3766"/>
    <w:rsid w:val="004D5571"/>
    <w:rsid w:val="004D7F27"/>
    <w:rsid w:val="004E2B6B"/>
    <w:rsid w:val="004E4D87"/>
    <w:rsid w:val="004E4E55"/>
    <w:rsid w:val="004E6680"/>
    <w:rsid w:val="004E73AA"/>
    <w:rsid w:val="004E7587"/>
    <w:rsid w:val="004F1A04"/>
    <w:rsid w:val="004F1FF6"/>
    <w:rsid w:val="004F3C0F"/>
    <w:rsid w:val="004F4C46"/>
    <w:rsid w:val="004F54A1"/>
    <w:rsid w:val="004F72B2"/>
    <w:rsid w:val="004F7316"/>
    <w:rsid w:val="004F7FB6"/>
    <w:rsid w:val="005014C0"/>
    <w:rsid w:val="005042D2"/>
    <w:rsid w:val="00504610"/>
    <w:rsid w:val="00507827"/>
    <w:rsid w:val="00510702"/>
    <w:rsid w:val="00514110"/>
    <w:rsid w:val="00515C25"/>
    <w:rsid w:val="00515F31"/>
    <w:rsid w:val="00522C84"/>
    <w:rsid w:val="00525573"/>
    <w:rsid w:val="00525B36"/>
    <w:rsid w:val="00526B92"/>
    <w:rsid w:val="00527877"/>
    <w:rsid w:val="00530067"/>
    <w:rsid w:val="005304EC"/>
    <w:rsid w:val="00533353"/>
    <w:rsid w:val="0053421A"/>
    <w:rsid w:val="00534CFC"/>
    <w:rsid w:val="005352C0"/>
    <w:rsid w:val="00536E42"/>
    <w:rsid w:val="00543FE9"/>
    <w:rsid w:val="00546A65"/>
    <w:rsid w:val="00547471"/>
    <w:rsid w:val="0055020D"/>
    <w:rsid w:val="005504E8"/>
    <w:rsid w:val="005506BC"/>
    <w:rsid w:val="00551B24"/>
    <w:rsid w:val="0055222F"/>
    <w:rsid w:val="00552FA9"/>
    <w:rsid w:val="00553E1D"/>
    <w:rsid w:val="00556852"/>
    <w:rsid w:val="00561E7F"/>
    <w:rsid w:val="00563B0B"/>
    <w:rsid w:val="005663BD"/>
    <w:rsid w:val="005672B3"/>
    <w:rsid w:val="0056766B"/>
    <w:rsid w:val="00570FE2"/>
    <w:rsid w:val="00571499"/>
    <w:rsid w:val="005725D0"/>
    <w:rsid w:val="00572EDC"/>
    <w:rsid w:val="005737F8"/>
    <w:rsid w:val="0057531A"/>
    <w:rsid w:val="00577F3D"/>
    <w:rsid w:val="005816AF"/>
    <w:rsid w:val="005822D7"/>
    <w:rsid w:val="00582A93"/>
    <w:rsid w:val="00585DB2"/>
    <w:rsid w:val="00592D93"/>
    <w:rsid w:val="005955C2"/>
    <w:rsid w:val="005A037E"/>
    <w:rsid w:val="005A06E2"/>
    <w:rsid w:val="005A2D9F"/>
    <w:rsid w:val="005A4C4F"/>
    <w:rsid w:val="005A75F5"/>
    <w:rsid w:val="005B0B7D"/>
    <w:rsid w:val="005B3AD6"/>
    <w:rsid w:val="005B48C4"/>
    <w:rsid w:val="005C0D13"/>
    <w:rsid w:val="005C1D87"/>
    <w:rsid w:val="005C37DD"/>
    <w:rsid w:val="005C3B38"/>
    <w:rsid w:val="005D2ACE"/>
    <w:rsid w:val="005D2C2E"/>
    <w:rsid w:val="005D33E5"/>
    <w:rsid w:val="005E0D97"/>
    <w:rsid w:val="005E0EF9"/>
    <w:rsid w:val="005E338A"/>
    <w:rsid w:val="005E3A86"/>
    <w:rsid w:val="005E7715"/>
    <w:rsid w:val="005F02BE"/>
    <w:rsid w:val="005F0C95"/>
    <w:rsid w:val="005F12A4"/>
    <w:rsid w:val="005F61FC"/>
    <w:rsid w:val="00600FF6"/>
    <w:rsid w:val="0060296E"/>
    <w:rsid w:val="00602AB4"/>
    <w:rsid w:val="00603CAD"/>
    <w:rsid w:val="006064AE"/>
    <w:rsid w:val="00611BAC"/>
    <w:rsid w:val="00611C39"/>
    <w:rsid w:val="00611E5F"/>
    <w:rsid w:val="00613AC1"/>
    <w:rsid w:val="00615C40"/>
    <w:rsid w:val="006263A9"/>
    <w:rsid w:val="00626507"/>
    <w:rsid w:val="00627DD2"/>
    <w:rsid w:val="00633E46"/>
    <w:rsid w:val="006360A7"/>
    <w:rsid w:val="00643ADB"/>
    <w:rsid w:val="00643BC1"/>
    <w:rsid w:val="0064580C"/>
    <w:rsid w:val="006560DC"/>
    <w:rsid w:val="00656AB9"/>
    <w:rsid w:val="0066290D"/>
    <w:rsid w:val="00663B50"/>
    <w:rsid w:val="00667813"/>
    <w:rsid w:val="00667886"/>
    <w:rsid w:val="00670507"/>
    <w:rsid w:val="006716CB"/>
    <w:rsid w:val="00672A6F"/>
    <w:rsid w:val="00673012"/>
    <w:rsid w:val="006733B3"/>
    <w:rsid w:val="00673641"/>
    <w:rsid w:val="006762A6"/>
    <w:rsid w:val="00677F9C"/>
    <w:rsid w:val="00681675"/>
    <w:rsid w:val="006824FE"/>
    <w:rsid w:val="00683E47"/>
    <w:rsid w:val="006862BC"/>
    <w:rsid w:val="0069010B"/>
    <w:rsid w:val="00691CD5"/>
    <w:rsid w:val="00692A52"/>
    <w:rsid w:val="0069316A"/>
    <w:rsid w:val="0069348D"/>
    <w:rsid w:val="00697437"/>
    <w:rsid w:val="006979BD"/>
    <w:rsid w:val="00697E41"/>
    <w:rsid w:val="006A04C5"/>
    <w:rsid w:val="006A3D61"/>
    <w:rsid w:val="006A6BB3"/>
    <w:rsid w:val="006A7460"/>
    <w:rsid w:val="006B2A84"/>
    <w:rsid w:val="006B2C12"/>
    <w:rsid w:val="006B7297"/>
    <w:rsid w:val="006B7F56"/>
    <w:rsid w:val="006C1FC2"/>
    <w:rsid w:val="006C29BB"/>
    <w:rsid w:val="006C3031"/>
    <w:rsid w:val="006C34B2"/>
    <w:rsid w:val="006C6664"/>
    <w:rsid w:val="006C684D"/>
    <w:rsid w:val="006D0807"/>
    <w:rsid w:val="006D0C22"/>
    <w:rsid w:val="006D335D"/>
    <w:rsid w:val="006D40CC"/>
    <w:rsid w:val="006D40E8"/>
    <w:rsid w:val="006D5BC3"/>
    <w:rsid w:val="006D5E13"/>
    <w:rsid w:val="006E1898"/>
    <w:rsid w:val="006E7D63"/>
    <w:rsid w:val="006F0A25"/>
    <w:rsid w:val="006F1E94"/>
    <w:rsid w:val="006F2B25"/>
    <w:rsid w:val="006F3C01"/>
    <w:rsid w:val="00700002"/>
    <w:rsid w:val="0070098C"/>
    <w:rsid w:val="00701048"/>
    <w:rsid w:val="00701B15"/>
    <w:rsid w:val="007022D2"/>
    <w:rsid w:val="00702825"/>
    <w:rsid w:val="00702C2F"/>
    <w:rsid w:val="00703484"/>
    <w:rsid w:val="007039C2"/>
    <w:rsid w:val="00704C4F"/>
    <w:rsid w:val="00704F1F"/>
    <w:rsid w:val="007066E4"/>
    <w:rsid w:val="0071364E"/>
    <w:rsid w:val="007201A5"/>
    <w:rsid w:val="0072129E"/>
    <w:rsid w:val="00722C02"/>
    <w:rsid w:val="00723648"/>
    <w:rsid w:val="00725CEF"/>
    <w:rsid w:val="00726256"/>
    <w:rsid w:val="00727512"/>
    <w:rsid w:val="007340B7"/>
    <w:rsid w:val="00735FD3"/>
    <w:rsid w:val="007370EE"/>
    <w:rsid w:val="0074164B"/>
    <w:rsid w:val="007442FB"/>
    <w:rsid w:val="00745308"/>
    <w:rsid w:val="007521E2"/>
    <w:rsid w:val="00753A30"/>
    <w:rsid w:val="0075569E"/>
    <w:rsid w:val="007576EB"/>
    <w:rsid w:val="00760170"/>
    <w:rsid w:val="007604A2"/>
    <w:rsid w:val="007608BA"/>
    <w:rsid w:val="0076312D"/>
    <w:rsid w:val="0076592A"/>
    <w:rsid w:val="00765F98"/>
    <w:rsid w:val="00770A56"/>
    <w:rsid w:val="00777D66"/>
    <w:rsid w:val="00781C23"/>
    <w:rsid w:val="00784066"/>
    <w:rsid w:val="007844BB"/>
    <w:rsid w:val="00785D78"/>
    <w:rsid w:val="00787303"/>
    <w:rsid w:val="0078769E"/>
    <w:rsid w:val="0079215C"/>
    <w:rsid w:val="00796C68"/>
    <w:rsid w:val="007A1BEC"/>
    <w:rsid w:val="007A4ECB"/>
    <w:rsid w:val="007A562A"/>
    <w:rsid w:val="007A7767"/>
    <w:rsid w:val="007B3267"/>
    <w:rsid w:val="007B34E3"/>
    <w:rsid w:val="007B37CF"/>
    <w:rsid w:val="007C4C3D"/>
    <w:rsid w:val="007C70BF"/>
    <w:rsid w:val="007C730D"/>
    <w:rsid w:val="007D021D"/>
    <w:rsid w:val="007D15E7"/>
    <w:rsid w:val="007D24F8"/>
    <w:rsid w:val="007D2D8A"/>
    <w:rsid w:val="007D45B5"/>
    <w:rsid w:val="007D5631"/>
    <w:rsid w:val="007D5EDD"/>
    <w:rsid w:val="007E2794"/>
    <w:rsid w:val="007E4725"/>
    <w:rsid w:val="007E5326"/>
    <w:rsid w:val="007F2BB3"/>
    <w:rsid w:val="007F562F"/>
    <w:rsid w:val="007F582F"/>
    <w:rsid w:val="007F68BE"/>
    <w:rsid w:val="007F76C0"/>
    <w:rsid w:val="007F7F8A"/>
    <w:rsid w:val="0080071E"/>
    <w:rsid w:val="00801C18"/>
    <w:rsid w:val="00803563"/>
    <w:rsid w:val="00807062"/>
    <w:rsid w:val="0081097D"/>
    <w:rsid w:val="00813603"/>
    <w:rsid w:val="0081362E"/>
    <w:rsid w:val="00813798"/>
    <w:rsid w:val="00813E89"/>
    <w:rsid w:val="00814B74"/>
    <w:rsid w:val="008150F8"/>
    <w:rsid w:val="008156F0"/>
    <w:rsid w:val="00815DC7"/>
    <w:rsid w:val="00817BBF"/>
    <w:rsid w:val="0082443E"/>
    <w:rsid w:val="00826CF5"/>
    <w:rsid w:val="00826D06"/>
    <w:rsid w:val="008315BF"/>
    <w:rsid w:val="00831D2A"/>
    <w:rsid w:val="00834420"/>
    <w:rsid w:val="00834C78"/>
    <w:rsid w:val="0083696C"/>
    <w:rsid w:val="00836C48"/>
    <w:rsid w:val="00842330"/>
    <w:rsid w:val="008427B7"/>
    <w:rsid w:val="00845E96"/>
    <w:rsid w:val="00846155"/>
    <w:rsid w:val="008478DD"/>
    <w:rsid w:val="008502BE"/>
    <w:rsid w:val="008513AB"/>
    <w:rsid w:val="008563D6"/>
    <w:rsid w:val="0085665B"/>
    <w:rsid w:val="008634EA"/>
    <w:rsid w:val="00864496"/>
    <w:rsid w:val="00865675"/>
    <w:rsid w:val="00866E5D"/>
    <w:rsid w:val="00872D00"/>
    <w:rsid w:val="00873871"/>
    <w:rsid w:val="00873FBC"/>
    <w:rsid w:val="00874E30"/>
    <w:rsid w:val="00880A8E"/>
    <w:rsid w:val="008851A3"/>
    <w:rsid w:val="00886015"/>
    <w:rsid w:val="008874A7"/>
    <w:rsid w:val="008905E7"/>
    <w:rsid w:val="00890ABB"/>
    <w:rsid w:val="008966EC"/>
    <w:rsid w:val="00896718"/>
    <w:rsid w:val="008974F2"/>
    <w:rsid w:val="00897977"/>
    <w:rsid w:val="008A0ECC"/>
    <w:rsid w:val="008A5B9D"/>
    <w:rsid w:val="008A5C82"/>
    <w:rsid w:val="008A6DE3"/>
    <w:rsid w:val="008A7A39"/>
    <w:rsid w:val="008B1935"/>
    <w:rsid w:val="008B3EB1"/>
    <w:rsid w:val="008B6B7E"/>
    <w:rsid w:val="008B7788"/>
    <w:rsid w:val="008C09D8"/>
    <w:rsid w:val="008C17F0"/>
    <w:rsid w:val="008C6A86"/>
    <w:rsid w:val="008C6FED"/>
    <w:rsid w:val="008C7704"/>
    <w:rsid w:val="008C7CCB"/>
    <w:rsid w:val="008D4183"/>
    <w:rsid w:val="008D4994"/>
    <w:rsid w:val="008D4E53"/>
    <w:rsid w:val="008D6440"/>
    <w:rsid w:val="008D6B39"/>
    <w:rsid w:val="008E33D1"/>
    <w:rsid w:val="008E41BF"/>
    <w:rsid w:val="008E5324"/>
    <w:rsid w:val="008E5890"/>
    <w:rsid w:val="008E7940"/>
    <w:rsid w:val="008F2D8A"/>
    <w:rsid w:val="008F2DF7"/>
    <w:rsid w:val="008F4CD0"/>
    <w:rsid w:val="008F54B3"/>
    <w:rsid w:val="008F62E6"/>
    <w:rsid w:val="008F639B"/>
    <w:rsid w:val="008F6D62"/>
    <w:rsid w:val="008F6F30"/>
    <w:rsid w:val="008F70E4"/>
    <w:rsid w:val="0090057D"/>
    <w:rsid w:val="00901972"/>
    <w:rsid w:val="0090212A"/>
    <w:rsid w:val="009021E6"/>
    <w:rsid w:val="00904638"/>
    <w:rsid w:val="00905B63"/>
    <w:rsid w:val="0090719A"/>
    <w:rsid w:val="00907CDD"/>
    <w:rsid w:val="009215DD"/>
    <w:rsid w:val="00922946"/>
    <w:rsid w:val="00923544"/>
    <w:rsid w:val="0092414F"/>
    <w:rsid w:val="0092586E"/>
    <w:rsid w:val="00927194"/>
    <w:rsid w:val="00931A3E"/>
    <w:rsid w:val="00934055"/>
    <w:rsid w:val="009343B0"/>
    <w:rsid w:val="009347E9"/>
    <w:rsid w:val="00934C5B"/>
    <w:rsid w:val="009354E5"/>
    <w:rsid w:val="00936DD5"/>
    <w:rsid w:val="009405B5"/>
    <w:rsid w:val="009410DA"/>
    <w:rsid w:val="00943890"/>
    <w:rsid w:val="0094669C"/>
    <w:rsid w:val="00946800"/>
    <w:rsid w:val="00950F7E"/>
    <w:rsid w:val="00952485"/>
    <w:rsid w:val="00952F7A"/>
    <w:rsid w:val="00954E5F"/>
    <w:rsid w:val="0095508F"/>
    <w:rsid w:val="0095759F"/>
    <w:rsid w:val="009578AD"/>
    <w:rsid w:val="00964E66"/>
    <w:rsid w:val="0096662B"/>
    <w:rsid w:val="0096753B"/>
    <w:rsid w:val="009679D9"/>
    <w:rsid w:val="00970B00"/>
    <w:rsid w:val="00971673"/>
    <w:rsid w:val="009740B1"/>
    <w:rsid w:val="00975AC0"/>
    <w:rsid w:val="009764B0"/>
    <w:rsid w:val="009808D6"/>
    <w:rsid w:val="00980F53"/>
    <w:rsid w:val="00983CC0"/>
    <w:rsid w:val="00985C82"/>
    <w:rsid w:val="00986C83"/>
    <w:rsid w:val="00991EF9"/>
    <w:rsid w:val="00993EFF"/>
    <w:rsid w:val="00994009"/>
    <w:rsid w:val="00994F9C"/>
    <w:rsid w:val="00995F77"/>
    <w:rsid w:val="0099689C"/>
    <w:rsid w:val="009968D0"/>
    <w:rsid w:val="009A2E94"/>
    <w:rsid w:val="009A2EE8"/>
    <w:rsid w:val="009A4740"/>
    <w:rsid w:val="009A5CC2"/>
    <w:rsid w:val="009B2445"/>
    <w:rsid w:val="009B2EC5"/>
    <w:rsid w:val="009B5C7A"/>
    <w:rsid w:val="009B65DF"/>
    <w:rsid w:val="009C065C"/>
    <w:rsid w:val="009C2A4B"/>
    <w:rsid w:val="009C339C"/>
    <w:rsid w:val="009C449D"/>
    <w:rsid w:val="009C6A18"/>
    <w:rsid w:val="009D6021"/>
    <w:rsid w:val="009D6108"/>
    <w:rsid w:val="009D7FFC"/>
    <w:rsid w:val="009E2664"/>
    <w:rsid w:val="009E7800"/>
    <w:rsid w:val="009F0A86"/>
    <w:rsid w:val="009F4A03"/>
    <w:rsid w:val="009F5E8A"/>
    <w:rsid w:val="009F6170"/>
    <w:rsid w:val="009F654F"/>
    <w:rsid w:val="00A014A6"/>
    <w:rsid w:val="00A023BC"/>
    <w:rsid w:val="00A0265B"/>
    <w:rsid w:val="00A03B36"/>
    <w:rsid w:val="00A0566C"/>
    <w:rsid w:val="00A05BFF"/>
    <w:rsid w:val="00A067C3"/>
    <w:rsid w:val="00A068F4"/>
    <w:rsid w:val="00A069DD"/>
    <w:rsid w:val="00A137EB"/>
    <w:rsid w:val="00A14796"/>
    <w:rsid w:val="00A15803"/>
    <w:rsid w:val="00A17EE3"/>
    <w:rsid w:val="00A20AF7"/>
    <w:rsid w:val="00A2112C"/>
    <w:rsid w:val="00A2234A"/>
    <w:rsid w:val="00A226DB"/>
    <w:rsid w:val="00A24B6A"/>
    <w:rsid w:val="00A268C7"/>
    <w:rsid w:val="00A307B7"/>
    <w:rsid w:val="00A35359"/>
    <w:rsid w:val="00A35B50"/>
    <w:rsid w:val="00A35DF0"/>
    <w:rsid w:val="00A35E48"/>
    <w:rsid w:val="00A366C8"/>
    <w:rsid w:val="00A36EA0"/>
    <w:rsid w:val="00A3792F"/>
    <w:rsid w:val="00A43B12"/>
    <w:rsid w:val="00A471EA"/>
    <w:rsid w:val="00A54674"/>
    <w:rsid w:val="00A56450"/>
    <w:rsid w:val="00A62BCB"/>
    <w:rsid w:val="00A63F7E"/>
    <w:rsid w:val="00A67239"/>
    <w:rsid w:val="00A70A6F"/>
    <w:rsid w:val="00A71EA5"/>
    <w:rsid w:val="00A746A5"/>
    <w:rsid w:val="00A74808"/>
    <w:rsid w:val="00A758F8"/>
    <w:rsid w:val="00A87F58"/>
    <w:rsid w:val="00A90100"/>
    <w:rsid w:val="00A90161"/>
    <w:rsid w:val="00A94498"/>
    <w:rsid w:val="00A96F58"/>
    <w:rsid w:val="00AA0B17"/>
    <w:rsid w:val="00AA11AB"/>
    <w:rsid w:val="00AA4302"/>
    <w:rsid w:val="00AA46F3"/>
    <w:rsid w:val="00AA5163"/>
    <w:rsid w:val="00AB0899"/>
    <w:rsid w:val="00AB72C0"/>
    <w:rsid w:val="00AC1BCE"/>
    <w:rsid w:val="00AC25D7"/>
    <w:rsid w:val="00AD0DBC"/>
    <w:rsid w:val="00AD438E"/>
    <w:rsid w:val="00AD5CA1"/>
    <w:rsid w:val="00AE1C5C"/>
    <w:rsid w:val="00AE3A82"/>
    <w:rsid w:val="00AE62F7"/>
    <w:rsid w:val="00AE6DAC"/>
    <w:rsid w:val="00AE6F2B"/>
    <w:rsid w:val="00AE73FA"/>
    <w:rsid w:val="00AF095B"/>
    <w:rsid w:val="00AF68A4"/>
    <w:rsid w:val="00AF798E"/>
    <w:rsid w:val="00B0398B"/>
    <w:rsid w:val="00B1096C"/>
    <w:rsid w:val="00B15895"/>
    <w:rsid w:val="00B21E2C"/>
    <w:rsid w:val="00B21EDE"/>
    <w:rsid w:val="00B24666"/>
    <w:rsid w:val="00B25188"/>
    <w:rsid w:val="00B25FCA"/>
    <w:rsid w:val="00B27F57"/>
    <w:rsid w:val="00B347D9"/>
    <w:rsid w:val="00B34E2B"/>
    <w:rsid w:val="00B41A59"/>
    <w:rsid w:val="00B43518"/>
    <w:rsid w:val="00B44763"/>
    <w:rsid w:val="00B4607B"/>
    <w:rsid w:val="00B47132"/>
    <w:rsid w:val="00B47152"/>
    <w:rsid w:val="00B50974"/>
    <w:rsid w:val="00B51114"/>
    <w:rsid w:val="00B52DBD"/>
    <w:rsid w:val="00B52F90"/>
    <w:rsid w:val="00B606E4"/>
    <w:rsid w:val="00B607B5"/>
    <w:rsid w:val="00B6283B"/>
    <w:rsid w:val="00B63353"/>
    <w:rsid w:val="00B65458"/>
    <w:rsid w:val="00B71069"/>
    <w:rsid w:val="00B71526"/>
    <w:rsid w:val="00B71C67"/>
    <w:rsid w:val="00B73510"/>
    <w:rsid w:val="00B75C55"/>
    <w:rsid w:val="00B76E71"/>
    <w:rsid w:val="00B834C4"/>
    <w:rsid w:val="00B8450D"/>
    <w:rsid w:val="00B94C74"/>
    <w:rsid w:val="00B956FC"/>
    <w:rsid w:val="00B9605B"/>
    <w:rsid w:val="00B96F9E"/>
    <w:rsid w:val="00BA7310"/>
    <w:rsid w:val="00BB397D"/>
    <w:rsid w:val="00BB3D40"/>
    <w:rsid w:val="00BB409C"/>
    <w:rsid w:val="00BC0835"/>
    <w:rsid w:val="00BC5754"/>
    <w:rsid w:val="00BC6028"/>
    <w:rsid w:val="00BE1343"/>
    <w:rsid w:val="00BE3756"/>
    <w:rsid w:val="00BE46CE"/>
    <w:rsid w:val="00BF28DD"/>
    <w:rsid w:val="00BF4D09"/>
    <w:rsid w:val="00BF4D82"/>
    <w:rsid w:val="00BF76AC"/>
    <w:rsid w:val="00C021DC"/>
    <w:rsid w:val="00C02316"/>
    <w:rsid w:val="00C03726"/>
    <w:rsid w:val="00C03EA4"/>
    <w:rsid w:val="00C04421"/>
    <w:rsid w:val="00C04F77"/>
    <w:rsid w:val="00C11782"/>
    <w:rsid w:val="00C1454C"/>
    <w:rsid w:val="00C15033"/>
    <w:rsid w:val="00C15675"/>
    <w:rsid w:val="00C168E6"/>
    <w:rsid w:val="00C16EC8"/>
    <w:rsid w:val="00C23AB9"/>
    <w:rsid w:val="00C24E94"/>
    <w:rsid w:val="00C2708B"/>
    <w:rsid w:val="00C3015B"/>
    <w:rsid w:val="00C33078"/>
    <w:rsid w:val="00C35712"/>
    <w:rsid w:val="00C358CA"/>
    <w:rsid w:val="00C35B7C"/>
    <w:rsid w:val="00C441FD"/>
    <w:rsid w:val="00C45001"/>
    <w:rsid w:val="00C45778"/>
    <w:rsid w:val="00C50A8A"/>
    <w:rsid w:val="00C51DB3"/>
    <w:rsid w:val="00C52CDE"/>
    <w:rsid w:val="00C53709"/>
    <w:rsid w:val="00C53827"/>
    <w:rsid w:val="00C57368"/>
    <w:rsid w:val="00C57DA7"/>
    <w:rsid w:val="00C60F9A"/>
    <w:rsid w:val="00C61383"/>
    <w:rsid w:val="00C64435"/>
    <w:rsid w:val="00C71739"/>
    <w:rsid w:val="00C72ABF"/>
    <w:rsid w:val="00C80B75"/>
    <w:rsid w:val="00C80CB2"/>
    <w:rsid w:val="00C82D32"/>
    <w:rsid w:val="00C83411"/>
    <w:rsid w:val="00C840A3"/>
    <w:rsid w:val="00C86EAB"/>
    <w:rsid w:val="00C87CD3"/>
    <w:rsid w:val="00C9196A"/>
    <w:rsid w:val="00C9209D"/>
    <w:rsid w:val="00C922CE"/>
    <w:rsid w:val="00C93D2E"/>
    <w:rsid w:val="00C94297"/>
    <w:rsid w:val="00C9675B"/>
    <w:rsid w:val="00C97A36"/>
    <w:rsid w:val="00CA0FA0"/>
    <w:rsid w:val="00CA1606"/>
    <w:rsid w:val="00CA478F"/>
    <w:rsid w:val="00CA4A51"/>
    <w:rsid w:val="00CA6FD3"/>
    <w:rsid w:val="00CA76DC"/>
    <w:rsid w:val="00CB0E5D"/>
    <w:rsid w:val="00CB25DB"/>
    <w:rsid w:val="00CB3F2D"/>
    <w:rsid w:val="00CB6ACD"/>
    <w:rsid w:val="00CC0511"/>
    <w:rsid w:val="00CC1447"/>
    <w:rsid w:val="00CC3364"/>
    <w:rsid w:val="00CC4F40"/>
    <w:rsid w:val="00CC6405"/>
    <w:rsid w:val="00CD0289"/>
    <w:rsid w:val="00CD3FC7"/>
    <w:rsid w:val="00CD44D0"/>
    <w:rsid w:val="00CD59D0"/>
    <w:rsid w:val="00CD7165"/>
    <w:rsid w:val="00CD75A9"/>
    <w:rsid w:val="00CE20DA"/>
    <w:rsid w:val="00CE28E6"/>
    <w:rsid w:val="00CE4523"/>
    <w:rsid w:val="00CE4F77"/>
    <w:rsid w:val="00CF23DE"/>
    <w:rsid w:val="00D01A59"/>
    <w:rsid w:val="00D0229D"/>
    <w:rsid w:val="00D029CC"/>
    <w:rsid w:val="00D03D11"/>
    <w:rsid w:val="00D046FF"/>
    <w:rsid w:val="00D10755"/>
    <w:rsid w:val="00D12D47"/>
    <w:rsid w:val="00D1314F"/>
    <w:rsid w:val="00D161BA"/>
    <w:rsid w:val="00D16F99"/>
    <w:rsid w:val="00D17214"/>
    <w:rsid w:val="00D22A92"/>
    <w:rsid w:val="00D22AC7"/>
    <w:rsid w:val="00D24480"/>
    <w:rsid w:val="00D2504B"/>
    <w:rsid w:val="00D25768"/>
    <w:rsid w:val="00D25B95"/>
    <w:rsid w:val="00D26A4E"/>
    <w:rsid w:val="00D30AC4"/>
    <w:rsid w:val="00D30DA2"/>
    <w:rsid w:val="00D32066"/>
    <w:rsid w:val="00D334A1"/>
    <w:rsid w:val="00D4157B"/>
    <w:rsid w:val="00D44366"/>
    <w:rsid w:val="00D454A0"/>
    <w:rsid w:val="00D47842"/>
    <w:rsid w:val="00D50F48"/>
    <w:rsid w:val="00D54AE4"/>
    <w:rsid w:val="00D56DD5"/>
    <w:rsid w:val="00D56DEE"/>
    <w:rsid w:val="00D6264C"/>
    <w:rsid w:val="00D649AE"/>
    <w:rsid w:val="00D67FC5"/>
    <w:rsid w:val="00D715C5"/>
    <w:rsid w:val="00D7684C"/>
    <w:rsid w:val="00D85469"/>
    <w:rsid w:val="00D85758"/>
    <w:rsid w:val="00D85D4A"/>
    <w:rsid w:val="00D860CE"/>
    <w:rsid w:val="00D87384"/>
    <w:rsid w:val="00D917B3"/>
    <w:rsid w:val="00D9408B"/>
    <w:rsid w:val="00D95576"/>
    <w:rsid w:val="00D97731"/>
    <w:rsid w:val="00DA067E"/>
    <w:rsid w:val="00DA3B54"/>
    <w:rsid w:val="00DA3C22"/>
    <w:rsid w:val="00DA41A3"/>
    <w:rsid w:val="00DA4AA7"/>
    <w:rsid w:val="00DA7240"/>
    <w:rsid w:val="00DB0696"/>
    <w:rsid w:val="00DB2276"/>
    <w:rsid w:val="00DB3EE5"/>
    <w:rsid w:val="00DB648A"/>
    <w:rsid w:val="00DB69F1"/>
    <w:rsid w:val="00DB70C5"/>
    <w:rsid w:val="00DB79C6"/>
    <w:rsid w:val="00DC102A"/>
    <w:rsid w:val="00DC12B5"/>
    <w:rsid w:val="00DC3AC7"/>
    <w:rsid w:val="00DC5BCE"/>
    <w:rsid w:val="00DC6657"/>
    <w:rsid w:val="00DD377E"/>
    <w:rsid w:val="00DD42C6"/>
    <w:rsid w:val="00DD4FDE"/>
    <w:rsid w:val="00DE1090"/>
    <w:rsid w:val="00DE7F31"/>
    <w:rsid w:val="00DF4CAE"/>
    <w:rsid w:val="00E019FD"/>
    <w:rsid w:val="00E068B2"/>
    <w:rsid w:val="00E11FAF"/>
    <w:rsid w:val="00E14A4C"/>
    <w:rsid w:val="00E1682A"/>
    <w:rsid w:val="00E20EED"/>
    <w:rsid w:val="00E2122E"/>
    <w:rsid w:val="00E233F5"/>
    <w:rsid w:val="00E23996"/>
    <w:rsid w:val="00E2527F"/>
    <w:rsid w:val="00E26F44"/>
    <w:rsid w:val="00E26F82"/>
    <w:rsid w:val="00E27F83"/>
    <w:rsid w:val="00E31025"/>
    <w:rsid w:val="00E3117F"/>
    <w:rsid w:val="00E3151E"/>
    <w:rsid w:val="00E32D33"/>
    <w:rsid w:val="00E3356C"/>
    <w:rsid w:val="00E35281"/>
    <w:rsid w:val="00E377B3"/>
    <w:rsid w:val="00E378D6"/>
    <w:rsid w:val="00E37B54"/>
    <w:rsid w:val="00E52182"/>
    <w:rsid w:val="00E5297F"/>
    <w:rsid w:val="00E5412C"/>
    <w:rsid w:val="00E552C8"/>
    <w:rsid w:val="00E55CE2"/>
    <w:rsid w:val="00E5799D"/>
    <w:rsid w:val="00E6070C"/>
    <w:rsid w:val="00E64DD7"/>
    <w:rsid w:val="00E64F84"/>
    <w:rsid w:val="00E65243"/>
    <w:rsid w:val="00E665F0"/>
    <w:rsid w:val="00E66689"/>
    <w:rsid w:val="00E67AB9"/>
    <w:rsid w:val="00E67BF6"/>
    <w:rsid w:val="00E717D8"/>
    <w:rsid w:val="00E748F4"/>
    <w:rsid w:val="00E74B0A"/>
    <w:rsid w:val="00E757A1"/>
    <w:rsid w:val="00E774AF"/>
    <w:rsid w:val="00E818A5"/>
    <w:rsid w:val="00E81BA5"/>
    <w:rsid w:val="00E86533"/>
    <w:rsid w:val="00E87685"/>
    <w:rsid w:val="00E90073"/>
    <w:rsid w:val="00E92E46"/>
    <w:rsid w:val="00E963B1"/>
    <w:rsid w:val="00EA04A1"/>
    <w:rsid w:val="00EA2978"/>
    <w:rsid w:val="00EB0D5B"/>
    <w:rsid w:val="00EB39A1"/>
    <w:rsid w:val="00EB3D34"/>
    <w:rsid w:val="00EB4935"/>
    <w:rsid w:val="00EB4A0C"/>
    <w:rsid w:val="00EB7139"/>
    <w:rsid w:val="00EC0324"/>
    <w:rsid w:val="00EC4584"/>
    <w:rsid w:val="00EC529F"/>
    <w:rsid w:val="00EC5C1A"/>
    <w:rsid w:val="00EC5F9A"/>
    <w:rsid w:val="00ED2283"/>
    <w:rsid w:val="00ED3FCC"/>
    <w:rsid w:val="00ED4D9F"/>
    <w:rsid w:val="00EE0D42"/>
    <w:rsid w:val="00EE3B0D"/>
    <w:rsid w:val="00EE4886"/>
    <w:rsid w:val="00EE4C73"/>
    <w:rsid w:val="00EE53A6"/>
    <w:rsid w:val="00EE69EC"/>
    <w:rsid w:val="00EF0808"/>
    <w:rsid w:val="00EF1118"/>
    <w:rsid w:val="00F009A9"/>
    <w:rsid w:val="00F033C5"/>
    <w:rsid w:val="00F0371B"/>
    <w:rsid w:val="00F06DE3"/>
    <w:rsid w:val="00F12CE7"/>
    <w:rsid w:val="00F12E87"/>
    <w:rsid w:val="00F13165"/>
    <w:rsid w:val="00F13A62"/>
    <w:rsid w:val="00F16B0B"/>
    <w:rsid w:val="00F21C74"/>
    <w:rsid w:val="00F21F57"/>
    <w:rsid w:val="00F22BDC"/>
    <w:rsid w:val="00F2599D"/>
    <w:rsid w:val="00F26C05"/>
    <w:rsid w:val="00F32765"/>
    <w:rsid w:val="00F33F81"/>
    <w:rsid w:val="00F36A85"/>
    <w:rsid w:val="00F4051A"/>
    <w:rsid w:val="00F40C88"/>
    <w:rsid w:val="00F40D41"/>
    <w:rsid w:val="00F41268"/>
    <w:rsid w:val="00F430CD"/>
    <w:rsid w:val="00F43D35"/>
    <w:rsid w:val="00F4693B"/>
    <w:rsid w:val="00F4713C"/>
    <w:rsid w:val="00F52E1E"/>
    <w:rsid w:val="00F55B21"/>
    <w:rsid w:val="00F605F9"/>
    <w:rsid w:val="00F61B31"/>
    <w:rsid w:val="00F621E6"/>
    <w:rsid w:val="00F6588A"/>
    <w:rsid w:val="00F65D8F"/>
    <w:rsid w:val="00F661D9"/>
    <w:rsid w:val="00F72FDC"/>
    <w:rsid w:val="00F754A1"/>
    <w:rsid w:val="00F757BB"/>
    <w:rsid w:val="00F7756D"/>
    <w:rsid w:val="00F83C55"/>
    <w:rsid w:val="00F83CE3"/>
    <w:rsid w:val="00F85C51"/>
    <w:rsid w:val="00F8696A"/>
    <w:rsid w:val="00F86B83"/>
    <w:rsid w:val="00F8744F"/>
    <w:rsid w:val="00F91DC9"/>
    <w:rsid w:val="00F92E09"/>
    <w:rsid w:val="00F933CB"/>
    <w:rsid w:val="00F94C37"/>
    <w:rsid w:val="00F95488"/>
    <w:rsid w:val="00F95D39"/>
    <w:rsid w:val="00F979AE"/>
    <w:rsid w:val="00F97B58"/>
    <w:rsid w:val="00FA00DA"/>
    <w:rsid w:val="00FA21E2"/>
    <w:rsid w:val="00FA6466"/>
    <w:rsid w:val="00FA7940"/>
    <w:rsid w:val="00FB0698"/>
    <w:rsid w:val="00FB2599"/>
    <w:rsid w:val="00FB2F39"/>
    <w:rsid w:val="00FB359F"/>
    <w:rsid w:val="00FB4E3A"/>
    <w:rsid w:val="00FC1A0C"/>
    <w:rsid w:val="00FC1E22"/>
    <w:rsid w:val="00FC627D"/>
    <w:rsid w:val="00FC7301"/>
    <w:rsid w:val="00FD0F24"/>
    <w:rsid w:val="00FD3207"/>
    <w:rsid w:val="00FD5669"/>
    <w:rsid w:val="00FE0B90"/>
    <w:rsid w:val="00FE0BBF"/>
    <w:rsid w:val="00FE1232"/>
    <w:rsid w:val="00FE2EC7"/>
    <w:rsid w:val="00FE3D70"/>
    <w:rsid w:val="00FE5499"/>
    <w:rsid w:val="00FE5533"/>
    <w:rsid w:val="00FE5F16"/>
    <w:rsid w:val="00FE672A"/>
    <w:rsid w:val="00FF1153"/>
    <w:rsid w:val="00FF4A3B"/>
    <w:rsid w:val="00FF5D96"/>
    <w:rsid w:val="00FF7FC8"/>
    <w:rsid w:val="07BE8308"/>
    <w:rsid w:val="09F32E02"/>
    <w:rsid w:val="2E194EF3"/>
    <w:rsid w:val="4495D61E"/>
    <w:rsid w:val="740F6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5D9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4"/>
    <w:lsdException w:name="heading 7" w:semiHidden="1" w:uiPriority="14" w:qFormat="1"/>
    <w:lsdException w:name="heading 8" w:semiHidden="1" w:uiPriority="14" w:qFormat="1"/>
    <w:lsdException w:name="heading 9" w:semiHidden="1"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7022D2"/>
    <w:pPr>
      <w:spacing w:after="200"/>
    </w:pPr>
  </w:style>
  <w:style w:type="paragraph" w:styleId="Heading1">
    <w:name w:val="heading 1"/>
    <w:next w:val="Subtitle"/>
    <w:link w:val="Heading1Char"/>
    <w:qFormat/>
    <w:rsid w:val="00672A6F"/>
    <w:pPr>
      <w:spacing w:before="240" w:after="40"/>
      <w:jc w:val="center"/>
      <w:outlineLvl w:val="0"/>
    </w:pPr>
    <w:rPr>
      <w:rFonts w:cstheme="minorHAnsi"/>
      <w:b/>
      <w:bCs/>
      <w:kern w:val="0"/>
      <w:sz w:val="48"/>
      <w:szCs w:val="30"/>
      <w14:ligatures w14:val="none"/>
    </w:rPr>
  </w:style>
  <w:style w:type="paragraph" w:styleId="Heading2">
    <w:name w:val="heading 2"/>
    <w:next w:val="Normal"/>
    <w:link w:val="Heading2Char"/>
    <w:uiPriority w:val="3"/>
    <w:qFormat/>
    <w:rsid w:val="00D26A4E"/>
    <w:pPr>
      <w:spacing w:before="300" w:after="40"/>
      <w:outlineLvl w:val="1"/>
    </w:pPr>
    <w:rPr>
      <w:b/>
      <w:bCs/>
      <w:color w:val="367079" w:themeColor="accent1" w:themeShade="BF"/>
      <w:kern w:val="0"/>
      <w:sz w:val="32"/>
      <w:szCs w:val="27"/>
      <w14:ligatures w14:val="none"/>
    </w:rPr>
  </w:style>
  <w:style w:type="paragraph" w:styleId="Heading3">
    <w:name w:val="heading 3"/>
    <w:next w:val="Normal"/>
    <w:link w:val="Heading3Char"/>
    <w:uiPriority w:val="4"/>
    <w:qFormat/>
    <w:rsid w:val="00FE2EC7"/>
    <w:pPr>
      <w:keepNext/>
      <w:spacing w:before="240" w:after="40"/>
      <w:outlineLvl w:val="2"/>
    </w:pPr>
    <w:rPr>
      <w:b/>
      <w:bCs/>
      <w:color w:val="4897A2" w:themeColor="accent1"/>
      <w:kern w:val="0"/>
      <w:sz w:val="28"/>
      <w:szCs w:val="23"/>
      <w14:ligatures w14:val="none"/>
    </w:rPr>
  </w:style>
  <w:style w:type="paragraph" w:styleId="Heading4">
    <w:name w:val="heading 4"/>
    <w:next w:val="Normal"/>
    <w:link w:val="Heading4Char"/>
    <w:uiPriority w:val="5"/>
    <w:qFormat/>
    <w:rsid w:val="004F54A1"/>
    <w:pPr>
      <w:spacing w:before="240" w:after="40"/>
      <w:outlineLvl w:val="3"/>
    </w:pPr>
    <w:rPr>
      <w:b/>
      <w:bCs/>
      <w:kern w:val="0"/>
      <w:sz w:val="27"/>
      <w:szCs w:val="23"/>
      <w14:ligatures w14:val="none"/>
    </w:rPr>
  </w:style>
  <w:style w:type="paragraph" w:styleId="Heading5">
    <w:name w:val="heading 5"/>
    <w:next w:val="Normal"/>
    <w:link w:val="Heading5Char"/>
    <w:uiPriority w:val="6"/>
    <w:qFormat/>
    <w:rsid w:val="00552FA9"/>
    <w:pPr>
      <w:keepNext/>
      <w:spacing w:before="200" w:after="20"/>
      <w:outlineLvl w:val="4"/>
    </w:pPr>
    <w:rPr>
      <w:b/>
      <w:bCs/>
      <w:kern w:val="0"/>
      <w:sz w:val="2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12"/>
    <w:semiHidden/>
    <w:qFormat/>
    <w:rsid w:val="00E81BA5"/>
    <w:pPr>
      <w:tabs>
        <w:tab w:val="center" w:pos="4513"/>
        <w:tab w:val="right" w:pos="9026"/>
      </w:tabs>
    </w:pPr>
    <w:rPr>
      <w:noProof/>
      <w:sz w:val="23"/>
      <w:szCs w:val="23"/>
    </w:rPr>
  </w:style>
  <w:style w:type="character" w:customStyle="1" w:styleId="HeaderChar">
    <w:name w:val="Header Char"/>
    <w:basedOn w:val="DefaultParagraphFont"/>
    <w:link w:val="Header"/>
    <w:uiPriority w:val="12"/>
    <w:semiHidden/>
    <w:rsid w:val="00813798"/>
    <w:rPr>
      <w:noProof/>
      <w:sz w:val="23"/>
      <w:szCs w:val="23"/>
    </w:rPr>
  </w:style>
  <w:style w:type="paragraph" w:styleId="Footer">
    <w:name w:val="footer"/>
    <w:basedOn w:val="Normal"/>
    <w:link w:val="FooterChar"/>
    <w:uiPriority w:val="11"/>
    <w:unhideWhenUsed/>
    <w:rsid w:val="00185CBF"/>
    <w:pPr>
      <w:tabs>
        <w:tab w:val="center" w:pos="4513"/>
        <w:tab w:val="right" w:pos="9026"/>
      </w:tabs>
      <w:spacing w:line="240" w:lineRule="auto"/>
    </w:pPr>
  </w:style>
  <w:style w:type="character" w:customStyle="1" w:styleId="FooterChar">
    <w:name w:val="Footer Char"/>
    <w:basedOn w:val="DefaultParagraphFont"/>
    <w:link w:val="Footer"/>
    <w:uiPriority w:val="11"/>
    <w:rsid w:val="00813798"/>
  </w:style>
  <w:style w:type="paragraph" w:styleId="Title">
    <w:name w:val="Title"/>
    <w:next w:val="Normal"/>
    <w:link w:val="TitleChar"/>
    <w:uiPriority w:val="99"/>
    <w:semiHidden/>
    <w:qFormat/>
    <w:rsid w:val="006F1E94"/>
    <w:pPr>
      <w:spacing w:before="280" w:line="276" w:lineRule="auto"/>
    </w:pPr>
    <w:rPr>
      <w:b/>
      <w:bCs/>
      <w:sz w:val="41"/>
      <w:szCs w:val="41"/>
    </w:rPr>
  </w:style>
  <w:style w:type="character" w:customStyle="1" w:styleId="TitleChar">
    <w:name w:val="Title Char"/>
    <w:basedOn w:val="DefaultParagraphFont"/>
    <w:link w:val="Title"/>
    <w:uiPriority w:val="99"/>
    <w:semiHidden/>
    <w:rsid w:val="00C02316"/>
    <w:rPr>
      <w:b/>
      <w:bCs/>
      <w:sz w:val="41"/>
      <w:szCs w:val="41"/>
    </w:rPr>
  </w:style>
  <w:style w:type="paragraph" w:styleId="Subtitle">
    <w:name w:val="Subtitle"/>
    <w:next w:val="Normal"/>
    <w:link w:val="SubtitleChar"/>
    <w:uiPriority w:val="1"/>
    <w:qFormat/>
    <w:rsid w:val="001110B8"/>
    <w:pPr>
      <w:spacing w:after="280"/>
      <w:jc w:val="center"/>
    </w:pPr>
    <w:rPr>
      <w:color w:val="595959" w:themeColor="text1" w:themeTint="A6"/>
      <w:sz w:val="36"/>
      <w:szCs w:val="36"/>
    </w:rPr>
  </w:style>
  <w:style w:type="character" w:customStyle="1" w:styleId="SubtitleChar">
    <w:name w:val="Subtitle Char"/>
    <w:basedOn w:val="DefaultParagraphFont"/>
    <w:link w:val="Subtitle"/>
    <w:uiPriority w:val="1"/>
    <w:rsid w:val="001110B8"/>
    <w:rPr>
      <w:color w:val="595959" w:themeColor="text1" w:themeTint="A6"/>
      <w:sz w:val="36"/>
      <w:szCs w:val="36"/>
    </w:rPr>
  </w:style>
  <w:style w:type="character" w:customStyle="1" w:styleId="Heading2Char">
    <w:name w:val="Heading 2 Char"/>
    <w:basedOn w:val="DefaultParagraphFont"/>
    <w:link w:val="Heading2"/>
    <w:uiPriority w:val="3"/>
    <w:rsid w:val="00D26A4E"/>
    <w:rPr>
      <w:b/>
      <w:bCs/>
      <w:color w:val="367079" w:themeColor="accent1" w:themeShade="BF"/>
      <w:kern w:val="0"/>
      <w:sz w:val="32"/>
      <w:szCs w:val="27"/>
      <w14:ligatures w14:val="none"/>
    </w:rPr>
  </w:style>
  <w:style w:type="character" w:customStyle="1" w:styleId="Heading3Char">
    <w:name w:val="Heading 3 Char"/>
    <w:basedOn w:val="DefaultParagraphFont"/>
    <w:link w:val="Heading3"/>
    <w:uiPriority w:val="4"/>
    <w:rsid w:val="00FE2EC7"/>
    <w:rPr>
      <w:b/>
      <w:bCs/>
      <w:color w:val="4897A2" w:themeColor="accent1"/>
      <w:kern w:val="0"/>
      <w:sz w:val="28"/>
      <w:szCs w:val="23"/>
      <w14:ligatures w14:val="none"/>
    </w:rPr>
  </w:style>
  <w:style w:type="character" w:customStyle="1" w:styleId="Heading4Char">
    <w:name w:val="Heading 4 Char"/>
    <w:basedOn w:val="DefaultParagraphFont"/>
    <w:link w:val="Heading4"/>
    <w:uiPriority w:val="5"/>
    <w:rsid w:val="004F54A1"/>
    <w:rPr>
      <w:b/>
      <w:bCs/>
      <w:kern w:val="0"/>
      <w:sz w:val="27"/>
      <w:szCs w:val="23"/>
      <w14:ligatures w14:val="none"/>
    </w:rPr>
  </w:style>
  <w:style w:type="character" w:customStyle="1" w:styleId="Heading1Char">
    <w:name w:val="Heading 1 Char"/>
    <w:basedOn w:val="DefaultParagraphFont"/>
    <w:link w:val="Heading1"/>
    <w:rsid w:val="00672A6F"/>
    <w:rPr>
      <w:rFonts w:cstheme="minorHAnsi"/>
      <w:b/>
      <w:bCs/>
      <w:kern w:val="0"/>
      <w:sz w:val="48"/>
      <w:szCs w:val="30"/>
      <w14:ligatures w14:val="none"/>
    </w:rPr>
  </w:style>
  <w:style w:type="character" w:customStyle="1" w:styleId="Heading5Char">
    <w:name w:val="Heading 5 Char"/>
    <w:basedOn w:val="DefaultParagraphFont"/>
    <w:link w:val="Heading5"/>
    <w:uiPriority w:val="6"/>
    <w:rsid w:val="00552FA9"/>
    <w:rPr>
      <w:b/>
      <w:bCs/>
      <w:kern w:val="0"/>
      <w:sz w:val="25"/>
      <w14:ligatures w14:val="none"/>
    </w:rPr>
  </w:style>
  <w:style w:type="character" w:styleId="UnresolvedMention">
    <w:name w:val="Unresolved Mention"/>
    <w:basedOn w:val="DefaultParagraphFont"/>
    <w:uiPriority w:val="99"/>
    <w:semiHidden/>
    <w:unhideWhenUsed/>
    <w:rsid w:val="00A023BC"/>
    <w:rPr>
      <w:color w:val="605E5C"/>
      <w:shd w:val="clear" w:color="auto" w:fill="E1DFDD"/>
    </w:rPr>
  </w:style>
  <w:style w:type="table" w:styleId="GridTable4-Accent1">
    <w:name w:val="Grid Table 4 Accent 1"/>
    <w:basedOn w:val="TableNormal"/>
    <w:uiPriority w:val="49"/>
    <w:rsid w:val="00C45778"/>
    <w:pPr>
      <w:spacing w:line="240" w:lineRule="auto"/>
    </w:pPr>
    <w:tblPr>
      <w:tblStyleRowBandSize w:val="1"/>
      <w:tblStyleCol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tblPr/>
      <w:tcPr>
        <w:shd w:val="clear" w:color="auto" w:fill="367079" w:themeFill="accent1" w:themeFillShade="BF"/>
      </w:tcPr>
    </w:tblStylePr>
    <w:tblStylePr w:type="lastRow">
      <w:rPr>
        <w:b/>
        <w:bCs/>
      </w:rPr>
      <w:tblPr/>
      <w:tcPr>
        <w:tcBorders>
          <w:top w:val="double" w:sz="4" w:space="0" w:color="4897A2" w:themeColor="accent1"/>
        </w:tcBorders>
      </w:tcPr>
    </w:tblStylePr>
    <w:tblStylePr w:type="firstCol">
      <w:rPr>
        <w:b w:val="0"/>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paragraph" w:customStyle="1" w:styleId="TableContents">
    <w:name w:val="Table Contents"/>
    <w:uiPriority w:val="99"/>
    <w:semiHidden/>
    <w:qFormat/>
    <w:rsid w:val="006762A6"/>
    <w:pPr>
      <w:spacing w:before="80" w:after="80" w:line="240" w:lineRule="auto"/>
    </w:pPr>
    <w:rPr>
      <w:rFonts w:cstheme="minorHAnsi"/>
    </w:rPr>
  </w:style>
  <w:style w:type="paragraph" w:customStyle="1" w:styleId="TableHeader">
    <w:name w:val="Table Header"/>
    <w:link w:val="TableHeaderChar"/>
    <w:uiPriority w:val="7"/>
    <w:qFormat/>
    <w:rsid w:val="00F0371B"/>
    <w:pPr>
      <w:spacing w:before="100" w:after="100" w:line="240" w:lineRule="auto"/>
      <w:jc w:val="center"/>
    </w:pPr>
    <w:rPr>
      <w:color w:val="FFFFFF" w:themeColor="background1"/>
      <w:sz w:val="24"/>
    </w:rPr>
  </w:style>
  <w:style w:type="table" w:styleId="TableGridLight">
    <w:name w:val="Grid Table Light"/>
    <w:basedOn w:val="TableNormal"/>
    <w:uiPriority w:val="40"/>
    <w:rsid w:val="00EE4C7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EE4C73"/>
    <w:pPr>
      <w:spacing w:line="240" w:lineRule="auto"/>
    </w:pPr>
    <w:tblPr>
      <w:tblStyleRowBandSize w:val="1"/>
      <w:tblStyleColBandSize w:val="1"/>
      <w:tblBorders>
        <w:top w:val="single" w:sz="2" w:space="0" w:color="8CC4CC" w:themeColor="accent1" w:themeTint="99"/>
        <w:bottom w:val="single" w:sz="2" w:space="0" w:color="8CC4CC" w:themeColor="accent1" w:themeTint="99"/>
        <w:insideH w:val="single" w:sz="2" w:space="0" w:color="8CC4CC" w:themeColor="accent1" w:themeTint="99"/>
        <w:insideV w:val="single" w:sz="2" w:space="0" w:color="8CC4CC" w:themeColor="accent1" w:themeTint="99"/>
      </w:tblBorders>
    </w:tblPr>
    <w:tblStylePr w:type="firstRow">
      <w:rPr>
        <w:b/>
        <w:bCs/>
      </w:rPr>
      <w:tblPr/>
      <w:tcPr>
        <w:tcBorders>
          <w:top w:val="nil"/>
          <w:bottom w:val="single" w:sz="12" w:space="0" w:color="8CC4CC" w:themeColor="accent1" w:themeTint="99"/>
          <w:insideH w:val="nil"/>
          <w:insideV w:val="nil"/>
        </w:tcBorders>
        <w:shd w:val="clear" w:color="auto" w:fill="FFFFFF" w:themeFill="background1"/>
      </w:tcPr>
    </w:tblStylePr>
    <w:tblStylePr w:type="lastRow">
      <w:rPr>
        <w:b/>
        <w:bCs/>
      </w:rPr>
      <w:tblPr/>
      <w:tcPr>
        <w:tcBorders>
          <w:top w:val="double" w:sz="2" w:space="0" w:color="8CC4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paragraph" w:styleId="ListParagraph">
    <w:name w:val="List Paragraph"/>
    <w:basedOn w:val="Normal"/>
    <w:uiPriority w:val="34"/>
    <w:qFormat/>
    <w:rsid w:val="00B8450D"/>
    <w:pPr>
      <w:ind w:left="720"/>
      <w:contextualSpacing/>
    </w:pPr>
  </w:style>
  <w:style w:type="character" w:styleId="CommentReference">
    <w:name w:val="annotation reference"/>
    <w:basedOn w:val="DefaultParagraphFont"/>
    <w:uiPriority w:val="99"/>
    <w:semiHidden/>
    <w:unhideWhenUsed/>
    <w:rsid w:val="00B956FC"/>
    <w:rPr>
      <w:sz w:val="16"/>
      <w:szCs w:val="16"/>
    </w:rPr>
  </w:style>
  <w:style w:type="paragraph" w:styleId="CommentText">
    <w:name w:val="annotation text"/>
    <w:basedOn w:val="Normal"/>
    <w:link w:val="CommentTextChar"/>
    <w:uiPriority w:val="99"/>
    <w:unhideWhenUsed/>
    <w:rsid w:val="00B956FC"/>
    <w:pPr>
      <w:spacing w:line="240" w:lineRule="auto"/>
    </w:pPr>
    <w:rPr>
      <w:sz w:val="20"/>
      <w:szCs w:val="20"/>
    </w:rPr>
  </w:style>
  <w:style w:type="character" w:customStyle="1" w:styleId="CommentTextChar">
    <w:name w:val="Comment Text Char"/>
    <w:basedOn w:val="DefaultParagraphFont"/>
    <w:link w:val="CommentText"/>
    <w:uiPriority w:val="99"/>
    <w:rsid w:val="00B956FC"/>
    <w:rPr>
      <w:sz w:val="20"/>
      <w:szCs w:val="20"/>
    </w:rPr>
  </w:style>
  <w:style w:type="paragraph" w:styleId="CommentSubject">
    <w:name w:val="annotation subject"/>
    <w:basedOn w:val="CommentText"/>
    <w:next w:val="CommentText"/>
    <w:link w:val="CommentSubjectChar"/>
    <w:uiPriority w:val="99"/>
    <w:semiHidden/>
    <w:unhideWhenUsed/>
    <w:rsid w:val="00B956FC"/>
    <w:rPr>
      <w:b/>
      <w:bCs/>
    </w:rPr>
  </w:style>
  <w:style w:type="character" w:customStyle="1" w:styleId="CommentSubjectChar">
    <w:name w:val="Comment Subject Char"/>
    <w:basedOn w:val="CommentTextChar"/>
    <w:link w:val="CommentSubject"/>
    <w:uiPriority w:val="99"/>
    <w:semiHidden/>
    <w:rsid w:val="00B956FC"/>
    <w:rPr>
      <w:b/>
      <w:bCs/>
      <w:sz w:val="20"/>
      <w:szCs w:val="20"/>
    </w:rPr>
  </w:style>
  <w:style w:type="table" w:customStyle="1" w:styleId="TPSTable">
    <w:name w:val="TPS Table"/>
    <w:basedOn w:val="TableNormal"/>
    <w:uiPriority w:val="99"/>
    <w:rsid w:val="00396975"/>
    <w:pPr>
      <w:spacing w:before="40" w:after="40" w:line="276" w:lineRule="auto"/>
    </w:pPr>
    <w:rPr>
      <w:kern w:val="0"/>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cPr>
      <w:shd w:val="clear" w:color="auto" w:fill="auto"/>
    </w:tcPr>
    <w:tblStylePr w:type="firstRow">
      <w:pPr>
        <w:wordWrap/>
        <w:spacing w:beforeLines="0" w:before="100" w:beforeAutospacing="0" w:afterLines="0" w:after="100" w:afterAutospacing="0" w:line="240" w:lineRule="auto"/>
        <w:contextualSpacing w:val="0"/>
        <w:mirrorIndents w:val="0"/>
        <w:jc w:val="center"/>
      </w:pPr>
      <w:rPr>
        <w:b/>
      </w:rPr>
      <w:tblPr/>
      <w:tcPr>
        <w:shd w:val="clear" w:color="auto" w:fill="367079" w:themeFill="accent1" w:themeFillShade="BF"/>
        <w:vAlign w:val="center"/>
      </w:tcPr>
    </w:tblStylePr>
    <w:tblStylePr w:type="band1Horz">
      <w:pPr>
        <w:wordWrap/>
        <w:spacing w:beforeLines="0" w:before="80" w:beforeAutospacing="0" w:afterLines="0" w:after="80" w:afterAutospacing="0" w:line="240" w:lineRule="auto"/>
        <w:contextualSpacing w:val="0"/>
        <w:jc w:val="left"/>
      </w:pPr>
      <w:rPr>
        <w:rFonts w:asciiTheme="minorHAnsi" w:hAnsiTheme="minorHAnsi"/>
        <w:sz w:val="22"/>
      </w:rPr>
      <w:tblPr/>
      <w:tcPr>
        <w:shd w:val="clear" w:color="auto" w:fill="D8EBEE" w:themeFill="accent1" w:themeFillTint="33"/>
        <w:vAlign w:val="center"/>
      </w:tcPr>
    </w:tblStylePr>
    <w:tblStylePr w:type="band2Horz">
      <w:pPr>
        <w:wordWrap/>
        <w:spacing w:beforeLines="0" w:before="80" w:beforeAutospacing="0" w:afterLines="0" w:after="80" w:afterAutospacing="0" w:line="240" w:lineRule="auto"/>
        <w:contextualSpacing w:val="0"/>
        <w:jc w:val="left"/>
      </w:pPr>
      <w:rPr>
        <w:rFonts w:asciiTheme="minorHAnsi" w:hAnsiTheme="minorHAnsi"/>
        <w:color w:val="auto"/>
        <w:sz w:val="22"/>
      </w:rPr>
      <w:tblPr/>
      <w:tcPr>
        <w:vAlign w:val="center"/>
      </w:tcPr>
    </w:tblStylePr>
  </w:style>
  <w:style w:type="character" w:styleId="Hyperlink">
    <w:name w:val="Hyperlink"/>
    <w:basedOn w:val="DefaultParagraphFont"/>
    <w:uiPriority w:val="99"/>
    <w:unhideWhenUsed/>
    <w:qFormat/>
    <w:rsid w:val="003D2E74"/>
    <w:rPr>
      <w:color w:val="326970"/>
      <w:u w:val="single"/>
    </w:rPr>
  </w:style>
  <w:style w:type="paragraph" w:styleId="FootnoteText">
    <w:name w:val="footnote text"/>
    <w:basedOn w:val="Normal"/>
    <w:link w:val="FootnoteTextChar"/>
    <w:uiPriority w:val="99"/>
    <w:semiHidden/>
    <w:unhideWhenUsed/>
    <w:rsid w:val="003D2E74"/>
    <w:pPr>
      <w:spacing w:after="0" w:line="240" w:lineRule="auto"/>
    </w:pPr>
    <w:rPr>
      <w:rFonts w:ascii="Calibri" w:hAnsi="Calibri" w:cstheme="minorHAnsi"/>
      <w:color w:val="000000" w:themeColor="text1"/>
      <w:kern w:val="24"/>
      <w:sz w:val="20"/>
      <w:szCs w:val="20"/>
      <w14:ligatures w14:val="none"/>
    </w:rPr>
  </w:style>
  <w:style w:type="character" w:customStyle="1" w:styleId="FootnoteTextChar">
    <w:name w:val="Footnote Text Char"/>
    <w:basedOn w:val="DefaultParagraphFont"/>
    <w:link w:val="FootnoteText"/>
    <w:uiPriority w:val="99"/>
    <w:semiHidden/>
    <w:rsid w:val="003D2E74"/>
    <w:rPr>
      <w:rFonts w:ascii="Calibri" w:hAnsi="Calibri" w:cstheme="minorHAnsi"/>
      <w:color w:val="000000" w:themeColor="text1"/>
      <w:kern w:val="24"/>
      <w:sz w:val="20"/>
      <w:szCs w:val="20"/>
      <w14:ligatures w14:val="none"/>
    </w:rPr>
  </w:style>
  <w:style w:type="character" w:styleId="FootnoteReference">
    <w:name w:val="footnote reference"/>
    <w:basedOn w:val="DefaultParagraphFont"/>
    <w:uiPriority w:val="99"/>
    <w:semiHidden/>
    <w:unhideWhenUsed/>
    <w:rsid w:val="003D2E74"/>
    <w:rPr>
      <w:vertAlign w:val="superscript"/>
    </w:rPr>
  </w:style>
  <w:style w:type="table" w:customStyle="1" w:styleId="TPS">
    <w:name w:val="TPS"/>
    <w:basedOn w:val="TableNormal"/>
    <w:uiPriority w:val="99"/>
    <w:rsid w:val="008A6DE3"/>
    <w:pPr>
      <w:spacing w:line="276" w:lineRule="auto"/>
      <w:ind w:left="-28"/>
    </w:pPr>
    <w:rPr>
      <w:rFonts w:ascii="Calibri" w:hAnsi="Calibri" w:cstheme="minorHAnsi"/>
      <w:color w:val="000000" w:themeColor="text1"/>
      <w:kern w:val="24"/>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40" w:beforeAutospacing="0" w:afterLines="0" w:after="40" w:afterAutospacing="0" w:line="276" w:lineRule="auto"/>
        <w:ind w:leftChars="0" w:left="-28"/>
      </w:pPr>
      <w:rPr>
        <w:rFonts w:asciiTheme="minorHAnsi" w:hAnsiTheme="minorHAnsi"/>
        <w:b/>
        <w:color w:val="FFFFFF" w:themeColor="background1"/>
        <w:sz w:val="24"/>
      </w:rPr>
      <w:tblPr/>
      <w:tcPr>
        <w:shd w:val="clear" w:color="auto" w:fill="4897A2"/>
      </w:tcPr>
    </w:tblStylePr>
    <w:tblStylePr w:type="band1Horz">
      <w:rPr>
        <w:rFonts w:asciiTheme="minorHAnsi" w:hAnsiTheme="minorHAnsi"/>
        <w:sz w:val="22"/>
      </w:rPr>
      <w:tblPr/>
      <w:tcPr>
        <w:shd w:val="clear" w:color="auto" w:fill="D5DDE1"/>
      </w:tcPr>
    </w:tblStylePr>
    <w:tblStylePr w:type="band2Horz">
      <w:rPr>
        <w:rFonts w:asciiTheme="minorHAnsi" w:hAnsiTheme="minorHAnsi"/>
        <w:sz w:val="22"/>
      </w:rPr>
      <w:tblPr/>
      <w:tcPr>
        <w:shd w:val="clear" w:color="auto" w:fill="A5B4BB"/>
      </w:tcPr>
    </w:tblStylePr>
  </w:style>
  <w:style w:type="paragraph" w:customStyle="1" w:styleId="Tablecontents0">
    <w:name w:val="Table contents"/>
    <w:link w:val="TablecontentsChar"/>
    <w:uiPriority w:val="8"/>
    <w:qFormat/>
    <w:rsid w:val="00667813"/>
    <w:pPr>
      <w:spacing w:before="80" w:after="80" w:line="240" w:lineRule="auto"/>
    </w:pPr>
    <w:rPr>
      <w:rFonts w:ascii="Calibri" w:hAnsi="Calibri" w:cstheme="minorHAnsi"/>
      <w:color w:val="000000" w:themeColor="text1"/>
      <w:kern w:val="24"/>
      <w14:ligatures w14:val="none"/>
    </w:rPr>
  </w:style>
  <w:style w:type="character" w:customStyle="1" w:styleId="TablecontentsChar">
    <w:name w:val="Table contents Char"/>
    <w:basedOn w:val="DefaultParagraphFont"/>
    <w:link w:val="Tablecontents0"/>
    <w:uiPriority w:val="8"/>
    <w:rsid w:val="007022D2"/>
    <w:rPr>
      <w:rFonts w:ascii="Calibri" w:hAnsi="Calibri" w:cstheme="minorHAnsi"/>
      <w:color w:val="000000" w:themeColor="text1"/>
      <w:kern w:val="24"/>
      <w14:ligatures w14:val="none"/>
    </w:rPr>
  </w:style>
  <w:style w:type="character" w:customStyle="1" w:styleId="TableHeaderChar">
    <w:name w:val="Table Header Char"/>
    <w:basedOn w:val="DefaultParagraphFont"/>
    <w:link w:val="TableHeader"/>
    <w:uiPriority w:val="7"/>
    <w:rsid w:val="00C02316"/>
    <w:rPr>
      <w:color w:val="FFFFFF" w:themeColor="background1"/>
      <w:sz w:val="24"/>
    </w:rPr>
  </w:style>
  <w:style w:type="table" w:customStyle="1" w:styleId="TPSLighter">
    <w:name w:val="TPS Lighter"/>
    <w:basedOn w:val="TableNormal"/>
    <w:uiPriority w:val="99"/>
    <w:rsid w:val="00A471EA"/>
    <w:pPr>
      <w:spacing w:line="240" w:lineRule="auto"/>
    </w:pPr>
    <w:rPr>
      <w:rFonts w:ascii="Calibri" w:hAnsi="Calibri" w:cstheme="minorHAnsi"/>
      <w:color w:val="000000" w:themeColor="text1"/>
      <w:kern w:val="24"/>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Calibri" w:hAnsi="Calibri"/>
        <w:b/>
        <w:color w:val="FFFFFF" w:themeColor="background1"/>
        <w:sz w:val="24"/>
      </w:rPr>
      <w:tblPr/>
      <w:tcPr>
        <w:tcBorders>
          <w:bottom w:val="single" w:sz="18" w:space="0" w:color="FFFFFF" w:themeColor="background1"/>
          <w:insideH w:val="nil"/>
        </w:tcBorders>
        <w:shd w:val="clear" w:color="auto" w:fill="4897A2"/>
      </w:tcPr>
    </w:tblStylePr>
    <w:tblStylePr w:type="band1Horz">
      <w:tblPr/>
      <w:tcPr>
        <w:shd w:val="clear" w:color="auto" w:fill="D5DDE1"/>
      </w:tcPr>
    </w:tblStylePr>
    <w:tblStylePr w:type="band2Horz">
      <w:tblPr/>
      <w:tcPr>
        <w:shd w:val="clear" w:color="auto" w:fill="E9EDEF"/>
      </w:tcPr>
    </w:tblStylePr>
  </w:style>
  <w:style w:type="character" w:styleId="FollowedHyperlink">
    <w:name w:val="FollowedHyperlink"/>
    <w:basedOn w:val="DefaultParagraphFont"/>
    <w:uiPriority w:val="99"/>
    <w:semiHidden/>
    <w:unhideWhenUsed/>
    <w:rsid w:val="005816AF"/>
    <w:rPr>
      <w:color w:val="4897A2" w:themeColor="followedHyperlink"/>
      <w:u w:val="single"/>
    </w:rPr>
  </w:style>
  <w:style w:type="character" w:styleId="PlaceholderText">
    <w:name w:val="Placeholder Text"/>
    <w:basedOn w:val="DefaultParagraphFont"/>
    <w:uiPriority w:val="99"/>
    <w:semiHidden/>
    <w:rsid w:val="00EB7139"/>
    <w:rPr>
      <w:color w:val="666666"/>
    </w:rPr>
  </w:style>
  <w:style w:type="paragraph" w:customStyle="1" w:styleId="Footnote">
    <w:name w:val="Footnote"/>
    <w:uiPriority w:val="9"/>
    <w:qFormat/>
    <w:rsid w:val="00A54674"/>
    <w:pPr>
      <w:spacing w:before="40" w:after="200"/>
    </w:pPr>
    <w:rPr>
      <w:sz w:val="20"/>
      <w:szCs w:val="20"/>
    </w:rPr>
  </w:style>
  <w:style w:type="paragraph" w:styleId="Revision">
    <w:name w:val="Revision"/>
    <w:hidden/>
    <w:uiPriority w:val="99"/>
    <w:semiHidden/>
    <w:rsid w:val="00002649"/>
    <w:pPr>
      <w:spacing w:line="240" w:lineRule="auto"/>
    </w:pPr>
  </w:style>
  <w:style w:type="paragraph" w:styleId="Caption">
    <w:name w:val="caption"/>
    <w:basedOn w:val="Normal"/>
    <w:next w:val="Normal"/>
    <w:uiPriority w:val="10"/>
    <w:qFormat/>
    <w:rsid w:val="00814B74"/>
    <w:pPr>
      <w:keepNext/>
      <w:spacing w:before="20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au/C2020A00005/latest/version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v.au/tps/announcements/2026-domestic-tuition-protection-levies-consul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tps/tuition-protection-service-advisory-board" TargetMode="External"/><Relationship Id="rId5" Type="http://schemas.openxmlformats.org/officeDocument/2006/relationships/webSettings" Target="webSettings.xml"/><Relationship Id="rId15" Type="http://schemas.openxmlformats.org/officeDocument/2006/relationships/hyperlink" Target="https://www.legislation.gov.au/C2020A00102/latest/versions" TargetMode="Externa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legislation.gov.au/C2020A00004/latest/versions" TargetMode="Externa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357179"/>
      </a:hlink>
      <a:folHlink>
        <a:srgbClr val="489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20" ma:contentTypeDescription="Create a new document." ma:contentTypeScope="" ma:versionID="6cc64e066dbf459fac0629816f80db1a">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64a4542f3d85bd82df2c9856461c3b12"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5FB5CE76-7C72-44C8-AE47-17A894DCED15}">
  <ds:schemaRefs>
    <ds:schemaRef ds:uri="http://schemas.openxmlformats.org/officeDocument/2006/bibliography"/>
  </ds:schemaRefs>
</ds:datastoreItem>
</file>

<file path=customXml/itemProps2.xml><?xml version="1.0" encoding="utf-8"?>
<ds:datastoreItem xmlns:ds="http://schemas.openxmlformats.org/officeDocument/2006/customXml" ds:itemID="{ABFC066C-4E5A-46EF-A19C-C3671380B484}"/>
</file>

<file path=customXml/itemProps3.xml><?xml version="1.0" encoding="utf-8"?>
<ds:datastoreItem xmlns:ds="http://schemas.openxmlformats.org/officeDocument/2006/customXml" ds:itemID="{E7C95B77-57DD-41C0-8AC7-2A657763F5D7}"/>
</file>

<file path=customXml/itemProps4.xml><?xml version="1.0" encoding="utf-8"?>
<ds:datastoreItem xmlns:ds="http://schemas.openxmlformats.org/officeDocument/2006/customXml" ds:itemID="{99A3AB35-3D31-4570-BFED-2A274C6EBF73}"/>
</file>

<file path=docProps/app.xml><?xml version="1.0" encoding="utf-8"?>
<Properties xmlns="http://schemas.openxmlformats.org/officeDocument/2006/extended-properties" xmlns:vt="http://schemas.openxmlformats.org/officeDocument/2006/docPropsVTypes">
  <Template>Normal</Template>
  <TotalTime>0</TotalTime>
  <Pages>7</Pages>
  <Words>2216</Words>
  <Characters>11504</Characters>
  <Application>Microsoft Office Word</Application>
  <DocSecurity>0</DocSecurity>
  <Lines>319</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Draft Settings of 2026 VSL, HELP and Up-front Payments Tuition Protection Levies</dc:title>
  <dc:subject/>
  <dc:creator/>
  <cp:keywords/>
  <dc:description/>
  <cp:lastModifiedBy/>
  <cp:revision>1</cp:revision>
  <dcterms:created xsi:type="dcterms:W3CDTF">2026-03-16T03:15:00Z</dcterms:created>
  <dcterms:modified xsi:type="dcterms:W3CDTF">2026-03-16T03:16:00Z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2026-03-16T03:16:20Z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7cde9842-c9d8-4129-bb91-41f51d60ee5f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0x010100D0A9CCE9CD21384385A19063B05DA87A</vt:lpwstr>
  </property>
</Properties>
</file>