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5DBB" w14:textId="77777777" w:rsidR="00107DD5" w:rsidRDefault="00221D8F" w:rsidP="00CA4815">
      <w:r w:rsidRPr="00CA4815">
        <w:rPr>
          <w:b/>
          <w:bCs/>
          <w:noProof/>
        </w:rPr>
        <w:drawing>
          <wp:anchor distT="0" distB="0" distL="114300" distR="114300" simplePos="0" relativeHeight="251658240" behindDoc="1" locked="1" layoutInCell="1" allowOverlap="1" wp14:anchorId="5A592C37" wp14:editId="67B1D5C6">
            <wp:simplePos x="0" y="0"/>
            <wp:positionH relativeFrom="column">
              <wp:posOffset>-904875</wp:posOffset>
            </wp:positionH>
            <wp:positionV relativeFrom="paragraph">
              <wp:posOffset>-710565</wp:posOffset>
            </wp:positionV>
            <wp:extent cx="10668000" cy="1903095"/>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668000" cy="190309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0BE82EC" wp14:editId="5D71492F">
            <wp:extent cx="3176156" cy="733425"/>
            <wp:effectExtent l="0" t="0" r="5715"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179087" cy="734102"/>
                    </a:xfrm>
                    <a:prstGeom prst="rect">
                      <a:avLst/>
                    </a:prstGeom>
                  </pic:spPr>
                </pic:pic>
              </a:graphicData>
            </a:graphic>
          </wp:inline>
        </w:drawing>
      </w:r>
    </w:p>
    <w:bookmarkStart w:id="0" w:name="_Toc126923157" w:displacedByCustomXml="next"/>
    <w:bookmarkStart w:id="1" w:name="_Toc126923146" w:displacedByCustomXml="next"/>
    <w:sdt>
      <w:sdtPr>
        <w:rPr>
          <w:rFonts w:ascii="Aptos" w:hAnsi="Aptos"/>
          <w:sz w:val="56"/>
          <w:szCs w:val="2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13FBB6DD" w14:textId="01DAE783" w:rsidR="00221D8F" w:rsidRPr="00CA2CE2" w:rsidRDefault="00CA2CE2" w:rsidP="008B5997">
          <w:pPr>
            <w:pStyle w:val="Heading1"/>
            <w:rPr>
              <w:rFonts w:ascii="Aptos" w:hAnsi="Aptos"/>
              <w:sz w:val="56"/>
              <w:szCs w:val="28"/>
            </w:rPr>
          </w:pPr>
          <w:r w:rsidRPr="00CA2CE2">
            <w:rPr>
              <w:rFonts w:ascii="Aptos" w:hAnsi="Aptos"/>
              <w:sz w:val="56"/>
              <w:szCs w:val="28"/>
            </w:rPr>
            <w:t>Changes to Guidance on Collecting Annual Reporting Data under the National Code</w:t>
          </w:r>
        </w:p>
      </w:sdtContent>
    </w:sdt>
    <w:bookmarkEnd w:id="0" w:displacedByCustomXml="prev"/>
    <w:bookmarkEnd w:id="1" w:displacedByCustomXml="prev"/>
    <w:p w14:paraId="419B07FD" w14:textId="45F04EFA" w:rsidR="00891DFF" w:rsidRPr="00CA2CE2" w:rsidRDefault="00891DFF" w:rsidP="00564724">
      <w:pPr>
        <w:pStyle w:val="Subtitle"/>
        <w:rPr>
          <w:rFonts w:ascii="Aptos" w:hAnsi="Aptos"/>
        </w:rPr>
      </w:pPr>
      <w:r w:rsidRPr="00CA2CE2">
        <w:rPr>
          <w:rFonts w:ascii="Aptos" w:hAnsi="Aptos"/>
        </w:rPr>
        <w:t xml:space="preserve">Version 1 to </w:t>
      </w:r>
      <w:r w:rsidR="00DF3B60" w:rsidRPr="00CA2CE2">
        <w:rPr>
          <w:rFonts w:ascii="Aptos" w:hAnsi="Aptos"/>
        </w:rPr>
        <w:t>V</w:t>
      </w:r>
      <w:r w:rsidRPr="00CA2CE2">
        <w:rPr>
          <w:rFonts w:ascii="Aptos" w:hAnsi="Aptos"/>
        </w:rPr>
        <w:t>ersion 2 (April 2026)</w:t>
      </w:r>
    </w:p>
    <w:p w14:paraId="4F02011A" w14:textId="011EA532" w:rsidR="00CA2CE2" w:rsidRDefault="00CA2CE2" w:rsidP="00CA2CE2">
      <w:pPr>
        <w:pStyle w:val="Heading4"/>
      </w:pPr>
      <w:r>
        <w:t>About this document</w:t>
      </w:r>
    </w:p>
    <w:p w14:paraId="6313FDA0" w14:textId="792ECE77" w:rsidR="00891DFF" w:rsidRPr="00CA2CE2" w:rsidRDefault="00891DFF" w:rsidP="00891DFF">
      <w:pPr>
        <w:rPr>
          <w:rFonts w:ascii="Aptos" w:hAnsi="Aptos"/>
          <w:sz w:val="24"/>
          <w:szCs w:val="24"/>
        </w:rPr>
      </w:pPr>
      <w:r w:rsidRPr="00CA2CE2">
        <w:rPr>
          <w:rFonts w:ascii="Aptos" w:hAnsi="Aptos"/>
          <w:sz w:val="24"/>
          <w:szCs w:val="24"/>
        </w:rPr>
        <w:t xml:space="preserve">This document summarises the key changes to the </w:t>
      </w:r>
      <w:r w:rsidRPr="00CA2CE2">
        <w:rPr>
          <w:rFonts w:ascii="Aptos" w:hAnsi="Aptos"/>
          <w:i/>
          <w:iCs/>
          <w:sz w:val="24"/>
          <w:szCs w:val="24"/>
        </w:rPr>
        <w:t>Guidance on Collecting Annual Reporting Data under the National Higher Education Code to Prevent and Respond to Gender-based Violence</w:t>
      </w:r>
      <w:r w:rsidRPr="00CA2CE2">
        <w:rPr>
          <w:rFonts w:ascii="Aptos" w:hAnsi="Aptos"/>
          <w:sz w:val="24"/>
          <w:szCs w:val="24"/>
        </w:rPr>
        <w:t xml:space="preserve"> (Guidance), between </w:t>
      </w:r>
      <w:r w:rsidR="00DF3B60" w:rsidRPr="00CA2CE2">
        <w:rPr>
          <w:rFonts w:ascii="Aptos" w:hAnsi="Aptos"/>
          <w:sz w:val="24"/>
          <w:szCs w:val="24"/>
        </w:rPr>
        <w:t>V</w:t>
      </w:r>
      <w:r w:rsidRPr="00CA2CE2">
        <w:rPr>
          <w:rFonts w:ascii="Aptos" w:hAnsi="Aptos"/>
          <w:sz w:val="24"/>
          <w:szCs w:val="24"/>
        </w:rPr>
        <w:t xml:space="preserve">ersion 1 (published March 2026) and </w:t>
      </w:r>
      <w:r w:rsidR="00DB26FF" w:rsidRPr="00CA2CE2">
        <w:rPr>
          <w:rFonts w:ascii="Aptos" w:hAnsi="Aptos"/>
          <w:sz w:val="24"/>
          <w:szCs w:val="24"/>
        </w:rPr>
        <w:t>V</w:t>
      </w:r>
      <w:r w:rsidRPr="00CA2CE2">
        <w:rPr>
          <w:rFonts w:ascii="Aptos" w:hAnsi="Aptos"/>
          <w:sz w:val="24"/>
          <w:szCs w:val="24"/>
        </w:rPr>
        <w:t>ersion 2 (published April 2026).</w:t>
      </w:r>
    </w:p>
    <w:p w14:paraId="4985D3D8" w14:textId="2469B11E" w:rsidR="00891DFF" w:rsidRPr="00CA2CE2" w:rsidRDefault="00DB26FF" w:rsidP="00891DFF">
      <w:pPr>
        <w:rPr>
          <w:rFonts w:ascii="Aptos" w:hAnsi="Aptos"/>
          <w:sz w:val="24"/>
          <w:szCs w:val="24"/>
        </w:rPr>
      </w:pPr>
      <w:r w:rsidRPr="00CA2CE2">
        <w:rPr>
          <w:rFonts w:ascii="Aptos" w:hAnsi="Aptos"/>
          <w:sz w:val="24"/>
          <w:szCs w:val="24"/>
        </w:rPr>
        <w:t>Clarifications have been made to some</w:t>
      </w:r>
      <w:r w:rsidR="00891DFF" w:rsidRPr="00CA2CE2">
        <w:rPr>
          <w:rFonts w:ascii="Aptos" w:hAnsi="Aptos"/>
          <w:sz w:val="24"/>
          <w:szCs w:val="24"/>
        </w:rPr>
        <w:t xml:space="preserve"> key areas following sector feedback and minor issues identified with the accepted response values for</w:t>
      </w:r>
      <w:r w:rsidR="003266BD" w:rsidRPr="00CA2CE2">
        <w:rPr>
          <w:rFonts w:ascii="Aptos" w:hAnsi="Aptos"/>
          <w:sz w:val="24"/>
          <w:szCs w:val="24"/>
        </w:rPr>
        <w:t xml:space="preserve"> required</w:t>
      </w:r>
      <w:r w:rsidR="00891DFF" w:rsidRPr="00CA2CE2">
        <w:rPr>
          <w:rFonts w:ascii="Aptos" w:hAnsi="Aptos"/>
          <w:sz w:val="24"/>
          <w:szCs w:val="24"/>
        </w:rPr>
        <w:t xml:space="preserve"> data elements</w:t>
      </w:r>
      <w:r w:rsidR="003266BD" w:rsidRPr="00CA2CE2">
        <w:rPr>
          <w:rFonts w:ascii="Aptos" w:hAnsi="Aptos"/>
          <w:sz w:val="24"/>
          <w:szCs w:val="24"/>
        </w:rPr>
        <w:t>, as</w:t>
      </w:r>
      <w:r w:rsidR="00891DFF" w:rsidRPr="00CA2CE2">
        <w:rPr>
          <w:rFonts w:ascii="Aptos" w:hAnsi="Aptos"/>
          <w:sz w:val="24"/>
          <w:szCs w:val="24"/>
        </w:rPr>
        <w:t xml:space="preserve"> set out at Appendix A of the Guidance.</w:t>
      </w:r>
    </w:p>
    <w:p w14:paraId="122A32D5" w14:textId="77777777" w:rsidR="00CA2CE2" w:rsidRDefault="00891DFF" w:rsidP="00891DFF">
      <w:pPr>
        <w:rPr>
          <w:rFonts w:ascii="Aptos" w:hAnsi="Aptos"/>
          <w:sz w:val="24"/>
          <w:szCs w:val="24"/>
        </w:rPr>
      </w:pPr>
      <w:r w:rsidRPr="00CA2CE2">
        <w:rPr>
          <w:rFonts w:ascii="Aptos" w:hAnsi="Aptos"/>
          <w:sz w:val="24"/>
          <w:szCs w:val="24"/>
        </w:rPr>
        <w:t xml:space="preserve">The Higher Education Gender-based Violence Regulator (GBV Regulator) is committed to providing clarity and </w:t>
      </w:r>
      <w:r w:rsidR="009D297F" w:rsidRPr="00CA2CE2">
        <w:rPr>
          <w:rFonts w:ascii="Aptos" w:hAnsi="Aptos"/>
          <w:sz w:val="24"/>
          <w:szCs w:val="24"/>
        </w:rPr>
        <w:t>consistency</w:t>
      </w:r>
      <w:r w:rsidRPr="00CA2CE2">
        <w:rPr>
          <w:rFonts w:ascii="Aptos" w:hAnsi="Aptos"/>
          <w:sz w:val="24"/>
          <w:szCs w:val="24"/>
        </w:rPr>
        <w:t xml:space="preserve"> in its Guidance to support higher education providers to comply with the National </w:t>
      </w:r>
      <w:proofErr w:type="gramStart"/>
      <w:r w:rsidRPr="00CA2CE2">
        <w:rPr>
          <w:rFonts w:ascii="Aptos" w:hAnsi="Aptos"/>
          <w:sz w:val="24"/>
          <w:szCs w:val="24"/>
        </w:rPr>
        <w:t>Code</w:t>
      </w:r>
      <w:r w:rsidR="00ED322D" w:rsidRPr="00CA2CE2">
        <w:rPr>
          <w:rFonts w:ascii="Aptos" w:hAnsi="Aptos"/>
          <w:sz w:val="24"/>
          <w:szCs w:val="24"/>
        </w:rPr>
        <w:t>, and</w:t>
      </w:r>
      <w:proofErr w:type="gramEnd"/>
      <w:r w:rsidR="00ED322D" w:rsidRPr="00CA2CE2">
        <w:rPr>
          <w:rFonts w:ascii="Aptos" w:hAnsi="Aptos"/>
          <w:sz w:val="24"/>
          <w:szCs w:val="24"/>
        </w:rPr>
        <w:t xml:space="preserve"> recognises the impost that changes can bring to respective data collection and reporting practices</w:t>
      </w:r>
      <w:r w:rsidRPr="00CA2CE2">
        <w:rPr>
          <w:rFonts w:ascii="Aptos" w:hAnsi="Aptos"/>
          <w:sz w:val="24"/>
          <w:szCs w:val="24"/>
        </w:rPr>
        <w:t xml:space="preserve">. </w:t>
      </w:r>
    </w:p>
    <w:p w14:paraId="38BB5527" w14:textId="49A6A007" w:rsidR="00891DFF" w:rsidRPr="00CA2CE2" w:rsidRDefault="00114232" w:rsidP="00891DFF">
      <w:pPr>
        <w:rPr>
          <w:rFonts w:ascii="Aptos" w:hAnsi="Aptos"/>
          <w:sz w:val="24"/>
          <w:szCs w:val="24"/>
        </w:rPr>
      </w:pPr>
      <w:r w:rsidRPr="00CA2CE2">
        <w:rPr>
          <w:rFonts w:ascii="Aptos" w:hAnsi="Aptos"/>
          <w:sz w:val="24"/>
          <w:szCs w:val="24"/>
        </w:rPr>
        <w:t>A</w:t>
      </w:r>
      <w:r w:rsidR="00937482" w:rsidRPr="00CA2CE2">
        <w:rPr>
          <w:rFonts w:ascii="Aptos" w:hAnsi="Aptos"/>
          <w:sz w:val="24"/>
          <w:szCs w:val="24"/>
        </w:rPr>
        <w:t>ny f</w:t>
      </w:r>
      <w:r w:rsidR="00891DFF" w:rsidRPr="00CA2CE2">
        <w:rPr>
          <w:rFonts w:ascii="Aptos" w:hAnsi="Aptos"/>
          <w:sz w:val="24"/>
          <w:szCs w:val="24"/>
        </w:rPr>
        <w:t>urther amendments to data elements and accepted values</w:t>
      </w:r>
      <w:r w:rsidR="009D297F" w:rsidRPr="00CA2CE2">
        <w:rPr>
          <w:rFonts w:ascii="Aptos" w:hAnsi="Aptos"/>
          <w:sz w:val="24"/>
          <w:szCs w:val="24"/>
        </w:rPr>
        <w:t xml:space="preserve"> will </w:t>
      </w:r>
      <w:r w:rsidR="00937482" w:rsidRPr="00CA2CE2">
        <w:rPr>
          <w:rFonts w:ascii="Aptos" w:hAnsi="Aptos"/>
          <w:sz w:val="24"/>
          <w:szCs w:val="24"/>
        </w:rPr>
        <w:t>be made on an exceptions basis only</w:t>
      </w:r>
      <w:r w:rsidRPr="00CA2CE2">
        <w:rPr>
          <w:rFonts w:ascii="Aptos" w:hAnsi="Aptos"/>
          <w:sz w:val="24"/>
          <w:szCs w:val="24"/>
        </w:rPr>
        <w:t xml:space="preserve"> </w:t>
      </w:r>
      <w:r w:rsidR="00CD2FA0" w:rsidRPr="00CA2CE2">
        <w:rPr>
          <w:rFonts w:ascii="Aptos" w:hAnsi="Aptos"/>
          <w:sz w:val="24"/>
          <w:szCs w:val="24"/>
        </w:rPr>
        <w:t xml:space="preserve">and </w:t>
      </w:r>
      <w:r w:rsidRPr="00CA2CE2">
        <w:rPr>
          <w:rFonts w:ascii="Aptos" w:hAnsi="Aptos"/>
          <w:sz w:val="24"/>
          <w:szCs w:val="24"/>
        </w:rPr>
        <w:t>where the GBV Regulator considers it is essential for these to be made</w:t>
      </w:r>
      <w:r w:rsidR="00FC0597" w:rsidRPr="00CA2CE2">
        <w:rPr>
          <w:rFonts w:ascii="Aptos" w:hAnsi="Aptos"/>
          <w:sz w:val="24"/>
          <w:szCs w:val="24"/>
        </w:rPr>
        <w:t>.</w:t>
      </w:r>
    </w:p>
    <w:p w14:paraId="14D0F119" w14:textId="692C46D2" w:rsidR="003266BD" w:rsidRDefault="003266BD" w:rsidP="00CA2CE2">
      <w:pPr>
        <w:pStyle w:val="Heading4"/>
      </w:pPr>
      <w:r>
        <w:t>Key Changes</w:t>
      </w:r>
    </w:p>
    <w:p w14:paraId="65B4F4EB" w14:textId="5D72B685" w:rsidR="00891DFF" w:rsidRPr="00CA2CE2" w:rsidRDefault="009D297F" w:rsidP="00CA2CE2">
      <w:pPr>
        <w:pStyle w:val="Heading3"/>
        <w:spacing w:before="120"/>
        <w:rPr>
          <w:sz w:val="28"/>
          <w:szCs w:val="22"/>
        </w:rPr>
      </w:pPr>
      <w:r w:rsidRPr="00CA2CE2">
        <w:rPr>
          <w:sz w:val="28"/>
          <w:szCs w:val="22"/>
        </w:rPr>
        <w:t>3.3 In-scope Incidents</w:t>
      </w:r>
    </w:p>
    <w:p w14:paraId="0A32E855" w14:textId="77777777" w:rsidR="00CA2CE2" w:rsidRDefault="009D297F" w:rsidP="009D297F">
      <w:pPr>
        <w:rPr>
          <w:rFonts w:ascii="Aptos" w:hAnsi="Aptos"/>
          <w:sz w:val="24"/>
          <w:szCs w:val="24"/>
        </w:rPr>
      </w:pPr>
      <w:r w:rsidRPr="00CA2CE2">
        <w:rPr>
          <w:rFonts w:ascii="Aptos" w:hAnsi="Aptos"/>
          <w:sz w:val="24"/>
          <w:szCs w:val="24"/>
        </w:rPr>
        <w:t xml:space="preserve">This section of the Guidance previously instructed providers to collect and report on any incidents of gender-based violence involving a student or staff member that </w:t>
      </w:r>
      <w:proofErr w:type="spellStart"/>
      <w:r w:rsidRPr="00CA2CE2">
        <w:rPr>
          <w:rFonts w:ascii="Aptos" w:hAnsi="Aptos"/>
          <w:sz w:val="24"/>
          <w:szCs w:val="24"/>
        </w:rPr>
        <w:t>occured</w:t>
      </w:r>
      <w:proofErr w:type="spellEnd"/>
      <w:r w:rsidRPr="00CA2CE2">
        <w:rPr>
          <w:rFonts w:ascii="Aptos" w:hAnsi="Aptos"/>
          <w:sz w:val="24"/>
          <w:szCs w:val="24"/>
        </w:rPr>
        <w:t xml:space="preserve"> overseas. </w:t>
      </w:r>
    </w:p>
    <w:p w14:paraId="5647C408" w14:textId="1FF4B791" w:rsidR="003266BD" w:rsidRPr="00CA2CE2" w:rsidRDefault="009D297F" w:rsidP="009D297F">
      <w:pPr>
        <w:rPr>
          <w:rFonts w:ascii="Aptos" w:hAnsi="Aptos"/>
          <w:sz w:val="24"/>
          <w:szCs w:val="24"/>
        </w:rPr>
      </w:pPr>
      <w:r w:rsidRPr="00CA2CE2">
        <w:rPr>
          <w:rFonts w:ascii="Aptos" w:hAnsi="Aptos"/>
          <w:sz w:val="24"/>
          <w:szCs w:val="24"/>
        </w:rPr>
        <w:lastRenderedPageBreak/>
        <w:t xml:space="preserve">Following concerns raised by the sector, the GBV Regulator has updated this section to clarify that for the purposes of annual data reporting, incidents which occur overseas only need to be collected and reported where that incident is disclosed or reported to them </w:t>
      </w:r>
      <w:r w:rsidRPr="00CA2CE2">
        <w:rPr>
          <w:rFonts w:ascii="Aptos" w:hAnsi="Aptos"/>
          <w:b/>
          <w:bCs/>
          <w:sz w:val="24"/>
          <w:szCs w:val="24"/>
        </w:rPr>
        <w:t>in Australia</w:t>
      </w:r>
      <w:r w:rsidRPr="00CA2CE2">
        <w:rPr>
          <w:rFonts w:ascii="Aptos" w:hAnsi="Aptos"/>
          <w:sz w:val="24"/>
          <w:szCs w:val="24"/>
        </w:rPr>
        <w:t xml:space="preserve">. </w:t>
      </w:r>
    </w:p>
    <w:p w14:paraId="3987DAFF" w14:textId="77777777" w:rsidR="00CA2CE2" w:rsidRDefault="009D297F" w:rsidP="003266BD">
      <w:pPr>
        <w:rPr>
          <w:rFonts w:ascii="Aptos" w:hAnsi="Aptos"/>
          <w:sz w:val="24"/>
          <w:szCs w:val="24"/>
        </w:rPr>
      </w:pPr>
      <w:r w:rsidRPr="00CA2CE2">
        <w:rPr>
          <w:rFonts w:ascii="Aptos" w:hAnsi="Aptos"/>
          <w:sz w:val="24"/>
          <w:szCs w:val="24"/>
        </w:rPr>
        <w:t xml:space="preserve">Incidents which occur at an overseas campus and are not disclosed or formally reported in Australia are </w:t>
      </w:r>
      <w:r w:rsidRPr="00CA2CE2">
        <w:rPr>
          <w:rFonts w:ascii="Aptos" w:hAnsi="Aptos"/>
          <w:sz w:val="24"/>
          <w:szCs w:val="24"/>
          <w:u w:val="single"/>
        </w:rPr>
        <w:t>not</w:t>
      </w:r>
      <w:r w:rsidRPr="00CA2CE2">
        <w:rPr>
          <w:rFonts w:ascii="Aptos" w:hAnsi="Aptos"/>
          <w:sz w:val="24"/>
          <w:szCs w:val="24"/>
        </w:rPr>
        <w:t xml:space="preserve"> in-scope and should not be included for the purposes of annual data reporting.</w:t>
      </w:r>
      <w:r w:rsidR="003266BD" w:rsidRPr="00CA2CE2">
        <w:rPr>
          <w:rFonts w:ascii="Aptos" w:hAnsi="Aptos"/>
          <w:sz w:val="24"/>
          <w:szCs w:val="24"/>
        </w:rPr>
        <w:t xml:space="preserve"> </w:t>
      </w:r>
    </w:p>
    <w:p w14:paraId="3A4C98A1" w14:textId="2C7C59A5" w:rsidR="00891DFF" w:rsidRPr="00CA2CE2" w:rsidRDefault="003266BD" w:rsidP="003266BD">
      <w:pPr>
        <w:rPr>
          <w:rFonts w:ascii="Aptos" w:hAnsi="Aptos"/>
          <w:sz w:val="24"/>
          <w:szCs w:val="24"/>
        </w:rPr>
      </w:pPr>
      <w:r w:rsidRPr="00CA2CE2">
        <w:rPr>
          <w:rFonts w:ascii="Aptos" w:hAnsi="Aptos"/>
          <w:sz w:val="24"/>
          <w:szCs w:val="24"/>
        </w:rPr>
        <w:t>Providers should still ensure they have appropriate systems and resources in place to provide support to students and staff where they disclose or formally report an incident of gender-based violence while overseas, although this is not a legal requirement under the National Code.</w:t>
      </w:r>
    </w:p>
    <w:p w14:paraId="177601C8" w14:textId="3AB5DE44" w:rsidR="0017134D" w:rsidRPr="00CA2CE2" w:rsidRDefault="00891DFF" w:rsidP="00CA2CE2">
      <w:pPr>
        <w:pStyle w:val="Heading3"/>
        <w:spacing w:before="120"/>
        <w:rPr>
          <w:sz w:val="28"/>
          <w:szCs w:val="22"/>
        </w:rPr>
      </w:pPr>
      <w:r w:rsidRPr="00CA2CE2">
        <w:rPr>
          <w:sz w:val="28"/>
          <w:szCs w:val="22"/>
        </w:rPr>
        <w:t xml:space="preserve">Appendix A – Data </w:t>
      </w:r>
      <w:r w:rsidR="003266BD" w:rsidRPr="00CA2CE2">
        <w:rPr>
          <w:sz w:val="28"/>
          <w:szCs w:val="22"/>
        </w:rPr>
        <w:t>e</w:t>
      </w:r>
      <w:r w:rsidRPr="00CA2CE2">
        <w:rPr>
          <w:sz w:val="28"/>
          <w:szCs w:val="22"/>
        </w:rPr>
        <w:t xml:space="preserve">lements to be </w:t>
      </w:r>
      <w:r w:rsidR="003266BD" w:rsidRPr="00CA2CE2">
        <w:rPr>
          <w:sz w:val="28"/>
          <w:szCs w:val="22"/>
        </w:rPr>
        <w:t>c</w:t>
      </w:r>
      <w:r w:rsidRPr="00CA2CE2">
        <w:rPr>
          <w:sz w:val="28"/>
          <w:szCs w:val="22"/>
        </w:rPr>
        <w:t>ollected</w:t>
      </w:r>
    </w:p>
    <w:p w14:paraId="424F29BD" w14:textId="181C945A" w:rsidR="00A84602" w:rsidRPr="00CA2CE2" w:rsidRDefault="00A84602" w:rsidP="00CA2CE2">
      <w:pPr>
        <w:rPr>
          <w:rFonts w:ascii="Aptos" w:hAnsi="Aptos"/>
          <w:sz w:val="24"/>
          <w:szCs w:val="24"/>
        </w:rPr>
      </w:pPr>
      <w:proofErr w:type="gramStart"/>
      <w:r w:rsidRPr="00CA2CE2">
        <w:rPr>
          <w:rFonts w:ascii="Aptos" w:hAnsi="Aptos"/>
          <w:sz w:val="24"/>
          <w:szCs w:val="24"/>
        </w:rPr>
        <w:t>A number of</w:t>
      </w:r>
      <w:proofErr w:type="gramEnd"/>
      <w:r w:rsidRPr="00CA2CE2">
        <w:rPr>
          <w:rFonts w:ascii="Aptos" w:hAnsi="Aptos"/>
          <w:sz w:val="24"/>
          <w:szCs w:val="24"/>
        </w:rPr>
        <w:t xml:space="preserve"> amendments have been made to Appendix A, including:</w:t>
      </w:r>
    </w:p>
    <w:p w14:paraId="4D230553" w14:textId="6D768681" w:rsidR="00263824" w:rsidRPr="00CA2CE2" w:rsidRDefault="00CA2CE2" w:rsidP="00CA2CE2">
      <w:pPr>
        <w:pStyle w:val="ListParagraph"/>
        <w:numPr>
          <w:ilvl w:val="0"/>
          <w:numId w:val="23"/>
        </w:numPr>
        <w:ind w:left="357" w:hanging="357"/>
        <w:contextualSpacing w:val="0"/>
        <w:rPr>
          <w:rFonts w:ascii="Aptos" w:hAnsi="Aptos"/>
          <w:szCs w:val="24"/>
        </w:rPr>
      </w:pPr>
      <w:r>
        <w:rPr>
          <w:rFonts w:ascii="Aptos" w:hAnsi="Aptos"/>
          <w:szCs w:val="24"/>
        </w:rPr>
        <w:t>f</w:t>
      </w:r>
      <w:r w:rsidR="00263824" w:rsidRPr="00CA2CE2">
        <w:rPr>
          <w:rFonts w:ascii="Aptos" w:hAnsi="Aptos"/>
          <w:szCs w:val="24"/>
        </w:rPr>
        <w:t>urther instruction to clarify that, where there are multiple respondents to a disclosure/formal report, the elements set out in the ‘</w:t>
      </w:r>
      <w:r w:rsidR="00263824" w:rsidRPr="00CA2CE2">
        <w:rPr>
          <w:rFonts w:ascii="Aptos" w:hAnsi="Aptos"/>
          <w:i/>
          <w:iCs/>
          <w:szCs w:val="24"/>
        </w:rPr>
        <w:t>Elements relating to the Respondent</w:t>
      </w:r>
      <w:r w:rsidR="00263824" w:rsidRPr="00CA2CE2">
        <w:rPr>
          <w:rFonts w:ascii="Aptos" w:hAnsi="Aptos"/>
          <w:szCs w:val="24"/>
        </w:rPr>
        <w:t xml:space="preserve">’ section must be collected for </w:t>
      </w:r>
      <w:r w:rsidR="00263824" w:rsidRPr="00CA2CE2">
        <w:rPr>
          <w:rFonts w:ascii="Aptos" w:hAnsi="Aptos"/>
          <w:szCs w:val="24"/>
          <w:u w:val="single"/>
        </w:rPr>
        <w:t>each</w:t>
      </w:r>
      <w:r w:rsidR="00263824" w:rsidRPr="00CA2CE2">
        <w:rPr>
          <w:rFonts w:ascii="Aptos" w:hAnsi="Aptos"/>
          <w:szCs w:val="24"/>
        </w:rPr>
        <w:t xml:space="preserve"> respondent.</w:t>
      </w:r>
    </w:p>
    <w:p w14:paraId="4E50FDB3" w14:textId="2CB793F6" w:rsidR="000D75C3" w:rsidRPr="00CA2CE2" w:rsidRDefault="00CA2CE2" w:rsidP="00CA2CE2">
      <w:pPr>
        <w:pStyle w:val="ListParagraph"/>
        <w:numPr>
          <w:ilvl w:val="0"/>
          <w:numId w:val="23"/>
        </w:numPr>
        <w:ind w:left="357" w:hanging="357"/>
        <w:contextualSpacing w:val="0"/>
        <w:rPr>
          <w:rFonts w:ascii="Aptos" w:hAnsi="Aptos"/>
          <w:szCs w:val="24"/>
        </w:rPr>
      </w:pPr>
      <w:r>
        <w:rPr>
          <w:rFonts w:ascii="Aptos" w:hAnsi="Aptos"/>
          <w:szCs w:val="24"/>
        </w:rPr>
        <w:t>t</w:t>
      </w:r>
      <w:r w:rsidR="000D75C3" w:rsidRPr="00CA2CE2">
        <w:rPr>
          <w:rFonts w:ascii="Aptos" w:hAnsi="Aptos"/>
          <w:szCs w:val="24"/>
        </w:rPr>
        <w:t xml:space="preserve">he data element relating to the relationship between the Discloser and Respondent has been moved from </w:t>
      </w:r>
      <w:r w:rsidR="0093659A" w:rsidRPr="00CA2CE2">
        <w:rPr>
          <w:rFonts w:ascii="Aptos" w:hAnsi="Aptos"/>
          <w:szCs w:val="24"/>
        </w:rPr>
        <w:t>the ‘</w:t>
      </w:r>
      <w:r w:rsidR="0093659A" w:rsidRPr="00CA2CE2">
        <w:rPr>
          <w:rFonts w:ascii="Aptos" w:hAnsi="Aptos"/>
          <w:i/>
          <w:iCs/>
          <w:szCs w:val="24"/>
        </w:rPr>
        <w:t xml:space="preserve">Elements relating to the disclosure/formal report and incident details’ </w:t>
      </w:r>
      <w:r w:rsidR="0093659A" w:rsidRPr="00CA2CE2">
        <w:rPr>
          <w:rFonts w:ascii="Aptos" w:hAnsi="Aptos"/>
          <w:szCs w:val="24"/>
        </w:rPr>
        <w:t>section to the ‘</w:t>
      </w:r>
      <w:r w:rsidR="0093659A" w:rsidRPr="00CA2CE2">
        <w:rPr>
          <w:rFonts w:ascii="Aptos" w:hAnsi="Aptos"/>
          <w:i/>
          <w:iCs/>
          <w:szCs w:val="24"/>
        </w:rPr>
        <w:t>Elements relating to the Respondent</w:t>
      </w:r>
      <w:r w:rsidR="0093659A" w:rsidRPr="00CA2CE2">
        <w:rPr>
          <w:rFonts w:ascii="Aptos" w:hAnsi="Aptos"/>
          <w:szCs w:val="24"/>
        </w:rPr>
        <w:t xml:space="preserve">’ section, </w:t>
      </w:r>
      <w:r w:rsidR="00D368DE" w:rsidRPr="00CA2CE2">
        <w:rPr>
          <w:rFonts w:ascii="Aptos" w:hAnsi="Aptos"/>
          <w:szCs w:val="24"/>
        </w:rPr>
        <w:t xml:space="preserve">acknowledging there may be multiple </w:t>
      </w:r>
      <w:r>
        <w:rPr>
          <w:rFonts w:ascii="Aptos" w:hAnsi="Aptos"/>
          <w:szCs w:val="24"/>
        </w:rPr>
        <w:t>R</w:t>
      </w:r>
      <w:r w:rsidR="00D368DE" w:rsidRPr="00CA2CE2">
        <w:rPr>
          <w:rFonts w:ascii="Aptos" w:hAnsi="Aptos"/>
          <w:szCs w:val="24"/>
        </w:rPr>
        <w:t>espondents</w:t>
      </w:r>
      <w:r w:rsidR="00A84602" w:rsidRPr="00CA2CE2">
        <w:rPr>
          <w:rFonts w:ascii="Aptos" w:hAnsi="Aptos"/>
          <w:szCs w:val="24"/>
        </w:rPr>
        <w:t xml:space="preserve"> to a disclosure or formal </w:t>
      </w:r>
      <w:proofErr w:type="gramStart"/>
      <w:r w:rsidR="00A84602" w:rsidRPr="00CA2CE2">
        <w:rPr>
          <w:rFonts w:ascii="Aptos" w:hAnsi="Aptos"/>
          <w:szCs w:val="24"/>
        </w:rPr>
        <w:t>report</w:t>
      </w:r>
      <w:proofErr w:type="gramEnd"/>
      <w:r w:rsidR="00F43C39" w:rsidRPr="00CA2CE2">
        <w:rPr>
          <w:rFonts w:ascii="Aptos" w:hAnsi="Aptos"/>
          <w:szCs w:val="24"/>
        </w:rPr>
        <w:t xml:space="preserve"> and each Respondent may have a different relationship to the Discloser</w:t>
      </w:r>
      <w:r w:rsidR="00D368DE" w:rsidRPr="00CA2CE2">
        <w:rPr>
          <w:rFonts w:ascii="Aptos" w:hAnsi="Aptos"/>
          <w:szCs w:val="24"/>
        </w:rPr>
        <w:t>.</w:t>
      </w:r>
      <w:r w:rsidR="0093659A" w:rsidRPr="00CA2CE2">
        <w:rPr>
          <w:rFonts w:ascii="Aptos" w:hAnsi="Aptos"/>
          <w:szCs w:val="24"/>
        </w:rPr>
        <w:t xml:space="preserve"> </w:t>
      </w:r>
    </w:p>
    <w:p w14:paraId="51D655DB" w14:textId="19B41C69" w:rsidR="00E94152" w:rsidRPr="00CA2CE2" w:rsidRDefault="00CA2CE2" w:rsidP="00CA2CE2">
      <w:pPr>
        <w:pStyle w:val="ListParagraph"/>
        <w:numPr>
          <w:ilvl w:val="0"/>
          <w:numId w:val="23"/>
        </w:numPr>
        <w:ind w:left="357" w:hanging="357"/>
        <w:contextualSpacing w:val="0"/>
        <w:rPr>
          <w:rFonts w:ascii="Aptos" w:hAnsi="Aptos"/>
          <w:szCs w:val="24"/>
        </w:rPr>
      </w:pPr>
      <w:r>
        <w:rPr>
          <w:rFonts w:ascii="Aptos" w:hAnsi="Aptos"/>
          <w:szCs w:val="24"/>
        </w:rPr>
        <w:t>t</w:t>
      </w:r>
      <w:r w:rsidR="007676F6" w:rsidRPr="00CA2CE2">
        <w:rPr>
          <w:rFonts w:ascii="Aptos" w:hAnsi="Aptos"/>
          <w:szCs w:val="24"/>
        </w:rPr>
        <w:t>he</w:t>
      </w:r>
      <w:r w:rsidR="00FA4109" w:rsidRPr="00CA2CE2">
        <w:rPr>
          <w:rFonts w:ascii="Aptos" w:hAnsi="Aptos"/>
          <w:szCs w:val="24"/>
        </w:rPr>
        <w:t xml:space="preserve"> wording of </w:t>
      </w:r>
      <w:r w:rsidR="007676F6" w:rsidRPr="00CA2CE2">
        <w:rPr>
          <w:rFonts w:ascii="Aptos" w:hAnsi="Aptos"/>
          <w:szCs w:val="24"/>
        </w:rPr>
        <w:t xml:space="preserve">some </w:t>
      </w:r>
      <w:r w:rsidR="00FA4109" w:rsidRPr="00CA2CE2">
        <w:rPr>
          <w:rFonts w:ascii="Aptos" w:hAnsi="Aptos"/>
          <w:szCs w:val="24"/>
        </w:rPr>
        <w:t xml:space="preserve">data elements </w:t>
      </w:r>
      <w:r w:rsidR="007676F6" w:rsidRPr="00CA2CE2">
        <w:rPr>
          <w:rFonts w:ascii="Aptos" w:hAnsi="Aptos"/>
          <w:szCs w:val="24"/>
        </w:rPr>
        <w:t>have</w:t>
      </w:r>
      <w:r w:rsidR="00FA4109" w:rsidRPr="00CA2CE2">
        <w:rPr>
          <w:rFonts w:ascii="Aptos" w:hAnsi="Aptos"/>
          <w:szCs w:val="24"/>
        </w:rPr>
        <w:t xml:space="preserve"> been adjusted to avoid </w:t>
      </w:r>
      <w:r w:rsidR="00AC6AAE" w:rsidRPr="00CA2CE2">
        <w:rPr>
          <w:rFonts w:ascii="Aptos" w:hAnsi="Aptos"/>
          <w:szCs w:val="24"/>
        </w:rPr>
        <w:t>confusion</w:t>
      </w:r>
      <w:r w:rsidR="007676F6" w:rsidRPr="00CA2CE2">
        <w:rPr>
          <w:rFonts w:ascii="Aptos" w:hAnsi="Aptos"/>
          <w:szCs w:val="24"/>
        </w:rPr>
        <w:t xml:space="preserve"> or provide greater clarity</w:t>
      </w:r>
      <w:r w:rsidR="00FC0597" w:rsidRPr="00CA2CE2">
        <w:rPr>
          <w:rFonts w:ascii="Aptos" w:hAnsi="Aptos"/>
          <w:szCs w:val="24"/>
        </w:rPr>
        <w:t xml:space="preserve">. Changes are set out in </w:t>
      </w:r>
      <w:r w:rsidR="00FC0597" w:rsidRPr="00CA2CE2">
        <w:rPr>
          <w:rFonts w:ascii="Aptos" w:hAnsi="Aptos"/>
          <w:i/>
          <w:iCs/>
          <w:szCs w:val="24"/>
        </w:rPr>
        <w:t>Table 1</w:t>
      </w:r>
      <w:r w:rsidR="00FC0597" w:rsidRPr="00CA2CE2">
        <w:rPr>
          <w:rFonts w:ascii="Aptos" w:hAnsi="Aptos"/>
          <w:szCs w:val="24"/>
        </w:rPr>
        <w:t xml:space="preserve"> below.</w:t>
      </w:r>
    </w:p>
    <w:p w14:paraId="50B74142" w14:textId="22BA9252" w:rsidR="00BB3BB2" w:rsidRPr="00CA2CE2" w:rsidRDefault="00CA2CE2" w:rsidP="00CA2CE2">
      <w:pPr>
        <w:pStyle w:val="ListParagraph"/>
        <w:numPr>
          <w:ilvl w:val="0"/>
          <w:numId w:val="23"/>
        </w:numPr>
        <w:ind w:left="357" w:hanging="357"/>
        <w:contextualSpacing w:val="0"/>
        <w:rPr>
          <w:rFonts w:ascii="Aptos" w:hAnsi="Aptos"/>
          <w:szCs w:val="24"/>
        </w:rPr>
      </w:pPr>
      <w:proofErr w:type="gramStart"/>
      <w:r>
        <w:rPr>
          <w:rFonts w:ascii="Aptos" w:hAnsi="Aptos"/>
          <w:szCs w:val="24"/>
        </w:rPr>
        <w:t>a</w:t>
      </w:r>
      <w:r w:rsidR="003266BD" w:rsidRPr="00CA2CE2">
        <w:rPr>
          <w:rFonts w:ascii="Aptos" w:hAnsi="Aptos"/>
          <w:szCs w:val="24"/>
        </w:rPr>
        <w:t xml:space="preserve"> number of</w:t>
      </w:r>
      <w:proofErr w:type="gramEnd"/>
      <w:r w:rsidR="003266BD" w:rsidRPr="00CA2CE2">
        <w:rPr>
          <w:rFonts w:ascii="Aptos" w:hAnsi="Aptos"/>
          <w:szCs w:val="24"/>
        </w:rPr>
        <w:t xml:space="preserve"> minor amendments</w:t>
      </w:r>
      <w:r>
        <w:rPr>
          <w:rFonts w:ascii="Aptos" w:hAnsi="Aptos"/>
          <w:szCs w:val="24"/>
        </w:rPr>
        <w:t xml:space="preserve"> have been made </w:t>
      </w:r>
      <w:r w:rsidR="003266BD" w:rsidRPr="00CA2CE2">
        <w:rPr>
          <w:rFonts w:ascii="Aptos" w:hAnsi="Aptos"/>
          <w:szCs w:val="24"/>
        </w:rPr>
        <w:t xml:space="preserve">to the accepted response values to ensure clarity, consistency and alignment with the National Code. These changes are set out in the </w:t>
      </w:r>
      <w:r w:rsidR="00FA3A90" w:rsidRPr="00CA2CE2">
        <w:rPr>
          <w:rFonts w:ascii="Aptos" w:hAnsi="Aptos"/>
          <w:i/>
          <w:iCs/>
          <w:szCs w:val="24"/>
        </w:rPr>
        <w:t>T</w:t>
      </w:r>
      <w:r w:rsidR="003266BD" w:rsidRPr="00CA2CE2">
        <w:rPr>
          <w:rFonts w:ascii="Aptos" w:hAnsi="Aptos"/>
          <w:i/>
          <w:iCs/>
          <w:szCs w:val="24"/>
        </w:rPr>
        <w:t>able</w:t>
      </w:r>
      <w:r w:rsidR="00FA3A90" w:rsidRPr="00CA2CE2">
        <w:rPr>
          <w:rFonts w:ascii="Aptos" w:hAnsi="Aptos"/>
          <w:i/>
          <w:iCs/>
          <w:szCs w:val="24"/>
        </w:rPr>
        <w:t xml:space="preserve"> </w:t>
      </w:r>
      <w:r w:rsidR="00FC0597" w:rsidRPr="00CA2CE2">
        <w:rPr>
          <w:rFonts w:ascii="Aptos" w:hAnsi="Aptos"/>
          <w:i/>
          <w:iCs/>
          <w:szCs w:val="24"/>
        </w:rPr>
        <w:t>2</w:t>
      </w:r>
      <w:r w:rsidR="00FA3A90" w:rsidRPr="00CA2CE2">
        <w:rPr>
          <w:rFonts w:ascii="Aptos" w:hAnsi="Aptos"/>
          <w:szCs w:val="24"/>
        </w:rPr>
        <w:t xml:space="preserve"> below</w:t>
      </w:r>
      <w:r w:rsidR="00BB3BB2" w:rsidRPr="00CA2CE2">
        <w:rPr>
          <w:rFonts w:ascii="Aptos" w:hAnsi="Aptos"/>
          <w:szCs w:val="24"/>
        </w:rPr>
        <w:t>.</w:t>
      </w:r>
    </w:p>
    <w:p w14:paraId="790E6713" w14:textId="77777777" w:rsidR="00BB3BB2" w:rsidRPr="00CA2CE2" w:rsidRDefault="00BB3BB2">
      <w:pPr>
        <w:spacing w:after="160"/>
        <w:rPr>
          <w:rFonts w:ascii="Aptos" w:hAnsi="Aptos"/>
          <w:sz w:val="24"/>
          <w:szCs w:val="24"/>
        </w:rPr>
        <w:sectPr w:rsidR="00BB3BB2" w:rsidRPr="00CA2CE2" w:rsidSect="00BB3BB2">
          <w:headerReference w:type="default" r:id="rId13"/>
          <w:footerReference w:type="default" r:id="rId14"/>
          <w:headerReference w:type="first" r:id="rId15"/>
          <w:footerReference w:type="first" r:id="rId16"/>
          <w:pgSz w:w="11906" w:h="16838" w:code="9"/>
          <w:pgMar w:top="1134" w:right="1440" w:bottom="1440" w:left="1134" w:header="709" w:footer="709" w:gutter="0"/>
          <w:cols w:space="708"/>
          <w:docGrid w:linePitch="360"/>
        </w:sectPr>
      </w:pPr>
      <w:r w:rsidRPr="00CA2CE2">
        <w:rPr>
          <w:rFonts w:ascii="Aptos" w:hAnsi="Aptos"/>
          <w:sz w:val="24"/>
          <w:szCs w:val="24"/>
        </w:rPr>
        <w:br w:type="page"/>
      </w:r>
    </w:p>
    <w:p w14:paraId="46F2B7F3" w14:textId="576C7257" w:rsidR="00FC0597" w:rsidRPr="00CA2CE2" w:rsidRDefault="00FC0597" w:rsidP="0017134D">
      <w:pPr>
        <w:rPr>
          <w:rFonts w:ascii="Aptos" w:hAnsi="Aptos"/>
          <w:b/>
          <w:bCs/>
          <w:i/>
          <w:iCs/>
          <w:sz w:val="24"/>
          <w:szCs w:val="24"/>
        </w:rPr>
      </w:pPr>
      <w:r w:rsidRPr="00CA2CE2">
        <w:rPr>
          <w:rFonts w:ascii="Aptos" w:hAnsi="Aptos"/>
          <w:b/>
          <w:bCs/>
          <w:i/>
          <w:iCs/>
          <w:sz w:val="24"/>
          <w:szCs w:val="24"/>
        </w:rPr>
        <w:lastRenderedPageBreak/>
        <w:t>Table 1: Changes to data elements</w:t>
      </w:r>
    </w:p>
    <w:tbl>
      <w:tblPr>
        <w:tblStyle w:val="EDU-Basic1"/>
        <w:tblW w:w="15163" w:type="dxa"/>
        <w:tblLook w:val="04A0" w:firstRow="1" w:lastRow="0" w:firstColumn="1" w:lastColumn="0" w:noHBand="0" w:noVBand="1"/>
      </w:tblPr>
      <w:tblGrid>
        <w:gridCol w:w="559"/>
        <w:gridCol w:w="4256"/>
        <w:gridCol w:w="567"/>
        <w:gridCol w:w="4252"/>
        <w:gridCol w:w="5529"/>
      </w:tblGrid>
      <w:tr w:rsidR="00CA2CE2" w:rsidRPr="00625FED" w14:paraId="1EAD4649" w14:textId="77777777" w:rsidTr="00CA2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03F066C4" w14:textId="77777777" w:rsidR="00FC0597" w:rsidRPr="00CA2CE2" w:rsidRDefault="00FC0597" w:rsidP="00625FED">
            <w:pPr>
              <w:jc w:val="center"/>
              <w:rPr>
                <w:rFonts w:ascii="Aptos" w:hAnsi="Aptos"/>
                <w:b/>
                <w:bCs/>
                <w:szCs w:val="24"/>
              </w:rPr>
            </w:pPr>
            <w:r w:rsidRPr="00CA2CE2">
              <w:rPr>
                <w:rFonts w:ascii="Aptos" w:hAnsi="Aptos"/>
                <w:b/>
                <w:bCs/>
                <w:szCs w:val="24"/>
              </w:rPr>
              <w:t>Version 1 (previous)</w:t>
            </w:r>
          </w:p>
        </w:tc>
        <w:tc>
          <w:tcPr>
            <w:tcW w:w="4819" w:type="dxa"/>
            <w:gridSpan w:val="2"/>
          </w:tcPr>
          <w:p w14:paraId="38A317EA" w14:textId="77777777" w:rsidR="00FC0597" w:rsidRPr="00CA2CE2" w:rsidRDefault="00FC0597" w:rsidP="00625FED">
            <w:pPr>
              <w:jc w:val="center"/>
              <w:cnfStyle w:val="100000000000" w:firstRow="1" w:lastRow="0" w:firstColumn="0" w:lastColumn="0" w:oddVBand="0" w:evenVBand="0" w:oddHBand="0" w:evenHBand="0" w:firstRowFirstColumn="0" w:firstRowLastColumn="0" w:lastRowFirstColumn="0" w:lastRowLastColumn="0"/>
              <w:rPr>
                <w:rFonts w:ascii="Aptos" w:hAnsi="Aptos"/>
                <w:b/>
                <w:bCs/>
                <w:szCs w:val="24"/>
              </w:rPr>
            </w:pPr>
            <w:r w:rsidRPr="00CA2CE2">
              <w:rPr>
                <w:rFonts w:ascii="Aptos" w:hAnsi="Aptos"/>
                <w:b/>
                <w:bCs/>
                <w:szCs w:val="24"/>
              </w:rPr>
              <w:t>Version 2 (current)</w:t>
            </w:r>
          </w:p>
        </w:tc>
        <w:tc>
          <w:tcPr>
            <w:tcW w:w="5529" w:type="dxa"/>
          </w:tcPr>
          <w:p w14:paraId="63D93403" w14:textId="77777777" w:rsidR="00FC0597" w:rsidRPr="00CA2CE2" w:rsidRDefault="00FC0597" w:rsidP="00625FED">
            <w:pPr>
              <w:cnfStyle w:val="100000000000" w:firstRow="1" w:lastRow="0" w:firstColumn="0" w:lastColumn="0" w:oddVBand="0" w:evenVBand="0" w:oddHBand="0" w:evenHBand="0" w:firstRowFirstColumn="0" w:firstRowLastColumn="0" w:lastRowFirstColumn="0" w:lastRowLastColumn="0"/>
              <w:rPr>
                <w:rFonts w:ascii="Aptos" w:hAnsi="Aptos"/>
                <w:b/>
                <w:bCs/>
                <w:szCs w:val="24"/>
              </w:rPr>
            </w:pPr>
            <w:r w:rsidRPr="00CA2CE2">
              <w:rPr>
                <w:rFonts w:ascii="Aptos" w:hAnsi="Aptos"/>
                <w:b/>
                <w:bCs/>
                <w:szCs w:val="24"/>
              </w:rPr>
              <w:t>Summary of changes</w:t>
            </w:r>
          </w:p>
        </w:tc>
      </w:tr>
      <w:tr w:rsidR="00FC0597" w:rsidRPr="00625FED" w14:paraId="02D6BBEB" w14:textId="77777777" w:rsidTr="00CA2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2F2F2" w:themeFill="background1" w:themeFillShade="F2"/>
          </w:tcPr>
          <w:p w14:paraId="786E2746" w14:textId="77777777" w:rsidR="00FC0597" w:rsidRPr="00CA2CE2" w:rsidRDefault="00FC0597" w:rsidP="00625FED">
            <w:pPr>
              <w:rPr>
                <w:rFonts w:ascii="Aptos" w:hAnsi="Aptos"/>
                <w:b/>
                <w:bCs/>
                <w:sz w:val="24"/>
                <w:szCs w:val="28"/>
              </w:rPr>
            </w:pPr>
            <w:r w:rsidRPr="00CA2CE2">
              <w:rPr>
                <w:rFonts w:ascii="Aptos" w:hAnsi="Aptos"/>
                <w:b/>
                <w:bCs/>
                <w:sz w:val="24"/>
                <w:szCs w:val="28"/>
              </w:rPr>
              <w:t>6</w:t>
            </w:r>
          </w:p>
        </w:tc>
        <w:tc>
          <w:tcPr>
            <w:tcW w:w="4256" w:type="dxa"/>
            <w:shd w:val="clear" w:color="auto" w:fill="F2F2F2" w:themeFill="background1" w:themeFillShade="F2"/>
          </w:tcPr>
          <w:p w14:paraId="34E59095"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CA2CE2">
              <w:rPr>
                <w:rFonts w:ascii="Aptos" w:hAnsi="Aptos"/>
                <w:sz w:val="24"/>
                <w:szCs w:val="28"/>
              </w:rPr>
              <w:t xml:space="preserve">Was the disclosure or formal report about a single incident, multiple incidents </w:t>
            </w:r>
            <w:r w:rsidRPr="00E50F09">
              <w:rPr>
                <w:rFonts w:ascii="Aptos" w:hAnsi="Aptos"/>
                <w:color w:val="DF0000"/>
                <w:sz w:val="24"/>
                <w:szCs w:val="28"/>
              </w:rPr>
              <w:t>or a pattern of gender-based violence?</w:t>
            </w:r>
          </w:p>
        </w:tc>
        <w:tc>
          <w:tcPr>
            <w:tcW w:w="567" w:type="dxa"/>
          </w:tcPr>
          <w:p w14:paraId="65E86A2F"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b/>
                <w:bCs/>
                <w:sz w:val="24"/>
                <w:szCs w:val="28"/>
              </w:rPr>
            </w:pPr>
            <w:r w:rsidRPr="00CA2CE2">
              <w:rPr>
                <w:rFonts w:ascii="Aptos" w:hAnsi="Aptos"/>
                <w:b/>
                <w:bCs/>
                <w:sz w:val="24"/>
                <w:szCs w:val="28"/>
              </w:rPr>
              <w:t>6</w:t>
            </w:r>
          </w:p>
        </w:tc>
        <w:tc>
          <w:tcPr>
            <w:tcW w:w="4252" w:type="dxa"/>
          </w:tcPr>
          <w:p w14:paraId="203E86E9"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CA2CE2">
              <w:rPr>
                <w:rFonts w:ascii="Aptos" w:eastAsia="Times New Roman" w:hAnsi="Aptos"/>
                <w:sz w:val="24"/>
                <w:szCs w:val="28"/>
                <w:lang w:eastAsia="en-AU"/>
              </w:rPr>
              <w:t>Was the disclosure or formal report about a single incident or multiple incidents?</w:t>
            </w:r>
          </w:p>
        </w:tc>
        <w:tc>
          <w:tcPr>
            <w:tcW w:w="5529" w:type="dxa"/>
          </w:tcPr>
          <w:p w14:paraId="19CA5976"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CA2CE2">
              <w:rPr>
                <w:rFonts w:ascii="Aptos" w:hAnsi="Aptos"/>
                <w:sz w:val="24"/>
                <w:szCs w:val="28"/>
              </w:rPr>
              <w:t>Removed reference to pattern, noting single or multiple incidents is sufficient to identify trends and patterns.</w:t>
            </w:r>
          </w:p>
        </w:tc>
      </w:tr>
      <w:tr w:rsidR="00FC0597" w:rsidRPr="00625FED" w14:paraId="140E6EA5" w14:textId="77777777" w:rsidTr="00CA2C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2F2F2" w:themeFill="background1" w:themeFillShade="F2"/>
          </w:tcPr>
          <w:p w14:paraId="02F3D4C1" w14:textId="77777777" w:rsidR="00FC0597" w:rsidRPr="00CA2CE2" w:rsidRDefault="00FC0597" w:rsidP="00625FED">
            <w:pPr>
              <w:rPr>
                <w:rFonts w:ascii="Aptos" w:hAnsi="Aptos"/>
                <w:b/>
                <w:bCs/>
                <w:sz w:val="24"/>
                <w:szCs w:val="28"/>
              </w:rPr>
            </w:pPr>
            <w:r w:rsidRPr="00CA2CE2">
              <w:rPr>
                <w:rFonts w:ascii="Aptos" w:hAnsi="Aptos"/>
                <w:b/>
                <w:bCs/>
                <w:sz w:val="24"/>
                <w:szCs w:val="28"/>
              </w:rPr>
              <w:t>15</w:t>
            </w:r>
          </w:p>
        </w:tc>
        <w:tc>
          <w:tcPr>
            <w:tcW w:w="4256" w:type="dxa"/>
            <w:shd w:val="clear" w:color="auto" w:fill="F2F2F2" w:themeFill="background1" w:themeFillShade="F2"/>
          </w:tcPr>
          <w:p w14:paraId="5F35B44C" w14:textId="77777777" w:rsidR="00FC0597" w:rsidRPr="00CA2CE2" w:rsidRDefault="00FC0597" w:rsidP="00625FED">
            <w:pPr>
              <w:cnfStyle w:val="000000010000" w:firstRow="0" w:lastRow="0" w:firstColumn="0" w:lastColumn="0" w:oddVBand="0" w:evenVBand="0" w:oddHBand="0" w:evenHBand="1" w:firstRowFirstColumn="0" w:firstRowLastColumn="0" w:lastRowFirstColumn="0" w:lastRowLastColumn="0"/>
              <w:rPr>
                <w:rFonts w:ascii="Aptos" w:hAnsi="Aptos"/>
                <w:sz w:val="24"/>
                <w:szCs w:val="28"/>
              </w:rPr>
            </w:pPr>
            <w:r w:rsidRPr="00CA2CE2">
              <w:rPr>
                <w:rFonts w:ascii="Aptos" w:hAnsi="Aptos"/>
                <w:sz w:val="24"/>
                <w:szCs w:val="28"/>
              </w:rPr>
              <w:t xml:space="preserve">Where did the gender-based violence incident(s) </w:t>
            </w:r>
            <w:r w:rsidRPr="00E50F09">
              <w:rPr>
                <w:rFonts w:ascii="Aptos" w:hAnsi="Aptos"/>
                <w:color w:val="DF0000"/>
                <w:sz w:val="24"/>
                <w:szCs w:val="28"/>
              </w:rPr>
              <w:t xml:space="preserve">or pattern </w:t>
            </w:r>
            <w:r w:rsidRPr="00CA2CE2">
              <w:rPr>
                <w:rFonts w:ascii="Aptos" w:hAnsi="Aptos"/>
                <w:sz w:val="24"/>
                <w:szCs w:val="28"/>
              </w:rPr>
              <w:t>occur?</w:t>
            </w:r>
          </w:p>
        </w:tc>
        <w:tc>
          <w:tcPr>
            <w:tcW w:w="567" w:type="dxa"/>
          </w:tcPr>
          <w:p w14:paraId="2A52C3B0" w14:textId="77777777" w:rsidR="00FC0597" w:rsidRPr="00CA2CE2" w:rsidRDefault="00FC0597" w:rsidP="00625FED">
            <w:pPr>
              <w:cnfStyle w:val="000000010000" w:firstRow="0" w:lastRow="0" w:firstColumn="0" w:lastColumn="0" w:oddVBand="0" w:evenVBand="0" w:oddHBand="0" w:evenHBand="1" w:firstRowFirstColumn="0" w:firstRowLastColumn="0" w:lastRowFirstColumn="0" w:lastRowLastColumn="0"/>
              <w:rPr>
                <w:rFonts w:ascii="Aptos" w:hAnsi="Aptos"/>
                <w:b/>
                <w:bCs/>
                <w:sz w:val="24"/>
                <w:szCs w:val="28"/>
              </w:rPr>
            </w:pPr>
            <w:r w:rsidRPr="00CA2CE2">
              <w:rPr>
                <w:rFonts w:ascii="Aptos" w:hAnsi="Aptos"/>
                <w:b/>
                <w:bCs/>
                <w:sz w:val="24"/>
                <w:szCs w:val="28"/>
              </w:rPr>
              <w:t>14</w:t>
            </w:r>
          </w:p>
        </w:tc>
        <w:tc>
          <w:tcPr>
            <w:tcW w:w="4252" w:type="dxa"/>
          </w:tcPr>
          <w:p w14:paraId="442A0157" w14:textId="77777777" w:rsidR="00FC0597" w:rsidRPr="00CA2CE2" w:rsidRDefault="00FC0597" w:rsidP="00625FED">
            <w:pPr>
              <w:cnfStyle w:val="000000010000" w:firstRow="0" w:lastRow="0" w:firstColumn="0" w:lastColumn="0" w:oddVBand="0" w:evenVBand="0" w:oddHBand="0" w:evenHBand="1" w:firstRowFirstColumn="0" w:firstRowLastColumn="0" w:lastRowFirstColumn="0" w:lastRowLastColumn="0"/>
              <w:rPr>
                <w:rFonts w:ascii="Aptos" w:hAnsi="Aptos"/>
                <w:sz w:val="24"/>
                <w:szCs w:val="28"/>
              </w:rPr>
            </w:pPr>
            <w:r w:rsidRPr="00CA2CE2">
              <w:rPr>
                <w:rFonts w:ascii="Aptos" w:eastAsia="Times New Roman" w:hAnsi="Aptos"/>
                <w:sz w:val="24"/>
                <w:szCs w:val="28"/>
                <w:lang w:eastAsia="en-AU"/>
              </w:rPr>
              <w:t>Where did the gender-based violence incident(s) occur?</w:t>
            </w:r>
          </w:p>
        </w:tc>
        <w:tc>
          <w:tcPr>
            <w:tcW w:w="5529" w:type="dxa"/>
          </w:tcPr>
          <w:p w14:paraId="1A824E9C" w14:textId="77777777" w:rsidR="00FC0597" w:rsidRPr="00CA2CE2" w:rsidRDefault="00FC0597" w:rsidP="00625FED">
            <w:pPr>
              <w:cnfStyle w:val="000000010000" w:firstRow="0" w:lastRow="0" w:firstColumn="0" w:lastColumn="0" w:oddVBand="0" w:evenVBand="0" w:oddHBand="0" w:evenHBand="1" w:firstRowFirstColumn="0" w:firstRowLastColumn="0" w:lastRowFirstColumn="0" w:lastRowLastColumn="0"/>
              <w:rPr>
                <w:rFonts w:ascii="Aptos" w:hAnsi="Aptos"/>
                <w:sz w:val="24"/>
                <w:szCs w:val="28"/>
              </w:rPr>
            </w:pPr>
            <w:r w:rsidRPr="00CA2CE2">
              <w:rPr>
                <w:rFonts w:ascii="Aptos" w:hAnsi="Aptos"/>
                <w:sz w:val="24"/>
                <w:szCs w:val="28"/>
              </w:rPr>
              <w:t>Removed reference to pattern, noting single or multiple incidents is sufficient to identify trends and patterns.</w:t>
            </w:r>
          </w:p>
        </w:tc>
      </w:tr>
      <w:tr w:rsidR="00FC0597" w:rsidRPr="00625FED" w14:paraId="21876B83" w14:textId="77777777" w:rsidTr="00CA2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2F2F2" w:themeFill="background1" w:themeFillShade="F2"/>
          </w:tcPr>
          <w:p w14:paraId="08B77DB8" w14:textId="77777777" w:rsidR="00FC0597" w:rsidRPr="00CA2CE2" w:rsidRDefault="00FC0597" w:rsidP="00625FED">
            <w:pPr>
              <w:rPr>
                <w:rFonts w:ascii="Aptos" w:hAnsi="Aptos"/>
                <w:b/>
                <w:bCs/>
                <w:sz w:val="24"/>
                <w:szCs w:val="28"/>
              </w:rPr>
            </w:pPr>
            <w:r w:rsidRPr="00CA2CE2">
              <w:rPr>
                <w:rFonts w:ascii="Aptos" w:hAnsi="Aptos"/>
                <w:b/>
                <w:bCs/>
                <w:sz w:val="24"/>
                <w:szCs w:val="28"/>
              </w:rPr>
              <w:t>19</w:t>
            </w:r>
          </w:p>
        </w:tc>
        <w:tc>
          <w:tcPr>
            <w:tcW w:w="4256" w:type="dxa"/>
            <w:shd w:val="clear" w:color="auto" w:fill="F2F2F2" w:themeFill="background1" w:themeFillShade="F2"/>
          </w:tcPr>
          <w:p w14:paraId="025EC427"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E50F09">
              <w:rPr>
                <w:rFonts w:ascii="Aptos" w:hAnsi="Aptos"/>
                <w:color w:val="DF0000"/>
                <w:sz w:val="24"/>
                <w:szCs w:val="28"/>
              </w:rPr>
              <w:t xml:space="preserve">Is the </w:t>
            </w:r>
            <w:r w:rsidRPr="00CA2CE2">
              <w:rPr>
                <w:rFonts w:ascii="Aptos" w:hAnsi="Aptos"/>
                <w:sz w:val="24"/>
                <w:szCs w:val="28"/>
              </w:rPr>
              <w:t>Respondent/s a resident or staff member of student accommodation facility?</w:t>
            </w:r>
          </w:p>
        </w:tc>
        <w:tc>
          <w:tcPr>
            <w:tcW w:w="567" w:type="dxa"/>
          </w:tcPr>
          <w:p w14:paraId="0897CA83"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b/>
                <w:bCs/>
                <w:sz w:val="24"/>
                <w:szCs w:val="28"/>
              </w:rPr>
            </w:pPr>
            <w:r w:rsidRPr="00CA2CE2">
              <w:rPr>
                <w:rFonts w:ascii="Aptos" w:hAnsi="Aptos"/>
                <w:b/>
                <w:bCs/>
                <w:sz w:val="24"/>
                <w:szCs w:val="28"/>
              </w:rPr>
              <w:t>18</w:t>
            </w:r>
          </w:p>
        </w:tc>
        <w:tc>
          <w:tcPr>
            <w:tcW w:w="4252" w:type="dxa"/>
          </w:tcPr>
          <w:p w14:paraId="4240BBDD"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CA2CE2">
              <w:rPr>
                <w:rFonts w:ascii="Aptos" w:eastAsia="Times New Roman" w:hAnsi="Aptos"/>
                <w:sz w:val="24"/>
                <w:szCs w:val="28"/>
                <w:lang w:eastAsia="en-AU"/>
              </w:rPr>
              <w:t>Are any Respondent/s a resident or staff member of a student accommodation facility?</w:t>
            </w:r>
          </w:p>
        </w:tc>
        <w:tc>
          <w:tcPr>
            <w:tcW w:w="5529" w:type="dxa"/>
          </w:tcPr>
          <w:p w14:paraId="4873E790" w14:textId="77777777" w:rsidR="00FC0597" w:rsidRPr="00CA2CE2" w:rsidRDefault="00FC0597" w:rsidP="00625FED">
            <w:pPr>
              <w:cnfStyle w:val="000000100000" w:firstRow="0" w:lastRow="0" w:firstColumn="0" w:lastColumn="0" w:oddVBand="0" w:evenVBand="0" w:oddHBand="1" w:evenHBand="0" w:firstRowFirstColumn="0" w:firstRowLastColumn="0" w:lastRowFirstColumn="0" w:lastRowLastColumn="0"/>
              <w:rPr>
                <w:rFonts w:ascii="Aptos" w:hAnsi="Aptos"/>
                <w:sz w:val="24"/>
                <w:szCs w:val="28"/>
              </w:rPr>
            </w:pPr>
            <w:r w:rsidRPr="00CA2CE2">
              <w:rPr>
                <w:rFonts w:ascii="Aptos" w:hAnsi="Aptos"/>
                <w:sz w:val="24"/>
                <w:szCs w:val="28"/>
              </w:rPr>
              <w:t>Updated to acknowledge there may be multiple respondents.</w:t>
            </w:r>
          </w:p>
        </w:tc>
      </w:tr>
    </w:tbl>
    <w:p w14:paraId="76A8329B" w14:textId="77777777" w:rsidR="00FC0597" w:rsidRDefault="00FC0597" w:rsidP="0017134D">
      <w:pPr>
        <w:rPr>
          <w:rFonts w:ascii="Aptos" w:hAnsi="Aptos"/>
          <w:b/>
          <w:bCs/>
          <w:i/>
          <w:iCs/>
        </w:rPr>
      </w:pPr>
    </w:p>
    <w:p w14:paraId="7FF0CC57" w14:textId="07DBB6A0" w:rsidR="00500091" w:rsidRPr="00CA2CE2" w:rsidRDefault="00FA3A90" w:rsidP="0017134D">
      <w:pPr>
        <w:rPr>
          <w:rFonts w:ascii="Aptos" w:hAnsi="Aptos"/>
          <w:b/>
          <w:bCs/>
          <w:i/>
          <w:iCs/>
          <w:sz w:val="24"/>
          <w:szCs w:val="24"/>
        </w:rPr>
      </w:pPr>
      <w:r w:rsidRPr="00CA2CE2">
        <w:rPr>
          <w:rFonts w:ascii="Aptos" w:hAnsi="Aptos"/>
          <w:b/>
          <w:bCs/>
          <w:i/>
          <w:iCs/>
          <w:sz w:val="24"/>
          <w:szCs w:val="24"/>
        </w:rPr>
        <w:t xml:space="preserve">Table </w:t>
      </w:r>
      <w:r w:rsidR="0026578A" w:rsidRPr="00CA2CE2">
        <w:rPr>
          <w:rFonts w:ascii="Aptos" w:hAnsi="Aptos"/>
          <w:b/>
          <w:bCs/>
          <w:i/>
          <w:iCs/>
          <w:sz w:val="24"/>
          <w:szCs w:val="24"/>
        </w:rPr>
        <w:t>2</w:t>
      </w:r>
      <w:r w:rsidRPr="00CA2CE2">
        <w:rPr>
          <w:rFonts w:ascii="Aptos" w:hAnsi="Aptos"/>
          <w:b/>
          <w:bCs/>
          <w:i/>
          <w:iCs/>
          <w:sz w:val="24"/>
          <w:szCs w:val="24"/>
        </w:rPr>
        <w:t>: Changes to accepted response values</w:t>
      </w:r>
    </w:p>
    <w:tbl>
      <w:tblPr>
        <w:tblStyle w:val="EDU-Basic1"/>
        <w:tblW w:w="0" w:type="auto"/>
        <w:tblLook w:val="04A0" w:firstRow="1" w:lastRow="0" w:firstColumn="1" w:lastColumn="0" w:noHBand="0" w:noVBand="1"/>
      </w:tblPr>
      <w:tblGrid>
        <w:gridCol w:w="1054"/>
        <w:gridCol w:w="4272"/>
        <w:gridCol w:w="4190"/>
        <w:gridCol w:w="5591"/>
      </w:tblGrid>
      <w:tr w:rsidR="00FA3A90" w:rsidRPr="00CA2CE2" w14:paraId="462C8754" w14:textId="77777777" w:rsidTr="00B0113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5A098DAF" w14:textId="77777777" w:rsidR="00FA3A90" w:rsidRPr="00CA2CE2" w:rsidRDefault="00FA3A90" w:rsidP="00625FED">
            <w:pPr>
              <w:spacing w:after="100"/>
              <w:rPr>
                <w:rFonts w:ascii="Aptos" w:hAnsi="Aptos"/>
                <w:b/>
                <w:bCs/>
              </w:rPr>
            </w:pPr>
            <w:r w:rsidRPr="00CA2CE2">
              <w:rPr>
                <w:rFonts w:ascii="Aptos" w:hAnsi="Aptos"/>
                <w:b/>
                <w:bCs/>
              </w:rPr>
              <w:t>Data Element</w:t>
            </w:r>
          </w:p>
        </w:tc>
        <w:tc>
          <w:tcPr>
            <w:tcW w:w="4272" w:type="dxa"/>
          </w:tcPr>
          <w:p w14:paraId="3B8D691D" w14:textId="77777777" w:rsidR="00FA3A90" w:rsidRPr="00CA2CE2" w:rsidRDefault="00FA3A90" w:rsidP="00625FED">
            <w:pPr>
              <w:cnfStyle w:val="100000000000" w:firstRow="1" w:lastRow="0" w:firstColumn="0" w:lastColumn="0" w:oddVBand="0" w:evenVBand="0" w:oddHBand="0" w:evenHBand="0" w:firstRowFirstColumn="0" w:firstRowLastColumn="0" w:lastRowFirstColumn="0" w:lastRowLastColumn="0"/>
              <w:rPr>
                <w:rFonts w:ascii="Aptos" w:hAnsi="Aptos"/>
                <w:b/>
                <w:bCs/>
              </w:rPr>
            </w:pPr>
            <w:r w:rsidRPr="00CA2CE2">
              <w:rPr>
                <w:rFonts w:ascii="Aptos" w:hAnsi="Aptos"/>
                <w:b/>
                <w:bCs/>
              </w:rPr>
              <w:t>Version 1 (previous)</w:t>
            </w:r>
          </w:p>
        </w:tc>
        <w:tc>
          <w:tcPr>
            <w:tcW w:w="4190" w:type="dxa"/>
          </w:tcPr>
          <w:p w14:paraId="3B063EA6" w14:textId="77777777" w:rsidR="00FA3A90" w:rsidRPr="00CA2CE2" w:rsidRDefault="00FA3A90" w:rsidP="00625FED">
            <w:pPr>
              <w:cnfStyle w:val="100000000000" w:firstRow="1" w:lastRow="0" w:firstColumn="0" w:lastColumn="0" w:oddVBand="0" w:evenVBand="0" w:oddHBand="0" w:evenHBand="0" w:firstRowFirstColumn="0" w:firstRowLastColumn="0" w:lastRowFirstColumn="0" w:lastRowLastColumn="0"/>
              <w:rPr>
                <w:rFonts w:ascii="Aptos" w:hAnsi="Aptos"/>
                <w:b/>
                <w:bCs/>
              </w:rPr>
            </w:pPr>
            <w:r w:rsidRPr="00CA2CE2">
              <w:rPr>
                <w:rFonts w:ascii="Aptos" w:hAnsi="Aptos"/>
                <w:b/>
                <w:bCs/>
              </w:rPr>
              <w:t>Version 2 (current)</w:t>
            </w:r>
          </w:p>
        </w:tc>
        <w:tc>
          <w:tcPr>
            <w:tcW w:w="5591" w:type="dxa"/>
          </w:tcPr>
          <w:p w14:paraId="799E3A39" w14:textId="77777777" w:rsidR="00FA3A90" w:rsidRPr="00CA2CE2" w:rsidRDefault="00FA3A90" w:rsidP="00625FED">
            <w:pPr>
              <w:cnfStyle w:val="100000000000" w:firstRow="1" w:lastRow="0" w:firstColumn="0" w:lastColumn="0" w:oddVBand="0" w:evenVBand="0" w:oddHBand="0" w:evenHBand="0" w:firstRowFirstColumn="0" w:firstRowLastColumn="0" w:lastRowFirstColumn="0" w:lastRowLastColumn="0"/>
              <w:rPr>
                <w:rFonts w:ascii="Aptos" w:hAnsi="Aptos"/>
                <w:b/>
                <w:bCs/>
              </w:rPr>
            </w:pPr>
            <w:r w:rsidRPr="00CA2CE2">
              <w:rPr>
                <w:rFonts w:ascii="Aptos" w:hAnsi="Aptos"/>
                <w:b/>
                <w:bCs/>
              </w:rPr>
              <w:t>Summary of changes</w:t>
            </w:r>
          </w:p>
        </w:tc>
      </w:tr>
      <w:tr w:rsidR="00FA3A90" w:rsidRPr="00CA2CE2" w14:paraId="389C63ED" w14:textId="77777777" w:rsidTr="00B011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35508DA3" w14:textId="77777777" w:rsidR="00FA3A90" w:rsidRPr="00CA2CE2" w:rsidRDefault="00FA3A90" w:rsidP="00625FED">
            <w:pPr>
              <w:jc w:val="center"/>
              <w:rPr>
                <w:rFonts w:ascii="Aptos" w:hAnsi="Aptos"/>
                <w:b/>
                <w:bCs/>
              </w:rPr>
            </w:pPr>
            <w:r w:rsidRPr="00CA2CE2">
              <w:rPr>
                <w:rFonts w:ascii="Aptos" w:hAnsi="Aptos"/>
                <w:b/>
                <w:bCs/>
              </w:rPr>
              <w:t>30</w:t>
            </w:r>
          </w:p>
        </w:tc>
        <w:tc>
          <w:tcPr>
            <w:tcW w:w="4272" w:type="dxa"/>
            <w:shd w:val="clear" w:color="auto" w:fill="F2F2F2" w:themeFill="background1" w:themeFillShade="F2"/>
          </w:tcPr>
          <w:p w14:paraId="6E56842C"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Non-Indigenous</w:t>
            </w:r>
          </w:p>
          <w:p w14:paraId="081983A6"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Aboriginal</w:t>
            </w:r>
          </w:p>
          <w:p w14:paraId="55DC2DED"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Torres Strait Islander</w:t>
            </w:r>
          </w:p>
          <w:p w14:paraId="7ADAC6E5"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Both Aboriginal and Torres Strait Islander</w:t>
            </w:r>
          </w:p>
          <w:p w14:paraId="360D2B50"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Prefer not to answer</w:t>
            </w:r>
          </w:p>
          <w:p w14:paraId="32437A19"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Unknown</w:t>
            </w:r>
          </w:p>
        </w:tc>
        <w:tc>
          <w:tcPr>
            <w:tcW w:w="4190" w:type="dxa"/>
          </w:tcPr>
          <w:p w14:paraId="61AFE959" w14:textId="77777777" w:rsidR="00FA3A90" w:rsidRPr="00E50F09"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color w:val="A90000"/>
                <w:szCs w:val="24"/>
                <w:lang w:eastAsia="en-AU"/>
              </w:rPr>
            </w:pPr>
            <w:r w:rsidRPr="00E50F09">
              <w:rPr>
                <w:rFonts w:ascii="Aptos" w:eastAsia="Times New Roman" w:hAnsi="Aptos"/>
                <w:color w:val="A90000"/>
                <w:szCs w:val="24"/>
                <w:lang w:eastAsia="en-AU"/>
              </w:rPr>
              <w:t>Indigenous</w:t>
            </w:r>
          </w:p>
          <w:p w14:paraId="3497D420"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Non-Indigenous</w:t>
            </w:r>
          </w:p>
          <w:p w14:paraId="3FB18C78"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Aboriginal</w:t>
            </w:r>
          </w:p>
          <w:p w14:paraId="19669DF4"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Torres Strait Islander</w:t>
            </w:r>
          </w:p>
          <w:p w14:paraId="10C662A0"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Both Aboriginal and Torres Strait Islander</w:t>
            </w:r>
          </w:p>
          <w:p w14:paraId="25C24475"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Prefer not to answer</w:t>
            </w:r>
          </w:p>
          <w:p w14:paraId="28C8F60D"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Unknown</w:t>
            </w:r>
          </w:p>
        </w:tc>
        <w:tc>
          <w:tcPr>
            <w:tcW w:w="5591" w:type="dxa"/>
          </w:tcPr>
          <w:p w14:paraId="40941761"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 xml:space="preserve">Updated in response to feedback from some providers that they may know that a student or staff member identifies as indigenous, but not whether they are aboriginal or </w:t>
            </w:r>
            <w:proofErr w:type="spellStart"/>
            <w:r w:rsidRPr="00CA2CE2">
              <w:rPr>
                <w:rFonts w:ascii="Aptos" w:eastAsia="Times New Roman" w:hAnsi="Aptos"/>
                <w:szCs w:val="24"/>
                <w:lang w:eastAsia="en-AU"/>
              </w:rPr>
              <w:t>torres</w:t>
            </w:r>
            <w:proofErr w:type="spellEnd"/>
            <w:r w:rsidRPr="00CA2CE2">
              <w:rPr>
                <w:rFonts w:ascii="Aptos" w:eastAsia="Times New Roman" w:hAnsi="Aptos"/>
                <w:szCs w:val="24"/>
                <w:lang w:eastAsia="en-AU"/>
              </w:rPr>
              <w:t xml:space="preserve"> strait islander specifically.</w:t>
            </w:r>
          </w:p>
          <w:p w14:paraId="0C51C918" w14:textId="77777777" w:rsidR="00FA3A90" w:rsidRPr="00CA2CE2"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 footnote has been provided to clarify that providers should choose whatever option is most relevant.</w:t>
            </w:r>
          </w:p>
        </w:tc>
      </w:tr>
      <w:tr w:rsidR="00FA3A90" w:rsidRPr="00CA2CE2" w14:paraId="1627706C" w14:textId="77777777" w:rsidTr="00B0113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62B25C81" w14:textId="77777777" w:rsidR="00FA3A90" w:rsidRPr="00CA2CE2" w:rsidRDefault="00FA3A90" w:rsidP="00625FED">
            <w:pPr>
              <w:jc w:val="center"/>
              <w:rPr>
                <w:rFonts w:ascii="Aptos" w:hAnsi="Aptos"/>
                <w:b/>
                <w:bCs/>
              </w:rPr>
            </w:pPr>
            <w:r w:rsidRPr="00CA2CE2">
              <w:rPr>
                <w:rFonts w:ascii="Aptos" w:hAnsi="Aptos"/>
                <w:b/>
                <w:bCs/>
              </w:rPr>
              <w:lastRenderedPageBreak/>
              <w:t>46</w:t>
            </w:r>
          </w:p>
        </w:tc>
        <w:tc>
          <w:tcPr>
            <w:tcW w:w="4272" w:type="dxa"/>
            <w:shd w:val="clear" w:color="auto" w:fill="F2F2F2" w:themeFill="background1" w:themeFillShade="F2"/>
          </w:tcPr>
          <w:p w14:paraId="6F939FCB"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Non-Indigenous</w:t>
            </w:r>
          </w:p>
          <w:p w14:paraId="0D663446"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Aboriginal</w:t>
            </w:r>
          </w:p>
          <w:p w14:paraId="24F008EB"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Torres Strait Islander</w:t>
            </w:r>
          </w:p>
          <w:p w14:paraId="2792EEA6"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Both Aboriginal and Torres Strait Islander</w:t>
            </w:r>
          </w:p>
          <w:p w14:paraId="4ADA1086"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Prefer not to answer</w:t>
            </w:r>
          </w:p>
          <w:p w14:paraId="2AB8C3B1"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Unknown</w:t>
            </w:r>
          </w:p>
        </w:tc>
        <w:tc>
          <w:tcPr>
            <w:tcW w:w="4190" w:type="dxa"/>
          </w:tcPr>
          <w:p w14:paraId="0D381D11" w14:textId="77777777" w:rsidR="00FA3A90" w:rsidRPr="00E50F09"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color w:val="A90000"/>
                <w:szCs w:val="24"/>
                <w:lang w:eastAsia="en-AU"/>
              </w:rPr>
            </w:pPr>
            <w:r w:rsidRPr="00E50F09">
              <w:rPr>
                <w:rFonts w:ascii="Aptos" w:eastAsia="Times New Roman" w:hAnsi="Aptos"/>
                <w:color w:val="A90000"/>
                <w:szCs w:val="24"/>
                <w:lang w:eastAsia="en-AU"/>
              </w:rPr>
              <w:t>Indigenous</w:t>
            </w:r>
          </w:p>
          <w:p w14:paraId="3CBFDEC2"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Non-Indigenous</w:t>
            </w:r>
          </w:p>
          <w:p w14:paraId="27D17A31"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Aboriginal</w:t>
            </w:r>
          </w:p>
          <w:p w14:paraId="2A4968BE"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Torres Strait Islander</w:t>
            </w:r>
          </w:p>
          <w:p w14:paraId="5D440AAD"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Both Aboriginal and Torres Strait Islander</w:t>
            </w:r>
          </w:p>
          <w:p w14:paraId="165A7DE5"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Prefer not to answer</w:t>
            </w:r>
          </w:p>
          <w:p w14:paraId="289C7503"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Unknown</w:t>
            </w:r>
          </w:p>
        </w:tc>
        <w:tc>
          <w:tcPr>
            <w:tcW w:w="5591" w:type="dxa"/>
          </w:tcPr>
          <w:p w14:paraId="1541BE1F" w14:textId="77777777" w:rsidR="00FA3A90" w:rsidRPr="00CA2CE2"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w:eastAsia="Times New Roman" w:hAnsi="Aptos"/>
                <w:szCs w:val="24"/>
                <w:lang w:eastAsia="en-AU"/>
              </w:rPr>
            </w:pPr>
            <w:r w:rsidRPr="00CA2CE2">
              <w:rPr>
                <w:rFonts w:ascii="Aptos" w:eastAsia="Times New Roman" w:hAnsi="Aptos"/>
                <w:szCs w:val="24"/>
                <w:lang w:eastAsia="en-AU"/>
              </w:rPr>
              <w:t>As above.</w:t>
            </w:r>
          </w:p>
        </w:tc>
      </w:tr>
      <w:tr w:rsidR="00964D03" w:rsidRPr="00CA2CE2" w14:paraId="3BA02671" w14:textId="77777777" w:rsidTr="00B011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66AFAB9C" w14:textId="452C5524" w:rsidR="00964D03" w:rsidRPr="00CA2CE2" w:rsidRDefault="00964D03" w:rsidP="00625FED">
            <w:pPr>
              <w:jc w:val="center"/>
              <w:rPr>
                <w:rFonts w:ascii="Aptos" w:hAnsi="Aptos"/>
                <w:b/>
                <w:bCs/>
              </w:rPr>
            </w:pPr>
            <w:r>
              <w:rPr>
                <w:rFonts w:ascii="Aptos" w:hAnsi="Aptos"/>
                <w:b/>
                <w:bCs/>
              </w:rPr>
              <w:t>58</w:t>
            </w:r>
          </w:p>
        </w:tc>
        <w:tc>
          <w:tcPr>
            <w:tcW w:w="4272" w:type="dxa"/>
            <w:shd w:val="clear" w:color="auto" w:fill="F2F2F2" w:themeFill="background1" w:themeFillShade="F2"/>
          </w:tcPr>
          <w:p w14:paraId="2A86CE99"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ambulance to attend</w:t>
            </w:r>
          </w:p>
          <w:p w14:paraId="10B09316"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police to attend</w:t>
            </w:r>
          </w:p>
          <w:p w14:paraId="61075BC0" w14:textId="43AC2456"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Required other health response </w:t>
            </w:r>
            <w:r w:rsidRPr="00E50F09">
              <w:rPr>
                <w:rFonts w:ascii="Aptos Narrow" w:eastAsia="Times New Roman" w:hAnsi="Aptos Narrow"/>
                <w:color w:val="DF0000"/>
                <w:szCs w:val="24"/>
                <w:lang w:eastAsia="en-AU"/>
              </w:rPr>
              <w:t>including</w:t>
            </w:r>
          </w:p>
          <w:p w14:paraId="7257CDC2"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T</w:t>
            </w:r>
            <w:r w:rsidRPr="004C4037">
              <w:rPr>
                <w:rFonts w:ascii="Aptos Narrow" w:eastAsia="Times New Roman" w:hAnsi="Aptos Narrow"/>
                <w:szCs w:val="24"/>
                <w:lang w:eastAsia="en-AU"/>
              </w:rPr>
              <w:t>ransfer to hospital or mental health facility</w:t>
            </w:r>
          </w:p>
          <w:p w14:paraId="2D7D72BB"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immediate access to provider support</w:t>
            </w:r>
            <w:r>
              <w:rPr>
                <w:rFonts w:ascii="Aptos Narrow" w:eastAsia="Times New Roman" w:hAnsi="Aptos Narrow"/>
                <w:szCs w:val="24"/>
                <w:lang w:eastAsia="en-AU"/>
              </w:rPr>
              <w:t xml:space="preserve"> </w:t>
            </w:r>
            <w:r w:rsidRPr="004C4037">
              <w:rPr>
                <w:rFonts w:ascii="Aptos Narrow" w:eastAsia="Times New Roman" w:hAnsi="Aptos Narrow"/>
                <w:szCs w:val="24"/>
                <w:lang w:eastAsia="en-AU"/>
              </w:rPr>
              <w:t>services</w:t>
            </w:r>
          </w:p>
          <w:p w14:paraId="40A72F19"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the temporary relocation of the respondent(s)</w:t>
            </w:r>
          </w:p>
          <w:p w14:paraId="68C6B0A4"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7C577861" w14:textId="29736643" w:rsidR="00964D03" w:rsidRPr="00CA2CE2"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sidRPr="004C4037">
              <w:rPr>
                <w:rFonts w:ascii="Aptos Narrow" w:eastAsia="Times New Roman" w:hAnsi="Aptos Narrow"/>
                <w:szCs w:val="24"/>
                <w:lang w:eastAsia="en-AU"/>
              </w:rPr>
              <w:t>N/A</w:t>
            </w:r>
          </w:p>
        </w:tc>
        <w:tc>
          <w:tcPr>
            <w:tcW w:w="4190" w:type="dxa"/>
          </w:tcPr>
          <w:p w14:paraId="72444F42"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ambulance to attend</w:t>
            </w:r>
          </w:p>
          <w:p w14:paraId="41A192AF"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police to attend</w:t>
            </w:r>
          </w:p>
          <w:p w14:paraId="6E851937" w14:textId="3DF3AA1F"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Required other health response </w:t>
            </w:r>
          </w:p>
          <w:p w14:paraId="0325446D"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T</w:t>
            </w:r>
            <w:r w:rsidRPr="004C4037">
              <w:rPr>
                <w:rFonts w:ascii="Aptos Narrow" w:eastAsia="Times New Roman" w:hAnsi="Aptos Narrow"/>
                <w:szCs w:val="24"/>
                <w:lang w:eastAsia="en-AU"/>
              </w:rPr>
              <w:t>ransfer to hospital or mental health facility</w:t>
            </w:r>
          </w:p>
          <w:p w14:paraId="47BEBD5F"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immediate access to provider support</w:t>
            </w:r>
            <w:r>
              <w:rPr>
                <w:rFonts w:ascii="Aptos Narrow" w:eastAsia="Times New Roman" w:hAnsi="Aptos Narrow"/>
                <w:szCs w:val="24"/>
                <w:lang w:eastAsia="en-AU"/>
              </w:rPr>
              <w:t xml:space="preserve"> </w:t>
            </w:r>
            <w:r w:rsidRPr="004C4037">
              <w:rPr>
                <w:rFonts w:ascii="Aptos Narrow" w:eastAsia="Times New Roman" w:hAnsi="Aptos Narrow"/>
                <w:szCs w:val="24"/>
                <w:lang w:eastAsia="en-AU"/>
              </w:rPr>
              <w:t>services</w:t>
            </w:r>
          </w:p>
          <w:p w14:paraId="7B73D30E"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the temporary relocation of the respondent(s)</w:t>
            </w:r>
          </w:p>
          <w:p w14:paraId="2574C65C" w14:textId="77777777" w:rsidR="00D97D99"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42B212FB" w14:textId="0BEA7E15" w:rsidR="00964D03" w:rsidRPr="00CA2CE2" w:rsidRDefault="00D97D99" w:rsidP="00D97D99">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Cs w:val="24"/>
                <w:lang w:eastAsia="en-AU"/>
              </w:rPr>
            </w:pPr>
            <w:r w:rsidRPr="004C4037">
              <w:rPr>
                <w:rFonts w:ascii="Aptos Narrow" w:eastAsia="Times New Roman" w:hAnsi="Aptos Narrow"/>
                <w:szCs w:val="24"/>
                <w:lang w:eastAsia="en-AU"/>
              </w:rPr>
              <w:t>N/A</w:t>
            </w:r>
          </w:p>
        </w:tc>
        <w:tc>
          <w:tcPr>
            <w:tcW w:w="5591" w:type="dxa"/>
          </w:tcPr>
          <w:p w14:paraId="448EF6D5" w14:textId="5133D670" w:rsidR="00964D03" w:rsidRPr="00CA2CE2" w:rsidRDefault="00D97D99"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w:eastAsia="Times New Roman" w:hAnsi="Aptos"/>
                <w:szCs w:val="24"/>
                <w:lang w:eastAsia="en-AU"/>
              </w:rPr>
            </w:pPr>
            <w:r>
              <w:rPr>
                <w:rFonts w:ascii="Aptos" w:eastAsia="Times New Roman" w:hAnsi="Aptos"/>
                <w:szCs w:val="24"/>
                <w:lang w:eastAsia="en-AU"/>
              </w:rPr>
              <w:t xml:space="preserve">Removed unnecessary additional </w:t>
            </w:r>
            <w:proofErr w:type="gramStart"/>
            <w:r>
              <w:rPr>
                <w:rFonts w:ascii="Aptos" w:eastAsia="Times New Roman" w:hAnsi="Aptos"/>
                <w:szCs w:val="24"/>
                <w:lang w:eastAsia="en-AU"/>
              </w:rPr>
              <w:t>word</w:t>
            </w:r>
            <w:proofErr w:type="gramEnd"/>
            <w:r>
              <w:rPr>
                <w:rFonts w:ascii="Aptos" w:eastAsia="Times New Roman" w:hAnsi="Aptos"/>
                <w:szCs w:val="24"/>
                <w:lang w:eastAsia="en-AU"/>
              </w:rPr>
              <w:t>.</w:t>
            </w:r>
          </w:p>
        </w:tc>
      </w:tr>
      <w:tr w:rsidR="008E1ACA" w14:paraId="4B42A6F2" w14:textId="77777777" w:rsidTr="008E1AC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3DBD53D9" w14:textId="127DA024" w:rsidR="008E1ACA" w:rsidRPr="009C5EC1" w:rsidRDefault="00B01137" w:rsidP="00625FED">
            <w:pPr>
              <w:jc w:val="center"/>
              <w:rPr>
                <w:b/>
                <w:bCs/>
              </w:rPr>
            </w:pPr>
            <w:r>
              <w:rPr>
                <w:b/>
                <w:bCs/>
              </w:rPr>
              <w:lastRenderedPageBreak/>
              <w:t>62</w:t>
            </w:r>
          </w:p>
        </w:tc>
        <w:tc>
          <w:tcPr>
            <w:tcW w:w="4272" w:type="dxa"/>
            <w:shd w:val="clear" w:color="auto" w:fill="F2F2F2" w:themeFill="background1" w:themeFillShade="F2"/>
          </w:tcPr>
          <w:p w14:paraId="76C722E6" w14:textId="0DF05E81"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Referral to counselling or specialist GBV service </w:t>
            </w:r>
          </w:p>
          <w:p w14:paraId="41C45D7E"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Referral to specialist services for diverse communities</w:t>
            </w:r>
          </w:p>
          <w:p w14:paraId="3007B601"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Referral to interpreter service </w:t>
            </w:r>
          </w:p>
          <w:p w14:paraId="196D41F4"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Referral to legal service</w:t>
            </w:r>
          </w:p>
          <w:p w14:paraId="4A371385"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Removed the respondent from the living, working or studying environment </w:t>
            </w:r>
          </w:p>
          <w:p w14:paraId="61A61E88"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Referred to police </w:t>
            </w:r>
          </w:p>
          <w:p w14:paraId="2E0D7062"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Referred to hospital </w:t>
            </w:r>
          </w:p>
          <w:p w14:paraId="2E3E7AE6" w14:textId="77777777"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Provided immediate academic/work adjustments </w:t>
            </w:r>
          </w:p>
          <w:p w14:paraId="72561AB2" w14:textId="54E60783" w:rsidR="00906FDA"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Other</w:t>
            </w:r>
          </w:p>
          <w:p w14:paraId="2346854C" w14:textId="2DFD87F9" w:rsidR="008E1ACA" w:rsidRPr="009C5EC1" w:rsidRDefault="002B59D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2B59D0">
              <w:rPr>
                <w:rFonts w:ascii="Aptos Narrow" w:eastAsia="Times New Roman" w:hAnsi="Aptos Narrow"/>
                <w:szCs w:val="24"/>
                <w:lang w:eastAsia="en-AU"/>
              </w:rPr>
              <w:t xml:space="preserve"> N/A</w:t>
            </w:r>
          </w:p>
        </w:tc>
        <w:tc>
          <w:tcPr>
            <w:tcW w:w="4190" w:type="dxa"/>
          </w:tcPr>
          <w:p w14:paraId="2DED5333"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Referral to counselling or specialist GBV service</w:t>
            </w:r>
            <w:r w:rsidRPr="00E50F09">
              <w:rPr>
                <w:rFonts w:ascii="Aptos Narrow" w:eastAsia="Times New Roman" w:hAnsi="Aptos Narrow"/>
                <w:color w:val="ED0000"/>
                <w:szCs w:val="24"/>
                <w:lang w:eastAsia="en-AU"/>
              </w:rPr>
              <w:t>/s</w:t>
            </w:r>
          </w:p>
          <w:p w14:paraId="049D963C"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Referral to specialist service</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 for diverse communities</w:t>
            </w:r>
          </w:p>
          <w:p w14:paraId="2C9932F2"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Referral to interpreter service</w:t>
            </w:r>
            <w:r w:rsidRPr="00E50F09">
              <w:rPr>
                <w:rFonts w:ascii="Aptos Narrow" w:eastAsia="Times New Roman" w:hAnsi="Aptos Narrow"/>
                <w:color w:val="ED0000"/>
                <w:szCs w:val="24"/>
                <w:lang w:eastAsia="en-AU"/>
              </w:rPr>
              <w:t>/s</w:t>
            </w:r>
          </w:p>
          <w:p w14:paraId="0C443BC5"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Referral to legal service</w:t>
            </w:r>
            <w:r w:rsidRPr="00E50F09">
              <w:rPr>
                <w:rFonts w:ascii="Aptos Narrow" w:eastAsia="Times New Roman" w:hAnsi="Aptos Narrow"/>
                <w:color w:val="A90000"/>
                <w:szCs w:val="24"/>
                <w:lang w:eastAsia="en-AU"/>
              </w:rPr>
              <w:t>/s</w:t>
            </w:r>
          </w:p>
          <w:p w14:paraId="30B59D7B"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Removed the respondent from the living, working or studying environment</w:t>
            </w:r>
          </w:p>
          <w:p w14:paraId="426731E7"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Referred to police</w:t>
            </w:r>
          </w:p>
          <w:p w14:paraId="0BF249EE"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Referred to hospital</w:t>
            </w:r>
          </w:p>
          <w:p w14:paraId="690AEF39" w14:textId="537EE063"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Provided immediate academic/work adjustment</w:t>
            </w:r>
            <w:r w:rsidR="00906FDA"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63884DA6" w14:textId="77777777" w:rsidR="00B01137"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Other</w:t>
            </w:r>
          </w:p>
          <w:p w14:paraId="637489CD" w14:textId="7F17C160" w:rsidR="008E1ACA" w:rsidRPr="00906FDA" w:rsidRDefault="00B01137" w:rsidP="00B01137">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N/A</w:t>
            </w:r>
          </w:p>
        </w:tc>
        <w:tc>
          <w:tcPr>
            <w:tcW w:w="5591" w:type="dxa"/>
          </w:tcPr>
          <w:p w14:paraId="08D76B79" w14:textId="575261A4" w:rsidR="008E1ACA" w:rsidRPr="00500091" w:rsidRDefault="005C6B69"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Adjustments for consistency and to account for referrals to multiple of the same </w:t>
            </w:r>
            <w:proofErr w:type="spellStart"/>
            <w:r>
              <w:rPr>
                <w:rFonts w:ascii="Aptos Narrow" w:eastAsia="Times New Roman" w:hAnsi="Aptos Narrow"/>
                <w:szCs w:val="24"/>
                <w:lang w:eastAsia="en-AU"/>
              </w:rPr>
              <w:t>tyope</w:t>
            </w:r>
            <w:proofErr w:type="spellEnd"/>
            <w:r>
              <w:rPr>
                <w:rFonts w:ascii="Aptos Narrow" w:eastAsia="Times New Roman" w:hAnsi="Aptos Narrow"/>
                <w:szCs w:val="24"/>
                <w:lang w:eastAsia="en-AU"/>
              </w:rPr>
              <w:t xml:space="preserve"> of service.</w:t>
            </w:r>
          </w:p>
        </w:tc>
      </w:tr>
      <w:tr w:rsidR="008E1ACA" w14:paraId="1763678C" w14:textId="77777777" w:rsidTr="00B011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4EA97B69" w14:textId="58D25C42" w:rsidR="008E1ACA" w:rsidRPr="009C5EC1" w:rsidRDefault="00B01137" w:rsidP="00625FED">
            <w:pPr>
              <w:jc w:val="center"/>
              <w:rPr>
                <w:b/>
                <w:bCs/>
              </w:rPr>
            </w:pPr>
            <w:r>
              <w:rPr>
                <w:b/>
                <w:bCs/>
              </w:rPr>
              <w:t>64</w:t>
            </w:r>
          </w:p>
        </w:tc>
        <w:tc>
          <w:tcPr>
            <w:tcW w:w="4272" w:type="dxa"/>
            <w:shd w:val="clear" w:color="auto" w:fill="F2F2F2" w:themeFill="background1" w:themeFillShade="F2"/>
          </w:tcPr>
          <w:p w14:paraId="27366E2B" w14:textId="7D268F8D"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Specialist sexual violence service </w:t>
            </w:r>
          </w:p>
          <w:p w14:paraId="58BC62F8" w14:textId="6F137992"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Specialist family violence services </w:t>
            </w:r>
          </w:p>
          <w:p w14:paraId="49F08A63" w14:textId="242FE0E9"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Specialist LGBTQI+ service </w:t>
            </w:r>
          </w:p>
          <w:p w14:paraId="2CC13D2E" w14:textId="39D51C61"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Specialist diverse communities services </w:t>
            </w:r>
          </w:p>
          <w:p w14:paraId="2B479751" w14:textId="0FD39F1B"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Other specialist GBV service </w:t>
            </w:r>
          </w:p>
          <w:p w14:paraId="2597CF54" w14:textId="3231AB9F"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Medical service </w:t>
            </w:r>
          </w:p>
          <w:p w14:paraId="3F7BD415" w14:textId="245E4590"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Provider's GBV support services</w:t>
            </w:r>
          </w:p>
          <w:p w14:paraId="3CABC51D" w14:textId="3EF3ADDA"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 Cultural support service</w:t>
            </w:r>
          </w:p>
          <w:p w14:paraId="6DA77970" w14:textId="38005565"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 Legal support </w:t>
            </w:r>
          </w:p>
          <w:p w14:paraId="6438E8EF" w14:textId="2AB844CC"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Academic adjustments </w:t>
            </w:r>
          </w:p>
          <w:p w14:paraId="068F55AD" w14:textId="57B681B1"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Counsellor</w:t>
            </w:r>
          </w:p>
          <w:p w14:paraId="175A1CC2" w14:textId="31B8D16C" w:rsidR="00906FDA"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 None</w:t>
            </w:r>
          </w:p>
          <w:p w14:paraId="56F04030" w14:textId="6E949D77" w:rsidR="008E1ACA" w:rsidRPr="009C5EC1" w:rsidRDefault="00906FDA"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 Other</w:t>
            </w:r>
          </w:p>
        </w:tc>
        <w:tc>
          <w:tcPr>
            <w:tcW w:w="4190" w:type="dxa"/>
          </w:tcPr>
          <w:p w14:paraId="3808FFBF"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Specialist sexual violence service</w:t>
            </w:r>
            <w:r w:rsidRPr="00E50F09">
              <w:rPr>
                <w:rFonts w:ascii="Aptos Narrow" w:eastAsia="Times New Roman" w:hAnsi="Aptos Narrow"/>
                <w:color w:val="ED0000"/>
                <w:szCs w:val="24"/>
                <w:lang w:eastAsia="en-AU"/>
              </w:rPr>
              <w:t>/s</w:t>
            </w:r>
          </w:p>
          <w:p w14:paraId="4C4805D2"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Specialist family violence service</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0214356A"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Specialist LGBTQI+ service</w:t>
            </w:r>
            <w:r w:rsidRPr="00E50F09">
              <w:rPr>
                <w:rFonts w:ascii="Aptos Narrow" w:eastAsia="Times New Roman" w:hAnsi="Aptos Narrow"/>
                <w:color w:val="ED0000"/>
                <w:szCs w:val="24"/>
                <w:lang w:eastAsia="en-AU"/>
              </w:rPr>
              <w:t>/s</w:t>
            </w:r>
          </w:p>
          <w:p w14:paraId="5C51DB1A"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Specialist diverse communities service</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4B4F6C1C"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Other specialist GBV service</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40F33BB9"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Medical service</w:t>
            </w:r>
            <w:r w:rsidRPr="00E50F09">
              <w:rPr>
                <w:rFonts w:ascii="Aptos Narrow" w:eastAsia="Times New Roman" w:hAnsi="Aptos Narrow"/>
                <w:color w:val="ED0000"/>
                <w:szCs w:val="24"/>
                <w:lang w:eastAsia="en-AU"/>
              </w:rPr>
              <w:t>/s</w:t>
            </w:r>
          </w:p>
          <w:p w14:paraId="4E4701F8"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Provider's GBV support service</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1523782A"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Cultural support service</w:t>
            </w:r>
            <w:r w:rsidRPr="00E50F09">
              <w:rPr>
                <w:rFonts w:ascii="Aptos Narrow" w:eastAsia="Times New Roman" w:hAnsi="Aptos Narrow"/>
                <w:color w:val="ED0000"/>
                <w:szCs w:val="24"/>
                <w:lang w:eastAsia="en-AU"/>
              </w:rPr>
              <w:t>/s</w:t>
            </w:r>
          </w:p>
          <w:p w14:paraId="0CC59A69"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 xml:space="preserve">Legal </w:t>
            </w:r>
            <w:r w:rsidRPr="00E50F09">
              <w:rPr>
                <w:rFonts w:ascii="Aptos Narrow" w:eastAsia="Times New Roman" w:hAnsi="Aptos Narrow"/>
                <w:color w:val="ED0000"/>
                <w:szCs w:val="24"/>
                <w:lang w:eastAsia="en-AU"/>
              </w:rPr>
              <w:t>service/s</w:t>
            </w:r>
          </w:p>
          <w:p w14:paraId="13C155A3"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Academic adjustment</w:t>
            </w:r>
            <w:r w:rsidRPr="00E50F09">
              <w:rPr>
                <w:rFonts w:ascii="Aptos Narrow" w:eastAsia="Times New Roman" w:hAnsi="Aptos Narrow"/>
                <w:color w:val="ED0000"/>
                <w:szCs w:val="24"/>
                <w:lang w:eastAsia="en-AU"/>
              </w:rPr>
              <w:t>/</w:t>
            </w:r>
            <w:r w:rsidRPr="00906FDA">
              <w:rPr>
                <w:rFonts w:ascii="Aptos Narrow" w:eastAsia="Times New Roman" w:hAnsi="Aptos Narrow"/>
                <w:szCs w:val="24"/>
                <w:lang w:eastAsia="en-AU"/>
              </w:rPr>
              <w:t>s</w:t>
            </w:r>
          </w:p>
          <w:p w14:paraId="7AFEF71F"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Counsellor</w:t>
            </w:r>
            <w:r w:rsidRPr="00E50F09">
              <w:rPr>
                <w:rFonts w:ascii="Aptos Narrow" w:eastAsia="Times New Roman" w:hAnsi="Aptos Narrow"/>
                <w:color w:val="ED0000"/>
                <w:szCs w:val="24"/>
                <w:lang w:eastAsia="en-AU"/>
              </w:rPr>
              <w:t>/s</w:t>
            </w:r>
          </w:p>
          <w:p w14:paraId="225B6736" w14:textId="77777777" w:rsidR="002B59D0"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Other</w:t>
            </w:r>
          </w:p>
          <w:p w14:paraId="59DB517F" w14:textId="27933B57" w:rsidR="008E1ACA" w:rsidRPr="00906FDA" w:rsidRDefault="002B59D0" w:rsidP="002B59D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06FDA">
              <w:rPr>
                <w:rFonts w:ascii="Aptos Narrow" w:eastAsia="Times New Roman" w:hAnsi="Aptos Narrow"/>
                <w:szCs w:val="24"/>
                <w:lang w:eastAsia="en-AU"/>
              </w:rPr>
              <w:t>None</w:t>
            </w:r>
          </w:p>
        </w:tc>
        <w:tc>
          <w:tcPr>
            <w:tcW w:w="5591" w:type="dxa"/>
          </w:tcPr>
          <w:p w14:paraId="4DD249BB" w14:textId="5CE17B51" w:rsidR="008E1ACA" w:rsidRPr="00500091" w:rsidRDefault="005C6B69"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As above.</w:t>
            </w:r>
          </w:p>
        </w:tc>
      </w:tr>
      <w:tr w:rsidR="00FA3A90" w14:paraId="6C9558BB" w14:textId="77777777" w:rsidTr="00B0113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0210ABD1" w14:textId="77777777" w:rsidR="00FA3A90" w:rsidRPr="009C5EC1" w:rsidRDefault="00FA3A90" w:rsidP="00625FED">
            <w:pPr>
              <w:jc w:val="center"/>
              <w:rPr>
                <w:b/>
                <w:bCs/>
              </w:rPr>
            </w:pPr>
            <w:r w:rsidRPr="009C5EC1">
              <w:rPr>
                <w:b/>
                <w:bCs/>
              </w:rPr>
              <w:lastRenderedPageBreak/>
              <w:t>66</w:t>
            </w:r>
          </w:p>
        </w:tc>
        <w:tc>
          <w:tcPr>
            <w:tcW w:w="4272" w:type="dxa"/>
            <w:shd w:val="clear" w:color="auto" w:fill="F2F2F2" w:themeFill="background1" w:themeFillShade="F2"/>
          </w:tcPr>
          <w:p w14:paraId="549C1677" w14:textId="77777777" w:rsidR="00FA3A90" w:rsidRPr="009C5EC1"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C5EC1">
              <w:rPr>
                <w:rFonts w:ascii="Aptos Narrow" w:eastAsia="Times New Roman" w:hAnsi="Aptos Narrow"/>
                <w:szCs w:val="24"/>
                <w:lang w:eastAsia="en-AU"/>
              </w:rPr>
              <w:t>Specialist MBCP or other behavioural change services</w:t>
            </w:r>
          </w:p>
          <w:p w14:paraId="0316AD27"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services for men</w:t>
            </w:r>
          </w:p>
          <w:p w14:paraId="17FD5416"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family violence services</w:t>
            </w:r>
          </w:p>
          <w:p w14:paraId="6C8F9C32"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LGBTQI+ service</w:t>
            </w:r>
          </w:p>
          <w:p w14:paraId="5C681097"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diverse communities services</w:t>
            </w:r>
          </w:p>
          <w:p w14:paraId="1F51566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specialist GBV service</w:t>
            </w:r>
          </w:p>
          <w:p w14:paraId="0E6BCC2A"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Medical service</w:t>
            </w:r>
          </w:p>
          <w:p w14:paraId="5884239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Legal support</w:t>
            </w:r>
          </w:p>
          <w:p w14:paraId="6055A0B5"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Provider's GBV support services</w:t>
            </w:r>
          </w:p>
          <w:p w14:paraId="50032595"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Cultural support service</w:t>
            </w:r>
          </w:p>
          <w:p w14:paraId="23C5993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Counsellor</w:t>
            </w:r>
          </w:p>
          <w:p w14:paraId="6E930BB9"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adjustments</w:t>
            </w:r>
          </w:p>
          <w:p w14:paraId="1A359C04"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15AEF6D5" w14:textId="77777777" w:rsidR="00FA3A90" w:rsidRPr="00500091"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None</w:t>
            </w:r>
          </w:p>
        </w:tc>
        <w:tc>
          <w:tcPr>
            <w:tcW w:w="4190" w:type="dxa"/>
          </w:tcPr>
          <w:p w14:paraId="744017C0" w14:textId="1325B69D" w:rsidR="00FA3A90" w:rsidRPr="00E50F09"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olor w:val="ED0000"/>
                <w:szCs w:val="24"/>
                <w:lang w:eastAsia="en-AU"/>
              </w:rPr>
            </w:pPr>
            <w:r w:rsidRPr="00E50F09">
              <w:rPr>
                <w:rFonts w:ascii="Aptos Narrow" w:eastAsia="Times New Roman" w:hAnsi="Aptos Narrow"/>
                <w:color w:val="ED0000"/>
                <w:szCs w:val="24"/>
                <w:lang w:eastAsia="en-AU"/>
              </w:rPr>
              <w:t>Specialist behavioural change service</w:t>
            </w:r>
            <w:r w:rsidR="007F07A2" w:rsidRPr="00E50F09">
              <w:rPr>
                <w:rFonts w:ascii="Aptos Narrow" w:eastAsia="Times New Roman" w:hAnsi="Aptos Narrow"/>
                <w:color w:val="ED0000"/>
                <w:szCs w:val="24"/>
                <w:lang w:eastAsia="en-AU"/>
              </w:rPr>
              <w:t>/</w:t>
            </w:r>
            <w:r w:rsidRPr="00E50F09">
              <w:rPr>
                <w:rFonts w:ascii="Aptos Narrow" w:eastAsia="Times New Roman" w:hAnsi="Aptos Narrow"/>
                <w:color w:val="ED0000"/>
                <w:szCs w:val="24"/>
                <w:lang w:eastAsia="en-AU"/>
              </w:rPr>
              <w:t>s</w:t>
            </w:r>
          </w:p>
          <w:p w14:paraId="59DC20CD" w14:textId="2912058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service</w:t>
            </w:r>
            <w:r w:rsidR="007F07A2" w:rsidRPr="00E50F09">
              <w:rPr>
                <w:rFonts w:ascii="Aptos Narrow" w:eastAsia="Times New Roman" w:hAnsi="Aptos Narrow"/>
                <w:color w:val="ED0000"/>
                <w:szCs w:val="24"/>
                <w:lang w:eastAsia="en-AU"/>
              </w:rPr>
              <w:t>/</w:t>
            </w:r>
            <w:r w:rsidRPr="004C4037">
              <w:rPr>
                <w:rFonts w:ascii="Aptos Narrow" w:eastAsia="Times New Roman" w:hAnsi="Aptos Narrow"/>
                <w:szCs w:val="24"/>
                <w:lang w:eastAsia="en-AU"/>
              </w:rPr>
              <w:t>s for men</w:t>
            </w:r>
          </w:p>
          <w:p w14:paraId="6CE342A5" w14:textId="753B3986" w:rsidR="00FA3A90" w:rsidRPr="00E50F09"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olor w:val="ED0000"/>
                <w:szCs w:val="24"/>
                <w:lang w:eastAsia="en-AU"/>
              </w:rPr>
            </w:pPr>
            <w:r w:rsidRPr="00E50F09">
              <w:rPr>
                <w:rFonts w:ascii="Aptos Narrow" w:eastAsia="Times New Roman" w:hAnsi="Aptos Narrow"/>
                <w:color w:val="ED0000"/>
                <w:szCs w:val="24"/>
                <w:lang w:eastAsia="en-AU"/>
              </w:rPr>
              <w:t>Specialist sexual violence service</w:t>
            </w:r>
            <w:r w:rsidR="007F07A2" w:rsidRPr="00E50F09">
              <w:rPr>
                <w:rFonts w:ascii="Aptos Narrow" w:eastAsia="Times New Roman" w:hAnsi="Aptos Narrow"/>
                <w:color w:val="ED0000"/>
                <w:szCs w:val="24"/>
                <w:lang w:eastAsia="en-AU"/>
              </w:rPr>
              <w:t>/s</w:t>
            </w:r>
          </w:p>
          <w:p w14:paraId="65809C8A" w14:textId="594ED43D"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family violence service</w:t>
            </w:r>
            <w:r w:rsidR="007F07A2" w:rsidRPr="00E50F09">
              <w:rPr>
                <w:rFonts w:ascii="Aptos Narrow" w:eastAsia="Times New Roman" w:hAnsi="Aptos Narrow"/>
                <w:color w:val="ED0000"/>
                <w:szCs w:val="24"/>
                <w:lang w:eastAsia="en-AU"/>
              </w:rPr>
              <w:t>/</w:t>
            </w:r>
            <w:r w:rsidRPr="004C4037">
              <w:rPr>
                <w:rFonts w:ascii="Aptos Narrow" w:eastAsia="Times New Roman" w:hAnsi="Aptos Narrow"/>
                <w:szCs w:val="24"/>
                <w:lang w:eastAsia="en-AU"/>
              </w:rPr>
              <w:t>s</w:t>
            </w:r>
          </w:p>
          <w:p w14:paraId="120249DB" w14:textId="0D1DC1C2"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LGBTQI+ service</w:t>
            </w:r>
            <w:r w:rsidR="007F07A2" w:rsidRPr="00E50F09">
              <w:rPr>
                <w:rFonts w:ascii="Aptos Narrow" w:eastAsia="Times New Roman" w:hAnsi="Aptos Narrow"/>
                <w:color w:val="ED0000"/>
                <w:szCs w:val="24"/>
                <w:lang w:eastAsia="en-AU"/>
              </w:rPr>
              <w:t>/s</w:t>
            </w:r>
          </w:p>
          <w:p w14:paraId="7CD8035D" w14:textId="01C92649"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diverse communities service</w:t>
            </w:r>
            <w:r w:rsidR="007F07A2" w:rsidRPr="00E50F09">
              <w:rPr>
                <w:rFonts w:ascii="Aptos Narrow" w:eastAsia="Times New Roman" w:hAnsi="Aptos Narrow"/>
                <w:color w:val="ED0000"/>
                <w:szCs w:val="24"/>
                <w:lang w:eastAsia="en-AU"/>
              </w:rPr>
              <w:t>/</w:t>
            </w:r>
            <w:r w:rsidRPr="004C4037">
              <w:rPr>
                <w:rFonts w:ascii="Aptos Narrow" w:eastAsia="Times New Roman" w:hAnsi="Aptos Narrow"/>
                <w:szCs w:val="24"/>
                <w:lang w:eastAsia="en-AU"/>
              </w:rPr>
              <w:t>s</w:t>
            </w:r>
          </w:p>
          <w:p w14:paraId="0605F875" w14:textId="6D91E18E"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specialist GBV service</w:t>
            </w:r>
            <w:r w:rsidR="007F07A2" w:rsidRPr="00E50F09">
              <w:rPr>
                <w:rFonts w:ascii="Aptos Narrow" w:eastAsia="Times New Roman" w:hAnsi="Aptos Narrow"/>
                <w:color w:val="ED0000"/>
                <w:szCs w:val="24"/>
                <w:lang w:eastAsia="en-AU"/>
              </w:rPr>
              <w:t>/s</w:t>
            </w:r>
          </w:p>
          <w:p w14:paraId="2E1942BF" w14:textId="3F691E28"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Medical service</w:t>
            </w:r>
            <w:r w:rsidR="007F07A2" w:rsidRPr="00E50F09">
              <w:rPr>
                <w:rFonts w:ascii="Aptos Narrow" w:eastAsia="Times New Roman" w:hAnsi="Aptos Narrow"/>
                <w:color w:val="ED0000"/>
                <w:szCs w:val="24"/>
                <w:lang w:eastAsia="en-AU"/>
              </w:rPr>
              <w:t>/s</w:t>
            </w:r>
          </w:p>
          <w:p w14:paraId="1A22739A" w14:textId="01FC34CB"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Provider's GBV support service</w:t>
            </w:r>
            <w:r w:rsidR="007F07A2">
              <w:rPr>
                <w:rFonts w:ascii="Aptos Narrow" w:eastAsia="Times New Roman" w:hAnsi="Aptos Narrow"/>
                <w:szCs w:val="24"/>
                <w:lang w:eastAsia="en-AU"/>
              </w:rPr>
              <w:t>/</w:t>
            </w:r>
            <w:r w:rsidRPr="004C4037">
              <w:rPr>
                <w:rFonts w:ascii="Aptos Narrow" w:eastAsia="Times New Roman" w:hAnsi="Aptos Narrow"/>
                <w:szCs w:val="24"/>
                <w:lang w:eastAsia="en-AU"/>
              </w:rPr>
              <w:t>s</w:t>
            </w:r>
          </w:p>
          <w:p w14:paraId="36B9A919" w14:textId="6785CB61"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Cultural support service</w:t>
            </w:r>
            <w:r w:rsidR="007F07A2" w:rsidRPr="00E50F09">
              <w:rPr>
                <w:rFonts w:ascii="Aptos Narrow" w:eastAsia="Times New Roman" w:hAnsi="Aptos Narrow"/>
                <w:color w:val="ED0000"/>
                <w:szCs w:val="24"/>
                <w:lang w:eastAsia="en-AU"/>
              </w:rPr>
              <w:t>/s</w:t>
            </w:r>
          </w:p>
          <w:p w14:paraId="0B98E8DF" w14:textId="12F9DAF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Legal </w:t>
            </w:r>
            <w:r w:rsidR="007F07A2" w:rsidRPr="00E50F09">
              <w:rPr>
                <w:rFonts w:ascii="Aptos Narrow" w:eastAsia="Times New Roman" w:hAnsi="Aptos Narrow"/>
                <w:color w:val="ED0000"/>
                <w:szCs w:val="24"/>
                <w:lang w:eastAsia="en-AU"/>
              </w:rPr>
              <w:t>service/s</w:t>
            </w:r>
          </w:p>
          <w:p w14:paraId="042A5CC0" w14:textId="3E287CCB" w:rsidR="00FA3A90" w:rsidRPr="00625FED"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adjustment</w:t>
            </w:r>
            <w:r w:rsidR="007F07A2" w:rsidRPr="00E50F09">
              <w:rPr>
                <w:rFonts w:ascii="Aptos Narrow" w:eastAsia="Times New Roman" w:hAnsi="Aptos Narrow"/>
                <w:color w:val="ED0000"/>
                <w:szCs w:val="24"/>
                <w:lang w:eastAsia="en-AU"/>
              </w:rPr>
              <w:t>/</w:t>
            </w:r>
            <w:r w:rsidRPr="004C4037">
              <w:rPr>
                <w:rFonts w:ascii="Aptos Narrow" w:eastAsia="Times New Roman" w:hAnsi="Aptos Narrow"/>
                <w:szCs w:val="24"/>
                <w:lang w:eastAsia="en-AU"/>
              </w:rPr>
              <w:t>s</w:t>
            </w:r>
          </w:p>
          <w:p w14:paraId="6834EBE4" w14:textId="14DAE832"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Counsellor</w:t>
            </w:r>
            <w:r w:rsidR="007F07A2" w:rsidRPr="00E50F09">
              <w:rPr>
                <w:rFonts w:ascii="Aptos Narrow" w:eastAsia="Times New Roman" w:hAnsi="Aptos Narrow"/>
                <w:color w:val="ED0000"/>
                <w:szCs w:val="24"/>
                <w:lang w:eastAsia="en-AU"/>
              </w:rPr>
              <w:t>/s</w:t>
            </w:r>
          </w:p>
          <w:p w14:paraId="514A883B"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w:t>
            </w:r>
            <w:r>
              <w:rPr>
                <w:rFonts w:ascii="Aptos Narrow" w:eastAsia="Times New Roman" w:hAnsi="Aptos Narrow"/>
                <w:szCs w:val="24"/>
                <w:lang w:eastAsia="en-AU"/>
              </w:rPr>
              <w:t>h</w:t>
            </w:r>
            <w:r w:rsidRPr="004C4037">
              <w:rPr>
                <w:rFonts w:ascii="Aptos Narrow" w:eastAsia="Times New Roman" w:hAnsi="Aptos Narrow"/>
                <w:szCs w:val="24"/>
                <w:lang w:eastAsia="en-AU"/>
              </w:rPr>
              <w:t>er</w:t>
            </w:r>
          </w:p>
          <w:p w14:paraId="335929AF"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pPr>
            <w:r w:rsidRPr="004C4037">
              <w:rPr>
                <w:rFonts w:ascii="Aptos Narrow" w:eastAsia="Times New Roman" w:hAnsi="Aptos Narrow"/>
                <w:szCs w:val="24"/>
                <w:lang w:eastAsia="en-AU"/>
              </w:rPr>
              <w:t>None</w:t>
            </w:r>
          </w:p>
        </w:tc>
        <w:tc>
          <w:tcPr>
            <w:tcW w:w="5591" w:type="dxa"/>
          </w:tcPr>
          <w:p w14:paraId="7EA0E7C7" w14:textId="77777777" w:rsidR="00FA3A90" w:rsidRPr="00500091"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500091">
              <w:rPr>
                <w:rFonts w:ascii="Aptos Narrow" w:eastAsia="Times New Roman" w:hAnsi="Aptos Narrow"/>
                <w:szCs w:val="24"/>
                <w:lang w:eastAsia="en-AU"/>
              </w:rPr>
              <w:t>Value updated to more simply capture behavioural change services and avoid use of acronyms.</w:t>
            </w:r>
          </w:p>
          <w:p w14:paraId="7DE8A8E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500091">
              <w:rPr>
                <w:rFonts w:ascii="Aptos Narrow" w:eastAsia="Times New Roman" w:hAnsi="Aptos Narrow"/>
                <w:szCs w:val="24"/>
                <w:lang w:eastAsia="en-AU"/>
              </w:rPr>
              <w:t xml:space="preserve">Addition of specialise sexual violence service. </w:t>
            </w:r>
          </w:p>
          <w:p w14:paraId="61A4065F" w14:textId="77777777" w:rsidR="00FA3A90" w:rsidRPr="00500091"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Re-ordered to align with list provided for Discloser support services at data element 64.</w:t>
            </w:r>
          </w:p>
        </w:tc>
      </w:tr>
      <w:tr w:rsidR="00FA3A90" w14:paraId="175C19BB" w14:textId="77777777" w:rsidTr="00B011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3879DF31" w14:textId="77777777" w:rsidR="00FA3A90" w:rsidRPr="009C5EC1" w:rsidRDefault="00FA3A90" w:rsidP="00625FED">
            <w:pPr>
              <w:jc w:val="center"/>
              <w:rPr>
                <w:b/>
                <w:bCs/>
              </w:rPr>
            </w:pPr>
            <w:r w:rsidRPr="009C5EC1">
              <w:rPr>
                <w:b/>
                <w:bCs/>
              </w:rPr>
              <w:t>70</w:t>
            </w:r>
          </w:p>
        </w:tc>
        <w:tc>
          <w:tcPr>
            <w:tcW w:w="4272" w:type="dxa"/>
            <w:shd w:val="clear" w:color="auto" w:fill="F2F2F2" w:themeFill="background1" w:themeFillShade="F2"/>
          </w:tcPr>
          <w:p w14:paraId="36742BF3"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Less than 45 days</w:t>
            </w:r>
          </w:p>
          <w:p w14:paraId="21C6D841"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45-90 days</w:t>
            </w:r>
          </w:p>
          <w:p w14:paraId="6462FA52"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90-180 days</w:t>
            </w:r>
          </w:p>
          <w:p w14:paraId="442A0B48"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180-360 days</w:t>
            </w:r>
          </w:p>
          <w:p w14:paraId="1BFFADCA"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More than 360 days</w:t>
            </w:r>
          </w:p>
          <w:p w14:paraId="3ABACFB0"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Ongoing</w:t>
            </w:r>
          </w:p>
          <w:p w14:paraId="2BBE5A59"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rsidRPr="004C4037">
              <w:rPr>
                <w:rFonts w:ascii="Aptos Narrow" w:eastAsia="Times New Roman" w:hAnsi="Aptos Narrow"/>
                <w:szCs w:val="24"/>
                <w:lang w:eastAsia="en-AU"/>
              </w:rPr>
              <w:t>N/A</w:t>
            </w:r>
          </w:p>
        </w:tc>
        <w:tc>
          <w:tcPr>
            <w:tcW w:w="4190" w:type="dxa"/>
          </w:tcPr>
          <w:p w14:paraId="409CBFC7" w14:textId="77777777" w:rsidR="00FA3A90" w:rsidRPr="00E50F09"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ED0000"/>
                <w:szCs w:val="24"/>
                <w:lang w:eastAsia="en-AU"/>
              </w:rPr>
            </w:pPr>
            <w:r w:rsidRPr="00E50F09">
              <w:rPr>
                <w:rFonts w:ascii="Aptos Narrow" w:eastAsia="Times New Roman" w:hAnsi="Aptos Narrow"/>
                <w:color w:val="ED0000"/>
                <w:szCs w:val="24"/>
                <w:lang w:eastAsia="en-AU"/>
              </w:rPr>
              <w:t>45 business days or less</w:t>
            </w:r>
          </w:p>
          <w:p w14:paraId="58761F04"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w:t>
            </w:r>
            <w:r w:rsidRPr="00E50F09">
              <w:rPr>
                <w:rFonts w:ascii="Aptos Narrow" w:eastAsia="Times New Roman" w:hAnsi="Aptos Narrow"/>
                <w:color w:val="ED0000"/>
                <w:szCs w:val="24"/>
                <w:lang w:eastAsia="en-AU"/>
              </w:rPr>
              <w:t>6</w:t>
            </w:r>
            <w:r w:rsidRPr="004C4037">
              <w:rPr>
                <w:rFonts w:ascii="Aptos Narrow" w:eastAsia="Times New Roman" w:hAnsi="Aptos Narrow"/>
                <w:szCs w:val="24"/>
                <w:lang w:eastAsia="en-AU"/>
              </w:rPr>
              <w:t>-90</w:t>
            </w:r>
            <w:r>
              <w:rPr>
                <w:rFonts w:ascii="Aptos Narrow" w:eastAsia="Times New Roman" w:hAnsi="Aptos Narrow"/>
                <w:szCs w:val="24"/>
                <w:lang w:eastAsia="en-AU"/>
              </w:rPr>
              <w:t xml:space="preserve">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4690C19B"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w:t>
            </w:r>
            <w:r w:rsidRPr="00E50F09">
              <w:rPr>
                <w:rFonts w:ascii="Aptos Narrow" w:eastAsia="Times New Roman" w:hAnsi="Aptos Narrow"/>
                <w:color w:val="ED0000"/>
                <w:szCs w:val="24"/>
                <w:lang w:eastAsia="en-AU"/>
              </w:rPr>
              <w:t>1</w:t>
            </w:r>
            <w:r w:rsidRPr="004C4037">
              <w:rPr>
                <w:rFonts w:ascii="Aptos Narrow" w:eastAsia="Times New Roman" w:hAnsi="Aptos Narrow"/>
                <w:szCs w:val="24"/>
                <w:lang w:eastAsia="en-AU"/>
              </w:rPr>
              <w:t xml:space="preserve">-180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3A603964"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w:t>
            </w:r>
            <w:r w:rsidRPr="00E50F09">
              <w:rPr>
                <w:rFonts w:ascii="Aptos Narrow" w:eastAsia="Times New Roman" w:hAnsi="Aptos Narrow"/>
                <w:color w:val="ED0000"/>
                <w:szCs w:val="24"/>
                <w:lang w:eastAsia="en-AU"/>
              </w:rPr>
              <w:t>1</w:t>
            </w:r>
            <w:r w:rsidRPr="004C4037">
              <w:rPr>
                <w:rFonts w:ascii="Aptos Narrow" w:eastAsia="Times New Roman" w:hAnsi="Aptos Narrow"/>
                <w:szCs w:val="24"/>
                <w:lang w:eastAsia="en-AU"/>
              </w:rPr>
              <w:t xml:space="preserve">-360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18868241"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More than 360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7B3FB1AE" w14:textId="77777777" w:rsidR="00FA3A90" w:rsidRPr="009C5EC1"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sidRPr="009C5EC1">
              <w:rPr>
                <w:rFonts w:ascii="Aptos Narrow" w:eastAsia="Times New Roman" w:hAnsi="Aptos Narrow"/>
                <w:szCs w:val="24"/>
                <w:lang w:eastAsia="en-AU"/>
              </w:rPr>
              <w:t>Ongoing</w:t>
            </w:r>
          </w:p>
          <w:p w14:paraId="559057A5"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rsidRPr="004C4037">
              <w:rPr>
                <w:rFonts w:ascii="Aptos Narrow" w:eastAsia="Times New Roman" w:hAnsi="Aptos Narrow"/>
                <w:szCs w:val="24"/>
                <w:lang w:eastAsia="en-AU"/>
              </w:rPr>
              <w:t>N/A</w:t>
            </w:r>
          </w:p>
        </w:tc>
        <w:tc>
          <w:tcPr>
            <w:tcW w:w="5591" w:type="dxa"/>
          </w:tcPr>
          <w:p w14:paraId="1D7F4377" w14:textId="77777777" w:rsidR="00FA3A90"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Updated timeframes to avoid overlap between response options and align with National Code requirements.</w:t>
            </w:r>
          </w:p>
          <w:p w14:paraId="364BDCA3" w14:textId="77777777" w:rsidR="00FA3A90" w:rsidRPr="004C4037" w:rsidRDefault="00FA3A90" w:rsidP="00625FE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Additional clarification that the periods refer to business days.</w:t>
            </w:r>
          </w:p>
        </w:tc>
      </w:tr>
      <w:tr w:rsidR="00FA3A90" w14:paraId="5D65B1EF" w14:textId="77777777" w:rsidTr="00B0113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54" w:type="dxa"/>
          </w:tcPr>
          <w:p w14:paraId="4353DD78" w14:textId="77777777" w:rsidR="00FA3A90" w:rsidRPr="009C5EC1" w:rsidRDefault="00FA3A90" w:rsidP="00625FED">
            <w:pPr>
              <w:jc w:val="center"/>
              <w:rPr>
                <w:b/>
                <w:bCs/>
              </w:rPr>
            </w:pPr>
            <w:r w:rsidRPr="009C5EC1">
              <w:rPr>
                <w:b/>
                <w:bCs/>
              </w:rPr>
              <w:lastRenderedPageBreak/>
              <w:t>74</w:t>
            </w:r>
          </w:p>
        </w:tc>
        <w:tc>
          <w:tcPr>
            <w:tcW w:w="4272" w:type="dxa"/>
            <w:shd w:val="clear" w:color="auto" w:fill="F2F2F2" w:themeFill="background1" w:themeFillShade="F2"/>
          </w:tcPr>
          <w:p w14:paraId="036429D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45-90 days</w:t>
            </w:r>
          </w:p>
          <w:p w14:paraId="34A54657"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90-180 days</w:t>
            </w:r>
          </w:p>
          <w:p w14:paraId="43884468"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180-360 days</w:t>
            </w:r>
          </w:p>
          <w:p w14:paraId="5DB52A96"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More than 360 days</w:t>
            </w:r>
          </w:p>
          <w:p w14:paraId="0A2FB069" w14:textId="77777777" w:rsidR="00FA3A90" w:rsidRPr="009C5EC1"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9C5EC1">
              <w:rPr>
                <w:rFonts w:ascii="Aptos Narrow" w:eastAsia="Times New Roman" w:hAnsi="Aptos Narrow"/>
                <w:szCs w:val="24"/>
                <w:lang w:eastAsia="en-AU"/>
              </w:rPr>
              <w:t>Ongoing</w:t>
            </w:r>
          </w:p>
          <w:p w14:paraId="628F5F8B"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pPr>
            <w:r w:rsidRPr="004C4037">
              <w:rPr>
                <w:rFonts w:ascii="Aptos Narrow" w:eastAsia="Times New Roman" w:hAnsi="Aptos Narrow"/>
                <w:szCs w:val="24"/>
                <w:lang w:eastAsia="en-AU"/>
              </w:rPr>
              <w:t>N/A</w:t>
            </w:r>
          </w:p>
        </w:tc>
        <w:tc>
          <w:tcPr>
            <w:tcW w:w="4190" w:type="dxa"/>
          </w:tcPr>
          <w:p w14:paraId="31514890" w14:textId="77777777" w:rsidR="00FA3A90" w:rsidRPr="00E50F09"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olor w:val="ED0000"/>
                <w:szCs w:val="24"/>
                <w:lang w:eastAsia="en-AU"/>
              </w:rPr>
            </w:pPr>
            <w:r w:rsidRPr="00E50F09">
              <w:rPr>
                <w:rFonts w:ascii="Aptos Narrow" w:eastAsia="Times New Roman" w:hAnsi="Aptos Narrow"/>
                <w:color w:val="ED0000"/>
                <w:szCs w:val="24"/>
                <w:lang w:eastAsia="en-AU"/>
              </w:rPr>
              <w:t>20 business days or less</w:t>
            </w:r>
          </w:p>
          <w:p w14:paraId="165999D3" w14:textId="77777777" w:rsidR="00FA3A90" w:rsidRPr="00E50F09"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olor w:val="ED0000"/>
                <w:szCs w:val="24"/>
                <w:lang w:eastAsia="en-AU"/>
              </w:rPr>
            </w:pPr>
            <w:r w:rsidRPr="00E50F09">
              <w:rPr>
                <w:rFonts w:ascii="Aptos Narrow" w:eastAsia="Times New Roman" w:hAnsi="Aptos Narrow"/>
                <w:color w:val="ED0000"/>
                <w:szCs w:val="24"/>
                <w:lang w:eastAsia="en-AU"/>
              </w:rPr>
              <w:t>21-45 business days</w:t>
            </w:r>
          </w:p>
          <w:p w14:paraId="066F0182"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w:t>
            </w:r>
            <w:r w:rsidRPr="00E50F09">
              <w:rPr>
                <w:rFonts w:ascii="Aptos Narrow" w:eastAsia="Times New Roman" w:hAnsi="Aptos Narrow"/>
                <w:color w:val="ED0000"/>
                <w:szCs w:val="24"/>
                <w:lang w:eastAsia="en-AU"/>
              </w:rPr>
              <w:t>6</w:t>
            </w:r>
            <w:r w:rsidRPr="004C4037">
              <w:rPr>
                <w:rFonts w:ascii="Aptos Narrow" w:eastAsia="Times New Roman" w:hAnsi="Aptos Narrow"/>
                <w:szCs w:val="24"/>
                <w:lang w:eastAsia="en-AU"/>
              </w:rPr>
              <w:t xml:space="preserve">-90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6B998123"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w:t>
            </w:r>
            <w:r w:rsidRPr="00E50F09">
              <w:rPr>
                <w:rFonts w:ascii="Aptos Narrow" w:eastAsia="Times New Roman" w:hAnsi="Aptos Narrow"/>
                <w:color w:val="ED0000"/>
                <w:szCs w:val="24"/>
                <w:lang w:eastAsia="en-AU"/>
              </w:rPr>
              <w:t>1</w:t>
            </w:r>
            <w:r w:rsidRPr="004C4037">
              <w:rPr>
                <w:rFonts w:ascii="Aptos Narrow" w:eastAsia="Times New Roman" w:hAnsi="Aptos Narrow"/>
                <w:szCs w:val="24"/>
                <w:lang w:eastAsia="en-AU"/>
              </w:rPr>
              <w:t xml:space="preserve">-180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7AFBFC4B"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w:t>
            </w:r>
            <w:r w:rsidRPr="00E50F09">
              <w:rPr>
                <w:rFonts w:ascii="Aptos Narrow" w:eastAsia="Times New Roman" w:hAnsi="Aptos Narrow"/>
                <w:color w:val="ED0000"/>
                <w:szCs w:val="24"/>
                <w:lang w:eastAsia="en-AU"/>
              </w:rPr>
              <w:t>1</w:t>
            </w:r>
            <w:r w:rsidRPr="004C4037">
              <w:rPr>
                <w:rFonts w:ascii="Aptos Narrow" w:eastAsia="Times New Roman" w:hAnsi="Aptos Narrow"/>
                <w:szCs w:val="24"/>
                <w:lang w:eastAsia="en-AU"/>
              </w:rPr>
              <w:t xml:space="preserve">-360 </w:t>
            </w:r>
            <w:r w:rsidRPr="00E50F09">
              <w:rPr>
                <w:rFonts w:ascii="Aptos Narrow" w:eastAsia="Times New Roman" w:hAnsi="Aptos Narrow"/>
                <w:color w:val="ED0000"/>
                <w:szCs w:val="24"/>
                <w:lang w:eastAsia="en-AU"/>
              </w:rPr>
              <w:t xml:space="preserve">business </w:t>
            </w:r>
            <w:r w:rsidRPr="004C4037">
              <w:rPr>
                <w:rFonts w:ascii="Aptos Narrow" w:eastAsia="Times New Roman" w:hAnsi="Aptos Narrow"/>
                <w:szCs w:val="24"/>
                <w:lang w:eastAsia="en-AU"/>
              </w:rPr>
              <w:t>days</w:t>
            </w:r>
          </w:p>
          <w:p w14:paraId="300ACEB2"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More than 360</w:t>
            </w:r>
            <w:r>
              <w:rPr>
                <w:rFonts w:ascii="Aptos Narrow" w:eastAsia="Times New Roman" w:hAnsi="Aptos Narrow"/>
                <w:szCs w:val="24"/>
                <w:lang w:eastAsia="en-AU"/>
              </w:rPr>
              <w:t xml:space="preserve"> business</w:t>
            </w:r>
            <w:r w:rsidRPr="004C4037">
              <w:rPr>
                <w:rFonts w:ascii="Aptos Narrow" w:eastAsia="Times New Roman" w:hAnsi="Aptos Narrow"/>
                <w:szCs w:val="24"/>
                <w:lang w:eastAsia="en-AU"/>
              </w:rPr>
              <w:t xml:space="preserve"> days</w:t>
            </w:r>
          </w:p>
          <w:p w14:paraId="29A84979"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Ongoing</w:t>
            </w:r>
          </w:p>
          <w:p w14:paraId="38177362"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pPr>
            <w:r w:rsidRPr="004C4037">
              <w:rPr>
                <w:rFonts w:ascii="Aptos Narrow" w:eastAsia="Times New Roman" w:hAnsi="Aptos Narrow"/>
                <w:szCs w:val="24"/>
                <w:lang w:eastAsia="en-AU"/>
              </w:rPr>
              <w:t>N/A</w:t>
            </w:r>
          </w:p>
        </w:tc>
        <w:tc>
          <w:tcPr>
            <w:tcW w:w="5591" w:type="dxa"/>
          </w:tcPr>
          <w:p w14:paraId="76B25AED"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Inclusion of new response options to reflect where an appeal is resolved in less than 45 </w:t>
            </w:r>
            <w:proofErr w:type="gramStart"/>
            <w:r>
              <w:rPr>
                <w:rFonts w:ascii="Aptos Narrow" w:eastAsia="Times New Roman" w:hAnsi="Aptos Narrow"/>
                <w:szCs w:val="24"/>
                <w:lang w:eastAsia="en-AU"/>
              </w:rPr>
              <w:t>days, and</w:t>
            </w:r>
            <w:proofErr w:type="gramEnd"/>
            <w:r>
              <w:rPr>
                <w:rFonts w:ascii="Aptos Narrow" w:eastAsia="Times New Roman" w:hAnsi="Aptos Narrow"/>
                <w:szCs w:val="24"/>
                <w:lang w:eastAsia="en-AU"/>
              </w:rPr>
              <w:t xml:space="preserve"> ensure alignment with National Code requirements.</w:t>
            </w:r>
          </w:p>
          <w:p w14:paraId="33573E9E"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Updated timeframes to avoid overlap between response options.</w:t>
            </w:r>
          </w:p>
          <w:p w14:paraId="350A0B71" w14:textId="77777777" w:rsidR="00FA3A90" w:rsidRDefault="00FA3A90" w:rsidP="00625FED">
            <w:pPr>
              <w:pStyle w:val="ListParagraph"/>
              <w:numPr>
                <w:ilvl w:val="0"/>
                <w:numId w:val="20"/>
              </w:numPr>
              <w:spacing w:after="0"/>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Additional clarification that the periods refer to business days.</w:t>
            </w:r>
          </w:p>
        </w:tc>
      </w:tr>
    </w:tbl>
    <w:p w14:paraId="1C8CA102" w14:textId="77777777" w:rsidR="00FA3A90" w:rsidRDefault="00FA3A90" w:rsidP="0017134D"/>
    <w:p w14:paraId="24C6485D" w14:textId="77777777" w:rsidR="00661117" w:rsidRDefault="00661117" w:rsidP="0017134D"/>
    <w:sectPr w:rsidR="00661117" w:rsidSect="00FA3A9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CFA0" w14:textId="77777777" w:rsidR="00F50AC3" w:rsidRDefault="00F50AC3" w:rsidP="000A6228">
      <w:pPr>
        <w:spacing w:after="0" w:line="240" w:lineRule="auto"/>
      </w:pPr>
      <w:r>
        <w:separator/>
      </w:r>
    </w:p>
  </w:endnote>
  <w:endnote w:type="continuationSeparator" w:id="0">
    <w:p w14:paraId="7D1A537F" w14:textId="77777777" w:rsidR="00F50AC3" w:rsidRDefault="00F50AC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25912"/>
      <w:docPartObj>
        <w:docPartGallery w:val="Page Numbers (Bottom of Page)"/>
        <w:docPartUnique/>
      </w:docPartObj>
    </w:sdtPr>
    <w:sdtEndPr>
      <w:rPr>
        <w:noProof/>
      </w:rPr>
    </w:sdtEndPr>
    <w:sdtContent>
      <w:p w14:paraId="31E7E3EE" w14:textId="7C211DE8" w:rsidR="003266BD" w:rsidRDefault="003266BD">
        <w:pPr>
          <w:pStyle w:val="Footer"/>
        </w:pPr>
        <w:r>
          <w:fldChar w:fldCharType="begin"/>
        </w:r>
        <w:r>
          <w:instrText xml:space="preserve"> PAGE   \* MERGEFORMAT </w:instrText>
        </w:r>
        <w:r>
          <w:fldChar w:fldCharType="separate"/>
        </w:r>
        <w:r>
          <w:rPr>
            <w:noProof/>
          </w:rPr>
          <w:t>2</w:t>
        </w:r>
        <w:r>
          <w:rPr>
            <w:noProof/>
          </w:rPr>
          <w:fldChar w:fldCharType="end"/>
        </w:r>
      </w:p>
    </w:sdtContent>
  </w:sdt>
  <w:p w14:paraId="62272B5A" w14:textId="739839A2"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0"/>
      <w:gridCol w:w="3111"/>
      <w:gridCol w:w="3111"/>
    </w:tblGrid>
    <w:tr w:rsidR="60351D23" w14:paraId="2262CC01" w14:textId="77777777" w:rsidTr="60351D23">
      <w:trPr>
        <w:trHeight w:val="300"/>
      </w:trPr>
      <w:tc>
        <w:tcPr>
          <w:tcW w:w="4750" w:type="dxa"/>
        </w:tcPr>
        <w:p w14:paraId="11E59235" w14:textId="4E7997FC" w:rsidR="60351D23" w:rsidRDefault="60351D23" w:rsidP="60351D23">
          <w:pPr>
            <w:pStyle w:val="Header"/>
            <w:ind w:left="-115"/>
          </w:pPr>
        </w:p>
      </w:tc>
      <w:tc>
        <w:tcPr>
          <w:tcW w:w="4750" w:type="dxa"/>
        </w:tcPr>
        <w:p w14:paraId="3EA3FC02" w14:textId="27A017D3" w:rsidR="60351D23" w:rsidRDefault="60351D23" w:rsidP="60351D23">
          <w:pPr>
            <w:pStyle w:val="Header"/>
            <w:jc w:val="center"/>
          </w:pPr>
        </w:p>
      </w:tc>
      <w:tc>
        <w:tcPr>
          <w:tcW w:w="4750" w:type="dxa"/>
        </w:tcPr>
        <w:p w14:paraId="3F360020" w14:textId="68DED6CD" w:rsidR="60351D23" w:rsidRDefault="60351D23" w:rsidP="60351D23">
          <w:pPr>
            <w:pStyle w:val="Header"/>
            <w:ind w:right="-115"/>
            <w:jc w:val="right"/>
          </w:pPr>
        </w:p>
      </w:tc>
    </w:tr>
  </w:tbl>
  <w:p w14:paraId="6E2CED6F" w14:textId="7733FF50" w:rsidR="60351D23" w:rsidRDefault="60351D23" w:rsidP="6035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62AE" w14:textId="77777777" w:rsidR="00F50AC3" w:rsidRDefault="00F50AC3" w:rsidP="000A6228">
      <w:pPr>
        <w:spacing w:after="0" w:line="240" w:lineRule="auto"/>
      </w:pPr>
      <w:r>
        <w:separator/>
      </w:r>
    </w:p>
  </w:footnote>
  <w:footnote w:type="continuationSeparator" w:id="0">
    <w:p w14:paraId="01CC9B71" w14:textId="77777777" w:rsidR="00F50AC3" w:rsidRDefault="00F50AC3"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0"/>
      <w:gridCol w:w="3111"/>
      <w:gridCol w:w="3111"/>
    </w:tblGrid>
    <w:tr w:rsidR="60351D23" w14:paraId="40D9CDCB" w14:textId="77777777" w:rsidTr="60351D23">
      <w:trPr>
        <w:trHeight w:val="300"/>
      </w:trPr>
      <w:tc>
        <w:tcPr>
          <w:tcW w:w="4750" w:type="dxa"/>
        </w:tcPr>
        <w:p w14:paraId="23107A50" w14:textId="0A1224D4" w:rsidR="60351D23" w:rsidRDefault="60351D23" w:rsidP="60351D23">
          <w:pPr>
            <w:pStyle w:val="Header"/>
            <w:ind w:left="-115"/>
          </w:pPr>
        </w:p>
      </w:tc>
      <w:tc>
        <w:tcPr>
          <w:tcW w:w="4750" w:type="dxa"/>
        </w:tcPr>
        <w:p w14:paraId="4F453874" w14:textId="17F2DE48" w:rsidR="60351D23" w:rsidRDefault="60351D23" w:rsidP="60351D23">
          <w:pPr>
            <w:pStyle w:val="Header"/>
            <w:jc w:val="center"/>
          </w:pPr>
        </w:p>
      </w:tc>
      <w:tc>
        <w:tcPr>
          <w:tcW w:w="4750" w:type="dxa"/>
        </w:tcPr>
        <w:p w14:paraId="4308B3FF" w14:textId="7D6ACC2B" w:rsidR="60351D23" w:rsidRDefault="60351D23" w:rsidP="60351D23">
          <w:pPr>
            <w:pStyle w:val="Header"/>
            <w:ind w:right="-115"/>
            <w:jc w:val="right"/>
          </w:pPr>
        </w:p>
      </w:tc>
    </w:tr>
  </w:tbl>
  <w:p w14:paraId="7DD51AD1" w14:textId="32A39C4E" w:rsidR="60351D23" w:rsidRDefault="60351D23" w:rsidP="60351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0"/>
      <w:gridCol w:w="3111"/>
      <w:gridCol w:w="3111"/>
    </w:tblGrid>
    <w:tr w:rsidR="60351D23" w14:paraId="3972120D" w14:textId="77777777" w:rsidTr="60351D23">
      <w:trPr>
        <w:trHeight w:val="300"/>
      </w:trPr>
      <w:tc>
        <w:tcPr>
          <w:tcW w:w="4750" w:type="dxa"/>
        </w:tcPr>
        <w:p w14:paraId="7154918A" w14:textId="1947FFA3" w:rsidR="60351D23" w:rsidRDefault="60351D23" w:rsidP="60351D23">
          <w:pPr>
            <w:pStyle w:val="Header"/>
            <w:ind w:left="-115"/>
          </w:pPr>
        </w:p>
      </w:tc>
      <w:tc>
        <w:tcPr>
          <w:tcW w:w="4750" w:type="dxa"/>
        </w:tcPr>
        <w:p w14:paraId="3AB0A586" w14:textId="24B3EFFE" w:rsidR="60351D23" w:rsidRDefault="60351D23" w:rsidP="60351D23">
          <w:pPr>
            <w:pStyle w:val="Header"/>
            <w:jc w:val="center"/>
          </w:pPr>
        </w:p>
      </w:tc>
      <w:tc>
        <w:tcPr>
          <w:tcW w:w="4750" w:type="dxa"/>
        </w:tcPr>
        <w:p w14:paraId="6FA60B4D" w14:textId="4F4B829B" w:rsidR="60351D23" w:rsidRDefault="60351D23" w:rsidP="60351D23">
          <w:pPr>
            <w:pStyle w:val="Header"/>
            <w:ind w:right="-115"/>
            <w:jc w:val="right"/>
          </w:pPr>
        </w:p>
      </w:tc>
    </w:tr>
  </w:tbl>
  <w:p w14:paraId="56A018C5" w14:textId="0BE8784D" w:rsidR="60351D23" w:rsidRDefault="60351D23" w:rsidP="6035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B45F40"/>
    <w:multiLevelType w:val="multilevel"/>
    <w:tmpl w:val="E5C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C75AB"/>
    <w:multiLevelType w:val="hybridMultilevel"/>
    <w:tmpl w:val="1EC0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937ED4"/>
    <w:multiLevelType w:val="hybridMultilevel"/>
    <w:tmpl w:val="E4006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AF00B48"/>
    <w:multiLevelType w:val="hybridMultilevel"/>
    <w:tmpl w:val="E5D233F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16058470">
    <w:abstractNumId w:val="11"/>
  </w:num>
  <w:num w:numId="2" w16cid:durableId="1845779362">
    <w:abstractNumId w:val="5"/>
  </w:num>
  <w:num w:numId="3" w16cid:durableId="1302417384">
    <w:abstractNumId w:val="4"/>
  </w:num>
  <w:num w:numId="4" w16cid:durableId="2035417442">
    <w:abstractNumId w:val="3"/>
  </w:num>
  <w:num w:numId="5" w16cid:durableId="2083259664">
    <w:abstractNumId w:val="15"/>
  </w:num>
  <w:num w:numId="6" w16cid:durableId="1418867172">
    <w:abstractNumId w:val="2"/>
  </w:num>
  <w:num w:numId="7" w16cid:durableId="363096194">
    <w:abstractNumId w:val="1"/>
  </w:num>
  <w:num w:numId="8" w16cid:durableId="1386835924">
    <w:abstractNumId w:val="0"/>
  </w:num>
  <w:num w:numId="9" w16cid:durableId="1419135148">
    <w:abstractNumId w:val="14"/>
  </w:num>
  <w:num w:numId="10" w16cid:durableId="65156960">
    <w:abstractNumId w:val="7"/>
  </w:num>
  <w:num w:numId="11" w16cid:durableId="1492986485">
    <w:abstractNumId w:val="19"/>
  </w:num>
  <w:num w:numId="12" w16cid:durableId="1467704192">
    <w:abstractNumId w:val="10"/>
  </w:num>
  <w:num w:numId="13" w16cid:durableId="1416516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9"/>
  </w:num>
  <w:num w:numId="15" w16cid:durableId="817459764">
    <w:abstractNumId w:val="6"/>
  </w:num>
  <w:num w:numId="16" w16cid:durableId="676495238">
    <w:abstractNumId w:val="20"/>
  </w:num>
  <w:num w:numId="17" w16cid:durableId="625085342">
    <w:abstractNumId w:val="17"/>
  </w:num>
  <w:num w:numId="18" w16cid:durableId="1658221648">
    <w:abstractNumId w:val="8"/>
  </w:num>
  <w:num w:numId="19" w16cid:durableId="1784155699">
    <w:abstractNumId w:val="18"/>
  </w:num>
  <w:num w:numId="20" w16cid:durableId="1756173123">
    <w:abstractNumId w:val="16"/>
  </w:num>
  <w:num w:numId="21" w16cid:durableId="891426681">
    <w:abstractNumId w:val="12"/>
  </w:num>
  <w:num w:numId="22" w16cid:durableId="383523818">
    <w:abstractNumId w:val="13"/>
  </w:num>
  <w:num w:numId="23" w16cid:durableId="836469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7A05"/>
    <w:rsid w:val="000A0B58"/>
    <w:rsid w:val="000A6228"/>
    <w:rsid w:val="000A7745"/>
    <w:rsid w:val="000B5D40"/>
    <w:rsid w:val="000B7EC6"/>
    <w:rsid w:val="000D3BE5"/>
    <w:rsid w:val="000D75C3"/>
    <w:rsid w:val="00107D87"/>
    <w:rsid w:val="00107DD5"/>
    <w:rsid w:val="00114232"/>
    <w:rsid w:val="0012343A"/>
    <w:rsid w:val="0012429E"/>
    <w:rsid w:val="00133B8D"/>
    <w:rsid w:val="0013611E"/>
    <w:rsid w:val="001515BF"/>
    <w:rsid w:val="0017134D"/>
    <w:rsid w:val="00174413"/>
    <w:rsid w:val="00182815"/>
    <w:rsid w:val="0018505B"/>
    <w:rsid w:val="001B15D7"/>
    <w:rsid w:val="001C1523"/>
    <w:rsid w:val="00212499"/>
    <w:rsid w:val="00221D8F"/>
    <w:rsid w:val="002272DB"/>
    <w:rsid w:val="00263824"/>
    <w:rsid w:val="0026578A"/>
    <w:rsid w:val="00276047"/>
    <w:rsid w:val="002A4458"/>
    <w:rsid w:val="002B59D0"/>
    <w:rsid w:val="002D589A"/>
    <w:rsid w:val="002E491A"/>
    <w:rsid w:val="002F1D0E"/>
    <w:rsid w:val="003266BD"/>
    <w:rsid w:val="003314F6"/>
    <w:rsid w:val="00336A6B"/>
    <w:rsid w:val="0039353C"/>
    <w:rsid w:val="003C4FA4"/>
    <w:rsid w:val="003E10E8"/>
    <w:rsid w:val="0040155D"/>
    <w:rsid w:val="00404AA0"/>
    <w:rsid w:val="0041713E"/>
    <w:rsid w:val="00421D3F"/>
    <w:rsid w:val="00423785"/>
    <w:rsid w:val="00444BBE"/>
    <w:rsid w:val="00452D26"/>
    <w:rsid w:val="004A06CD"/>
    <w:rsid w:val="004A4B6F"/>
    <w:rsid w:val="004A4CF9"/>
    <w:rsid w:val="004B201F"/>
    <w:rsid w:val="004D2965"/>
    <w:rsid w:val="004D2D9D"/>
    <w:rsid w:val="00500091"/>
    <w:rsid w:val="00564724"/>
    <w:rsid w:val="00570C69"/>
    <w:rsid w:val="00573B29"/>
    <w:rsid w:val="005A75C9"/>
    <w:rsid w:val="005B187D"/>
    <w:rsid w:val="005C10F2"/>
    <w:rsid w:val="005C6B69"/>
    <w:rsid w:val="005F4DA0"/>
    <w:rsid w:val="006232DC"/>
    <w:rsid w:val="0063094F"/>
    <w:rsid w:val="00637359"/>
    <w:rsid w:val="00652393"/>
    <w:rsid w:val="00661117"/>
    <w:rsid w:val="006B560B"/>
    <w:rsid w:val="006D67F3"/>
    <w:rsid w:val="006F1FFF"/>
    <w:rsid w:val="006F6C67"/>
    <w:rsid w:val="006F6D10"/>
    <w:rsid w:val="00712B94"/>
    <w:rsid w:val="00740274"/>
    <w:rsid w:val="007676F6"/>
    <w:rsid w:val="007742AF"/>
    <w:rsid w:val="00784A32"/>
    <w:rsid w:val="00785B1E"/>
    <w:rsid w:val="00793B90"/>
    <w:rsid w:val="007B2CA1"/>
    <w:rsid w:val="007B6348"/>
    <w:rsid w:val="007D0ABC"/>
    <w:rsid w:val="007F07A2"/>
    <w:rsid w:val="008042F5"/>
    <w:rsid w:val="00853839"/>
    <w:rsid w:val="00862264"/>
    <w:rsid w:val="00886959"/>
    <w:rsid w:val="00891980"/>
    <w:rsid w:val="00891DFF"/>
    <w:rsid w:val="00893A34"/>
    <w:rsid w:val="008A36E1"/>
    <w:rsid w:val="008A37A7"/>
    <w:rsid w:val="008B0736"/>
    <w:rsid w:val="008B5997"/>
    <w:rsid w:val="008E1ACA"/>
    <w:rsid w:val="009042DD"/>
    <w:rsid w:val="00906FDA"/>
    <w:rsid w:val="0093659A"/>
    <w:rsid w:val="00937482"/>
    <w:rsid w:val="00950B06"/>
    <w:rsid w:val="00964D03"/>
    <w:rsid w:val="00967917"/>
    <w:rsid w:val="00970069"/>
    <w:rsid w:val="0097076C"/>
    <w:rsid w:val="009721EB"/>
    <w:rsid w:val="009B706E"/>
    <w:rsid w:val="009C423A"/>
    <w:rsid w:val="009C5EC1"/>
    <w:rsid w:val="009D297F"/>
    <w:rsid w:val="009E79ED"/>
    <w:rsid w:val="00A07596"/>
    <w:rsid w:val="00A17A08"/>
    <w:rsid w:val="00A41A30"/>
    <w:rsid w:val="00A60673"/>
    <w:rsid w:val="00A84602"/>
    <w:rsid w:val="00A916C9"/>
    <w:rsid w:val="00AB57B4"/>
    <w:rsid w:val="00AC1872"/>
    <w:rsid w:val="00AC6AAE"/>
    <w:rsid w:val="00AD5E5E"/>
    <w:rsid w:val="00AD631F"/>
    <w:rsid w:val="00AD67BD"/>
    <w:rsid w:val="00AE21FF"/>
    <w:rsid w:val="00AF1F18"/>
    <w:rsid w:val="00B01137"/>
    <w:rsid w:val="00B0726E"/>
    <w:rsid w:val="00B219D1"/>
    <w:rsid w:val="00B32C04"/>
    <w:rsid w:val="00B46BE5"/>
    <w:rsid w:val="00B61A5C"/>
    <w:rsid w:val="00B81FA4"/>
    <w:rsid w:val="00B8794C"/>
    <w:rsid w:val="00B95EF4"/>
    <w:rsid w:val="00B968EB"/>
    <w:rsid w:val="00BB3BB2"/>
    <w:rsid w:val="00BB6509"/>
    <w:rsid w:val="00BC248C"/>
    <w:rsid w:val="00BD23CF"/>
    <w:rsid w:val="00BF14A0"/>
    <w:rsid w:val="00C0079A"/>
    <w:rsid w:val="00C01EC0"/>
    <w:rsid w:val="00C244EE"/>
    <w:rsid w:val="00C24AD9"/>
    <w:rsid w:val="00C469C0"/>
    <w:rsid w:val="00C72224"/>
    <w:rsid w:val="00C75706"/>
    <w:rsid w:val="00CA2CE2"/>
    <w:rsid w:val="00CA4815"/>
    <w:rsid w:val="00CD2FA0"/>
    <w:rsid w:val="00CD4603"/>
    <w:rsid w:val="00CF6562"/>
    <w:rsid w:val="00D05BCC"/>
    <w:rsid w:val="00D1262A"/>
    <w:rsid w:val="00D368DE"/>
    <w:rsid w:val="00D5688A"/>
    <w:rsid w:val="00D7071F"/>
    <w:rsid w:val="00D73946"/>
    <w:rsid w:val="00D80BA6"/>
    <w:rsid w:val="00D80EA8"/>
    <w:rsid w:val="00D86284"/>
    <w:rsid w:val="00D971F0"/>
    <w:rsid w:val="00D97D99"/>
    <w:rsid w:val="00DA0A9D"/>
    <w:rsid w:val="00DB26FF"/>
    <w:rsid w:val="00DC5980"/>
    <w:rsid w:val="00DD2B46"/>
    <w:rsid w:val="00DF3B60"/>
    <w:rsid w:val="00E06ED6"/>
    <w:rsid w:val="00E07C42"/>
    <w:rsid w:val="00E50F09"/>
    <w:rsid w:val="00E529E5"/>
    <w:rsid w:val="00E53F9B"/>
    <w:rsid w:val="00E64BCA"/>
    <w:rsid w:val="00E94152"/>
    <w:rsid w:val="00E94703"/>
    <w:rsid w:val="00EB4C2F"/>
    <w:rsid w:val="00ED0DDF"/>
    <w:rsid w:val="00ED322D"/>
    <w:rsid w:val="00EF7DB5"/>
    <w:rsid w:val="00F1000D"/>
    <w:rsid w:val="00F145D1"/>
    <w:rsid w:val="00F311A4"/>
    <w:rsid w:val="00F43C39"/>
    <w:rsid w:val="00F46436"/>
    <w:rsid w:val="00F50AC3"/>
    <w:rsid w:val="00F66AD3"/>
    <w:rsid w:val="00F77367"/>
    <w:rsid w:val="00F82C2C"/>
    <w:rsid w:val="00F85913"/>
    <w:rsid w:val="00F86AD0"/>
    <w:rsid w:val="00FA3A90"/>
    <w:rsid w:val="00FA4109"/>
    <w:rsid w:val="00FC0597"/>
    <w:rsid w:val="00FD4BC6"/>
    <w:rsid w:val="00FD4D6E"/>
    <w:rsid w:val="00FD6383"/>
    <w:rsid w:val="00FE3CB6"/>
    <w:rsid w:val="00FF5BC8"/>
    <w:rsid w:val="60351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7A2B7"/>
  <w15:chartTrackingRefBased/>
  <w15:docId w15:val="{4859CCFC-ED84-4C16-B203-25733BE8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B5997"/>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8B5997"/>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8B5997"/>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8B5997"/>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8B5997"/>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5997"/>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8B5997"/>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8B5997"/>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8B5997"/>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8B5997"/>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8B5997"/>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8B5997"/>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8B5997"/>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customStyle="1" w:styleId="EDU-Basic1">
    <w:name w:val="EDU - Basic1"/>
    <w:basedOn w:val="TableNormal"/>
    <w:uiPriority w:val="99"/>
    <w:rsid w:val="008B5997"/>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paragraph" w:styleId="ListParagraph">
    <w:name w:val="List Paragraph"/>
    <w:basedOn w:val="Normal"/>
    <w:uiPriority w:val="34"/>
    <w:qFormat/>
    <w:rsid w:val="00500091"/>
    <w:pPr>
      <w:ind w:left="720"/>
      <w:contextualSpacing/>
    </w:pPr>
    <w:rPr>
      <w:rFonts w:ascii="HelveticaNeueLT Pro 45 Lt" w:eastAsia="Calibri" w:hAnsi="HelveticaNeueLT Pro 45 Lt" w:cs="Times New Roman"/>
      <w:sz w:val="24"/>
    </w:rPr>
  </w:style>
  <w:style w:type="character" w:styleId="CommentReference">
    <w:name w:val="annotation reference"/>
    <w:basedOn w:val="DefaultParagraphFont"/>
    <w:uiPriority w:val="99"/>
    <w:semiHidden/>
    <w:unhideWhenUsed/>
    <w:rsid w:val="00500091"/>
    <w:rPr>
      <w:sz w:val="16"/>
      <w:szCs w:val="16"/>
    </w:rPr>
  </w:style>
  <w:style w:type="paragraph" w:styleId="CommentText">
    <w:name w:val="annotation text"/>
    <w:basedOn w:val="Normal"/>
    <w:link w:val="CommentTextChar"/>
    <w:uiPriority w:val="99"/>
    <w:unhideWhenUsed/>
    <w:rsid w:val="00500091"/>
    <w:pPr>
      <w:spacing w:line="240" w:lineRule="auto"/>
    </w:pPr>
    <w:rPr>
      <w:rFonts w:ascii="HelveticaNeueLT Pro 45 Lt" w:eastAsia="Calibri" w:hAnsi="HelveticaNeueLT Pro 45 Lt" w:cs="Times New Roman"/>
      <w:sz w:val="20"/>
      <w:szCs w:val="20"/>
    </w:rPr>
  </w:style>
  <w:style w:type="character" w:customStyle="1" w:styleId="CommentTextChar">
    <w:name w:val="Comment Text Char"/>
    <w:basedOn w:val="DefaultParagraphFont"/>
    <w:link w:val="CommentText"/>
    <w:uiPriority w:val="99"/>
    <w:rsid w:val="00500091"/>
    <w:rPr>
      <w:rFonts w:ascii="HelveticaNeueLT Pro 45 Lt" w:eastAsia="Calibri" w:hAnsi="HelveticaNeueLT Pro 45 Lt" w:cs="Times New Roman"/>
      <w:sz w:val="20"/>
      <w:szCs w:val="20"/>
    </w:rPr>
  </w:style>
  <w:style w:type="character" w:customStyle="1" w:styleId="1vi0vkd">
    <w:name w:val="___1vi0vkd"/>
    <w:basedOn w:val="DefaultParagraphFont"/>
    <w:rsid w:val="00F145D1"/>
  </w:style>
  <w:style w:type="paragraph" w:styleId="Revision">
    <w:name w:val="Revision"/>
    <w:hidden/>
    <w:uiPriority w:val="99"/>
    <w:semiHidden/>
    <w:rsid w:val="00DF3B60"/>
    <w:pPr>
      <w:spacing w:after="0" w:line="240" w:lineRule="auto"/>
    </w:pPr>
  </w:style>
  <w:style w:type="paragraph" w:styleId="CommentSubject">
    <w:name w:val="annotation subject"/>
    <w:basedOn w:val="CommentText"/>
    <w:next w:val="CommentText"/>
    <w:link w:val="CommentSubjectChar"/>
    <w:uiPriority w:val="99"/>
    <w:semiHidden/>
    <w:unhideWhenUsed/>
    <w:rsid w:val="00F66AD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6AD3"/>
    <w:rPr>
      <w:rFonts w:ascii="HelveticaNeueLT Pro 45 Lt" w:eastAsia="Calibri" w:hAnsi="HelveticaNeueLT Pro 45 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539F"/>
    <w:rsid w:val="000A7745"/>
    <w:rsid w:val="00212499"/>
    <w:rsid w:val="002B3ACA"/>
    <w:rsid w:val="00354532"/>
    <w:rsid w:val="004B201F"/>
    <w:rsid w:val="005831E6"/>
    <w:rsid w:val="00642D79"/>
    <w:rsid w:val="00652393"/>
    <w:rsid w:val="0074289F"/>
    <w:rsid w:val="00785B1E"/>
    <w:rsid w:val="00861D4B"/>
    <w:rsid w:val="00A30ED0"/>
    <w:rsid w:val="00A3320B"/>
    <w:rsid w:val="00A41A30"/>
    <w:rsid w:val="00AB57B4"/>
    <w:rsid w:val="00AD5E5E"/>
    <w:rsid w:val="00B5288A"/>
    <w:rsid w:val="00BD23CF"/>
    <w:rsid w:val="00BF16C6"/>
    <w:rsid w:val="00E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D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10f39f27825d754f9f384ec6457adfab">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44956be5dc2ac1d98f03f1f86df6a2a"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911BFDF4-1ED7-4B20-A075-6E99536D4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17B6A-0564-4ED8-BA43-DFC0B45983F6}">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B63A0596-1C5C-4B3C-863D-958758CBB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1254</Words>
  <Characters>7542</Characters>
  <Application>Microsoft Office Word</Application>
  <DocSecurity>0</DocSecurity>
  <Lines>301</Lines>
  <Paragraphs>237</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Guidance on Collecting Annual Reporting Data under the National Code</dc:title>
  <dc:subject/>
  <dc:creator>PACEY,Robert</dc:creator>
  <cp:keywords/>
  <dc:description/>
  <cp:lastModifiedBy>CORREA BERNINI,Eda Sofia</cp:lastModifiedBy>
  <cp:revision>3</cp:revision>
  <dcterms:created xsi:type="dcterms:W3CDTF">2026-04-30T03:44:00Z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ies>
</file>