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mc:Ignorable="w14 w15 w16se w16cid w16 w16cex w16sdtdh w16sdtfl w16du wp14">
  <w:body>
    <w:p w:rsidR="00C50B07" w:rsidP="00CA4815" w:rsidRDefault="00C50B07" w14:paraId="1E5051DB" w14:textId="77777777">
      <w:r w:rsidRPr="00CA4815">
        <w:rPr>
          <w:b/>
          <w:bCs/>
          <w:noProof/>
        </w:rPr>
        <w:drawing>
          <wp:anchor distT="0" distB="0" distL="114300" distR="114300" simplePos="0" relativeHeight="251658240" behindDoc="1" locked="1" layoutInCell="1" allowOverlap="1" wp14:anchorId="1BD89820" wp14:editId="5F50BE71">
            <wp:simplePos x="0" y="0"/>
            <wp:positionH relativeFrom="column">
              <wp:posOffset>-914400</wp:posOffset>
            </wp:positionH>
            <wp:positionV relativeFrom="paragraph">
              <wp:posOffset>-1151890</wp:posOffset>
            </wp:positionV>
            <wp:extent cx="7542000" cy="10666800"/>
            <wp:effectExtent l="0" t="0" r="1905" b="127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42000" cy="10666800"/>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7A6E572" wp14:editId="18BD0B93">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bookmarkStart w:name="_Toc126923157" w:displacedByCustomXml="next" w:id="0"/>
    <w:bookmarkStart w:name="_Toc126923146" w:displacedByCustomXml="next" w:id="1"/>
    <w:sdt>
      <w:sdtPr>
        <w:rPr>
          <w:noProof/>
          <w:lang w:eastAsia="en-AU"/>
        </w:rPr>
        <w:alias w:val="Title"/>
        <w:tag w:val=""/>
        <w:id w:val="1478495247"/>
        <w:placeholder>
          <w:docPart w:val="08F5AF4E7728444DA326D3D2BBCB9A22"/>
        </w:placeholder>
        <w:dataBinding w:prefixMappings="xmlns:ns0='http://purl.org/dc/elements/1.1/' xmlns:ns1='http://schemas.openxmlformats.org/package/2006/metadata/core-properties' " w:xpath="/ns1:coreProperties[1]/ns0:title[1]" w:storeItemID="{6C3C8BC8-F283-45AE-878A-BAB7291924A1}"/>
        <w:text/>
      </w:sdtPr>
      <w:sdtContent>
        <w:p w:rsidRPr="009D347E" w:rsidR="00C50B07" w:rsidP="009D347E" w:rsidRDefault="00A22DB0" w14:paraId="0A6105F8" w14:textId="07F271B1">
          <w:pPr>
            <w:pStyle w:val="Title"/>
          </w:pPr>
          <w:r>
            <w:rPr>
              <w:noProof/>
              <w:lang w:eastAsia="en-AU"/>
            </w:rPr>
            <w:t>Final Higher Education Research Data Collection specifications for the collection of 2025 data</w:t>
          </w:r>
        </w:p>
      </w:sdtContent>
    </w:sdt>
    <w:bookmarkEnd w:displacedByCustomXml="prev" w:id="0"/>
    <w:bookmarkEnd w:displacedByCustomXml="prev" w:id="1"/>
    <w:p w:rsidR="00C50B07" w:rsidP="00EB4C2F" w:rsidRDefault="00B4283C" w14:paraId="472EB28A" w14:textId="43464C6A">
      <w:pPr>
        <w:pStyle w:val="Subtitle"/>
      </w:pPr>
      <w:r>
        <w:t xml:space="preserve">February </w:t>
      </w:r>
      <w:r w:rsidR="00C50B07">
        <w:t>202</w:t>
      </w:r>
      <w:r w:rsidR="00FE222A">
        <w:t>6</w:t>
      </w:r>
    </w:p>
    <w:p w:rsidR="00C50B07" w:rsidRDefault="00C50B07" w14:paraId="658441DB" w14:textId="77777777">
      <w:pPr>
        <w:sectPr w:rsidR="00C50B07" w:rsidSect="00C50B07">
          <w:footerReference w:type="default" r:id="rId14"/>
          <w:pgSz w:w="11906" w:h="16838" w:orient="portrait"/>
          <w:pgMar w:top="1814" w:right="1440" w:bottom="1440" w:left="1440" w:header="709" w:footer="709" w:gutter="0"/>
          <w:cols w:space="708"/>
          <w:docGrid w:linePitch="360"/>
        </w:sectPr>
      </w:pPr>
    </w:p>
    <w:p w:rsidR="00C50B07" w:rsidP="00304C54" w:rsidRDefault="00C50B07" w14:paraId="1DDF53B7" w14:textId="77777777">
      <w:pPr>
        <w:spacing w:before="10000"/>
      </w:pPr>
      <w:r>
        <w:rPr>
          <w:noProof/>
        </w:rPr>
        <w:drawing>
          <wp:inline distT="0" distB="0" distL="0" distR="0" wp14:anchorId="2771D2FB" wp14:editId="54B7B316">
            <wp:extent cx="843643" cy="295275"/>
            <wp:effectExtent l="0" t="0" r="0" b="0"/>
            <wp:docPr id="1" name="Picture 1"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log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43643" cy="295275"/>
                    </a:xfrm>
                    <a:prstGeom prst="rect">
                      <a:avLst/>
                    </a:prstGeom>
                  </pic:spPr>
                </pic:pic>
              </a:graphicData>
            </a:graphic>
          </wp:inline>
        </w:drawing>
      </w:r>
    </w:p>
    <w:p w:rsidR="00C50B07" w:rsidP="00304C54" w:rsidRDefault="00C50B07" w14:paraId="1B9B4F33" w14:textId="77777777">
      <w:pPr>
        <w:spacing w:before="240"/>
      </w:pPr>
      <w:r>
        <w:t xml:space="preserve">With the exception of the Commonwealth Coat of Arms, the Department’s logo, any material protected by a trade mark and where otherwise noted all material presented in this document is provided under a </w:t>
      </w:r>
      <w:hyperlink w:history="1" r:id="rId16">
        <w:r w:rsidRPr="007B2CA1">
          <w:rPr>
            <w:rStyle w:val="Hyperlink"/>
          </w:rPr>
          <w:t>Creative Commons Attribution 4.0 International</w:t>
        </w:r>
      </w:hyperlink>
      <w:r>
        <w:t xml:space="preserve"> (</w:t>
      </w:r>
      <w:r w:rsidRPr="007B2CA1">
        <w:t>https://creativecommons.org/licenses/by/4.0/</w:t>
      </w:r>
      <w:r>
        <w:t>) licence.</w:t>
      </w:r>
    </w:p>
    <w:p w:rsidR="00C50B07" w:rsidP="0017134D" w:rsidRDefault="00C50B07" w14:paraId="303A2874" w14:textId="77777777">
      <w:r>
        <w:t xml:space="preserve">The details of the relevant licence conditions are available on the Creative Commons website (accessible using the links provided) as is the full legal code for the </w:t>
      </w:r>
      <w:hyperlink w:history="1" r:id="rId17">
        <w:r w:rsidRPr="007B2CA1">
          <w:rPr>
            <w:rStyle w:val="Hyperlink"/>
          </w:rPr>
          <w:t>CC BY 4.0 International</w:t>
        </w:r>
      </w:hyperlink>
      <w:r>
        <w:t xml:space="preserve"> (</w:t>
      </w:r>
      <w:r w:rsidRPr="007B2CA1">
        <w:t>https://creativecommons.org/licenses/by/4.0/legalcode</w:t>
      </w:r>
      <w:r>
        <w:t xml:space="preserve">) </w:t>
      </w:r>
    </w:p>
    <w:p w:rsidR="00C50B07" w:rsidP="0017134D" w:rsidRDefault="00C50B07" w14:paraId="422EA436" w14:textId="57F0AE68">
      <w:r>
        <w:t>The document must be attributed as the Final HERDC specifications for the collection of 2025 data.</w:t>
      </w:r>
    </w:p>
    <w:p w:rsidR="00C50B07" w:rsidP="0017134D" w:rsidRDefault="00C50B07" w14:paraId="125E7CB1" w14:textId="77777777">
      <w:pPr>
        <w:sectPr w:rsidR="00C50B07" w:rsidSect="00C50B07">
          <w:pgSz w:w="11906" w:h="16838" w:orient="portrait"/>
          <w:pgMar w:top="1440" w:right="1440" w:bottom="1440" w:left="1440" w:header="708" w:footer="708" w:gutter="0"/>
          <w:cols w:space="708"/>
          <w:docGrid w:linePitch="360"/>
        </w:sectPr>
      </w:pPr>
    </w:p>
    <w:p w:rsidRPr="009D347E" w:rsidR="00C50B07" w:rsidP="009D347E" w:rsidRDefault="00C50B07" w14:paraId="4DE25A4E" w14:textId="77777777">
      <w:pPr>
        <w:rPr>
          <w:b/>
          <w:bCs/>
          <w:sz w:val="32"/>
          <w:szCs w:val="32"/>
        </w:rPr>
      </w:pPr>
      <w:r w:rsidRPr="009D347E">
        <w:rPr>
          <w:b/>
          <w:bCs/>
          <w:sz w:val="32"/>
          <w:szCs w:val="32"/>
        </w:rPr>
        <w:t>Contents</w:t>
      </w:r>
    </w:p>
    <w:p w:rsidR="00E52851" w:rsidRDefault="00C50B07" w14:paraId="1B884AA1" w14:textId="430C1038">
      <w:pPr>
        <w:pStyle w:val="TOC1"/>
        <w:rPr>
          <w:rFonts w:eastAsiaTheme="minorEastAsia"/>
          <w:noProof/>
          <w:kern w:val="2"/>
          <w:sz w:val="24"/>
          <w:szCs w:val="24"/>
          <w:lang w:eastAsia="en-AU"/>
          <w14:ligatures w14:val="standardContextual"/>
        </w:rPr>
      </w:pPr>
      <w:r>
        <w:fldChar w:fldCharType="begin"/>
      </w:r>
      <w:r>
        <w:instrText xml:space="preserve"> TOC \o "1-1" \h \z \t "Heading 2,2,Heading 3,3,Caption 1 Tree,3" </w:instrText>
      </w:r>
      <w:r>
        <w:fldChar w:fldCharType="separate"/>
      </w:r>
      <w:hyperlink w:history="1" w:anchor="_Toc222833848">
        <w:r w:rsidRPr="00BB4826" w:rsidR="00E52851">
          <w:rPr>
            <w:rStyle w:val="Hyperlink"/>
            <w:noProof/>
          </w:rPr>
          <w:t>1</w:t>
        </w:r>
        <w:r w:rsidR="00E52851">
          <w:rPr>
            <w:rFonts w:eastAsiaTheme="minorEastAsia"/>
            <w:noProof/>
            <w:kern w:val="2"/>
            <w:sz w:val="24"/>
            <w:szCs w:val="24"/>
            <w:lang w:eastAsia="en-AU"/>
            <w14:ligatures w14:val="standardContextual"/>
          </w:rPr>
          <w:tab/>
        </w:r>
        <w:r w:rsidRPr="00BB4826" w:rsidR="00E52851">
          <w:rPr>
            <w:rStyle w:val="Hyperlink"/>
            <w:noProof/>
          </w:rPr>
          <w:t>Higher Education Research Data Collection (HERDC) specifications – updates to note</w:t>
        </w:r>
        <w:r w:rsidR="00E52851">
          <w:rPr>
            <w:noProof/>
            <w:webHidden/>
          </w:rPr>
          <w:tab/>
        </w:r>
        <w:r w:rsidR="00E52851">
          <w:rPr>
            <w:noProof/>
            <w:webHidden/>
          </w:rPr>
          <w:fldChar w:fldCharType="begin"/>
        </w:r>
        <w:r w:rsidR="00E52851">
          <w:rPr>
            <w:noProof/>
            <w:webHidden/>
          </w:rPr>
          <w:instrText xml:space="preserve"> PAGEREF _Toc222833848 \h </w:instrText>
        </w:r>
        <w:r w:rsidR="00E52851">
          <w:rPr>
            <w:noProof/>
            <w:webHidden/>
          </w:rPr>
        </w:r>
        <w:r w:rsidR="00E52851">
          <w:rPr>
            <w:noProof/>
            <w:webHidden/>
          </w:rPr>
          <w:fldChar w:fldCharType="separate"/>
        </w:r>
        <w:r w:rsidR="004B22D0">
          <w:rPr>
            <w:noProof/>
            <w:webHidden/>
          </w:rPr>
          <w:t>5</w:t>
        </w:r>
        <w:r w:rsidR="00E52851">
          <w:rPr>
            <w:noProof/>
            <w:webHidden/>
          </w:rPr>
          <w:fldChar w:fldCharType="end"/>
        </w:r>
      </w:hyperlink>
    </w:p>
    <w:p w:rsidR="00E52851" w:rsidRDefault="00E52851" w14:paraId="56A3C998" w14:textId="39E53562">
      <w:pPr>
        <w:pStyle w:val="TOC1"/>
        <w:rPr>
          <w:rFonts w:eastAsiaTheme="minorEastAsia"/>
          <w:noProof/>
          <w:kern w:val="2"/>
          <w:sz w:val="24"/>
          <w:szCs w:val="24"/>
          <w:lang w:eastAsia="en-AU"/>
          <w14:ligatures w14:val="standardContextual"/>
        </w:rPr>
      </w:pPr>
      <w:hyperlink w:history="1" w:anchor="_Toc222833849">
        <w:r w:rsidRPr="00BB4826">
          <w:rPr>
            <w:rStyle w:val="Hyperlink"/>
            <w:noProof/>
          </w:rPr>
          <w:t>2</w:t>
        </w:r>
        <w:r>
          <w:rPr>
            <w:rFonts w:eastAsiaTheme="minorEastAsia"/>
            <w:noProof/>
            <w:kern w:val="2"/>
            <w:sz w:val="24"/>
            <w:szCs w:val="24"/>
            <w:lang w:eastAsia="en-AU"/>
            <w14:ligatures w14:val="standardContextual"/>
          </w:rPr>
          <w:tab/>
        </w:r>
        <w:r w:rsidRPr="00BB4826">
          <w:rPr>
            <w:rStyle w:val="Hyperlink"/>
            <w:noProof/>
          </w:rPr>
          <w:t>Introduction</w:t>
        </w:r>
        <w:r>
          <w:rPr>
            <w:noProof/>
            <w:webHidden/>
          </w:rPr>
          <w:tab/>
        </w:r>
        <w:r>
          <w:rPr>
            <w:noProof/>
            <w:webHidden/>
          </w:rPr>
          <w:fldChar w:fldCharType="begin"/>
        </w:r>
        <w:r>
          <w:rPr>
            <w:noProof/>
            <w:webHidden/>
          </w:rPr>
          <w:instrText xml:space="preserve"> PAGEREF _Toc222833849 \h </w:instrText>
        </w:r>
        <w:r>
          <w:rPr>
            <w:noProof/>
            <w:webHidden/>
          </w:rPr>
        </w:r>
        <w:r>
          <w:rPr>
            <w:noProof/>
            <w:webHidden/>
          </w:rPr>
          <w:fldChar w:fldCharType="separate"/>
        </w:r>
        <w:r w:rsidR="004B22D0">
          <w:rPr>
            <w:noProof/>
            <w:webHidden/>
          </w:rPr>
          <w:t>7</w:t>
        </w:r>
        <w:r>
          <w:rPr>
            <w:noProof/>
            <w:webHidden/>
          </w:rPr>
          <w:fldChar w:fldCharType="end"/>
        </w:r>
      </w:hyperlink>
    </w:p>
    <w:p w:rsidR="00E52851" w:rsidRDefault="00E52851" w14:paraId="6479B484" w14:textId="3EDD4D24">
      <w:pPr>
        <w:pStyle w:val="TOC2"/>
        <w:tabs>
          <w:tab w:val="left" w:pos="880"/>
          <w:tab w:val="right" w:leader="dot" w:pos="9016"/>
        </w:tabs>
        <w:rPr>
          <w:rFonts w:eastAsiaTheme="minorEastAsia"/>
          <w:noProof/>
          <w:kern w:val="2"/>
          <w:sz w:val="24"/>
          <w:szCs w:val="24"/>
          <w:lang w:eastAsia="en-AU"/>
          <w14:ligatures w14:val="standardContextual"/>
        </w:rPr>
      </w:pPr>
      <w:hyperlink w:history="1" w:anchor="_Toc222833850">
        <w:r w:rsidRPr="00BB4826">
          <w:rPr>
            <w:rStyle w:val="Hyperlink"/>
            <w:noProof/>
          </w:rPr>
          <w:t>2.1</w:t>
        </w:r>
        <w:r>
          <w:rPr>
            <w:rFonts w:eastAsiaTheme="minorEastAsia"/>
            <w:noProof/>
            <w:kern w:val="2"/>
            <w:sz w:val="24"/>
            <w:szCs w:val="24"/>
            <w:lang w:eastAsia="en-AU"/>
            <w14:ligatures w14:val="standardContextual"/>
          </w:rPr>
          <w:tab/>
        </w:r>
        <w:r w:rsidRPr="00BB4826">
          <w:rPr>
            <w:rStyle w:val="Hyperlink"/>
            <w:noProof/>
          </w:rPr>
          <w:t>Purpose</w:t>
        </w:r>
        <w:r>
          <w:rPr>
            <w:noProof/>
            <w:webHidden/>
          </w:rPr>
          <w:tab/>
        </w:r>
        <w:r>
          <w:rPr>
            <w:noProof/>
            <w:webHidden/>
          </w:rPr>
          <w:fldChar w:fldCharType="begin"/>
        </w:r>
        <w:r>
          <w:rPr>
            <w:noProof/>
            <w:webHidden/>
          </w:rPr>
          <w:instrText xml:space="preserve"> PAGEREF _Toc222833850 \h </w:instrText>
        </w:r>
        <w:r>
          <w:rPr>
            <w:noProof/>
            <w:webHidden/>
          </w:rPr>
        </w:r>
        <w:r>
          <w:rPr>
            <w:noProof/>
            <w:webHidden/>
          </w:rPr>
          <w:fldChar w:fldCharType="separate"/>
        </w:r>
        <w:r w:rsidR="004B22D0">
          <w:rPr>
            <w:noProof/>
            <w:webHidden/>
          </w:rPr>
          <w:t>7</w:t>
        </w:r>
        <w:r>
          <w:rPr>
            <w:noProof/>
            <w:webHidden/>
          </w:rPr>
          <w:fldChar w:fldCharType="end"/>
        </w:r>
      </w:hyperlink>
    </w:p>
    <w:p w:rsidR="00E52851" w:rsidRDefault="00E52851" w14:paraId="2C0F262A" w14:textId="57E6B54C">
      <w:pPr>
        <w:pStyle w:val="TOC2"/>
        <w:tabs>
          <w:tab w:val="left" w:pos="880"/>
          <w:tab w:val="right" w:leader="dot" w:pos="9016"/>
        </w:tabs>
        <w:rPr>
          <w:rFonts w:eastAsiaTheme="minorEastAsia"/>
          <w:noProof/>
          <w:kern w:val="2"/>
          <w:sz w:val="24"/>
          <w:szCs w:val="24"/>
          <w:lang w:eastAsia="en-AU"/>
          <w14:ligatures w14:val="standardContextual"/>
        </w:rPr>
      </w:pPr>
      <w:hyperlink w:history="1" w:anchor="_Toc222833851">
        <w:r w:rsidRPr="00BB4826">
          <w:rPr>
            <w:rStyle w:val="Hyperlink"/>
            <w:noProof/>
          </w:rPr>
          <w:t>2.2</w:t>
        </w:r>
        <w:r>
          <w:rPr>
            <w:rFonts w:eastAsiaTheme="minorEastAsia"/>
            <w:noProof/>
            <w:kern w:val="2"/>
            <w:sz w:val="24"/>
            <w:szCs w:val="24"/>
            <w:lang w:eastAsia="en-AU"/>
            <w14:ligatures w14:val="standardContextual"/>
          </w:rPr>
          <w:tab/>
        </w:r>
        <w:r w:rsidRPr="00BB4826">
          <w:rPr>
            <w:rStyle w:val="Hyperlink"/>
            <w:noProof/>
          </w:rPr>
          <w:t>Use of data</w:t>
        </w:r>
        <w:r>
          <w:rPr>
            <w:noProof/>
            <w:webHidden/>
          </w:rPr>
          <w:tab/>
        </w:r>
        <w:r>
          <w:rPr>
            <w:noProof/>
            <w:webHidden/>
          </w:rPr>
          <w:fldChar w:fldCharType="begin"/>
        </w:r>
        <w:r>
          <w:rPr>
            <w:noProof/>
            <w:webHidden/>
          </w:rPr>
          <w:instrText xml:space="preserve"> PAGEREF _Toc222833851 \h </w:instrText>
        </w:r>
        <w:r>
          <w:rPr>
            <w:noProof/>
            <w:webHidden/>
          </w:rPr>
        </w:r>
        <w:r>
          <w:rPr>
            <w:noProof/>
            <w:webHidden/>
          </w:rPr>
          <w:fldChar w:fldCharType="separate"/>
        </w:r>
        <w:r w:rsidR="004B22D0">
          <w:rPr>
            <w:noProof/>
            <w:webHidden/>
          </w:rPr>
          <w:t>7</w:t>
        </w:r>
        <w:r>
          <w:rPr>
            <w:noProof/>
            <w:webHidden/>
          </w:rPr>
          <w:fldChar w:fldCharType="end"/>
        </w:r>
      </w:hyperlink>
    </w:p>
    <w:p w:rsidR="00E52851" w:rsidRDefault="00E52851" w14:paraId="5C37D68C" w14:textId="7303A24D">
      <w:pPr>
        <w:pStyle w:val="TOC2"/>
        <w:tabs>
          <w:tab w:val="left" w:pos="880"/>
          <w:tab w:val="right" w:leader="dot" w:pos="9016"/>
        </w:tabs>
        <w:rPr>
          <w:rFonts w:eastAsiaTheme="minorEastAsia"/>
          <w:noProof/>
          <w:kern w:val="2"/>
          <w:sz w:val="24"/>
          <w:szCs w:val="24"/>
          <w:lang w:eastAsia="en-AU"/>
          <w14:ligatures w14:val="standardContextual"/>
        </w:rPr>
      </w:pPr>
      <w:hyperlink w:history="1" w:anchor="_Toc222833852">
        <w:r w:rsidRPr="00BB4826">
          <w:rPr>
            <w:rStyle w:val="Hyperlink"/>
            <w:noProof/>
          </w:rPr>
          <w:t>2.3</w:t>
        </w:r>
        <w:r>
          <w:rPr>
            <w:rFonts w:eastAsiaTheme="minorEastAsia"/>
            <w:noProof/>
            <w:kern w:val="2"/>
            <w:sz w:val="24"/>
            <w:szCs w:val="24"/>
            <w:lang w:eastAsia="en-AU"/>
            <w14:ligatures w14:val="standardContextual"/>
          </w:rPr>
          <w:tab/>
        </w:r>
        <w:r w:rsidRPr="00BB4826">
          <w:rPr>
            <w:rStyle w:val="Hyperlink"/>
            <w:noProof/>
          </w:rPr>
          <w:t>Use of funding</w:t>
        </w:r>
        <w:r>
          <w:rPr>
            <w:noProof/>
            <w:webHidden/>
          </w:rPr>
          <w:tab/>
        </w:r>
        <w:r>
          <w:rPr>
            <w:noProof/>
            <w:webHidden/>
          </w:rPr>
          <w:fldChar w:fldCharType="begin"/>
        </w:r>
        <w:r>
          <w:rPr>
            <w:noProof/>
            <w:webHidden/>
          </w:rPr>
          <w:instrText xml:space="preserve"> PAGEREF _Toc222833852 \h </w:instrText>
        </w:r>
        <w:r>
          <w:rPr>
            <w:noProof/>
            <w:webHidden/>
          </w:rPr>
        </w:r>
        <w:r>
          <w:rPr>
            <w:noProof/>
            <w:webHidden/>
          </w:rPr>
          <w:fldChar w:fldCharType="separate"/>
        </w:r>
        <w:r w:rsidR="004B22D0">
          <w:rPr>
            <w:noProof/>
            <w:webHidden/>
          </w:rPr>
          <w:t>7</w:t>
        </w:r>
        <w:r>
          <w:rPr>
            <w:noProof/>
            <w:webHidden/>
          </w:rPr>
          <w:fldChar w:fldCharType="end"/>
        </w:r>
      </w:hyperlink>
    </w:p>
    <w:p w:rsidR="00E52851" w:rsidRDefault="00E52851" w14:paraId="652EA906" w14:textId="72E518F8">
      <w:pPr>
        <w:pStyle w:val="TOC2"/>
        <w:tabs>
          <w:tab w:val="left" w:pos="880"/>
          <w:tab w:val="right" w:leader="dot" w:pos="9016"/>
        </w:tabs>
        <w:rPr>
          <w:rFonts w:eastAsiaTheme="minorEastAsia"/>
          <w:noProof/>
          <w:kern w:val="2"/>
          <w:sz w:val="24"/>
          <w:szCs w:val="24"/>
          <w:lang w:eastAsia="en-AU"/>
          <w14:ligatures w14:val="standardContextual"/>
        </w:rPr>
      </w:pPr>
      <w:hyperlink w:history="1" w:anchor="_Toc222833853">
        <w:r w:rsidRPr="00BB4826">
          <w:rPr>
            <w:rStyle w:val="Hyperlink"/>
            <w:noProof/>
          </w:rPr>
          <w:t>2.4</w:t>
        </w:r>
        <w:r>
          <w:rPr>
            <w:rFonts w:eastAsiaTheme="minorEastAsia"/>
            <w:noProof/>
            <w:kern w:val="2"/>
            <w:sz w:val="24"/>
            <w:szCs w:val="24"/>
            <w:lang w:eastAsia="en-AU"/>
            <w14:ligatures w14:val="standardContextual"/>
          </w:rPr>
          <w:tab/>
        </w:r>
        <w:r w:rsidRPr="00BB4826">
          <w:rPr>
            <w:rStyle w:val="Hyperlink"/>
            <w:noProof/>
          </w:rPr>
          <w:t>Information to be submitted</w:t>
        </w:r>
        <w:r>
          <w:rPr>
            <w:noProof/>
            <w:webHidden/>
          </w:rPr>
          <w:tab/>
        </w:r>
        <w:r>
          <w:rPr>
            <w:noProof/>
            <w:webHidden/>
          </w:rPr>
          <w:fldChar w:fldCharType="begin"/>
        </w:r>
        <w:r>
          <w:rPr>
            <w:noProof/>
            <w:webHidden/>
          </w:rPr>
          <w:instrText xml:space="preserve"> PAGEREF _Toc222833853 \h </w:instrText>
        </w:r>
        <w:r>
          <w:rPr>
            <w:noProof/>
            <w:webHidden/>
          </w:rPr>
        </w:r>
        <w:r>
          <w:rPr>
            <w:noProof/>
            <w:webHidden/>
          </w:rPr>
          <w:fldChar w:fldCharType="separate"/>
        </w:r>
        <w:r w:rsidR="004B22D0">
          <w:rPr>
            <w:noProof/>
            <w:webHidden/>
          </w:rPr>
          <w:t>8</w:t>
        </w:r>
        <w:r>
          <w:rPr>
            <w:noProof/>
            <w:webHidden/>
          </w:rPr>
          <w:fldChar w:fldCharType="end"/>
        </w:r>
      </w:hyperlink>
    </w:p>
    <w:p w:rsidR="00E52851" w:rsidRDefault="00E52851" w14:paraId="4A174829" w14:textId="2EC393C1">
      <w:pPr>
        <w:pStyle w:val="TOC3"/>
        <w:tabs>
          <w:tab w:val="left" w:pos="1200"/>
          <w:tab w:val="right" w:leader="dot" w:pos="9016"/>
        </w:tabs>
        <w:rPr>
          <w:rFonts w:eastAsiaTheme="minorEastAsia"/>
          <w:noProof/>
          <w:kern w:val="2"/>
          <w:sz w:val="24"/>
          <w:szCs w:val="24"/>
          <w:lang w:eastAsia="en-AU"/>
          <w14:ligatures w14:val="standardContextual"/>
        </w:rPr>
      </w:pPr>
      <w:hyperlink w:history="1" w:anchor="_Toc222833854">
        <w:r w:rsidRPr="00BB4826">
          <w:rPr>
            <w:rStyle w:val="Hyperlink"/>
            <w:noProof/>
          </w:rPr>
          <w:t>2.4.1</w:t>
        </w:r>
        <w:r>
          <w:rPr>
            <w:rFonts w:eastAsiaTheme="minorEastAsia"/>
            <w:noProof/>
            <w:kern w:val="2"/>
            <w:sz w:val="24"/>
            <w:szCs w:val="24"/>
            <w:lang w:eastAsia="en-AU"/>
            <w14:ligatures w14:val="standardContextual"/>
          </w:rPr>
          <w:tab/>
        </w:r>
        <w:r w:rsidRPr="00BB4826">
          <w:rPr>
            <w:rStyle w:val="Hyperlink"/>
            <w:noProof/>
          </w:rPr>
          <w:t>R&amp;D income return</w:t>
        </w:r>
        <w:r>
          <w:rPr>
            <w:noProof/>
            <w:webHidden/>
          </w:rPr>
          <w:tab/>
        </w:r>
        <w:r>
          <w:rPr>
            <w:noProof/>
            <w:webHidden/>
          </w:rPr>
          <w:fldChar w:fldCharType="begin"/>
        </w:r>
        <w:r>
          <w:rPr>
            <w:noProof/>
            <w:webHidden/>
          </w:rPr>
          <w:instrText xml:space="preserve"> PAGEREF _Toc222833854 \h </w:instrText>
        </w:r>
        <w:r>
          <w:rPr>
            <w:noProof/>
            <w:webHidden/>
          </w:rPr>
        </w:r>
        <w:r>
          <w:rPr>
            <w:noProof/>
            <w:webHidden/>
          </w:rPr>
          <w:fldChar w:fldCharType="separate"/>
        </w:r>
        <w:r w:rsidR="004B22D0">
          <w:rPr>
            <w:noProof/>
            <w:webHidden/>
          </w:rPr>
          <w:t>8</w:t>
        </w:r>
        <w:r>
          <w:rPr>
            <w:noProof/>
            <w:webHidden/>
          </w:rPr>
          <w:fldChar w:fldCharType="end"/>
        </w:r>
      </w:hyperlink>
    </w:p>
    <w:p w:rsidR="00E52851" w:rsidRDefault="00E52851" w14:paraId="7A3825D5" w14:textId="73ABCA14">
      <w:pPr>
        <w:pStyle w:val="TOC3"/>
        <w:tabs>
          <w:tab w:val="left" w:pos="1200"/>
          <w:tab w:val="right" w:leader="dot" w:pos="9016"/>
        </w:tabs>
        <w:rPr>
          <w:rFonts w:eastAsiaTheme="minorEastAsia"/>
          <w:noProof/>
          <w:kern w:val="2"/>
          <w:sz w:val="24"/>
          <w:szCs w:val="24"/>
          <w:lang w:eastAsia="en-AU"/>
          <w14:ligatures w14:val="standardContextual"/>
        </w:rPr>
      </w:pPr>
      <w:hyperlink w:history="1" w:anchor="_Toc222833855">
        <w:r w:rsidRPr="00BB4826">
          <w:rPr>
            <w:rStyle w:val="Hyperlink"/>
            <w:noProof/>
          </w:rPr>
          <w:t>2.4.2</w:t>
        </w:r>
        <w:r>
          <w:rPr>
            <w:rFonts w:eastAsiaTheme="minorEastAsia"/>
            <w:noProof/>
            <w:kern w:val="2"/>
            <w:sz w:val="24"/>
            <w:szCs w:val="24"/>
            <w:lang w:eastAsia="en-AU"/>
            <w14:ligatures w14:val="standardContextual"/>
          </w:rPr>
          <w:tab/>
        </w:r>
        <w:r w:rsidRPr="00BB4826">
          <w:rPr>
            <w:rStyle w:val="Hyperlink"/>
            <w:noProof/>
          </w:rPr>
          <w:t>Vice-Chancellor certification</w:t>
        </w:r>
        <w:r>
          <w:rPr>
            <w:noProof/>
            <w:webHidden/>
          </w:rPr>
          <w:tab/>
        </w:r>
        <w:r>
          <w:rPr>
            <w:noProof/>
            <w:webHidden/>
          </w:rPr>
          <w:fldChar w:fldCharType="begin"/>
        </w:r>
        <w:r>
          <w:rPr>
            <w:noProof/>
            <w:webHidden/>
          </w:rPr>
          <w:instrText xml:space="preserve"> PAGEREF _Toc222833855 \h </w:instrText>
        </w:r>
        <w:r>
          <w:rPr>
            <w:noProof/>
            <w:webHidden/>
          </w:rPr>
        </w:r>
        <w:r>
          <w:rPr>
            <w:noProof/>
            <w:webHidden/>
          </w:rPr>
          <w:fldChar w:fldCharType="separate"/>
        </w:r>
        <w:r w:rsidR="004B22D0">
          <w:rPr>
            <w:noProof/>
            <w:webHidden/>
          </w:rPr>
          <w:t>8</w:t>
        </w:r>
        <w:r>
          <w:rPr>
            <w:noProof/>
            <w:webHidden/>
          </w:rPr>
          <w:fldChar w:fldCharType="end"/>
        </w:r>
      </w:hyperlink>
    </w:p>
    <w:p w:rsidR="00E52851" w:rsidRDefault="00E52851" w14:paraId="57104D85" w14:textId="2A703A11">
      <w:pPr>
        <w:pStyle w:val="TOC3"/>
        <w:tabs>
          <w:tab w:val="left" w:pos="1200"/>
          <w:tab w:val="right" w:leader="dot" w:pos="9016"/>
        </w:tabs>
        <w:rPr>
          <w:rFonts w:eastAsiaTheme="minorEastAsia"/>
          <w:noProof/>
          <w:kern w:val="2"/>
          <w:sz w:val="24"/>
          <w:szCs w:val="24"/>
          <w:lang w:eastAsia="en-AU"/>
          <w14:ligatures w14:val="standardContextual"/>
        </w:rPr>
      </w:pPr>
      <w:hyperlink w:history="1" w:anchor="_Toc222833856">
        <w:r w:rsidRPr="00BB4826">
          <w:rPr>
            <w:rStyle w:val="Hyperlink"/>
            <w:noProof/>
          </w:rPr>
          <w:t>2.4.3</w:t>
        </w:r>
        <w:r>
          <w:rPr>
            <w:rFonts w:eastAsiaTheme="minorEastAsia"/>
            <w:noProof/>
            <w:kern w:val="2"/>
            <w:sz w:val="24"/>
            <w:szCs w:val="24"/>
            <w:lang w:eastAsia="en-AU"/>
            <w14:ligatures w14:val="standardContextual"/>
          </w:rPr>
          <w:tab/>
        </w:r>
        <w:r w:rsidRPr="00BB4826">
          <w:rPr>
            <w:rStyle w:val="Hyperlink"/>
            <w:noProof/>
          </w:rPr>
          <w:t>Audit report</w:t>
        </w:r>
        <w:r>
          <w:rPr>
            <w:noProof/>
            <w:webHidden/>
          </w:rPr>
          <w:tab/>
        </w:r>
        <w:r>
          <w:rPr>
            <w:noProof/>
            <w:webHidden/>
          </w:rPr>
          <w:fldChar w:fldCharType="begin"/>
        </w:r>
        <w:r>
          <w:rPr>
            <w:noProof/>
            <w:webHidden/>
          </w:rPr>
          <w:instrText xml:space="preserve"> PAGEREF _Toc222833856 \h </w:instrText>
        </w:r>
        <w:r>
          <w:rPr>
            <w:noProof/>
            <w:webHidden/>
          </w:rPr>
        </w:r>
        <w:r>
          <w:rPr>
            <w:noProof/>
            <w:webHidden/>
          </w:rPr>
          <w:fldChar w:fldCharType="separate"/>
        </w:r>
        <w:r w:rsidR="004B22D0">
          <w:rPr>
            <w:noProof/>
            <w:webHidden/>
          </w:rPr>
          <w:t>8</w:t>
        </w:r>
        <w:r>
          <w:rPr>
            <w:noProof/>
            <w:webHidden/>
          </w:rPr>
          <w:fldChar w:fldCharType="end"/>
        </w:r>
      </w:hyperlink>
    </w:p>
    <w:p w:rsidR="00E52851" w:rsidRDefault="00E52851" w14:paraId="277ACBF2" w14:textId="27FBCE31">
      <w:pPr>
        <w:pStyle w:val="TOC2"/>
        <w:tabs>
          <w:tab w:val="left" w:pos="880"/>
          <w:tab w:val="right" w:leader="dot" w:pos="9016"/>
        </w:tabs>
        <w:rPr>
          <w:rFonts w:eastAsiaTheme="minorEastAsia"/>
          <w:noProof/>
          <w:kern w:val="2"/>
          <w:sz w:val="24"/>
          <w:szCs w:val="24"/>
          <w:lang w:eastAsia="en-AU"/>
          <w14:ligatures w14:val="standardContextual"/>
        </w:rPr>
      </w:pPr>
      <w:hyperlink w:history="1" w:anchor="_Toc222833857">
        <w:r w:rsidRPr="00BB4826">
          <w:rPr>
            <w:rStyle w:val="Hyperlink"/>
            <w:noProof/>
          </w:rPr>
          <w:t>2.5</w:t>
        </w:r>
        <w:r>
          <w:rPr>
            <w:rFonts w:eastAsiaTheme="minorEastAsia"/>
            <w:noProof/>
            <w:kern w:val="2"/>
            <w:sz w:val="24"/>
            <w:szCs w:val="24"/>
            <w:lang w:eastAsia="en-AU"/>
            <w14:ligatures w14:val="standardContextual"/>
          </w:rPr>
          <w:tab/>
        </w:r>
        <w:r w:rsidRPr="00BB4826">
          <w:rPr>
            <w:rStyle w:val="Hyperlink"/>
            <w:noProof/>
          </w:rPr>
          <w:t>Related documents</w:t>
        </w:r>
        <w:r>
          <w:rPr>
            <w:noProof/>
            <w:webHidden/>
          </w:rPr>
          <w:tab/>
        </w:r>
        <w:r>
          <w:rPr>
            <w:noProof/>
            <w:webHidden/>
          </w:rPr>
          <w:fldChar w:fldCharType="begin"/>
        </w:r>
        <w:r>
          <w:rPr>
            <w:noProof/>
            <w:webHidden/>
          </w:rPr>
          <w:instrText xml:space="preserve"> PAGEREF _Toc222833857 \h </w:instrText>
        </w:r>
        <w:r>
          <w:rPr>
            <w:noProof/>
            <w:webHidden/>
          </w:rPr>
        </w:r>
        <w:r>
          <w:rPr>
            <w:noProof/>
            <w:webHidden/>
          </w:rPr>
          <w:fldChar w:fldCharType="separate"/>
        </w:r>
        <w:r w:rsidR="004B22D0">
          <w:rPr>
            <w:noProof/>
            <w:webHidden/>
          </w:rPr>
          <w:t>8</w:t>
        </w:r>
        <w:r>
          <w:rPr>
            <w:noProof/>
            <w:webHidden/>
          </w:rPr>
          <w:fldChar w:fldCharType="end"/>
        </w:r>
      </w:hyperlink>
    </w:p>
    <w:p w:rsidR="00E52851" w:rsidRDefault="00E52851" w14:paraId="2CEEDA95" w14:textId="6D2A6028">
      <w:pPr>
        <w:pStyle w:val="TOC2"/>
        <w:tabs>
          <w:tab w:val="left" w:pos="880"/>
          <w:tab w:val="right" w:leader="dot" w:pos="9016"/>
        </w:tabs>
        <w:rPr>
          <w:rFonts w:eastAsiaTheme="minorEastAsia"/>
          <w:noProof/>
          <w:kern w:val="2"/>
          <w:sz w:val="24"/>
          <w:szCs w:val="24"/>
          <w:lang w:eastAsia="en-AU"/>
          <w14:ligatures w14:val="standardContextual"/>
        </w:rPr>
      </w:pPr>
      <w:hyperlink w:history="1" w:anchor="_Toc222833858">
        <w:r w:rsidRPr="00BB4826">
          <w:rPr>
            <w:rStyle w:val="Hyperlink"/>
            <w:noProof/>
          </w:rPr>
          <w:t>2.6</w:t>
        </w:r>
        <w:r>
          <w:rPr>
            <w:rFonts w:eastAsiaTheme="minorEastAsia"/>
            <w:noProof/>
            <w:kern w:val="2"/>
            <w:sz w:val="24"/>
            <w:szCs w:val="24"/>
            <w:lang w:eastAsia="en-AU"/>
            <w14:ligatures w14:val="standardContextual"/>
          </w:rPr>
          <w:tab/>
        </w:r>
        <w:r w:rsidRPr="00BB4826">
          <w:rPr>
            <w:rStyle w:val="Hyperlink"/>
            <w:noProof/>
          </w:rPr>
          <w:t>Freedom of Information Act 1982</w:t>
        </w:r>
        <w:r>
          <w:rPr>
            <w:noProof/>
            <w:webHidden/>
          </w:rPr>
          <w:tab/>
        </w:r>
        <w:r>
          <w:rPr>
            <w:noProof/>
            <w:webHidden/>
          </w:rPr>
          <w:fldChar w:fldCharType="begin"/>
        </w:r>
        <w:r>
          <w:rPr>
            <w:noProof/>
            <w:webHidden/>
          </w:rPr>
          <w:instrText xml:space="preserve"> PAGEREF _Toc222833858 \h </w:instrText>
        </w:r>
        <w:r>
          <w:rPr>
            <w:noProof/>
            <w:webHidden/>
          </w:rPr>
        </w:r>
        <w:r>
          <w:rPr>
            <w:noProof/>
            <w:webHidden/>
          </w:rPr>
          <w:fldChar w:fldCharType="separate"/>
        </w:r>
        <w:r w:rsidR="004B22D0">
          <w:rPr>
            <w:noProof/>
            <w:webHidden/>
          </w:rPr>
          <w:t>9</w:t>
        </w:r>
        <w:r>
          <w:rPr>
            <w:noProof/>
            <w:webHidden/>
          </w:rPr>
          <w:fldChar w:fldCharType="end"/>
        </w:r>
      </w:hyperlink>
    </w:p>
    <w:p w:rsidR="00E52851" w:rsidRDefault="00E52851" w14:paraId="62444D89" w14:textId="5D510FF0">
      <w:pPr>
        <w:pStyle w:val="TOC2"/>
        <w:tabs>
          <w:tab w:val="left" w:pos="880"/>
          <w:tab w:val="right" w:leader="dot" w:pos="9016"/>
        </w:tabs>
        <w:rPr>
          <w:rFonts w:eastAsiaTheme="minorEastAsia"/>
          <w:noProof/>
          <w:kern w:val="2"/>
          <w:sz w:val="24"/>
          <w:szCs w:val="24"/>
          <w:lang w:eastAsia="en-AU"/>
          <w14:ligatures w14:val="standardContextual"/>
        </w:rPr>
      </w:pPr>
      <w:hyperlink w:history="1" w:anchor="_Toc222833859">
        <w:r w:rsidRPr="00BB4826">
          <w:rPr>
            <w:rStyle w:val="Hyperlink"/>
            <w:noProof/>
          </w:rPr>
          <w:t>2.7</w:t>
        </w:r>
        <w:r>
          <w:rPr>
            <w:rFonts w:eastAsiaTheme="minorEastAsia"/>
            <w:noProof/>
            <w:kern w:val="2"/>
            <w:sz w:val="24"/>
            <w:szCs w:val="24"/>
            <w:lang w:eastAsia="en-AU"/>
            <w14:ligatures w14:val="standardContextual"/>
          </w:rPr>
          <w:tab/>
        </w:r>
        <w:r w:rsidRPr="00BB4826">
          <w:rPr>
            <w:rStyle w:val="Hyperlink"/>
            <w:noProof/>
          </w:rPr>
          <w:t>Verification material</w:t>
        </w:r>
        <w:r>
          <w:rPr>
            <w:noProof/>
            <w:webHidden/>
          </w:rPr>
          <w:tab/>
        </w:r>
        <w:r>
          <w:rPr>
            <w:noProof/>
            <w:webHidden/>
          </w:rPr>
          <w:fldChar w:fldCharType="begin"/>
        </w:r>
        <w:r>
          <w:rPr>
            <w:noProof/>
            <w:webHidden/>
          </w:rPr>
          <w:instrText xml:space="preserve"> PAGEREF _Toc222833859 \h </w:instrText>
        </w:r>
        <w:r>
          <w:rPr>
            <w:noProof/>
            <w:webHidden/>
          </w:rPr>
        </w:r>
        <w:r>
          <w:rPr>
            <w:noProof/>
            <w:webHidden/>
          </w:rPr>
          <w:fldChar w:fldCharType="separate"/>
        </w:r>
        <w:r w:rsidR="004B22D0">
          <w:rPr>
            <w:noProof/>
            <w:webHidden/>
          </w:rPr>
          <w:t>9</w:t>
        </w:r>
        <w:r>
          <w:rPr>
            <w:noProof/>
            <w:webHidden/>
          </w:rPr>
          <w:fldChar w:fldCharType="end"/>
        </w:r>
      </w:hyperlink>
    </w:p>
    <w:p w:rsidR="00E52851" w:rsidRDefault="00E52851" w14:paraId="715F5E94" w14:textId="0D86B8AB">
      <w:pPr>
        <w:pStyle w:val="TOC2"/>
        <w:tabs>
          <w:tab w:val="left" w:pos="880"/>
          <w:tab w:val="right" w:leader="dot" w:pos="9016"/>
        </w:tabs>
        <w:rPr>
          <w:rFonts w:eastAsiaTheme="minorEastAsia"/>
          <w:noProof/>
          <w:kern w:val="2"/>
          <w:sz w:val="24"/>
          <w:szCs w:val="24"/>
          <w:lang w:eastAsia="en-AU"/>
          <w14:ligatures w14:val="standardContextual"/>
        </w:rPr>
      </w:pPr>
      <w:hyperlink w:history="1" w:anchor="_Toc222833860">
        <w:r w:rsidRPr="00BB4826">
          <w:rPr>
            <w:rStyle w:val="Hyperlink"/>
            <w:noProof/>
          </w:rPr>
          <w:t>2.8</w:t>
        </w:r>
        <w:r>
          <w:rPr>
            <w:rFonts w:eastAsiaTheme="minorEastAsia"/>
            <w:noProof/>
            <w:kern w:val="2"/>
            <w:sz w:val="24"/>
            <w:szCs w:val="24"/>
            <w:lang w:eastAsia="en-AU"/>
            <w14:ligatures w14:val="standardContextual"/>
          </w:rPr>
          <w:tab/>
        </w:r>
        <w:r w:rsidRPr="00BB4826">
          <w:rPr>
            <w:rStyle w:val="Hyperlink"/>
            <w:noProof/>
          </w:rPr>
          <w:t>Contact details</w:t>
        </w:r>
        <w:r>
          <w:rPr>
            <w:noProof/>
            <w:webHidden/>
          </w:rPr>
          <w:tab/>
        </w:r>
        <w:r>
          <w:rPr>
            <w:noProof/>
            <w:webHidden/>
          </w:rPr>
          <w:fldChar w:fldCharType="begin"/>
        </w:r>
        <w:r>
          <w:rPr>
            <w:noProof/>
            <w:webHidden/>
          </w:rPr>
          <w:instrText xml:space="preserve"> PAGEREF _Toc222833860 \h </w:instrText>
        </w:r>
        <w:r>
          <w:rPr>
            <w:noProof/>
            <w:webHidden/>
          </w:rPr>
        </w:r>
        <w:r>
          <w:rPr>
            <w:noProof/>
            <w:webHidden/>
          </w:rPr>
          <w:fldChar w:fldCharType="separate"/>
        </w:r>
        <w:r w:rsidR="004B22D0">
          <w:rPr>
            <w:noProof/>
            <w:webHidden/>
          </w:rPr>
          <w:t>9</w:t>
        </w:r>
        <w:r>
          <w:rPr>
            <w:noProof/>
            <w:webHidden/>
          </w:rPr>
          <w:fldChar w:fldCharType="end"/>
        </w:r>
      </w:hyperlink>
    </w:p>
    <w:p w:rsidR="00E52851" w:rsidRDefault="00E52851" w14:paraId="72BC3D7D" w14:textId="061171F9">
      <w:pPr>
        <w:pStyle w:val="TOC1"/>
        <w:rPr>
          <w:rFonts w:eastAsiaTheme="minorEastAsia"/>
          <w:noProof/>
          <w:kern w:val="2"/>
          <w:sz w:val="24"/>
          <w:szCs w:val="24"/>
          <w:lang w:eastAsia="en-AU"/>
          <w14:ligatures w14:val="standardContextual"/>
        </w:rPr>
      </w:pPr>
      <w:hyperlink w:history="1" w:anchor="_Toc222833861">
        <w:r w:rsidRPr="00BB4826">
          <w:rPr>
            <w:rStyle w:val="Hyperlink"/>
            <w:noProof/>
          </w:rPr>
          <w:t>3</w:t>
        </w:r>
        <w:r>
          <w:rPr>
            <w:rFonts w:eastAsiaTheme="minorEastAsia"/>
            <w:noProof/>
            <w:kern w:val="2"/>
            <w:sz w:val="24"/>
            <w:szCs w:val="24"/>
            <w:lang w:eastAsia="en-AU"/>
            <w14:ligatures w14:val="standardContextual"/>
          </w:rPr>
          <w:tab/>
        </w:r>
        <w:r w:rsidRPr="00BB4826">
          <w:rPr>
            <w:rStyle w:val="Hyperlink"/>
            <w:noProof/>
          </w:rPr>
          <w:t>Definition of research and experimental development</w:t>
        </w:r>
        <w:r>
          <w:rPr>
            <w:noProof/>
            <w:webHidden/>
          </w:rPr>
          <w:tab/>
        </w:r>
        <w:r>
          <w:rPr>
            <w:noProof/>
            <w:webHidden/>
          </w:rPr>
          <w:fldChar w:fldCharType="begin"/>
        </w:r>
        <w:r>
          <w:rPr>
            <w:noProof/>
            <w:webHidden/>
          </w:rPr>
          <w:instrText xml:space="preserve"> PAGEREF _Toc222833861 \h </w:instrText>
        </w:r>
        <w:r>
          <w:rPr>
            <w:noProof/>
            <w:webHidden/>
          </w:rPr>
        </w:r>
        <w:r>
          <w:rPr>
            <w:noProof/>
            <w:webHidden/>
          </w:rPr>
          <w:fldChar w:fldCharType="separate"/>
        </w:r>
        <w:r w:rsidR="004B22D0">
          <w:rPr>
            <w:noProof/>
            <w:webHidden/>
          </w:rPr>
          <w:t>10</w:t>
        </w:r>
        <w:r>
          <w:rPr>
            <w:noProof/>
            <w:webHidden/>
          </w:rPr>
          <w:fldChar w:fldCharType="end"/>
        </w:r>
      </w:hyperlink>
    </w:p>
    <w:p w:rsidR="00E52851" w:rsidRDefault="00E52851" w14:paraId="3A8FC9A4" w14:textId="5AAD60DA">
      <w:pPr>
        <w:pStyle w:val="TOC2"/>
        <w:tabs>
          <w:tab w:val="left" w:pos="880"/>
          <w:tab w:val="right" w:leader="dot" w:pos="9016"/>
        </w:tabs>
        <w:rPr>
          <w:rFonts w:eastAsiaTheme="minorEastAsia"/>
          <w:noProof/>
          <w:kern w:val="2"/>
          <w:sz w:val="24"/>
          <w:szCs w:val="24"/>
          <w:lang w:eastAsia="en-AU"/>
          <w14:ligatures w14:val="standardContextual"/>
        </w:rPr>
      </w:pPr>
      <w:hyperlink w:history="1" w:anchor="_Toc222833862">
        <w:r w:rsidRPr="00BB4826">
          <w:rPr>
            <w:rStyle w:val="Hyperlink"/>
            <w:noProof/>
          </w:rPr>
          <w:t>3.1</w:t>
        </w:r>
        <w:r>
          <w:rPr>
            <w:rFonts w:eastAsiaTheme="minorEastAsia"/>
            <w:noProof/>
            <w:kern w:val="2"/>
            <w:sz w:val="24"/>
            <w:szCs w:val="24"/>
            <w:lang w:eastAsia="en-AU"/>
            <w14:ligatures w14:val="standardContextual"/>
          </w:rPr>
          <w:tab/>
        </w:r>
        <w:r w:rsidRPr="00BB4826">
          <w:rPr>
            <w:rStyle w:val="Hyperlink"/>
            <w:noProof/>
          </w:rPr>
          <w:t>Inclusions and exclusions</w:t>
        </w:r>
        <w:r>
          <w:rPr>
            <w:noProof/>
            <w:webHidden/>
          </w:rPr>
          <w:tab/>
        </w:r>
        <w:r>
          <w:rPr>
            <w:noProof/>
            <w:webHidden/>
          </w:rPr>
          <w:fldChar w:fldCharType="begin"/>
        </w:r>
        <w:r>
          <w:rPr>
            <w:noProof/>
            <w:webHidden/>
          </w:rPr>
          <w:instrText xml:space="preserve"> PAGEREF _Toc222833862 \h </w:instrText>
        </w:r>
        <w:r>
          <w:rPr>
            <w:noProof/>
            <w:webHidden/>
          </w:rPr>
        </w:r>
        <w:r>
          <w:rPr>
            <w:noProof/>
            <w:webHidden/>
          </w:rPr>
          <w:fldChar w:fldCharType="separate"/>
        </w:r>
        <w:r w:rsidR="004B22D0">
          <w:rPr>
            <w:noProof/>
            <w:webHidden/>
          </w:rPr>
          <w:t>11</w:t>
        </w:r>
        <w:r>
          <w:rPr>
            <w:noProof/>
            <w:webHidden/>
          </w:rPr>
          <w:fldChar w:fldCharType="end"/>
        </w:r>
      </w:hyperlink>
    </w:p>
    <w:p w:rsidR="00E52851" w:rsidRDefault="00E52851" w14:paraId="39375B57" w14:textId="0DD481C4">
      <w:pPr>
        <w:pStyle w:val="TOC3"/>
        <w:tabs>
          <w:tab w:val="left" w:pos="1200"/>
          <w:tab w:val="right" w:leader="dot" w:pos="9016"/>
        </w:tabs>
        <w:rPr>
          <w:rFonts w:eastAsiaTheme="minorEastAsia"/>
          <w:noProof/>
          <w:kern w:val="2"/>
          <w:sz w:val="24"/>
          <w:szCs w:val="24"/>
          <w:lang w:eastAsia="en-AU"/>
          <w14:ligatures w14:val="standardContextual"/>
        </w:rPr>
      </w:pPr>
      <w:hyperlink w:history="1" w:anchor="_Toc222833863">
        <w:r w:rsidRPr="00BB4826">
          <w:rPr>
            <w:rStyle w:val="Hyperlink"/>
            <w:noProof/>
          </w:rPr>
          <w:t>3.1.1</w:t>
        </w:r>
        <w:r>
          <w:rPr>
            <w:rFonts w:eastAsiaTheme="minorEastAsia"/>
            <w:noProof/>
            <w:kern w:val="2"/>
            <w:sz w:val="24"/>
            <w:szCs w:val="24"/>
            <w:lang w:eastAsia="en-AU"/>
            <w14:ligatures w14:val="standardContextual"/>
          </w:rPr>
          <w:tab/>
        </w:r>
        <w:r w:rsidRPr="00BB4826">
          <w:rPr>
            <w:rStyle w:val="Hyperlink"/>
            <w:noProof/>
          </w:rPr>
          <w:t>Examples of activities that meet the definition of R&amp;D include:</w:t>
        </w:r>
        <w:r>
          <w:rPr>
            <w:noProof/>
            <w:webHidden/>
          </w:rPr>
          <w:tab/>
        </w:r>
        <w:r>
          <w:rPr>
            <w:noProof/>
            <w:webHidden/>
          </w:rPr>
          <w:fldChar w:fldCharType="begin"/>
        </w:r>
        <w:r>
          <w:rPr>
            <w:noProof/>
            <w:webHidden/>
          </w:rPr>
          <w:instrText xml:space="preserve"> PAGEREF _Toc222833863 \h </w:instrText>
        </w:r>
        <w:r>
          <w:rPr>
            <w:noProof/>
            <w:webHidden/>
          </w:rPr>
        </w:r>
        <w:r>
          <w:rPr>
            <w:noProof/>
            <w:webHidden/>
          </w:rPr>
          <w:fldChar w:fldCharType="separate"/>
        </w:r>
        <w:r w:rsidR="004B22D0">
          <w:rPr>
            <w:noProof/>
            <w:webHidden/>
          </w:rPr>
          <w:t>11</w:t>
        </w:r>
        <w:r>
          <w:rPr>
            <w:noProof/>
            <w:webHidden/>
          </w:rPr>
          <w:fldChar w:fldCharType="end"/>
        </w:r>
      </w:hyperlink>
    </w:p>
    <w:p w:rsidR="00E52851" w:rsidRDefault="00E52851" w14:paraId="1BB7EC61" w14:textId="352C23A7">
      <w:pPr>
        <w:pStyle w:val="TOC3"/>
        <w:tabs>
          <w:tab w:val="left" w:pos="1200"/>
          <w:tab w:val="right" w:leader="dot" w:pos="9016"/>
        </w:tabs>
        <w:rPr>
          <w:rFonts w:eastAsiaTheme="minorEastAsia"/>
          <w:noProof/>
          <w:kern w:val="2"/>
          <w:sz w:val="24"/>
          <w:szCs w:val="24"/>
          <w:lang w:eastAsia="en-AU"/>
          <w14:ligatures w14:val="standardContextual"/>
        </w:rPr>
      </w:pPr>
      <w:hyperlink w:history="1" w:anchor="_Toc222833864">
        <w:r w:rsidRPr="00BB4826">
          <w:rPr>
            <w:rStyle w:val="Hyperlink"/>
            <w:noProof/>
          </w:rPr>
          <w:t>3.1.2</w:t>
        </w:r>
        <w:r>
          <w:rPr>
            <w:rFonts w:eastAsiaTheme="minorEastAsia"/>
            <w:noProof/>
            <w:kern w:val="2"/>
            <w:sz w:val="24"/>
            <w:szCs w:val="24"/>
            <w:lang w:eastAsia="en-AU"/>
            <w14:ligatures w14:val="standardContextual"/>
          </w:rPr>
          <w:tab/>
        </w:r>
        <w:r w:rsidRPr="00BB4826">
          <w:rPr>
            <w:rStyle w:val="Hyperlink"/>
            <w:noProof/>
          </w:rPr>
          <w:t>Examples of activities that do not meet the definition of R&amp;D include:</w:t>
        </w:r>
        <w:r>
          <w:rPr>
            <w:noProof/>
            <w:webHidden/>
          </w:rPr>
          <w:tab/>
        </w:r>
        <w:r>
          <w:rPr>
            <w:noProof/>
            <w:webHidden/>
          </w:rPr>
          <w:fldChar w:fldCharType="begin"/>
        </w:r>
        <w:r>
          <w:rPr>
            <w:noProof/>
            <w:webHidden/>
          </w:rPr>
          <w:instrText xml:space="preserve"> PAGEREF _Toc222833864 \h </w:instrText>
        </w:r>
        <w:r>
          <w:rPr>
            <w:noProof/>
            <w:webHidden/>
          </w:rPr>
        </w:r>
        <w:r>
          <w:rPr>
            <w:noProof/>
            <w:webHidden/>
          </w:rPr>
          <w:fldChar w:fldCharType="separate"/>
        </w:r>
        <w:r w:rsidR="004B22D0">
          <w:rPr>
            <w:noProof/>
            <w:webHidden/>
          </w:rPr>
          <w:t>11</w:t>
        </w:r>
        <w:r>
          <w:rPr>
            <w:noProof/>
            <w:webHidden/>
          </w:rPr>
          <w:fldChar w:fldCharType="end"/>
        </w:r>
      </w:hyperlink>
    </w:p>
    <w:p w:rsidR="00E52851" w:rsidRDefault="00E52851" w14:paraId="79F3FB8F" w14:textId="0845578D">
      <w:pPr>
        <w:pStyle w:val="TOC1"/>
        <w:rPr>
          <w:rFonts w:eastAsiaTheme="minorEastAsia"/>
          <w:noProof/>
          <w:kern w:val="2"/>
          <w:sz w:val="24"/>
          <w:szCs w:val="24"/>
          <w:lang w:eastAsia="en-AU"/>
          <w14:ligatures w14:val="standardContextual"/>
        </w:rPr>
      </w:pPr>
      <w:hyperlink w:history="1" w:anchor="_Toc222833865">
        <w:r w:rsidRPr="00BB4826">
          <w:rPr>
            <w:rStyle w:val="Hyperlink"/>
            <w:noProof/>
          </w:rPr>
          <w:t>4</w:t>
        </w:r>
        <w:r>
          <w:rPr>
            <w:rFonts w:eastAsiaTheme="minorEastAsia"/>
            <w:noProof/>
            <w:kern w:val="2"/>
            <w:sz w:val="24"/>
            <w:szCs w:val="24"/>
            <w:lang w:eastAsia="en-AU"/>
            <w14:ligatures w14:val="standardContextual"/>
          </w:rPr>
          <w:tab/>
        </w:r>
        <w:r w:rsidRPr="00BB4826">
          <w:rPr>
            <w:rStyle w:val="Hyperlink"/>
            <w:noProof/>
          </w:rPr>
          <w:t>Categories 1 to 4 R&amp;D income requirements</w:t>
        </w:r>
        <w:r>
          <w:rPr>
            <w:noProof/>
            <w:webHidden/>
          </w:rPr>
          <w:tab/>
        </w:r>
        <w:r>
          <w:rPr>
            <w:noProof/>
            <w:webHidden/>
          </w:rPr>
          <w:fldChar w:fldCharType="begin"/>
        </w:r>
        <w:r>
          <w:rPr>
            <w:noProof/>
            <w:webHidden/>
          </w:rPr>
          <w:instrText xml:space="preserve"> PAGEREF _Toc222833865 \h </w:instrText>
        </w:r>
        <w:r>
          <w:rPr>
            <w:noProof/>
            <w:webHidden/>
          </w:rPr>
        </w:r>
        <w:r>
          <w:rPr>
            <w:noProof/>
            <w:webHidden/>
          </w:rPr>
          <w:fldChar w:fldCharType="separate"/>
        </w:r>
        <w:r w:rsidR="004B22D0">
          <w:rPr>
            <w:noProof/>
            <w:webHidden/>
          </w:rPr>
          <w:t>13</w:t>
        </w:r>
        <w:r>
          <w:rPr>
            <w:noProof/>
            <w:webHidden/>
          </w:rPr>
          <w:fldChar w:fldCharType="end"/>
        </w:r>
      </w:hyperlink>
    </w:p>
    <w:p w:rsidR="00E52851" w:rsidRDefault="00E52851" w14:paraId="2006913D" w14:textId="1484B87A">
      <w:pPr>
        <w:pStyle w:val="TOC2"/>
        <w:tabs>
          <w:tab w:val="left" w:pos="880"/>
          <w:tab w:val="right" w:leader="dot" w:pos="9016"/>
        </w:tabs>
        <w:rPr>
          <w:rFonts w:eastAsiaTheme="minorEastAsia"/>
          <w:noProof/>
          <w:kern w:val="2"/>
          <w:sz w:val="24"/>
          <w:szCs w:val="24"/>
          <w:lang w:eastAsia="en-AU"/>
          <w14:ligatures w14:val="standardContextual"/>
        </w:rPr>
      </w:pPr>
      <w:hyperlink w:history="1" w:anchor="_Toc222833866">
        <w:r w:rsidRPr="00BB4826">
          <w:rPr>
            <w:rStyle w:val="Hyperlink"/>
            <w:noProof/>
          </w:rPr>
          <w:t>4.1</w:t>
        </w:r>
        <w:r>
          <w:rPr>
            <w:rFonts w:eastAsiaTheme="minorEastAsia"/>
            <w:noProof/>
            <w:kern w:val="2"/>
            <w:sz w:val="24"/>
            <w:szCs w:val="24"/>
            <w:lang w:eastAsia="en-AU"/>
            <w14:ligatures w14:val="standardContextual"/>
          </w:rPr>
          <w:tab/>
        </w:r>
        <w:r w:rsidRPr="00BB4826">
          <w:rPr>
            <w:rStyle w:val="Hyperlink"/>
            <w:noProof/>
          </w:rPr>
          <w:t>General requirements</w:t>
        </w:r>
        <w:r>
          <w:rPr>
            <w:noProof/>
            <w:webHidden/>
          </w:rPr>
          <w:tab/>
        </w:r>
        <w:r>
          <w:rPr>
            <w:noProof/>
            <w:webHidden/>
          </w:rPr>
          <w:fldChar w:fldCharType="begin"/>
        </w:r>
        <w:r>
          <w:rPr>
            <w:noProof/>
            <w:webHidden/>
          </w:rPr>
          <w:instrText xml:space="preserve"> PAGEREF _Toc222833866 \h </w:instrText>
        </w:r>
        <w:r>
          <w:rPr>
            <w:noProof/>
            <w:webHidden/>
          </w:rPr>
        </w:r>
        <w:r>
          <w:rPr>
            <w:noProof/>
            <w:webHidden/>
          </w:rPr>
          <w:fldChar w:fldCharType="separate"/>
        </w:r>
        <w:r w:rsidR="004B22D0">
          <w:rPr>
            <w:noProof/>
            <w:webHidden/>
          </w:rPr>
          <w:t>13</w:t>
        </w:r>
        <w:r>
          <w:rPr>
            <w:noProof/>
            <w:webHidden/>
          </w:rPr>
          <w:fldChar w:fldCharType="end"/>
        </w:r>
      </w:hyperlink>
    </w:p>
    <w:p w:rsidR="00E52851" w:rsidRDefault="00E52851" w14:paraId="36FEA767" w14:textId="725E60E0">
      <w:pPr>
        <w:pStyle w:val="TOC2"/>
        <w:tabs>
          <w:tab w:val="left" w:pos="880"/>
          <w:tab w:val="right" w:leader="dot" w:pos="9016"/>
        </w:tabs>
        <w:rPr>
          <w:rFonts w:eastAsiaTheme="minorEastAsia"/>
          <w:noProof/>
          <w:kern w:val="2"/>
          <w:sz w:val="24"/>
          <w:szCs w:val="24"/>
          <w:lang w:eastAsia="en-AU"/>
          <w14:ligatures w14:val="standardContextual"/>
        </w:rPr>
      </w:pPr>
      <w:hyperlink w:history="1" w:anchor="_Toc222833867">
        <w:r w:rsidRPr="00BB4826">
          <w:rPr>
            <w:rStyle w:val="Hyperlink"/>
            <w:rFonts w:eastAsia="Times New Roman"/>
            <w:noProof/>
          </w:rPr>
          <w:t>4.2</w:t>
        </w:r>
        <w:r>
          <w:rPr>
            <w:rFonts w:eastAsiaTheme="minorEastAsia"/>
            <w:noProof/>
            <w:kern w:val="2"/>
            <w:sz w:val="24"/>
            <w:szCs w:val="24"/>
            <w:lang w:eastAsia="en-AU"/>
            <w14:ligatures w14:val="standardContextual"/>
          </w:rPr>
          <w:tab/>
        </w:r>
        <w:r w:rsidRPr="00BB4826">
          <w:rPr>
            <w:rStyle w:val="Hyperlink"/>
            <w:rFonts w:eastAsia="Times New Roman"/>
            <w:noProof/>
          </w:rPr>
          <w:t>Inclusions and exclusions</w:t>
        </w:r>
        <w:r>
          <w:rPr>
            <w:noProof/>
            <w:webHidden/>
          </w:rPr>
          <w:tab/>
        </w:r>
        <w:r>
          <w:rPr>
            <w:noProof/>
            <w:webHidden/>
          </w:rPr>
          <w:fldChar w:fldCharType="begin"/>
        </w:r>
        <w:r>
          <w:rPr>
            <w:noProof/>
            <w:webHidden/>
          </w:rPr>
          <w:instrText xml:space="preserve"> PAGEREF _Toc222833867 \h </w:instrText>
        </w:r>
        <w:r>
          <w:rPr>
            <w:noProof/>
            <w:webHidden/>
          </w:rPr>
        </w:r>
        <w:r>
          <w:rPr>
            <w:noProof/>
            <w:webHidden/>
          </w:rPr>
          <w:fldChar w:fldCharType="separate"/>
        </w:r>
        <w:r w:rsidR="004B22D0">
          <w:rPr>
            <w:noProof/>
            <w:webHidden/>
          </w:rPr>
          <w:t>13</w:t>
        </w:r>
        <w:r>
          <w:rPr>
            <w:noProof/>
            <w:webHidden/>
          </w:rPr>
          <w:fldChar w:fldCharType="end"/>
        </w:r>
      </w:hyperlink>
    </w:p>
    <w:p w:rsidR="00E52851" w:rsidRDefault="00E52851" w14:paraId="6268F6E1" w14:textId="7E9B405A">
      <w:pPr>
        <w:pStyle w:val="TOC3"/>
        <w:tabs>
          <w:tab w:val="left" w:pos="1200"/>
          <w:tab w:val="right" w:leader="dot" w:pos="9016"/>
        </w:tabs>
        <w:rPr>
          <w:rFonts w:eastAsiaTheme="minorEastAsia"/>
          <w:noProof/>
          <w:kern w:val="2"/>
          <w:sz w:val="24"/>
          <w:szCs w:val="24"/>
          <w:lang w:eastAsia="en-AU"/>
          <w14:ligatures w14:val="standardContextual"/>
        </w:rPr>
      </w:pPr>
      <w:hyperlink w:history="1" w:anchor="_Toc222833868">
        <w:r w:rsidRPr="00BB4826">
          <w:rPr>
            <w:rStyle w:val="Hyperlink"/>
            <w:rFonts w:eastAsia="Times New Roman"/>
            <w:noProof/>
          </w:rPr>
          <w:t>4.2.1</w:t>
        </w:r>
        <w:r>
          <w:rPr>
            <w:rFonts w:eastAsiaTheme="minorEastAsia"/>
            <w:noProof/>
            <w:kern w:val="2"/>
            <w:sz w:val="24"/>
            <w:szCs w:val="24"/>
            <w:lang w:eastAsia="en-AU"/>
            <w14:ligatures w14:val="standardContextual"/>
          </w:rPr>
          <w:tab/>
        </w:r>
        <w:r w:rsidRPr="00BB4826">
          <w:rPr>
            <w:rStyle w:val="Hyperlink"/>
            <w:rFonts w:eastAsia="Times New Roman"/>
            <w:noProof/>
          </w:rPr>
          <w:t>Net receipted income that can be included in the R&amp;D income return comprises:</w:t>
        </w:r>
        <w:r>
          <w:rPr>
            <w:noProof/>
            <w:webHidden/>
          </w:rPr>
          <w:tab/>
        </w:r>
        <w:r>
          <w:rPr>
            <w:noProof/>
            <w:webHidden/>
          </w:rPr>
          <w:fldChar w:fldCharType="begin"/>
        </w:r>
        <w:r>
          <w:rPr>
            <w:noProof/>
            <w:webHidden/>
          </w:rPr>
          <w:instrText xml:space="preserve"> PAGEREF _Toc222833868 \h </w:instrText>
        </w:r>
        <w:r>
          <w:rPr>
            <w:noProof/>
            <w:webHidden/>
          </w:rPr>
        </w:r>
        <w:r>
          <w:rPr>
            <w:noProof/>
            <w:webHidden/>
          </w:rPr>
          <w:fldChar w:fldCharType="separate"/>
        </w:r>
        <w:r w:rsidR="004B22D0">
          <w:rPr>
            <w:noProof/>
            <w:webHidden/>
          </w:rPr>
          <w:t>13</w:t>
        </w:r>
        <w:r>
          <w:rPr>
            <w:noProof/>
            <w:webHidden/>
          </w:rPr>
          <w:fldChar w:fldCharType="end"/>
        </w:r>
      </w:hyperlink>
    </w:p>
    <w:p w:rsidR="00E52851" w:rsidRDefault="00E52851" w14:paraId="6FD3F51F" w14:textId="28C5F071">
      <w:pPr>
        <w:pStyle w:val="TOC3"/>
        <w:tabs>
          <w:tab w:val="left" w:pos="1200"/>
          <w:tab w:val="right" w:leader="dot" w:pos="9016"/>
        </w:tabs>
        <w:rPr>
          <w:rFonts w:eastAsiaTheme="minorEastAsia"/>
          <w:noProof/>
          <w:kern w:val="2"/>
          <w:sz w:val="24"/>
          <w:szCs w:val="24"/>
          <w:lang w:eastAsia="en-AU"/>
          <w14:ligatures w14:val="standardContextual"/>
        </w:rPr>
      </w:pPr>
      <w:hyperlink w:history="1" w:anchor="_Toc222833869">
        <w:r w:rsidRPr="00BB4826">
          <w:rPr>
            <w:rStyle w:val="Hyperlink"/>
            <w:rFonts w:eastAsia="Times New Roman"/>
            <w:noProof/>
          </w:rPr>
          <w:t>4.2.2</w:t>
        </w:r>
        <w:r>
          <w:rPr>
            <w:rFonts w:eastAsiaTheme="minorEastAsia"/>
            <w:noProof/>
            <w:kern w:val="2"/>
            <w:sz w:val="24"/>
            <w:szCs w:val="24"/>
            <w:lang w:eastAsia="en-AU"/>
            <w14:ligatures w14:val="standardContextual"/>
          </w:rPr>
          <w:tab/>
        </w:r>
        <w:r w:rsidRPr="00BB4826">
          <w:rPr>
            <w:rStyle w:val="Hyperlink"/>
            <w:rFonts w:eastAsia="Times New Roman"/>
            <w:noProof/>
          </w:rPr>
          <w:t>R&amp;D income that is excluded from the R&amp;D income return comprises:</w:t>
        </w:r>
        <w:r>
          <w:rPr>
            <w:noProof/>
            <w:webHidden/>
          </w:rPr>
          <w:tab/>
        </w:r>
        <w:r>
          <w:rPr>
            <w:noProof/>
            <w:webHidden/>
          </w:rPr>
          <w:fldChar w:fldCharType="begin"/>
        </w:r>
        <w:r>
          <w:rPr>
            <w:noProof/>
            <w:webHidden/>
          </w:rPr>
          <w:instrText xml:space="preserve"> PAGEREF _Toc222833869 \h </w:instrText>
        </w:r>
        <w:r>
          <w:rPr>
            <w:noProof/>
            <w:webHidden/>
          </w:rPr>
        </w:r>
        <w:r>
          <w:rPr>
            <w:noProof/>
            <w:webHidden/>
          </w:rPr>
          <w:fldChar w:fldCharType="separate"/>
        </w:r>
        <w:r w:rsidR="004B22D0">
          <w:rPr>
            <w:noProof/>
            <w:webHidden/>
          </w:rPr>
          <w:t>14</w:t>
        </w:r>
        <w:r>
          <w:rPr>
            <w:noProof/>
            <w:webHidden/>
          </w:rPr>
          <w:fldChar w:fldCharType="end"/>
        </w:r>
      </w:hyperlink>
    </w:p>
    <w:p w:rsidR="00E52851" w:rsidRDefault="00E52851" w14:paraId="316F88DE" w14:textId="165E3399">
      <w:pPr>
        <w:pStyle w:val="TOC2"/>
        <w:tabs>
          <w:tab w:val="left" w:pos="880"/>
          <w:tab w:val="right" w:leader="dot" w:pos="9016"/>
        </w:tabs>
        <w:rPr>
          <w:rFonts w:eastAsiaTheme="minorEastAsia"/>
          <w:noProof/>
          <w:kern w:val="2"/>
          <w:sz w:val="24"/>
          <w:szCs w:val="24"/>
          <w:lang w:eastAsia="en-AU"/>
          <w14:ligatures w14:val="standardContextual"/>
        </w:rPr>
      </w:pPr>
      <w:hyperlink w:history="1" w:anchor="_Toc222833870">
        <w:r w:rsidRPr="00BB4826">
          <w:rPr>
            <w:rStyle w:val="Hyperlink"/>
            <w:rFonts w:eastAsia="Times New Roman"/>
            <w:noProof/>
          </w:rPr>
          <w:t>4.3</w:t>
        </w:r>
        <w:r>
          <w:rPr>
            <w:rFonts w:eastAsiaTheme="minorEastAsia"/>
            <w:noProof/>
            <w:kern w:val="2"/>
            <w:sz w:val="24"/>
            <w:szCs w:val="24"/>
            <w:lang w:eastAsia="en-AU"/>
            <w14:ligatures w14:val="standardContextual"/>
          </w:rPr>
          <w:tab/>
        </w:r>
        <w:r w:rsidRPr="00BB4826">
          <w:rPr>
            <w:rStyle w:val="Hyperlink"/>
            <w:rFonts w:eastAsia="Times New Roman"/>
            <w:noProof/>
          </w:rPr>
          <w:t>Income involving other parties</w:t>
        </w:r>
        <w:r>
          <w:rPr>
            <w:noProof/>
            <w:webHidden/>
          </w:rPr>
          <w:tab/>
        </w:r>
        <w:r>
          <w:rPr>
            <w:noProof/>
            <w:webHidden/>
          </w:rPr>
          <w:fldChar w:fldCharType="begin"/>
        </w:r>
        <w:r>
          <w:rPr>
            <w:noProof/>
            <w:webHidden/>
          </w:rPr>
          <w:instrText xml:space="preserve"> PAGEREF _Toc222833870 \h </w:instrText>
        </w:r>
        <w:r>
          <w:rPr>
            <w:noProof/>
            <w:webHidden/>
          </w:rPr>
        </w:r>
        <w:r>
          <w:rPr>
            <w:noProof/>
            <w:webHidden/>
          </w:rPr>
          <w:fldChar w:fldCharType="separate"/>
        </w:r>
        <w:r w:rsidR="004B22D0">
          <w:rPr>
            <w:noProof/>
            <w:webHidden/>
          </w:rPr>
          <w:t>15</w:t>
        </w:r>
        <w:r>
          <w:rPr>
            <w:noProof/>
            <w:webHidden/>
          </w:rPr>
          <w:fldChar w:fldCharType="end"/>
        </w:r>
      </w:hyperlink>
    </w:p>
    <w:p w:rsidR="00E52851" w:rsidRDefault="00E52851" w14:paraId="1EE287FD" w14:textId="6ADF6978">
      <w:pPr>
        <w:pStyle w:val="TOC3"/>
        <w:tabs>
          <w:tab w:val="left" w:pos="1200"/>
          <w:tab w:val="right" w:leader="dot" w:pos="9016"/>
        </w:tabs>
        <w:rPr>
          <w:rFonts w:eastAsiaTheme="minorEastAsia"/>
          <w:noProof/>
          <w:kern w:val="2"/>
          <w:sz w:val="24"/>
          <w:szCs w:val="24"/>
          <w:lang w:eastAsia="en-AU"/>
          <w14:ligatures w14:val="standardContextual"/>
        </w:rPr>
      </w:pPr>
      <w:hyperlink w:history="1" w:anchor="_Toc222833871">
        <w:r w:rsidRPr="00BB4826">
          <w:rPr>
            <w:rStyle w:val="Hyperlink"/>
            <w:rFonts w:eastAsia="Times New Roman"/>
            <w:noProof/>
          </w:rPr>
          <w:t>4.3.1</w:t>
        </w:r>
        <w:r>
          <w:rPr>
            <w:rFonts w:eastAsiaTheme="minorEastAsia"/>
            <w:noProof/>
            <w:kern w:val="2"/>
            <w:sz w:val="24"/>
            <w:szCs w:val="24"/>
            <w:lang w:eastAsia="en-AU"/>
            <w14:ligatures w14:val="standardContextual"/>
          </w:rPr>
          <w:tab/>
        </w:r>
        <w:r w:rsidRPr="00BB4826">
          <w:rPr>
            <w:rStyle w:val="Hyperlink"/>
            <w:rFonts w:eastAsia="Times New Roman"/>
            <w:noProof/>
          </w:rPr>
          <w:t>Eligible third-party income</w:t>
        </w:r>
        <w:r>
          <w:rPr>
            <w:noProof/>
            <w:webHidden/>
          </w:rPr>
          <w:tab/>
        </w:r>
        <w:r>
          <w:rPr>
            <w:noProof/>
            <w:webHidden/>
          </w:rPr>
          <w:fldChar w:fldCharType="begin"/>
        </w:r>
        <w:r>
          <w:rPr>
            <w:noProof/>
            <w:webHidden/>
          </w:rPr>
          <w:instrText xml:space="preserve"> PAGEREF _Toc222833871 \h </w:instrText>
        </w:r>
        <w:r>
          <w:rPr>
            <w:noProof/>
            <w:webHidden/>
          </w:rPr>
        </w:r>
        <w:r>
          <w:rPr>
            <w:noProof/>
            <w:webHidden/>
          </w:rPr>
          <w:fldChar w:fldCharType="separate"/>
        </w:r>
        <w:r w:rsidR="004B22D0">
          <w:rPr>
            <w:noProof/>
            <w:webHidden/>
          </w:rPr>
          <w:t>16</w:t>
        </w:r>
        <w:r>
          <w:rPr>
            <w:noProof/>
            <w:webHidden/>
          </w:rPr>
          <w:fldChar w:fldCharType="end"/>
        </w:r>
      </w:hyperlink>
    </w:p>
    <w:p w:rsidR="00E52851" w:rsidRDefault="00E52851" w14:paraId="7387B87E" w14:textId="3F8EA494">
      <w:pPr>
        <w:pStyle w:val="TOC3"/>
        <w:tabs>
          <w:tab w:val="left" w:pos="1200"/>
          <w:tab w:val="right" w:leader="dot" w:pos="9016"/>
        </w:tabs>
        <w:rPr>
          <w:rFonts w:eastAsiaTheme="minorEastAsia"/>
          <w:noProof/>
          <w:kern w:val="2"/>
          <w:sz w:val="24"/>
          <w:szCs w:val="24"/>
          <w:lang w:eastAsia="en-AU"/>
          <w14:ligatures w14:val="standardContextual"/>
        </w:rPr>
      </w:pPr>
      <w:hyperlink w:history="1" w:anchor="_Toc222833872">
        <w:r w:rsidRPr="00BB4826">
          <w:rPr>
            <w:rStyle w:val="Hyperlink"/>
            <w:noProof/>
          </w:rPr>
          <w:t>4.3.2</w:t>
        </w:r>
        <w:r>
          <w:rPr>
            <w:rFonts w:eastAsiaTheme="minorEastAsia"/>
            <w:noProof/>
            <w:kern w:val="2"/>
            <w:sz w:val="24"/>
            <w:szCs w:val="24"/>
            <w:lang w:eastAsia="en-AU"/>
            <w14:ligatures w14:val="standardContextual"/>
          </w:rPr>
          <w:tab/>
        </w:r>
        <w:r w:rsidRPr="00BB4826">
          <w:rPr>
            <w:rStyle w:val="Hyperlink"/>
            <w:noProof/>
          </w:rPr>
          <w:t>Ineligible third-party income</w:t>
        </w:r>
        <w:r>
          <w:rPr>
            <w:noProof/>
            <w:webHidden/>
          </w:rPr>
          <w:tab/>
        </w:r>
        <w:r>
          <w:rPr>
            <w:noProof/>
            <w:webHidden/>
          </w:rPr>
          <w:fldChar w:fldCharType="begin"/>
        </w:r>
        <w:r>
          <w:rPr>
            <w:noProof/>
            <w:webHidden/>
          </w:rPr>
          <w:instrText xml:space="preserve"> PAGEREF _Toc222833872 \h </w:instrText>
        </w:r>
        <w:r>
          <w:rPr>
            <w:noProof/>
            <w:webHidden/>
          </w:rPr>
        </w:r>
        <w:r>
          <w:rPr>
            <w:noProof/>
            <w:webHidden/>
          </w:rPr>
          <w:fldChar w:fldCharType="separate"/>
        </w:r>
        <w:r w:rsidR="004B22D0">
          <w:rPr>
            <w:noProof/>
            <w:webHidden/>
          </w:rPr>
          <w:t>17</w:t>
        </w:r>
        <w:r>
          <w:rPr>
            <w:noProof/>
            <w:webHidden/>
          </w:rPr>
          <w:fldChar w:fldCharType="end"/>
        </w:r>
      </w:hyperlink>
    </w:p>
    <w:p w:rsidR="00E52851" w:rsidRDefault="00E52851" w14:paraId="38BDB3D5" w14:textId="3B56825A">
      <w:pPr>
        <w:pStyle w:val="TOC2"/>
        <w:tabs>
          <w:tab w:val="left" w:pos="880"/>
          <w:tab w:val="right" w:leader="dot" w:pos="9016"/>
        </w:tabs>
        <w:rPr>
          <w:rFonts w:eastAsiaTheme="minorEastAsia"/>
          <w:noProof/>
          <w:kern w:val="2"/>
          <w:sz w:val="24"/>
          <w:szCs w:val="24"/>
          <w:lang w:eastAsia="en-AU"/>
          <w14:ligatures w14:val="standardContextual"/>
        </w:rPr>
      </w:pPr>
      <w:hyperlink w:history="1" w:anchor="_Toc222833873">
        <w:r w:rsidRPr="00BB4826">
          <w:rPr>
            <w:rStyle w:val="Hyperlink"/>
            <w:noProof/>
          </w:rPr>
          <w:t>4.4</w:t>
        </w:r>
        <w:r>
          <w:rPr>
            <w:rFonts w:eastAsiaTheme="minorEastAsia"/>
            <w:noProof/>
            <w:kern w:val="2"/>
            <w:sz w:val="24"/>
            <w:szCs w:val="24"/>
            <w:lang w:eastAsia="en-AU"/>
            <w14:ligatures w14:val="standardContextual"/>
          </w:rPr>
          <w:tab/>
        </w:r>
        <w:r w:rsidRPr="00BB4826">
          <w:rPr>
            <w:rStyle w:val="Hyperlink"/>
            <w:noProof/>
          </w:rPr>
          <w:t>Transfers</w:t>
        </w:r>
        <w:r>
          <w:rPr>
            <w:noProof/>
            <w:webHidden/>
          </w:rPr>
          <w:tab/>
        </w:r>
        <w:r>
          <w:rPr>
            <w:noProof/>
            <w:webHidden/>
          </w:rPr>
          <w:fldChar w:fldCharType="begin"/>
        </w:r>
        <w:r>
          <w:rPr>
            <w:noProof/>
            <w:webHidden/>
          </w:rPr>
          <w:instrText xml:space="preserve"> PAGEREF _Toc222833873 \h </w:instrText>
        </w:r>
        <w:r>
          <w:rPr>
            <w:noProof/>
            <w:webHidden/>
          </w:rPr>
        </w:r>
        <w:r>
          <w:rPr>
            <w:noProof/>
            <w:webHidden/>
          </w:rPr>
          <w:fldChar w:fldCharType="separate"/>
        </w:r>
        <w:r w:rsidR="004B22D0">
          <w:rPr>
            <w:noProof/>
            <w:webHidden/>
          </w:rPr>
          <w:t>17</w:t>
        </w:r>
        <w:r>
          <w:rPr>
            <w:noProof/>
            <w:webHidden/>
          </w:rPr>
          <w:fldChar w:fldCharType="end"/>
        </w:r>
      </w:hyperlink>
    </w:p>
    <w:p w:rsidR="00E52851" w:rsidRDefault="00E52851" w14:paraId="60A8C82C" w14:textId="50008212">
      <w:pPr>
        <w:pStyle w:val="TOC2"/>
        <w:tabs>
          <w:tab w:val="left" w:pos="880"/>
          <w:tab w:val="right" w:leader="dot" w:pos="9016"/>
        </w:tabs>
        <w:rPr>
          <w:rFonts w:eastAsiaTheme="minorEastAsia"/>
          <w:noProof/>
          <w:kern w:val="2"/>
          <w:sz w:val="24"/>
          <w:szCs w:val="24"/>
          <w:lang w:eastAsia="en-AU"/>
          <w14:ligatures w14:val="standardContextual"/>
        </w:rPr>
      </w:pPr>
      <w:hyperlink w:history="1" w:anchor="_Toc222833874">
        <w:r w:rsidRPr="00BB4826">
          <w:rPr>
            <w:rStyle w:val="Hyperlink"/>
            <w:noProof/>
          </w:rPr>
          <w:t>4.5</w:t>
        </w:r>
        <w:r>
          <w:rPr>
            <w:rFonts w:eastAsiaTheme="minorEastAsia"/>
            <w:noProof/>
            <w:kern w:val="2"/>
            <w:sz w:val="24"/>
            <w:szCs w:val="24"/>
            <w:lang w:eastAsia="en-AU"/>
            <w14:ligatures w14:val="standardContextual"/>
          </w:rPr>
          <w:tab/>
        </w:r>
        <w:r w:rsidRPr="00BB4826">
          <w:rPr>
            <w:rStyle w:val="Hyperlink"/>
            <w:noProof/>
          </w:rPr>
          <w:t>Refunds</w:t>
        </w:r>
        <w:r>
          <w:rPr>
            <w:noProof/>
            <w:webHidden/>
          </w:rPr>
          <w:tab/>
        </w:r>
        <w:r>
          <w:rPr>
            <w:noProof/>
            <w:webHidden/>
          </w:rPr>
          <w:fldChar w:fldCharType="begin"/>
        </w:r>
        <w:r>
          <w:rPr>
            <w:noProof/>
            <w:webHidden/>
          </w:rPr>
          <w:instrText xml:space="preserve"> PAGEREF _Toc222833874 \h </w:instrText>
        </w:r>
        <w:r>
          <w:rPr>
            <w:noProof/>
            <w:webHidden/>
          </w:rPr>
        </w:r>
        <w:r>
          <w:rPr>
            <w:noProof/>
            <w:webHidden/>
          </w:rPr>
          <w:fldChar w:fldCharType="separate"/>
        </w:r>
        <w:r w:rsidR="004B22D0">
          <w:rPr>
            <w:noProof/>
            <w:webHidden/>
          </w:rPr>
          <w:t>17</w:t>
        </w:r>
        <w:r>
          <w:rPr>
            <w:noProof/>
            <w:webHidden/>
          </w:rPr>
          <w:fldChar w:fldCharType="end"/>
        </w:r>
      </w:hyperlink>
    </w:p>
    <w:p w:rsidR="00E52851" w:rsidRDefault="00E52851" w14:paraId="46141900" w14:textId="6C22FD4C">
      <w:pPr>
        <w:pStyle w:val="TOC2"/>
        <w:tabs>
          <w:tab w:val="left" w:pos="880"/>
          <w:tab w:val="right" w:leader="dot" w:pos="9016"/>
        </w:tabs>
        <w:rPr>
          <w:rFonts w:eastAsiaTheme="minorEastAsia"/>
          <w:noProof/>
          <w:kern w:val="2"/>
          <w:sz w:val="24"/>
          <w:szCs w:val="24"/>
          <w:lang w:eastAsia="en-AU"/>
          <w14:ligatures w14:val="standardContextual"/>
        </w:rPr>
      </w:pPr>
      <w:hyperlink w:history="1" w:anchor="_Toc222833875">
        <w:r w:rsidRPr="00BB4826">
          <w:rPr>
            <w:rStyle w:val="Hyperlink"/>
            <w:noProof/>
          </w:rPr>
          <w:t>4.6</w:t>
        </w:r>
        <w:r>
          <w:rPr>
            <w:rFonts w:eastAsiaTheme="minorEastAsia"/>
            <w:noProof/>
            <w:kern w:val="2"/>
            <w:sz w:val="24"/>
            <w:szCs w:val="24"/>
            <w:lang w:eastAsia="en-AU"/>
            <w14:ligatures w14:val="standardContextual"/>
          </w:rPr>
          <w:tab/>
        </w:r>
        <w:r w:rsidRPr="00BB4826">
          <w:rPr>
            <w:rStyle w:val="Hyperlink"/>
            <w:noProof/>
          </w:rPr>
          <w:t>CRCs that are no longer operational</w:t>
        </w:r>
        <w:r>
          <w:rPr>
            <w:noProof/>
            <w:webHidden/>
          </w:rPr>
          <w:tab/>
        </w:r>
        <w:r>
          <w:rPr>
            <w:noProof/>
            <w:webHidden/>
          </w:rPr>
          <w:fldChar w:fldCharType="begin"/>
        </w:r>
        <w:r>
          <w:rPr>
            <w:noProof/>
            <w:webHidden/>
          </w:rPr>
          <w:instrText xml:space="preserve"> PAGEREF _Toc222833875 \h </w:instrText>
        </w:r>
        <w:r>
          <w:rPr>
            <w:noProof/>
            <w:webHidden/>
          </w:rPr>
        </w:r>
        <w:r>
          <w:rPr>
            <w:noProof/>
            <w:webHidden/>
          </w:rPr>
          <w:fldChar w:fldCharType="separate"/>
        </w:r>
        <w:r w:rsidR="004B22D0">
          <w:rPr>
            <w:noProof/>
            <w:webHidden/>
          </w:rPr>
          <w:t>17</w:t>
        </w:r>
        <w:r>
          <w:rPr>
            <w:noProof/>
            <w:webHidden/>
          </w:rPr>
          <w:fldChar w:fldCharType="end"/>
        </w:r>
      </w:hyperlink>
    </w:p>
    <w:p w:rsidR="00E52851" w:rsidRDefault="00E52851" w14:paraId="0C0FE6C0" w14:textId="0C558EDB">
      <w:pPr>
        <w:pStyle w:val="TOC1"/>
        <w:rPr>
          <w:rFonts w:eastAsiaTheme="minorEastAsia"/>
          <w:noProof/>
          <w:kern w:val="2"/>
          <w:sz w:val="24"/>
          <w:szCs w:val="24"/>
          <w:lang w:eastAsia="en-AU"/>
          <w14:ligatures w14:val="standardContextual"/>
        </w:rPr>
      </w:pPr>
      <w:hyperlink w:history="1" w:anchor="_Toc222833876">
        <w:r w:rsidRPr="00BB4826">
          <w:rPr>
            <w:rStyle w:val="Hyperlink"/>
            <w:noProof/>
          </w:rPr>
          <w:t>5</w:t>
        </w:r>
        <w:r>
          <w:rPr>
            <w:rFonts w:eastAsiaTheme="minorEastAsia"/>
            <w:noProof/>
            <w:kern w:val="2"/>
            <w:sz w:val="24"/>
            <w:szCs w:val="24"/>
            <w:lang w:eastAsia="en-AU"/>
            <w14:ligatures w14:val="standardContextual"/>
          </w:rPr>
          <w:tab/>
        </w:r>
        <w:r w:rsidRPr="00BB4826">
          <w:rPr>
            <w:rStyle w:val="Hyperlink"/>
            <w:noProof/>
          </w:rPr>
          <w:t>R&amp;D income categories</w:t>
        </w:r>
        <w:r>
          <w:rPr>
            <w:noProof/>
            <w:webHidden/>
          </w:rPr>
          <w:tab/>
        </w:r>
        <w:r>
          <w:rPr>
            <w:noProof/>
            <w:webHidden/>
          </w:rPr>
          <w:fldChar w:fldCharType="begin"/>
        </w:r>
        <w:r>
          <w:rPr>
            <w:noProof/>
            <w:webHidden/>
          </w:rPr>
          <w:instrText xml:space="preserve"> PAGEREF _Toc222833876 \h </w:instrText>
        </w:r>
        <w:r>
          <w:rPr>
            <w:noProof/>
            <w:webHidden/>
          </w:rPr>
        </w:r>
        <w:r>
          <w:rPr>
            <w:noProof/>
            <w:webHidden/>
          </w:rPr>
          <w:fldChar w:fldCharType="separate"/>
        </w:r>
        <w:r w:rsidR="004B22D0">
          <w:rPr>
            <w:noProof/>
            <w:webHidden/>
          </w:rPr>
          <w:t>18</w:t>
        </w:r>
        <w:r>
          <w:rPr>
            <w:noProof/>
            <w:webHidden/>
          </w:rPr>
          <w:fldChar w:fldCharType="end"/>
        </w:r>
      </w:hyperlink>
    </w:p>
    <w:p w:rsidR="00E52851" w:rsidRDefault="00E52851" w14:paraId="59140DBE" w14:textId="0549F19D">
      <w:pPr>
        <w:pStyle w:val="TOC2"/>
        <w:tabs>
          <w:tab w:val="left" w:pos="880"/>
          <w:tab w:val="right" w:leader="dot" w:pos="9016"/>
        </w:tabs>
        <w:rPr>
          <w:rFonts w:eastAsiaTheme="minorEastAsia"/>
          <w:noProof/>
          <w:kern w:val="2"/>
          <w:sz w:val="24"/>
          <w:szCs w:val="24"/>
          <w:lang w:eastAsia="en-AU"/>
          <w14:ligatures w14:val="standardContextual"/>
        </w:rPr>
      </w:pPr>
      <w:hyperlink w:history="1" w:anchor="_Toc222833877">
        <w:r w:rsidRPr="00BB4826">
          <w:rPr>
            <w:rStyle w:val="Hyperlink"/>
            <w:noProof/>
          </w:rPr>
          <w:t>5.1</w:t>
        </w:r>
        <w:r>
          <w:rPr>
            <w:rFonts w:eastAsiaTheme="minorEastAsia"/>
            <w:noProof/>
            <w:kern w:val="2"/>
            <w:sz w:val="24"/>
            <w:szCs w:val="24"/>
            <w:lang w:eastAsia="en-AU"/>
            <w14:ligatures w14:val="standardContextual"/>
          </w:rPr>
          <w:tab/>
        </w:r>
        <w:r w:rsidRPr="00BB4826">
          <w:rPr>
            <w:rStyle w:val="Hyperlink"/>
            <w:noProof/>
          </w:rPr>
          <w:t>Category 1: Australian competitive grant R&amp;D income</w:t>
        </w:r>
        <w:r>
          <w:rPr>
            <w:noProof/>
            <w:webHidden/>
          </w:rPr>
          <w:tab/>
        </w:r>
        <w:r>
          <w:rPr>
            <w:noProof/>
            <w:webHidden/>
          </w:rPr>
          <w:fldChar w:fldCharType="begin"/>
        </w:r>
        <w:r>
          <w:rPr>
            <w:noProof/>
            <w:webHidden/>
          </w:rPr>
          <w:instrText xml:space="preserve"> PAGEREF _Toc222833877 \h </w:instrText>
        </w:r>
        <w:r>
          <w:rPr>
            <w:noProof/>
            <w:webHidden/>
          </w:rPr>
        </w:r>
        <w:r>
          <w:rPr>
            <w:noProof/>
            <w:webHidden/>
          </w:rPr>
          <w:fldChar w:fldCharType="separate"/>
        </w:r>
        <w:r w:rsidR="004B22D0">
          <w:rPr>
            <w:noProof/>
            <w:webHidden/>
          </w:rPr>
          <w:t>19</w:t>
        </w:r>
        <w:r>
          <w:rPr>
            <w:noProof/>
            <w:webHidden/>
          </w:rPr>
          <w:fldChar w:fldCharType="end"/>
        </w:r>
      </w:hyperlink>
    </w:p>
    <w:p w:rsidR="00E52851" w:rsidRDefault="00E52851" w14:paraId="7160227D" w14:textId="62D875AB">
      <w:pPr>
        <w:pStyle w:val="TOC3"/>
        <w:tabs>
          <w:tab w:val="left" w:pos="1680"/>
          <w:tab w:val="right" w:leader="dot" w:pos="9016"/>
        </w:tabs>
        <w:rPr>
          <w:rFonts w:eastAsiaTheme="minorEastAsia"/>
          <w:noProof/>
          <w:kern w:val="2"/>
          <w:sz w:val="24"/>
          <w:szCs w:val="24"/>
          <w:lang w:eastAsia="en-AU"/>
          <w14:ligatures w14:val="standardContextual"/>
        </w:rPr>
      </w:pPr>
      <w:hyperlink w:history="1" w:anchor="_Toc222833878">
        <w:r w:rsidRPr="00BB4826">
          <w:rPr>
            <w:rStyle w:val="Hyperlink"/>
            <w:noProof/>
          </w:rPr>
          <w:t>Figure 1:</w:t>
        </w:r>
        <w:r w:rsidR="00627B98">
          <w:rPr>
            <w:rFonts w:eastAsiaTheme="minorEastAsia"/>
            <w:noProof/>
            <w:kern w:val="2"/>
            <w:sz w:val="24"/>
            <w:szCs w:val="24"/>
            <w:lang w:eastAsia="en-AU"/>
            <w14:ligatures w14:val="standardContextual"/>
          </w:rPr>
          <w:t xml:space="preserve"> </w:t>
        </w:r>
        <w:r w:rsidRPr="00BB4826">
          <w:rPr>
            <w:rStyle w:val="Hyperlink"/>
            <w:noProof/>
          </w:rPr>
          <w:t>Decision tree to determine Category 1 Australian competitive grant R&amp;D income</w:t>
        </w:r>
        <w:r>
          <w:rPr>
            <w:noProof/>
            <w:webHidden/>
          </w:rPr>
          <w:tab/>
        </w:r>
        <w:r>
          <w:rPr>
            <w:noProof/>
            <w:webHidden/>
          </w:rPr>
          <w:fldChar w:fldCharType="begin"/>
        </w:r>
        <w:r>
          <w:rPr>
            <w:noProof/>
            <w:webHidden/>
          </w:rPr>
          <w:instrText xml:space="preserve"> PAGEREF _Toc222833878 \h </w:instrText>
        </w:r>
        <w:r>
          <w:rPr>
            <w:noProof/>
            <w:webHidden/>
          </w:rPr>
        </w:r>
        <w:r>
          <w:rPr>
            <w:noProof/>
            <w:webHidden/>
          </w:rPr>
          <w:fldChar w:fldCharType="separate"/>
        </w:r>
        <w:r w:rsidR="004B22D0">
          <w:rPr>
            <w:noProof/>
            <w:webHidden/>
          </w:rPr>
          <w:t>20</w:t>
        </w:r>
        <w:r>
          <w:rPr>
            <w:noProof/>
            <w:webHidden/>
          </w:rPr>
          <w:fldChar w:fldCharType="end"/>
        </w:r>
      </w:hyperlink>
    </w:p>
    <w:p w:rsidR="00E52851" w:rsidRDefault="00E52851" w14:paraId="101807E7" w14:textId="65F1CFEC">
      <w:pPr>
        <w:pStyle w:val="TOC3"/>
        <w:tabs>
          <w:tab w:val="left" w:pos="1200"/>
          <w:tab w:val="right" w:leader="dot" w:pos="9016"/>
        </w:tabs>
        <w:rPr>
          <w:rFonts w:eastAsiaTheme="minorEastAsia"/>
          <w:noProof/>
          <w:kern w:val="2"/>
          <w:sz w:val="24"/>
          <w:szCs w:val="24"/>
          <w:lang w:eastAsia="en-AU"/>
          <w14:ligatures w14:val="standardContextual"/>
        </w:rPr>
      </w:pPr>
      <w:hyperlink w:history="1" w:anchor="_Toc222833879">
        <w:r w:rsidRPr="00BB4826">
          <w:rPr>
            <w:rStyle w:val="Hyperlink"/>
            <w:noProof/>
          </w:rPr>
          <w:t>5.1.1</w:t>
        </w:r>
        <w:r>
          <w:rPr>
            <w:rFonts w:eastAsiaTheme="minorEastAsia"/>
            <w:noProof/>
            <w:kern w:val="2"/>
            <w:sz w:val="24"/>
            <w:szCs w:val="24"/>
            <w:lang w:eastAsia="en-AU"/>
            <w14:ligatures w14:val="standardContextual"/>
          </w:rPr>
          <w:tab/>
        </w:r>
        <w:r w:rsidRPr="00BB4826">
          <w:rPr>
            <w:rStyle w:val="Hyperlink"/>
            <w:noProof/>
          </w:rPr>
          <w:t>Definition of terms associated with decision tree</w:t>
        </w:r>
        <w:r>
          <w:rPr>
            <w:noProof/>
            <w:webHidden/>
          </w:rPr>
          <w:tab/>
        </w:r>
        <w:r>
          <w:rPr>
            <w:noProof/>
            <w:webHidden/>
          </w:rPr>
          <w:fldChar w:fldCharType="begin"/>
        </w:r>
        <w:r>
          <w:rPr>
            <w:noProof/>
            <w:webHidden/>
          </w:rPr>
          <w:instrText xml:space="preserve"> PAGEREF _Toc222833879 \h </w:instrText>
        </w:r>
        <w:r>
          <w:rPr>
            <w:noProof/>
            <w:webHidden/>
          </w:rPr>
        </w:r>
        <w:r>
          <w:rPr>
            <w:noProof/>
            <w:webHidden/>
          </w:rPr>
          <w:fldChar w:fldCharType="separate"/>
        </w:r>
        <w:r w:rsidR="004B22D0">
          <w:rPr>
            <w:noProof/>
            <w:webHidden/>
          </w:rPr>
          <w:t>21</w:t>
        </w:r>
        <w:r>
          <w:rPr>
            <w:noProof/>
            <w:webHidden/>
          </w:rPr>
          <w:fldChar w:fldCharType="end"/>
        </w:r>
      </w:hyperlink>
    </w:p>
    <w:p w:rsidR="00E52851" w:rsidRDefault="00E52851" w14:paraId="04F3F161" w14:textId="25B8D87D">
      <w:pPr>
        <w:pStyle w:val="TOC2"/>
        <w:tabs>
          <w:tab w:val="left" w:pos="880"/>
          <w:tab w:val="right" w:leader="dot" w:pos="9016"/>
        </w:tabs>
        <w:rPr>
          <w:rFonts w:eastAsiaTheme="minorEastAsia"/>
          <w:noProof/>
          <w:kern w:val="2"/>
          <w:sz w:val="24"/>
          <w:szCs w:val="24"/>
          <w:lang w:eastAsia="en-AU"/>
          <w14:ligatures w14:val="standardContextual"/>
        </w:rPr>
      </w:pPr>
      <w:hyperlink w:history="1" w:anchor="_Toc222833880">
        <w:r w:rsidRPr="00BB4826">
          <w:rPr>
            <w:rStyle w:val="Hyperlink"/>
            <w:noProof/>
          </w:rPr>
          <w:t>5.2</w:t>
        </w:r>
        <w:r>
          <w:rPr>
            <w:rFonts w:eastAsiaTheme="minorEastAsia"/>
            <w:noProof/>
            <w:kern w:val="2"/>
            <w:sz w:val="24"/>
            <w:szCs w:val="24"/>
            <w:lang w:eastAsia="en-AU"/>
            <w14:ligatures w14:val="standardContextual"/>
          </w:rPr>
          <w:tab/>
        </w:r>
        <w:r w:rsidRPr="00BB4826">
          <w:rPr>
            <w:rStyle w:val="Hyperlink"/>
            <w:noProof/>
          </w:rPr>
          <w:t>Category 2: other public sector R&amp;D income</w:t>
        </w:r>
        <w:r>
          <w:rPr>
            <w:noProof/>
            <w:webHidden/>
          </w:rPr>
          <w:tab/>
        </w:r>
        <w:r>
          <w:rPr>
            <w:noProof/>
            <w:webHidden/>
          </w:rPr>
          <w:fldChar w:fldCharType="begin"/>
        </w:r>
        <w:r>
          <w:rPr>
            <w:noProof/>
            <w:webHidden/>
          </w:rPr>
          <w:instrText xml:space="preserve"> PAGEREF _Toc222833880 \h </w:instrText>
        </w:r>
        <w:r>
          <w:rPr>
            <w:noProof/>
            <w:webHidden/>
          </w:rPr>
        </w:r>
        <w:r>
          <w:rPr>
            <w:noProof/>
            <w:webHidden/>
          </w:rPr>
          <w:fldChar w:fldCharType="separate"/>
        </w:r>
        <w:r w:rsidR="004B22D0">
          <w:rPr>
            <w:noProof/>
            <w:webHidden/>
          </w:rPr>
          <w:t>22</w:t>
        </w:r>
        <w:r>
          <w:rPr>
            <w:noProof/>
            <w:webHidden/>
          </w:rPr>
          <w:fldChar w:fldCharType="end"/>
        </w:r>
      </w:hyperlink>
    </w:p>
    <w:p w:rsidR="00E52851" w:rsidRDefault="00E52851" w14:paraId="1D7FBC28" w14:textId="625B6C86">
      <w:pPr>
        <w:pStyle w:val="TOC3"/>
        <w:tabs>
          <w:tab w:val="left" w:pos="1200"/>
          <w:tab w:val="right" w:leader="dot" w:pos="9016"/>
        </w:tabs>
        <w:rPr>
          <w:rFonts w:eastAsiaTheme="minorEastAsia"/>
          <w:noProof/>
          <w:kern w:val="2"/>
          <w:sz w:val="24"/>
          <w:szCs w:val="24"/>
          <w:lang w:eastAsia="en-AU"/>
          <w14:ligatures w14:val="standardContextual"/>
        </w:rPr>
      </w:pPr>
      <w:hyperlink w:history="1" w:anchor="_Toc222833881">
        <w:r w:rsidRPr="00BB4826">
          <w:rPr>
            <w:rStyle w:val="Hyperlink"/>
            <w:noProof/>
          </w:rPr>
          <w:t>5.2.1</w:t>
        </w:r>
        <w:r>
          <w:rPr>
            <w:rFonts w:eastAsiaTheme="minorEastAsia"/>
            <w:noProof/>
            <w:kern w:val="2"/>
            <w:sz w:val="24"/>
            <w:szCs w:val="24"/>
            <w:lang w:eastAsia="en-AU"/>
            <w14:ligatures w14:val="standardContextual"/>
          </w:rPr>
          <w:tab/>
        </w:r>
        <w:r w:rsidRPr="00BB4826">
          <w:rPr>
            <w:rStyle w:val="Hyperlink"/>
            <w:noProof/>
          </w:rPr>
          <w:t>Commonwealth government</w:t>
        </w:r>
        <w:r>
          <w:rPr>
            <w:noProof/>
            <w:webHidden/>
          </w:rPr>
          <w:tab/>
        </w:r>
        <w:r>
          <w:rPr>
            <w:noProof/>
            <w:webHidden/>
          </w:rPr>
          <w:fldChar w:fldCharType="begin"/>
        </w:r>
        <w:r>
          <w:rPr>
            <w:noProof/>
            <w:webHidden/>
          </w:rPr>
          <w:instrText xml:space="preserve"> PAGEREF _Toc222833881 \h </w:instrText>
        </w:r>
        <w:r>
          <w:rPr>
            <w:noProof/>
            <w:webHidden/>
          </w:rPr>
        </w:r>
        <w:r>
          <w:rPr>
            <w:noProof/>
            <w:webHidden/>
          </w:rPr>
          <w:fldChar w:fldCharType="separate"/>
        </w:r>
        <w:r w:rsidR="004B22D0">
          <w:rPr>
            <w:noProof/>
            <w:webHidden/>
          </w:rPr>
          <w:t>23</w:t>
        </w:r>
        <w:r>
          <w:rPr>
            <w:noProof/>
            <w:webHidden/>
          </w:rPr>
          <w:fldChar w:fldCharType="end"/>
        </w:r>
      </w:hyperlink>
    </w:p>
    <w:p w:rsidR="00E52851" w:rsidRDefault="00E52851" w14:paraId="4861FA8F" w14:textId="2A83CD3A">
      <w:pPr>
        <w:pStyle w:val="TOC3"/>
        <w:tabs>
          <w:tab w:val="left" w:pos="1200"/>
          <w:tab w:val="right" w:leader="dot" w:pos="9016"/>
        </w:tabs>
        <w:rPr>
          <w:rFonts w:eastAsiaTheme="minorEastAsia"/>
          <w:noProof/>
          <w:kern w:val="2"/>
          <w:sz w:val="24"/>
          <w:szCs w:val="24"/>
          <w:lang w:eastAsia="en-AU"/>
          <w14:ligatures w14:val="standardContextual"/>
        </w:rPr>
      </w:pPr>
      <w:hyperlink w:history="1" w:anchor="_Toc222833882">
        <w:r w:rsidRPr="00BB4826">
          <w:rPr>
            <w:rStyle w:val="Hyperlink"/>
            <w:noProof/>
          </w:rPr>
          <w:t>5.2.2</w:t>
        </w:r>
        <w:r>
          <w:rPr>
            <w:rFonts w:eastAsiaTheme="minorEastAsia"/>
            <w:noProof/>
            <w:kern w:val="2"/>
            <w:sz w:val="24"/>
            <w:szCs w:val="24"/>
            <w:lang w:eastAsia="en-AU"/>
            <w14:ligatures w14:val="standardContextual"/>
          </w:rPr>
          <w:tab/>
        </w:r>
        <w:r w:rsidRPr="00BB4826">
          <w:rPr>
            <w:rStyle w:val="Hyperlink"/>
            <w:noProof/>
          </w:rPr>
          <w:t>State/territory/local government R&amp;D</w:t>
        </w:r>
        <w:r>
          <w:rPr>
            <w:noProof/>
            <w:webHidden/>
          </w:rPr>
          <w:tab/>
        </w:r>
        <w:r>
          <w:rPr>
            <w:noProof/>
            <w:webHidden/>
          </w:rPr>
          <w:fldChar w:fldCharType="begin"/>
        </w:r>
        <w:r>
          <w:rPr>
            <w:noProof/>
            <w:webHidden/>
          </w:rPr>
          <w:instrText xml:space="preserve"> PAGEREF _Toc222833882 \h </w:instrText>
        </w:r>
        <w:r>
          <w:rPr>
            <w:noProof/>
            <w:webHidden/>
          </w:rPr>
        </w:r>
        <w:r>
          <w:rPr>
            <w:noProof/>
            <w:webHidden/>
          </w:rPr>
          <w:fldChar w:fldCharType="separate"/>
        </w:r>
        <w:r w:rsidR="004B22D0">
          <w:rPr>
            <w:noProof/>
            <w:webHidden/>
          </w:rPr>
          <w:t>23</w:t>
        </w:r>
        <w:r>
          <w:rPr>
            <w:noProof/>
            <w:webHidden/>
          </w:rPr>
          <w:fldChar w:fldCharType="end"/>
        </w:r>
      </w:hyperlink>
    </w:p>
    <w:p w:rsidR="00E52851" w:rsidRDefault="00E52851" w14:paraId="71D62A58" w14:textId="427FCAED">
      <w:pPr>
        <w:pStyle w:val="TOC2"/>
        <w:tabs>
          <w:tab w:val="left" w:pos="880"/>
          <w:tab w:val="right" w:leader="dot" w:pos="9016"/>
        </w:tabs>
        <w:rPr>
          <w:rFonts w:eastAsiaTheme="minorEastAsia"/>
          <w:noProof/>
          <w:kern w:val="2"/>
          <w:sz w:val="24"/>
          <w:szCs w:val="24"/>
          <w:lang w:eastAsia="en-AU"/>
          <w14:ligatures w14:val="standardContextual"/>
        </w:rPr>
      </w:pPr>
      <w:hyperlink w:history="1" w:anchor="_Toc222833883">
        <w:r w:rsidRPr="00BB4826">
          <w:rPr>
            <w:rStyle w:val="Hyperlink"/>
            <w:noProof/>
          </w:rPr>
          <w:t>5.3</w:t>
        </w:r>
        <w:r>
          <w:rPr>
            <w:rFonts w:eastAsiaTheme="minorEastAsia"/>
            <w:noProof/>
            <w:kern w:val="2"/>
            <w:sz w:val="24"/>
            <w:szCs w:val="24"/>
            <w:lang w:eastAsia="en-AU"/>
            <w14:ligatures w14:val="standardContextual"/>
          </w:rPr>
          <w:tab/>
        </w:r>
        <w:r w:rsidRPr="00BB4826">
          <w:rPr>
            <w:rStyle w:val="Hyperlink"/>
            <w:noProof/>
          </w:rPr>
          <w:t>Category 3: Industry and other R&amp;D income</w:t>
        </w:r>
        <w:r>
          <w:rPr>
            <w:noProof/>
            <w:webHidden/>
          </w:rPr>
          <w:tab/>
        </w:r>
        <w:r>
          <w:rPr>
            <w:noProof/>
            <w:webHidden/>
          </w:rPr>
          <w:fldChar w:fldCharType="begin"/>
        </w:r>
        <w:r>
          <w:rPr>
            <w:noProof/>
            <w:webHidden/>
          </w:rPr>
          <w:instrText xml:space="preserve"> PAGEREF _Toc222833883 \h </w:instrText>
        </w:r>
        <w:r>
          <w:rPr>
            <w:noProof/>
            <w:webHidden/>
          </w:rPr>
        </w:r>
        <w:r>
          <w:rPr>
            <w:noProof/>
            <w:webHidden/>
          </w:rPr>
          <w:fldChar w:fldCharType="separate"/>
        </w:r>
        <w:r w:rsidR="004B22D0">
          <w:rPr>
            <w:noProof/>
            <w:webHidden/>
          </w:rPr>
          <w:t>24</w:t>
        </w:r>
        <w:r>
          <w:rPr>
            <w:noProof/>
            <w:webHidden/>
          </w:rPr>
          <w:fldChar w:fldCharType="end"/>
        </w:r>
      </w:hyperlink>
    </w:p>
    <w:p w:rsidR="00E52851" w:rsidRDefault="00E52851" w14:paraId="40236F79" w14:textId="6F109FF5">
      <w:pPr>
        <w:pStyle w:val="TOC3"/>
        <w:tabs>
          <w:tab w:val="left" w:pos="1200"/>
          <w:tab w:val="right" w:leader="dot" w:pos="9016"/>
        </w:tabs>
        <w:rPr>
          <w:rFonts w:eastAsiaTheme="minorEastAsia"/>
          <w:noProof/>
          <w:kern w:val="2"/>
          <w:sz w:val="24"/>
          <w:szCs w:val="24"/>
          <w:lang w:eastAsia="en-AU"/>
          <w14:ligatures w14:val="standardContextual"/>
        </w:rPr>
      </w:pPr>
      <w:hyperlink w:history="1" w:anchor="_Toc222833884">
        <w:r w:rsidRPr="00BB4826">
          <w:rPr>
            <w:rStyle w:val="Hyperlink"/>
            <w:noProof/>
          </w:rPr>
          <w:t>5.3.1</w:t>
        </w:r>
        <w:r>
          <w:rPr>
            <w:rFonts w:eastAsiaTheme="minorEastAsia"/>
            <w:noProof/>
            <w:kern w:val="2"/>
            <w:sz w:val="24"/>
            <w:szCs w:val="24"/>
            <w:lang w:eastAsia="en-AU"/>
            <w14:ligatures w14:val="standardContextual"/>
          </w:rPr>
          <w:tab/>
        </w:r>
        <w:r w:rsidRPr="00BB4826">
          <w:rPr>
            <w:rStyle w:val="Hyperlink"/>
            <w:noProof/>
          </w:rPr>
          <w:t>Australian private sector</w:t>
        </w:r>
        <w:r>
          <w:rPr>
            <w:noProof/>
            <w:webHidden/>
          </w:rPr>
          <w:tab/>
        </w:r>
        <w:r>
          <w:rPr>
            <w:noProof/>
            <w:webHidden/>
          </w:rPr>
          <w:fldChar w:fldCharType="begin"/>
        </w:r>
        <w:r>
          <w:rPr>
            <w:noProof/>
            <w:webHidden/>
          </w:rPr>
          <w:instrText xml:space="preserve"> PAGEREF _Toc222833884 \h </w:instrText>
        </w:r>
        <w:r>
          <w:rPr>
            <w:noProof/>
            <w:webHidden/>
          </w:rPr>
        </w:r>
        <w:r>
          <w:rPr>
            <w:noProof/>
            <w:webHidden/>
          </w:rPr>
          <w:fldChar w:fldCharType="separate"/>
        </w:r>
        <w:r w:rsidR="004B22D0">
          <w:rPr>
            <w:noProof/>
            <w:webHidden/>
          </w:rPr>
          <w:t>24</w:t>
        </w:r>
        <w:r>
          <w:rPr>
            <w:noProof/>
            <w:webHidden/>
          </w:rPr>
          <w:fldChar w:fldCharType="end"/>
        </w:r>
      </w:hyperlink>
    </w:p>
    <w:p w:rsidR="00E52851" w:rsidRDefault="00E52851" w14:paraId="2A785863" w14:textId="78594E04">
      <w:pPr>
        <w:pStyle w:val="TOC3"/>
        <w:tabs>
          <w:tab w:val="left" w:pos="1200"/>
          <w:tab w:val="right" w:leader="dot" w:pos="9016"/>
        </w:tabs>
        <w:rPr>
          <w:rFonts w:eastAsiaTheme="minorEastAsia"/>
          <w:noProof/>
          <w:kern w:val="2"/>
          <w:sz w:val="24"/>
          <w:szCs w:val="24"/>
          <w:lang w:eastAsia="en-AU"/>
          <w14:ligatures w14:val="standardContextual"/>
        </w:rPr>
      </w:pPr>
      <w:hyperlink w:history="1" w:anchor="_Toc222833885">
        <w:r w:rsidRPr="00BB4826">
          <w:rPr>
            <w:rStyle w:val="Hyperlink"/>
            <w:noProof/>
          </w:rPr>
          <w:t>5.3.2</w:t>
        </w:r>
        <w:r>
          <w:rPr>
            <w:rFonts w:eastAsiaTheme="minorEastAsia"/>
            <w:noProof/>
            <w:kern w:val="2"/>
            <w:sz w:val="24"/>
            <w:szCs w:val="24"/>
            <w:lang w:eastAsia="en-AU"/>
            <w14:ligatures w14:val="standardContextual"/>
          </w:rPr>
          <w:tab/>
        </w:r>
        <w:r w:rsidRPr="00BB4826">
          <w:rPr>
            <w:rStyle w:val="Hyperlink"/>
            <w:noProof/>
          </w:rPr>
          <w:t>International private sector</w:t>
        </w:r>
        <w:r>
          <w:rPr>
            <w:noProof/>
            <w:webHidden/>
          </w:rPr>
          <w:tab/>
        </w:r>
        <w:r>
          <w:rPr>
            <w:noProof/>
            <w:webHidden/>
          </w:rPr>
          <w:fldChar w:fldCharType="begin"/>
        </w:r>
        <w:r>
          <w:rPr>
            <w:noProof/>
            <w:webHidden/>
          </w:rPr>
          <w:instrText xml:space="preserve"> PAGEREF _Toc222833885 \h </w:instrText>
        </w:r>
        <w:r>
          <w:rPr>
            <w:noProof/>
            <w:webHidden/>
          </w:rPr>
        </w:r>
        <w:r>
          <w:rPr>
            <w:noProof/>
            <w:webHidden/>
          </w:rPr>
          <w:fldChar w:fldCharType="separate"/>
        </w:r>
        <w:r w:rsidR="004B22D0">
          <w:rPr>
            <w:noProof/>
            <w:webHidden/>
          </w:rPr>
          <w:t>25</w:t>
        </w:r>
        <w:r>
          <w:rPr>
            <w:noProof/>
            <w:webHidden/>
          </w:rPr>
          <w:fldChar w:fldCharType="end"/>
        </w:r>
      </w:hyperlink>
    </w:p>
    <w:p w:rsidR="00E52851" w:rsidRDefault="00E52851" w14:paraId="65E3A93A" w14:textId="0EE33B6D">
      <w:pPr>
        <w:pStyle w:val="TOC3"/>
        <w:tabs>
          <w:tab w:val="left" w:pos="1200"/>
          <w:tab w:val="right" w:leader="dot" w:pos="9016"/>
        </w:tabs>
        <w:rPr>
          <w:rFonts w:eastAsiaTheme="minorEastAsia"/>
          <w:noProof/>
          <w:kern w:val="2"/>
          <w:sz w:val="24"/>
          <w:szCs w:val="24"/>
          <w:lang w:eastAsia="en-AU"/>
          <w14:ligatures w14:val="standardContextual"/>
        </w:rPr>
      </w:pPr>
      <w:hyperlink w:history="1" w:anchor="_Toc222833886">
        <w:r w:rsidRPr="00BB4826">
          <w:rPr>
            <w:rStyle w:val="Hyperlink"/>
            <w:noProof/>
          </w:rPr>
          <w:t>5.3.3</w:t>
        </w:r>
        <w:r>
          <w:rPr>
            <w:rFonts w:eastAsiaTheme="minorEastAsia"/>
            <w:noProof/>
            <w:kern w:val="2"/>
            <w:sz w:val="24"/>
            <w:szCs w:val="24"/>
            <w:lang w:eastAsia="en-AU"/>
            <w14:ligatures w14:val="standardContextual"/>
          </w:rPr>
          <w:tab/>
        </w:r>
        <w:r w:rsidRPr="00BB4826">
          <w:rPr>
            <w:rStyle w:val="Hyperlink"/>
            <w:noProof/>
          </w:rPr>
          <w:t>International government</w:t>
        </w:r>
        <w:r>
          <w:rPr>
            <w:noProof/>
            <w:webHidden/>
          </w:rPr>
          <w:tab/>
        </w:r>
        <w:r>
          <w:rPr>
            <w:noProof/>
            <w:webHidden/>
          </w:rPr>
          <w:fldChar w:fldCharType="begin"/>
        </w:r>
        <w:r>
          <w:rPr>
            <w:noProof/>
            <w:webHidden/>
          </w:rPr>
          <w:instrText xml:space="preserve"> PAGEREF _Toc222833886 \h </w:instrText>
        </w:r>
        <w:r>
          <w:rPr>
            <w:noProof/>
            <w:webHidden/>
          </w:rPr>
        </w:r>
        <w:r>
          <w:rPr>
            <w:noProof/>
            <w:webHidden/>
          </w:rPr>
          <w:fldChar w:fldCharType="separate"/>
        </w:r>
        <w:r w:rsidR="004B22D0">
          <w:rPr>
            <w:noProof/>
            <w:webHidden/>
          </w:rPr>
          <w:t>26</w:t>
        </w:r>
        <w:r>
          <w:rPr>
            <w:noProof/>
            <w:webHidden/>
          </w:rPr>
          <w:fldChar w:fldCharType="end"/>
        </w:r>
      </w:hyperlink>
    </w:p>
    <w:p w:rsidR="00E52851" w:rsidRDefault="00E52851" w14:paraId="69DFF90C" w14:textId="3A88B27B">
      <w:pPr>
        <w:pStyle w:val="TOC2"/>
        <w:tabs>
          <w:tab w:val="left" w:pos="880"/>
          <w:tab w:val="right" w:leader="dot" w:pos="9016"/>
        </w:tabs>
        <w:rPr>
          <w:rFonts w:eastAsiaTheme="minorEastAsia"/>
          <w:noProof/>
          <w:kern w:val="2"/>
          <w:sz w:val="24"/>
          <w:szCs w:val="24"/>
          <w:lang w:eastAsia="en-AU"/>
          <w14:ligatures w14:val="standardContextual"/>
        </w:rPr>
      </w:pPr>
      <w:hyperlink w:history="1" w:anchor="_Toc222833887">
        <w:r w:rsidRPr="00BB4826">
          <w:rPr>
            <w:rStyle w:val="Hyperlink"/>
            <w:noProof/>
          </w:rPr>
          <w:t>5.4</w:t>
        </w:r>
        <w:r>
          <w:rPr>
            <w:rFonts w:eastAsiaTheme="minorEastAsia"/>
            <w:noProof/>
            <w:kern w:val="2"/>
            <w:sz w:val="24"/>
            <w:szCs w:val="24"/>
            <w:lang w:eastAsia="en-AU"/>
            <w14:ligatures w14:val="standardContextual"/>
          </w:rPr>
          <w:tab/>
        </w:r>
        <w:r w:rsidRPr="00BB4826">
          <w:rPr>
            <w:rStyle w:val="Hyperlink"/>
            <w:noProof/>
          </w:rPr>
          <w:t>Category 4: CRC R&amp;D income</w:t>
        </w:r>
        <w:r>
          <w:rPr>
            <w:noProof/>
            <w:webHidden/>
          </w:rPr>
          <w:tab/>
        </w:r>
        <w:r>
          <w:rPr>
            <w:noProof/>
            <w:webHidden/>
          </w:rPr>
          <w:fldChar w:fldCharType="begin"/>
        </w:r>
        <w:r>
          <w:rPr>
            <w:noProof/>
            <w:webHidden/>
          </w:rPr>
          <w:instrText xml:space="preserve"> PAGEREF _Toc222833887 \h </w:instrText>
        </w:r>
        <w:r>
          <w:rPr>
            <w:noProof/>
            <w:webHidden/>
          </w:rPr>
        </w:r>
        <w:r>
          <w:rPr>
            <w:noProof/>
            <w:webHidden/>
          </w:rPr>
          <w:fldChar w:fldCharType="separate"/>
        </w:r>
        <w:r w:rsidR="004B22D0">
          <w:rPr>
            <w:noProof/>
            <w:webHidden/>
          </w:rPr>
          <w:t>27</w:t>
        </w:r>
        <w:r>
          <w:rPr>
            <w:noProof/>
            <w:webHidden/>
          </w:rPr>
          <w:fldChar w:fldCharType="end"/>
        </w:r>
      </w:hyperlink>
    </w:p>
    <w:p w:rsidR="00E52851" w:rsidRDefault="00E52851" w14:paraId="50623F8A" w14:textId="4A13E308">
      <w:pPr>
        <w:pStyle w:val="TOC3"/>
        <w:tabs>
          <w:tab w:val="left" w:pos="1200"/>
          <w:tab w:val="right" w:leader="dot" w:pos="9016"/>
        </w:tabs>
        <w:rPr>
          <w:rFonts w:eastAsiaTheme="minorEastAsia"/>
          <w:noProof/>
          <w:kern w:val="2"/>
          <w:sz w:val="24"/>
          <w:szCs w:val="24"/>
          <w:lang w:eastAsia="en-AU"/>
          <w14:ligatures w14:val="standardContextual"/>
        </w:rPr>
      </w:pPr>
      <w:hyperlink w:history="1" w:anchor="_Toc222833888">
        <w:r w:rsidRPr="00BB4826">
          <w:rPr>
            <w:rStyle w:val="Hyperlink"/>
            <w:noProof/>
          </w:rPr>
          <w:t>5.4.1</w:t>
        </w:r>
        <w:r>
          <w:rPr>
            <w:rFonts w:eastAsiaTheme="minorEastAsia"/>
            <w:noProof/>
            <w:kern w:val="2"/>
            <w:sz w:val="24"/>
            <w:szCs w:val="24"/>
            <w:lang w:eastAsia="en-AU"/>
            <w14:ligatures w14:val="standardContextual"/>
          </w:rPr>
          <w:tab/>
        </w:r>
        <w:r w:rsidRPr="00BB4826">
          <w:rPr>
            <w:rStyle w:val="Hyperlink"/>
            <w:noProof/>
          </w:rPr>
          <w:t>Breakdown by source category</w:t>
        </w:r>
        <w:r>
          <w:rPr>
            <w:noProof/>
            <w:webHidden/>
          </w:rPr>
          <w:tab/>
        </w:r>
        <w:r>
          <w:rPr>
            <w:noProof/>
            <w:webHidden/>
          </w:rPr>
          <w:fldChar w:fldCharType="begin"/>
        </w:r>
        <w:r>
          <w:rPr>
            <w:noProof/>
            <w:webHidden/>
          </w:rPr>
          <w:instrText xml:space="preserve"> PAGEREF _Toc222833888 \h </w:instrText>
        </w:r>
        <w:r>
          <w:rPr>
            <w:noProof/>
            <w:webHidden/>
          </w:rPr>
        </w:r>
        <w:r>
          <w:rPr>
            <w:noProof/>
            <w:webHidden/>
          </w:rPr>
          <w:fldChar w:fldCharType="separate"/>
        </w:r>
        <w:r w:rsidR="004B22D0">
          <w:rPr>
            <w:noProof/>
            <w:webHidden/>
          </w:rPr>
          <w:t>27</w:t>
        </w:r>
        <w:r>
          <w:rPr>
            <w:noProof/>
            <w:webHidden/>
          </w:rPr>
          <w:fldChar w:fldCharType="end"/>
        </w:r>
      </w:hyperlink>
    </w:p>
    <w:p w:rsidR="00E52851" w:rsidRDefault="00E52851" w14:paraId="642C6679" w14:textId="39CFED1A">
      <w:pPr>
        <w:pStyle w:val="TOC1"/>
        <w:rPr>
          <w:rFonts w:eastAsiaTheme="minorEastAsia"/>
          <w:noProof/>
          <w:kern w:val="2"/>
          <w:sz w:val="24"/>
          <w:szCs w:val="24"/>
          <w:lang w:eastAsia="en-AU"/>
          <w14:ligatures w14:val="standardContextual"/>
        </w:rPr>
      </w:pPr>
      <w:hyperlink w:history="1" w:anchor="_Toc222833889">
        <w:r w:rsidRPr="00BB4826">
          <w:rPr>
            <w:rStyle w:val="Hyperlink"/>
            <w:noProof/>
          </w:rPr>
          <w:t>6</w:t>
        </w:r>
        <w:r>
          <w:rPr>
            <w:rFonts w:eastAsiaTheme="minorEastAsia"/>
            <w:noProof/>
            <w:kern w:val="2"/>
            <w:sz w:val="24"/>
            <w:szCs w:val="24"/>
            <w:lang w:eastAsia="en-AU"/>
            <w14:ligatures w14:val="standardContextual"/>
          </w:rPr>
          <w:tab/>
        </w:r>
        <w:r w:rsidRPr="00BB4826">
          <w:rPr>
            <w:rStyle w:val="Hyperlink"/>
            <w:noProof/>
          </w:rPr>
          <w:t>Acronyms</w:t>
        </w:r>
        <w:r>
          <w:rPr>
            <w:noProof/>
            <w:webHidden/>
          </w:rPr>
          <w:tab/>
        </w:r>
        <w:r>
          <w:rPr>
            <w:noProof/>
            <w:webHidden/>
          </w:rPr>
          <w:fldChar w:fldCharType="begin"/>
        </w:r>
        <w:r>
          <w:rPr>
            <w:noProof/>
            <w:webHidden/>
          </w:rPr>
          <w:instrText xml:space="preserve"> PAGEREF _Toc222833889 \h </w:instrText>
        </w:r>
        <w:r>
          <w:rPr>
            <w:noProof/>
            <w:webHidden/>
          </w:rPr>
        </w:r>
        <w:r>
          <w:rPr>
            <w:noProof/>
            <w:webHidden/>
          </w:rPr>
          <w:fldChar w:fldCharType="separate"/>
        </w:r>
        <w:r w:rsidR="004B22D0">
          <w:rPr>
            <w:noProof/>
            <w:webHidden/>
          </w:rPr>
          <w:t>28</w:t>
        </w:r>
        <w:r>
          <w:rPr>
            <w:noProof/>
            <w:webHidden/>
          </w:rPr>
          <w:fldChar w:fldCharType="end"/>
        </w:r>
      </w:hyperlink>
    </w:p>
    <w:p w:rsidR="00E52851" w:rsidRDefault="00E52851" w14:paraId="16642BE4" w14:textId="26C9AE4C">
      <w:pPr>
        <w:pStyle w:val="TOC1"/>
        <w:rPr>
          <w:rFonts w:eastAsiaTheme="minorEastAsia"/>
          <w:noProof/>
          <w:kern w:val="2"/>
          <w:sz w:val="24"/>
          <w:szCs w:val="24"/>
          <w:lang w:eastAsia="en-AU"/>
          <w14:ligatures w14:val="standardContextual"/>
        </w:rPr>
      </w:pPr>
      <w:hyperlink w:history="1" w:anchor="_Toc222833890">
        <w:r w:rsidRPr="00BB4826">
          <w:rPr>
            <w:rStyle w:val="Hyperlink"/>
            <w:noProof/>
          </w:rPr>
          <w:t>7</w:t>
        </w:r>
        <w:r>
          <w:rPr>
            <w:rFonts w:eastAsiaTheme="minorEastAsia"/>
            <w:noProof/>
            <w:kern w:val="2"/>
            <w:sz w:val="24"/>
            <w:szCs w:val="24"/>
            <w:lang w:eastAsia="en-AU"/>
            <w14:ligatures w14:val="standardContextual"/>
          </w:rPr>
          <w:tab/>
        </w:r>
        <w:r w:rsidRPr="00BB4826">
          <w:rPr>
            <w:rStyle w:val="Hyperlink"/>
            <w:noProof/>
          </w:rPr>
          <w:t>List of R&amp;D income sub-categories</w:t>
        </w:r>
        <w:r>
          <w:rPr>
            <w:noProof/>
            <w:webHidden/>
          </w:rPr>
          <w:tab/>
        </w:r>
        <w:r>
          <w:rPr>
            <w:noProof/>
            <w:webHidden/>
          </w:rPr>
          <w:fldChar w:fldCharType="begin"/>
        </w:r>
        <w:r>
          <w:rPr>
            <w:noProof/>
            <w:webHidden/>
          </w:rPr>
          <w:instrText xml:space="preserve"> PAGEREF _Toc222833890 \h </w:instrText>
        </w:r>
        <w:r>
          <w:rPr>
            <w:noProof/>
            <w:webHidden/>
          </w:rPr>
        </w:r>
        <w:r>
          <w:rPr>
            <w:noProof/>
            <w:webHidden/>
          </w:rPr>
          <w:fldChar w:fldCharType="separate"/>
        </w:r>
        <w:r w:rsidR="004B22D0">
          <w:rPr>
            <w:noProof/>
            <w:webHidden/>
          </w:rPr>
          <w:t>29</w:t>
        </w:r>
        <w:r>
          <w:rPr>
            <w:noProof/>
            <w:webHidden/>
          </w:rPr>
          <w:fldChar w:fldCharType="end"/>
        </w:r>
      </w:hyperlink>
    </w:p>
    <w:p w:rsidR="00C50B07" w:rsidRDefault="00C50B07" w14:paraId="4C809513" w14:textId="1BF48DF1">
      <w:r>
        <w:fldChar w:fldCharType="end"/>
      </w:r>
      <w:r>
        <w:br w:type="page"/>
      </w:r>
    </w:p>
    <w:p w:rsidR="00C50B07" w:rsidP="00C069CD" w:rsidRDefault="00C50B07" w14:paraId="7BE3E62C" w14:textId="77777777">
      <w:pPr>
        <w:pStyle w:val="Heading1"/>
        <w:spacing w:line="240" w:lineRule="auto"/>
        <w:ind w:left="284" w:hanging="284"/>
        <w:rPr>
          <w:color w:val="000000"/>
        </w:rPr>
      </w:pPr>
      <w:bookmarkStart w:name="_Toc222833848" w:id="2"/>
      <w:r>
        <w:rPr>
          <w:color w:val="000000"/>
        </w:rPr>
        <w:t>Higher Education Research Data Collection (HERDC) specifications – updates to note</w:t>
      </w:r>
      <w:bookmarkEnd w:id="2"/>
    </w:p>
    <w:p w:rsidR="00C50B07" w:rsidP="005958F1" w:rsidRDefault="00C50B07" w14:paraId="7AE74C86" w14:textId="77777777">
      <w:pPr>
        <w:rPr>
          <w:rFonts w:ascii="Calibri" w:hAnsi="Calibri" w:eastAsia="Calibri" w:cs="Arial"/>
        </w:rPr>
      </w:pPr>
      <w:r w:rsidRPr="00511FD9">
        <w:rPr>
          <w:rFonts w:ascii="Calibri" w:hAnsi="Calibri" w:eastAsia="Calibri" w:cs="Arial"/>
        </w:rPr>
        <w:t xml:space="preserve">No changes have been made to HERDC reporting requirements from the previous year. </w:t>
      </w:r>
    </w:p>
    <w:p w:rsidRPr="00511FD9" w:rsidR="00C50B07" w:rsidP="005958F1" w:rsidRDefault="00CA51CD" w14:paraId="166FBC93" w14:textId="7B36AF65">
      <w:pPr>
        <w:rPr>
          <w:rFonts w:ascii="Calibri" w:hAnsi="Calibri" w:eastAsia="Calibri" w:cs="Arial"/>
        </w:rPr>
      </w:pPr>
      <w:r>
        <w:rPr>
          <w:rFonts w:ascii="Calibri" w:hAnsi="Calibri" w:eastAsia="Calibri" w:cs="Arial"/>
        </w:rPr>
        <w:t>T</w:t>
      </w:r>
      <w:r w:rsidRPr="00511FD9" w:rsidR="00C50B07">
        <w:rPr>
          <w:rFonts w:ascii="Calibri" w:hAnsi="Calibri" w:eastAsia="Calibri" w:cs="Arial"/>
        </w:rPr>
        <w:t xml:space="preserve">he following changes </w:t>
      </w:r>
      <w:r w:rsidR="00C50B07">
        <w:rPr>
          <w:rFonts w:ascii="Calibri" w:hAnsi="Calibri" w:eastAsia="Calibri" w:cs="Arial"/>
        </w:rPr>
        <w:t xml:space="preserve">have been made </w:t>
      </w:r>
      <w:r w:rsidRPr="00511FD9" w:rsidR="00C50B07">
        <w:rPr>
          <w:rFonts w:ascii="Calibri" w:hAnsi="Calibri" w:eastAsia="Calibri" w:cs="Arial"/>
        </w:rPr>
        <w:t>to the</w:t>
      </w:r>
      <w:r w:rsidR="00F06AF2">
        <w:rPr>
          <w:rFonts w:ascii="Calibri" w:hAnsi="Calibri" w:eastAsia="Calibri" w:cs="Arial"/>
        </w:rPr>
        <w:t xml:space="preserve"> final</w:t>
      </w:r>
      <w:r w:rsidRPr="00511FD9" w:rsidR="00C50B07">
        <w:rPr>
          <w:rFonts w:ascii="Calibri" w:hAnsi="Calibri" w:eastAsia="Calibri" w:cs="Arial"/>
        </w:rPr>
        <w:t xml:space="preserve"> </w:t>
      </w:r>
      <w:r w:rsidRPr="009841E3" w:rsidR="00C50B07">
        <w:rPr>
          <w:rFonts w:ascii="Calibri" w:hAnsi="Calibri" w:eastAsia="Calibri" w:cs="Arial"/>
        </w:rPr>
        <w:t xml:space="preserve">2025 HERDC specifications to improve clarity, reflect current practices, </w:t>
      </w:r>
      <w:r w:rsidR="00606832">
        <w:rPr>
          <w:rFonts w:ascii="Calibri" w:hAnsi="Calibri" w:eastAsia="Calibri" w:cs="Arial"/>
        </w:rPr>
        <w:t xml:space="preserve">reference </w:t>
      </w:r>
      <w:r w:rsidR="00413AF5">
        <w:rPr>
          <w:rFonts w:ascii="Calibri" w:hAnsi="Calibri" w:eastAsia="Calibri" w:cs="Arial"/>
        </w:rPr>
        <w:t xml:space="preserve">program </w:t>
      </w:r>
      <w:r w:rsidR="00606832">
        <w:rPr>
          <w:rFonts w:ascii="Calibri" w:hAnsi="Calibri" w:eastAsia="Calibri" w:cs="Arial"/>
        </w:rPr>
        <w:t>guideline</w:t>
      </w:r>
      <w:r w:rsidR="00413AF5">
        <w:rPr>
          <w:rFonts w:ascii="Calibri" w:hAnsi="Calibri" w:eastAsia="Calibri" w:cs="Arial"/>
        </w:rPr>
        <w:t xml:space="preserve"> definitions</w:t>
      </w:r>
      <w:r w:rsidRPr="008752AC" w:rsidR="00C50B07">
        <w:rPr>
          <w:rFonts w:ascii="Calibri" w:hAnsi="Calibri" w:eastAsia="Calibri" w:cs="Arial"/>
        </w:rPr>
        <w:t>,</w:t>
      </w:r>
      <w:r w:rsidRPr="009841E3" w:rsidR="00C50B07">
        <w:rPr>
          <w:rFonts w:ascii="Calibri" w:hAnsi="Calibri" w:eastAsia="Calibri" w:cs="Arial"/>
        </w:rPr>
        <w:t xml:space="preserve"> and align with </w:t>
      </w:r>
      <w:r w:rsidRPr="00735648" w:rsidR="00C50B07">
        <w:rPr>
          <w:rFonts w:ascii="Calibri" w:hAnsi="Calibri" w:eastAsia="Calibri" w:cs="Arial"/>
        </w:rPr>
        <w:t xml:space="preserve">the transition to submitting </w:t>
      </w:r>
      <w:r w:rsidR="00C50B07">
        <w:rPr>
          <w:rFonts w:ascii="Calibri" w:hAnsi="Calibri" w:eastAsia="Calibri" w:cs="Arial"/>
        </w:rPr>
        <w:t xml:space="preserve">2025 HERDC </w:t>
      </w:r>
      <w:r w:rsidRPr="00735648" w:rsidR="00C50B07">
        <w:rPr>
          <w:rFonts w:ascii="Calibri" w:hAnsi="Calibri" w:eastAsia="Calibri" w:cs="Arial"/>
        </w:rPr>
        <w:t>data</w:t>
      </w:r>
      <w:r w:rsidR="00C50B07">
        <w:rPr>
          <w:rFonts w:ascii="Calibri" w:hAnsi="Calibri" w:eastAsia="Calibri" w:cs="Arial"/>
        </w:rPr>
        <w:t xml:space="preserve"> </w:t>
      </w:r>
      <w:r w:rsidRPr="009841E3" w:rsidR="00C50B07">
        <w:rPr>
          <w:rFonts w:ascii="Calibri" w:hAnsi="Calibri" w:eastAsia="Calibri" w:cs="Arial"/>
        </w:rPr>
        <w:t xml:space="preserve">via the </w:t>
      </w:r>
      <w:r w:rsidR="00606832">
        <w:rPr>
          <w:rFonts w:ascii="Calibri" w:hAnsi="Calibri" w:eastAsia="Calibri" w:cs="Arial"/>
        </w:rPr>
        <w:t xml:space="preserve">Australian Research Council’s (ARC) </w:t>
      </w:r>
      <w:r w:rsidRPr="009841E3" w:rsidR="00C50B07">
        <w:rPr>
          <w:rFonts w:ascii="Calibri" w:hAnsi="Calibri" w:eastAsia="Calibri" w:cs="Arial"/>
        </w:rPr>
        <w:t>Research Management System (RMS).</w:t>
      </w:r>
    </w:p>
    <w:p w:rsidRPr="00170342" w:rsidR="00C50B07" w:rsidP="009841E3" w:rsidRDefault="00C50B07" w14:paraId="69392AE0" w14:textId="77777777">
      <w:pPr>
        <w:pStyle w:val="Heading2-NoTOC"/>
      </w:pPr>
      <w:bookmarkStart w:name="_Hlk216432448" w:id="3"/>
      <w:bookmarkStart w:name="_Hlk178772931" w:id="4"/>
      <w:r>
        <w:t>Changed HERDC submission s</w:t>
      </w:r>
      <w:r w:rsidRPr="00170342">
        <w:t xml:space="preserve">ystem </w:t>
      </w:r>
    </w:p>
    <w:p w:rsidRPr="00511FD9" w:rsidR="00C50B07" w:rsidP="009841E3" w:rsidRDefault="00C50B07" w14:paraId="512EB335" w14:textId="15EAFF83">
      <w:pPr>
        <w:rPr>
          <w:rFonts w:ascii="Calibri" w:hAnsi="Calibri" w:eastAsia="Calibri" w:cs="Arial"/>
        </w:rPr>
      </w:pPr>
      <w:r w:rsidRPr="0064039E">
        <w:rPr>
          <w:rFonts w:ascii="Calibri" w:hAnsi="Calibri" w:eastAsia="Calibri" w:cs="Arial"/>
        </w:rPr>
        <w:t xml:space="preserve">References to the System for Expenditure and Evaluation Reporting (SEER) have been replaced with the RMS to reflect that </w:t>
      </w:r>
      <w:r>
        <w:rPr>
          <w:rFonts w:ascii="Calibri" w:hAnsi="Calibri" w:eastAsia="Calibri" w:cs="Arial"/>
        </w:rPr>
        <w:t xml:space="preserve">2025 </w:t>
      </w:r>
      <w:r w:rsidRPr="0064039E">
        <w:rPr>
          <w:rFonts w:ascii="Calibri" w:hAnsi="Calibri" w:eastAsia="Calibri" w:cs="Arial"/>
        </w:rPr>
        <w:t xml:space="preserve">HERDC data will be submitted via </w:t>
      </w:r>
      <w:r>
        <w:rPr>
          <w:rFonts w:ascii="Calibri" w:hAnsi="Calibri" w:eastAsia="Calibri" w:cs="Arial"/>
        </w:rPr>
        <w:t xml:space="preserve">the </w:t>
      </w:r>
      <w:r w:rsidRPr="0064039E">
        <w:rPr>
          <w:rFonts w:ascii="Calibri" w:hAnsi="Calibri" w:eastAsia="Calibri" w:cs="Arial"/>
        </w:rPr>
        <w:t>RMS, administered by the ARC.</w:t>
      </w:r>
    </w:p>
    <w:bookmarkEnd w:id="3"/>
    <w:p w:rsidR="00C50B07" w:rsidP="009841E3" w:rsidRDefault="00C50B07" w14:paraId="079DDE4F" w14:textId="77777777">
      <w:pPr>
        <w:pStyle w:val="Heading2-NoTOC"/>
        <w:rPr>
          <w:bCs/>
        </w:rPr>
      </w:pPr>
      <w:r>
        <w:t>Purpose</w:t>
      </w:r>
    </w:p>
    <w:p w:rsidR="00C50B07" w:rsidP="009841E3" w:rsidRDefault="00C50B07" w14:paraId="4E663F4F" w14:textId="7F2F4B27">
      <w:r w:rsidRPr="00CC7E5E">
        <w:rPr>
          <w:b/>
          <w:bCs/>
        </w:rPr>
        <w:t>Section 2.1</w:t>
      </w:r>
      <w:r w:rsidRPr="00CC7E5E">
        <w:t xml:space="preserve"> has been updated to clarify that entities not currently listed as Table A or Table B </w:t>
      </w:r>
      <w:r>
        <w:t xml:space="preserve">higher education </w:t>
      </w:r>
      <w:r w:rsidRPr="00CC7E5E">
        <w:t xml:space="preserve">providers </w:t>
      </w:r>
      <w:r>
        <w:t xml:space="preserve">(HEPs) </w:t>
      </w:r>
      <w:r w:rsidRPr="00CC7E5E">
        <w:t xml:space="preserve">under </w:t>
      </w:r>
      <w:r>
        <w:t xml:space="preserve">the </w:t>
      </w:r>
      <w:hyperlink w:history="1" r:id="rId18">
        <w:r w:rsidRPr="00653E32" w:rsidR="00653E32">
          <w:rPr>
            <w:rStyle w:val="Hyperlink"/>
            <w:i/>
            <w:iCs/>
          </w:rPr>
          <w:t>Higher Education Support Act 2003</w:t>
        </w:r>
        <w:r w:rsidR="00653E32">
          <w:rPr>
            <w:rStyle w:val="Hyperlink"/>
          </w:rPr>
          <w:t xml:space="preserve"> </w:t>
        </w:r>
      </w:hyperlink>
      <w:r>
        <w:t>(</w:t>
      </w:r>
      <w:r w:rsidRPr="00CC7E5E">
        <w:t>HESA</w:t>
      </w:r>
      <w:r>
        <w:t>)</w:t>
      </w:r>
      <w:r w:rsidRPr="00CC7E5E">
        <w:t xml:space="preserve"> may use the specifications to prepare and submit HERDC data outside of the ARC’s </w:t>
      </w:r>
      <w:r>
        <w:t>RMS</w:t>
      </w:r>
      <w:r w:rsidRPr="00CC7E5E">
        <w:t xml:space="preserve">, where this has been discussed and </w:t>
      </w:r>
      <w:r>
        <w:t xml:space="preserve">agreed with </w:t>
      </w:r>
      <w:r w:rsidRPr="008B1FDB">
        <w:t xml:space="preserve">the </w:t>
      </w:r>
      <w:r>
        <w:t xml:space="preserve">Australian Government </w:t>
      </w:r>
      <w:r w:rsidRPr="0075018F">
        <w:t>Department of Education (the department)</w:t>
      </w:r>
      <w:r w:rsidRPr="00CC7E5E">
        <w:t xml:space="preserve">, to </w:t>
      </w:r>
      <w:r>
        <w:t>form part of processes seeking</w:t>
      </w:r>
      <w:r w:rsidRPr="00CC7E5E">
        <w:t xml:space="preserve"> </w:t>
      </w:r>
      <w:r>
        <w:t xml:space="preserve">Table A or B status and future research block grant (RBG) funding </w:t>
      </w:r>
      <w:r w:rsidRPr="00CC7E5E">
        <w:t>eligibility.</w:t>
      </w:r>
    </w:p>
    <w:p w:rsidR="00C50B07" w:rsidP="005958F1" w:rsidRDefault="00C50B07" w14:paraId="4397A5E5" w14:textId="77777777">
      <w:pPr>
        <w:pStyle w:val="Heading2-NoTOC"/>
      </w:pPr>
      <w:r>
        <w:t>Use of data</w:t>
      </w:r>
    </w:p>
    <w:p w:rsidR="00C50B07" w:rsidP="00F02FCD" w:rsidRDefault="00C50B07" w14:paraId="4E2DAEF9" w14:textId="78060274">
      <w:pPr>
        <w:spacing w:after="0" w:line="240" w:lineRule="auto"/>
      </w:pPr>
      <w:r>
        <w:t xml:space="preserve">A minor amendment has been made to </w:t>
      </w:r>
      <w:r>
        <w:rPr>
          <w:b/>
          <w:bCs/>
        </w:rPr>
        <w:t>s</w:t>
      </w:r>
      <w:r w:rsidRPr="00DA0D03">
        <w:rPr>
          <w:b/>
          <w:bCs/>
        </w:rPr>
        <w:t>ection</w:t>
      </w:r>
      <w:r>
        <w:rPr>
          <w:b/>
          <w:bCs/>
        </w:rPr>
        <w:t xml:space="preserve"> 2.2</w:t>
      </w:r>
      <w:r>
        <w:t xml:space="preserve"> </w:t>
      </w:r>
      <w:r w:rsidRPr="009841E3">
        <w:t xml:space="preserve">to clarify that only </w:t>
      </w:r>
      <w:r w:rsidR="000E7C65">
        <w:t>f</w:t>
      </w:r>
      <w:r w:rsidR="008B419F">
        <w:t>inal</w:t>
      </w:r>
      <w:r w:rsidRPr="009841E3" w:rsidR="008B419F">
        <w:t xml:space="preserve"> </w:t>
      </w:r>
      <w:r w:rsidRPr="009841E3">
        <w:t>HERDC data may be shared with Knowledge Commercialisation Australasia (</w:t>
      </w:r>
      <w:r>
        <w:t>KCA</w:t>
      </w:r>
      <w:r w:rsidRPr="009841E3">
        <w:t>) to assist with Survey of Commercialisation Outcomes from Public Research (SCOPR) processes</w:t>
      </w:r>
      <w:r w:rsidR="00D506E9">
        <w:t>.</w:t>
      </w:r>
    </w:p>
    <w:p w:rsidRPr="00BA045E" w:rsidR="00C50B07" w:rsidP="00BA045E" w:rsidRDefault="00C50B07" w14:paraId="499E65C4" w14:textId="77777777">
      <w:pPr>
        <w:pStyle w:val="Heading2-NoTOC"/>
      </w:pPr>
      <w:r w:rsidRPr="00351184">
        <w:t xml:space="preserve">Research and experimental development (R&amp;D) income categorisation </w:t>
      </w:r>
    </w:p>
    <w:p w:rsidR="00C50B07" w:rsidP="00BA045E" w:rsidRDefault="00C50B07" w14:paraId="5CB2EBD7" w14:textId="77777777">
      <w:pPr>
        <w:rPr>
          <w:b/>
        </w:rPr>
      </w:pPr>
      <w:r w:rsidRPr="00BA045E">
        <w:rPr>
          <w:b/>
        </w:rPr>
        <w:t>Section 2.4.1</w:t>
      </w:r>
      <w:r w:rsidRPr="00B04AEE">
        <w:t xml:space="preserve"> </w:t>
      </w:r>
      <w:r>
        <w:t xml:space="preserve">and </w:t>
      </w:r>
      <w:r w:rsidRPr="00BA045E">
        <w:rPr>
          <w:b/>
        </w:rPr>
        <w:t>Section 5</w:t>
      </w:r>
      <w:r w:rsidRPr="000500D5">
        <w:rPr>
          <w:bCs/>
        </w:rPr>
        <w:t xml:space="preserve"> </w:t>
      </w:r>
      <w:r w:rsidRPr="00B04AEE">
        <w:t>h</w:t>
      </w:r>
      <w:r>
        <w:t>ave</w:t>
      </w:r>
      <w:r w:rsidRPr="00B04AEE">
        <w:t xml:space="preserve"> been strengthened to clarify that the categorisation of R&amp;D income must reflect the circumstances of the reference year</w:t>
      </w:r>
      <w:r>
        <w:t>.</w:t>
      </w:r>
    </w:p>
    <w:p w:rsidRPr="00BA045E" w:rsidR="005535A1" w:rsidP="00BA045E" w:rsidRDefault="00F7127D" w14:paraId="42AC0A47" w14:textId="3D83908A">
      <w:pPr>
        <w:pStyle w:val="Heading2-NoTOC"/>
      </w:pPr>
      <w:r w:rsidRPr="005D0923">
        <w:t xml:space="preserve">Net receipted income that can be included in the R&amp;D income return </w:t>
      </w:r>
    </w:p>
    <w:p w:rsidRPr="00864F76" w:rsidR="005535A1" w:rsidP="00BA045E" w:rsidRDefault="005535A1" w14:paraId="744FAF1F" w14:textId="56207E21">
      <w:pPr>
        <w:rPr>
          <w:b/>
        </w:rPr>
      </w:pPr>
      <w:r w:rsidRPr="00BA045E">
        <w:rPr>
          <w:b/>
          <w:bCs/>
        </w:rPr>
        <w:t>Section 4.2.1</w:t>
      </w:r>
      <w:r w:rsidRPr="00BA045E" w:rsidR="4159CD9B">
        <w:rPr>
          <w:b/>
          <w:bCs/>
        </w:rPr>
        <w:t xml:space="preserve"> </w:t>
      </w:r>
      <w:r w:rsidRPr="00BA045E" w:rsidR="00A50A7E">
        <w:rPr>
          <w:b/>
          <w:bCs/>
        </w:rPr>
        <w:t>paragraph h</w:t>
      </w:r>
      <w:r w:rsidRPr="550B070E" w:rsidR="00A50A7E">
        <w:t xml:space="preserve"> </w:t>
      </w:r>
      <w:r w:rsidRPr="550B070E" w:rsidR="6A1D9CFB">
        <w:t>has been revised</w:t>
      </w:r>
      <w:r w:rsidRPr="550B070E" w:rsidR="4C976F0C">
        <w:t xml:space="preserve"> </w:t>
      </w:r>
      <w:r w:rsidRPr="550B070E">
        <w:t xml:space="preserve">to </w:t>
      </w:r>
      <w:r w:rsidRPr="550B070E" w:rsidR="005D0923">
        <w:t>remove duplication</w:t>
      </w:r>
      <w:r w:rsidRPr="550B070E" w:rsidR="00A50A7E">
        <w:t xml:space="preserve"> </w:t>
      </w:r>
      <w:r w:rsidRPr="550B070E" w:rsidR="001573BB">
        <w:t xml:space="preserve">of exclusions already </w:t>
      </w:r>
      <w:r w:rsidRPr="550B070E" w:rsidR="005078C3">
        <w:t>addressed</w:t>
      </w:r>
      <w:r w:rsidRPr="550B070E" w:rsidR="001573BB">
        <w:t xml:space="preserve"> </w:t>
      </w:r>
      <w:r w:rsidRPr="550B070E" w:rsidR="005078C3">
        <w:t>in</w:t>
      </w:r>
      <w:r w:rsidRPr="550B070E" w:rsidR="001573BB">
        <w:t xml:space="preserve"> </w:t>
      </w:r>
      <w:r w:rsidRPr="00BA045E" w:rsidR="001573BB">
        <w:rPr>
          <w:b/>
          <w:bCs/>
        </w:rPr>
        <w:t>Section 4.2.2</w:t>
      </w:r>
      <w:r w:rsidRPr="550B070E" w:rsidR="001573BB">
        <w:t>.</w:t>
      </w:r>
      <w:r w:rsidR="006B0ED4">
        <w:t xml:space="preserve"> </w:t>
      </w:r>
      <w:r w:rsidRPr="00BA045E" w:rsidR="008E5927">
        <w:rPr>
          <w:b/>
        </w:rPr>
        <w:t>Section 4.2.2 paragraph p</w:t>
      </w:r>
      <w:r w:rsidR="008E5927">
        <w:t xml:space="preserve"> has also been amended as a result of this change.</w:t>
      </w:r>
    </w:p>
    <w:p w:rsidRPr="00C93593" w:rsidR="00C50B07" w:rsidP="009841E3" w:rsidRDefault="00C50B07" w14:paraId="570E7690" w14:textId="77777777">
      <w:pPr>
        <w:pStyle w:val="Heading2-NoTOC"/>
        <w:rPr>
          <w:bCs/>
        </w:rPr>
      </w:pPr>
      <w:r>
        <w:t xml:space="preserve">Eligible third-party income </w:t>
      </w:r>
      <w:bookmarkStart w:name="_Hlk214461956" w:id="5"/>
    </w:p>
    <w:bookmarkEnd w:id="5"/>
    <w:p w:rsidR="00C50B07" w:rsidP="0017404D" w:rsidRDefault="00C50B07" w14:paraId="60E75BE3" w14:textId="7243E2EB">
      <w:r w:rsidRPr="002B0F6E">
        <w:rPr>
          <w:b/>
          <w:bCs/>
        </w:rPr>
        <w:t>S</w:t>
      </w:r>
      <w:r>
        <w:rPr>
          <w:b/>
          <w:bCs/>
        </w:rPr>
        <w:t xml:space="preserve">ection 4.3.1 </w:t>
      </w:r>
      <w:r w:rsidRPr="002B0F6E">
        <w:t xml:space="preserve">has been updated to reference the definition </w:t>
      </w:r>
      <w:r w:rsidRPr="00720DEE">
        <w:t xml:space="preserve">of affiliate </w:t>
      </w:r>
      <w:r w:rsidR="00A866F9">
        <w:t>i</w:t>
      </w:r>
      <w:r w:rsidRPr="00720DEE" w:rsidR="00720DEE">
        <w:t>ncluded in the</w:t>
      </w:r>
      <w:r w:rsidR="00661942">
        <w:t xml:space="preserve"> </w:t>
      </w:r>
      <w:hyperlink w:history="1" r:id="rId19">
        <w:r w:rsidR="00661942">
          <w:rPr>
            <w:rStyle w:val="Hyperlink"/>
          </w:rPr>
          <w:t>Higher Education Support (Commonwealth Scholarships) Guidelines 2025</w:t>
        </w:r>
      </w:hyperlink>
      <w:r>
        <w:t xml:space="preserve"> (CSG). </w:t>
      </w:r>
      <w:r w:rsidRPr="0017404D">
        <w:t>The existing eligibility criteria for affiliate income to be reported</w:t>
      </w:r>
      <w:r>
        <w:t xml:space="preserve">, as </w:t>
      </w:r>
      <w:r w:rsidRPr="0017404D">
        <w:t xml:space="preserve">outlined in </w:t>
      </w:r>
      <w:r w:rsidRPr="006A6E1B" w:rsidR="006A6E1B">
        <w:rPr>
          <w:b/>
          <w:bCs/>
        </w:rPr>
        <w:t>s</w:t>
      </w:r>
      <w:r w:rsidRPr="002B0F6E">
        <w:rPr>
          <w:b/>
          <w:bCs/>
        </w:rPr>
        <w:t>ection 4.3.1</w:t>
      </w:r>
      <w:r w:rsidR="006A6E1B">
        <w:rPr>
          <w:b/>
          <w:bCs/>
        </w:rPr>
        <w:t>,</w:t>
      </w:r>
      <w:r>
        <w:t xml:space="preserve"> </w:t>
      </w:r>
      <w:r w:rsidRPr="0017404D">
        <w:t>remain unchanged.</w:t>
      </w:r>
    </w:p>
    <w:p w:rsidRPr="0017404D" w:rsidR="00AF140A" w:rsidP="0017404D" w:rsidRDefault="00AF140A" w14:paraId="1402D558" w14:textId="351CB0B8">
      <w:r>
        <w:t>As the CSG also define the term research</w:t>
      </w:r>
      <w:r w:rsidR="007F7E5F">
        <w:t xml:space="preserve"> </w:t>
      </w:r>
      <w:r>
        <w:t>end</w:t>
      </w:r>
      <w:r w:rsidR="007F7E5F">
        <w:t>-</w:t>
      </w:r>
      <w:r>
        <w:t xml:space="preserve">user, the note in </w:t>
      </w:r>
      <w:r w:rsidRPr="00661942">
        <w:rPr>
          <w:b/>
          <w:bCs/>
        </w:rPr>
        <w:t>section 4.3.1</w:t>
      </w:r>
      <w:r>
        <w:t xml:space="preserve"> that previously referenced this term and Research Training Program industry internship weighting eligibility, along with the footnote referencing the TCSI research end-user definition, are no longer required and have been removed.</w:t>
      </w:r>
    </w:p>
    <w:p w:rsidRPr="00C93593" w:rsidR="00C50B07" w:rsidP="009841E3" w:rsidRDefault="00C50B07" w14:paraId="26BCEAAF" w14:textId="77777777">
      <w:pPr>
        <w:pStyle w:val="Heading2-NoTOC"/>
        <w:rPr>
          <w:bCs/>
        </w:rPr>
      </w:pPr>
      <w:r>
        <w:t>Shared income</w:t>
      </w:r>
      <w:r w:rsidRPr="00EC1BF7">
        <w:rPr>
          <w:rFonts w:eastAsiaTheme="minorHAnsi" w:cstheme="minorBidi"/>
          <w:b w:val="0"/>
          <w:color w:val="auto"/>
        </w:rPr>
        <w:t xml:space="preserve"> </w:t>
      </w:r>
    </w:p>
    <w:p w:rsidR="00423427" w:rsidP="009841E3" w:rsidRDefault="00C50B07" w14:paraId="62B3B17C" w14:textId="77777777">
      <w:pPr>
        <w:rPr>
          <w:rFonts w:ascii="Aptos" w:hAnsi="Aptos" w:eastAsia="Times New Roman" w:cs="Calibri"/>
          <w:color w:val="000000"/>
          <w:lang w:eastAsia="en-AU"/>
        </w:rPr>
      </w:pPr>
      <w:r>
        <w:rPr>
          <w:b/>
          <w:bCs/>
        </w:rPr>
        <w:t xml:space="preserve">Section 4.3.1 </w:t>
      </w:r>
      <w:r w:rsidRPr="00986E38">
        <w:t xml:space="preserve">has been updated to </w:t>
      </w:r>
      <w:r w:rsidRPr="00824DED">
        <w:t xml:space="preserve">clarify that </w:t>
      </w:r>
      <w:r w:rsidRPr="00FD1AA8" w:rsidR="00662A77">
        <w:rPr>
          <w:rFonts w:ascii="Aptos" w:hAnsi="Aptos" w:eastAsia="Times New Roman" w:cs="Calibri"/>
          <w:color w:val="000000"/>
          <w:lang w:eastAsia="en-AU"/>
        </w:rPr>
        <w:t xml:space="preserve">shared income provisions apply based on whether income is transferred </w:t>
      </w:r>
      <w:r w:rsidR="005E2153">
        <w:rPr>
          <w:rFonts w:ascii="Aptos" w:hAnsi="Aptos" w:eastAsia="Times New Roman" w:cs="Calibri"/>
          <w:color w:val="000000"/>
          <w:lang w:eastAsia="en-AU"/>
        </w:rPr>
        <w:t xml:space="preserve">to </w:t>
      </w:r>
      <w:r w:rsidRPr="00CD49E0" w:rsidR="00662A77">
        <w:rPr>
          <w:rFonts w:ascii="Aptos" w:hAnsi="Aptos" w:eastAsia="Times New Roman" w:cs="Calibri"/>
          <w:color w:val="000000"/>
          <w:lang w:eastAsia="en-AU"/>
        </w:rPr>
        <w:t>another named party according to a grant, contract or other enforceable agreement or a tender/application for funding</w:t>
      </w:r>
      <w:r w:rsidRPr="00FD1AA8" w:rsidR="00662A77">
        <w:rPr>
          <w:rFonts w:ascii="Aptos" w:hAnsi="Aptos" w:eastAsia="Times New Roman" w:cs="Calibri"/>
          <w:color w:val="000000"/>
          <w:lang w:eastAsia="en-AU"/>
        </w:rPr>
        <w:t>, not on whether that party undertakes R&amp;D.</w:t>
      </w:r>
      <w:r w:rsidR="00662A77">
        <w:rPr>
          <w:rFonts w:ascii="Aptos" w:hAnsi="Aptos" w:eastAsia="Times New Roman" w:cs="Calibri"/>
          <w:color w:val="000000"/>
          <w:lang w:eastAsia="en-AU"/>
        </w:rPr>
        <w:t xml:space="preserve"> </w:t>
      </w:r>
    </w:p>
    <w:p w:rsidR="00C50B07" w:rsidP="009841E3" w:rsidRDefault="00423427" w14:paraId="3883FF89" w14:textId="28B92B02">
      <w:pPr>
        <w:rPr>
          <w:rFonts w:ascii="Calibri" w:hAnsi="Calibri" w:eastAsia="Calibri" w:cs="Times New Roman"/>
        </w:rPr>
      </w:pPr>
      <w:r>
        <w:rPr>
          <w:rFonts w:ascii="Aptos" w:hAnsi="Aptos" w:eastAsia="Times New Roman" w:cs="Calibri"/>
          <w:color w:val="000000"/>
          <w:lang w:eastAsia="en-AU"/>
        </w:rPr>
        <w:t>The updated wording also clarifies that</w:t>
      </w:r>
      <w:r w:rsidR="005E2153">
        <w:rPr>
          <w:rFonts w:ascii="Aptos" w:hAnsi="Aptos" w:eastAsia="Times New Roman" w:cs="Calibri"/>
          <w:color w:val="000000"/>
          <w:lang w:eastAsia="en-AU"/>
        </w:rPr>
        <w:t xml:space="preserve"> </w:t>
      </w:r>
      <w:r w:rsidRPr="00824DED" w:rsidR="00C50B07">
        <w:t>the examples of parties involved are not exhaustive, reinforcing that any named entity</w:t>
      </w:r>
      <w:r w:rsidR="00C50B07">
        <w:t xml:space="preserve">, </w:t>
      </w:r>
      <w:r w:rsidRPr="00824DED" w:rsidR="00C50B07">
        <w:t xml:space="preserve">whether a </w:t>
      </w:r>
      <w:r w:rsidR="00C50B07">
        <w:t>HEP</w:t>
      </w:r>
      <w:r w:rsidRPr="00824DED" w:rsidR="00C50B07">
        <w:t>, individual, or other organisation</w:t>
      </w:r>
      <w:r w:rsidR="00C50B07">
        <w:t xml:space="preserve">, </w:t>
      </w:r>
      <w:r w:rsidRPr="00824DED" w:rsidR="00C50B07">
        <w:t>may be considered a party for the purposes of determining shared income, provided the arrangement is specified in a</w:t>
      </w:r>
      <w:r w:rsidR="00C50B07">
        <w:t xml:space="preserve"> </w:t>
      </w:r>
      <w:r w:rsidRPr="00877750" w:rsidR="00C50B07">
        <w:rPr>
          <w:rFonts w:ascii="Calibri" w:hAnsi="Calibri" w:eastAsia="Calibri" w:cs="Times New Roman"/>
        </w:rPr>
        <w:t>grant, contract or any other enforceable agreement or in the initial tender/application for funding.</w:t>
      </w:r>
    </w:p>
    <w:p w:rsidR="00C50B07" w:rsidP="009841E3" w:rsidRDefault="00C50B07" w14:paraId="3AEEFAF2" w14:textId="77777777">
      <w:pPr>
        <w:pStyle w:val="Heading2-NoTOC"/>
      </w:pPr>
      <w:r w:rsidRPr="00BF4492">
        <w:t>Category 1 Australian competitive grant R&amp;D income</w:t>
      </w:r>
      <w:r w:rsidRPr="00DA18EE">
        <w:t xml:space="preserve"> </w:t>
      </w:r>
    </w:p>
    <w:p w:rsidRPr="004E532C" w:rsidR="00C50B07" w:rsidP="004E532C" w:rsidRDefault="00C50B07" w14:paraId="7CCEFB76" w14:textId="20D67689">
      <w:r w:rsidRPr="00DA18EE">
        <w:t xml:space="preserve">The Category 1 decision tree </w:t>
      </w:r>
      <w:r>
        <w:t xml:space="preserve">at </w:t>
      </w:r>
      <w:r w:rsidRPr="009E07D1">
        <w:rPr>
          <w:b/>
          <w:bCs/>
        </w:rPr>
        <w:t>Figure 1</w:t>
      </w:r>
      <w:r w:rsidRPr="00A74390">
        <w:t xml:space="preserve"> and accompanying note have been updated to </w:t>
      </w:r>
      <w:r>
        <w:t xml:space="preserve">include existing requirements at </w:t>
      </w:r>
      <w:r w:rsidRPr="007A300A">
        <w:rPr>
          <w:b/>
          <w:bCs/>
        </w:rPr>
        <w:t>section 5.4</w:t>
      </w:r>
      <w:r>
        <w:t xml:space="preserve"> </w:t>
      </w:r>
      <w:r w:rsidRPr="00A74390">
        <w:t>that income received from Cooperative Research Centres (CRCs), including CRC Projects (CRC-Ps), must be reported under Category 4 R&amp;D income</w:t>
      </w:r>
      <w:r>
        <w:t xml:space="preserve">, </w:t>
      </w:r>
      <w:r w:rsidRPr="00A74390">
        <w:t>even if awarded on a competitive basis</w:t>
      </w:r>
      <w:r>
        <w:t xml:space="preserve">, </w:t>
      </w:r>
      <w:r w:rsidRPr="00A74390">
        <w:t xml:space="preserve">and not under Category 1. </w:t>
      </w:r>
      <w:r w:rsidR="005576CB">
        <w:rPr>
          <w:iCs/>
        </w:rPr>
        <w:t>Th</w:t>
      </w:r>
      <w:r w:rsidR="00AB7D47">
        <w:rPr>
          <w:iCs/>
        </w:rPr>
        <w:t xml:space="preserve">e existing requirements are now included in </w:t>
      </w:r>
      <w:r w:rsidR="005576CB">
        <w:rPr>
          <w:iCs/>
        </w:rPr>
        <w:t xml:space="preserve">a new note </w:t>
      </w:r>
      <w:r w:rsidRPr="00F2079D" w:rsidR="005576CB">
        <w:rPr>
          <w:rFonts w:cs="Times New Roman"/>
          <w:iCs/>
        </w:rPr>
        <w:t xml:space="preserve">at the end of </w:t>
      </w:r>
      <w:r w:rsidRPr="00F2079D" w:rsidR="005576CB">
        <w:rPr>
          <w:rFonts w:cs="Times New Roman"/>
          <w:b/>
          <w:bCs/>
          <w:iCs/>
        </w:rPr>
        <w:t>section 5.1.1</w:t>
      </w:r>
      <w:r w:rsidRPr="00F2079D" w:rsidR="005576CB">
        <w:rPr>
          <w:rFonts w:cs="Times New Roman"/>
          <w:iCs/>
        </w:rPr>
        <w:t>.</w:t>
      </w:r>
    </w:p>
    <w:bookmarkEnd w:id="4"/>
    <w:p w:rsidR="00C50B07" w:rsidP="00DA0D03" w:rsidRDefault="00C50B07" w14:paraId="03F5E02A" w14:textId="77777777">
      <w:r>
        <w:br w:type="page"/>
      </w:r>
    </w:p>
    <w:p w:rsidRPr="00AC0D16" w:rsidR="00C50B07" w:rsidP="00AC0D16" w:rsidRDefault="00C50B07" w14:paraId="0AA56D33" w14:textId="77777777">
      <w:pPr>
        <w:pStyle w:val="Heading1"/>
        <w:spacing w:line="240" w:lineRule="auto"/>
        <w:ind w:left="284" w:hanging="284"/>
        <w:rPr>
          <w:color w:val="000000"/>
        </w:rPr>
      </w:pPr>
      <w:bookmarkStart w:name="_Toc222833849" w:id="6"/>
      <w:r w:rsidRPr="00AC0D16">
        <w:rPr>
          <w:color w:val="000000"/>
        </w:rPr>
        <w:t>Introduction</w:t>
      </w:r>
      <w:bookmarkEnd w:id="6"/>
    </w:p>
    <w:p w:rsidRPr="009D347E" w:rsidR="00C50B07" w:rsidP="006108A9" w:rsidRDefault="00C50B07" w14:paraId="075AEB03" w14:textId="77777777">
      <w:pPr>
        <w:pStyle w:val="Heading2"/>
      </w:pPr>
      <w:bookmarkStart w:name="_Toc147503801" w:id="7"/>
      <w:bookmarkStart w:name="_Toc222833850" w:id="8"/>
      <w:r>
        <w:t>2</w:t>
      </w:r>
      <w:r w:rsidRPr="009D347E">
        <w:t>.1</w:t>
      </w:r>
      <w:r w:rsidRPr="009D347E">
        <w:tab/>
      </w:r>
      <w:r w:rsidRPr="009D347E">
        <w:t>Purpose</w:t>
      </w:r>
      <w:bookmarkEnd w:id="7"/>
      <w:bookmarkEnd w:id="8"/>
      <w:r w:rsidRPr="009D347E">
        <w:t xml:space="preserve"> </w:t>
      </w:r>
    </w:p>
    <w:p w:rsidRPr="00EF05CC" w:rsidR="00C50B07" w:rsidP="009D347E" w:rsidRDefault="00C50B07" w14:paraId="45F68F62" w14:textId="3F5309BB">
      <w:pPr>
        <w:rPr>
          <w:lang w:val="en-US"/>
        </w:rPr>
      </w:pPr>
      <w:r w:rsidRPr="00EF05CC">
        <w:rPr>
          <w:lang w:val="en-US"/>
        </w:rPr>
        <w:t>The Australian Government’s provision of RBG funding to eligible HEPs</w:t>
      </w:r>
      <w:r w:rsidRPr="004148C4">
        <w:rPr>
          <w:vertAlign w:val="superscript"/>
          <w:lang w:val="en-US"/>
        </w:rPr>
        <w:t xml:space="preserve"> </w:t>
      </w:r>
      <w:r w:rsidRPr="00EF05CC">
        <w:rPr>
          <w:vertAlign w:val="superscript"/>
          <w:lang w:val="en-US"/>
        </w:rPr>
        <w:footnoteReference w:id="2"/>
      </w:r>
      <w:r w:rsidRPr="00EF05CC">
        <w:rPr>
          <w:lang w:val="en-US"/>
        </w:rPr>
        <w:t xml:space="preserve"> is enabled by </w:t>
      </w:r>
      <w:r w:rsidRPr="00C154DF">
        <w:rPr>
          <w:lang w:val="en-US"/>
        </w:rPr>
        <w:t>HESA</w:t>
      </w:r>
      <w:r>
        <w:rPr>
          <w:lang w:val="en-US"/>
        </w:rPr>
        <w:t xml:space="preserve"> to </w:t>
      </w:r>
      <w:r w:rsidRPr="00EF05CC">
        <w:rPr>
          <w:lang w:val="en-US"/>
        </w:rPr>
        <w:t>provide ‘grants to support research by, and the research capability of, higher education providers’ and ‘grants to support the training of research students’.</w:t>
      </w:r>
      <w:r w:rsidRPr="00EF05CC">
        <w:rPr>
          <w:vertAlign w:val="superscript"/>
          <w:lang w:val="en-US"/>
        </w:rPr>
        <w:footnoteReference w:id="3"/>
      </w:r>
    </w:p>
    <w:p w:rsidR="00C50B07" w:rsidP="00345958" w:rsidRDefault="00C50B07" w14:paraId="1EE76C69" w14:textId="65188D13">
      <w:pPr>
        <w:rPr>
          <w:i/>
          <w:iCs/>
          <w:color w:val="000000" w:themeColor="text1"/>
        </w:rPr>
      </w:pPr>
      <w:r w:rsidRPr="00EF05CC">
        <w:rPr>
          <w:lang w:val="en-US"/>
        </w:rPr>
        <w:t>The purpose of the</w:t>
      </w:r>
      <w:r w:rsidRPr="00EF05CC">
        <w:rPr>
          <w:i/>
          <w:lang w:val="en-US"/>
        </w:rPr>
        <w:t xml:space="preserve"> </w:t>
      </w:r>
      <w:r w:rsidRPr="00EF05CC">
        <w:rPr>
          <w:iCs/>
          <w:lang w:val="en-US"/>
        </w:rPr>
        <w:t xml:space="preserve">HERDC </w:t>
      </w:r>
      <w:r>
        <w:rPr>
          <w:iCs/>
          <w:lang w:val="en-US"/>
        </w:rPr>
        <w:t>s</w:t>
      </w:r>
      <w:r w:rsidRPr="00EF05CC">
        <w:rPr>
          <w:iCs/>
          <w:lang w:val="en-US"/>
        </w:rPr>
        <w:t xml:space="preserve">pecifications for the collection of </w:t>
      </w:r>
      <w:r>
        <w:rPr>
          <w:iCs/>
          <w:lang w:val="en-US"/>
        </w:rPr>
        <w:t>2025</w:t>
      </w:r>
      <w:r w:rsidRPr="00EF05CC">
        <w:rPr>
          <w:iCs/>
          <w:lang w:val="en-US"/>
        </w:rPr>
        <w:t xml:space="preserve"> data</w:t>
      </w:r>
      <w:r w:rsidRPr="00EF05CC">
        <w:rPr>
          <w:lang w:val="en-US"/>
        </w:rPr>
        <w:t xml:space="preserve"> (specifications) is to provide guidance to HEPs and auditors on the requirements for HEPs </w:t>
      </w:r>
      <w:r>
        <w:rPr>
          <w:lang w:val="en-US"/>
        </w:rPr>
        <w:t>submitting</w:t>
      </w:r>
      <w:r w:rsidRPr="00EF05CC">
        <w:rPr>
          <w:lang w:val="en-US"/>
        </w:rPr>
        <w:t xml:space="preserve"> </w:t>
      </w:r>
      <w:r>
        <w:rPr>
          <w:lang w:val="en-US"/>
        </w:rPr>
        <w:t>2025</w:t>
      </w:r>
      <w:r w:rsidRPr="00EF05CC">
        <w:rPr>
          <w:lang w:val="en-US"/>
        </w:rPr>
        <w:t xml:space="preserve"> R&amp;D income data</w:t>
      </w:r>
      <w:r w:rsidR="00D4416F">
        <w:rPr>
          <w:lang w:val="en-US"/>
        </w:rPr>
        <w:t>.</w:t>
      </w:r>
      <w:r>
        <w:rPr>
          <w:lang w:val="en-US"/>
        </w:rPr>
        <w:t xml:space="preserve"> </w:t>
      </w:r>
    </w:p>
    <w:p w:rsidRPr="00EF05CC" w:rsidR="00C50B07" w:rsidP="009D347E" w:rsidRDefault="00C50B07" w14:paraId="2F36A866" w14:textId="3BD88408">
      <w:pPr>
        <w:rPr>
          <w:lang w:val="en-US"/>
        </w:rPr>
      </w:pPr>
      <w:r w:rsidRPr="00A2163A">
        <w:t xml:space="preserve">Entities that are not listed as Table A or Table B </w:t>
      </w:r>
      <w:r>
        <w:t>HEPs</w:t>
      </w:r>
      <w:r w:rsidR="009116FE">
        <w:t xml:space="preserve"> </w:t>
      </w:r>
      <w:r w:rsidRPr="00A2163A">
        <w:t xml:space="preserve">under HESA, but are </w:t>
      </w:r>
      <w:r>
        <w:t>engaged with the department on processes to obtain Table A or Table B status approval</w:t>
      </w:r>
      <w:r w:rsidR="00520073">
        <w:t xml:space="preserve"> </w:t>
      </w:r>
      <w:r w:rsidRPr="00A2163A">
        <w:t>may also use these specifications to prepare and submit HERDC data</w:t>
      </w:r>
      <w:r>
        <w:t xml:space="preserve"> outside of </w:t>
      </w:r>
      <w:r w:rsidRPr="0075018F">
        <w:t>the ARC</w:t>
      </w:r>
      <w:r>
        <w:t>’s</w:t>
      </w:r>
      <w:r w:rsidRPr="0075018F">
        <w:t xml:space="preserve"> </w:t>
      </w:r>
      <w:r>
        <w:rPr>
          <w:rFonts w:ascii="Calibri" w:hAnsi="Calibri" w:eastAsia="Calibri" w:cs="Arial"/>
        </w:rPr>
        <w:t>RMS</w:t>
      </w:r>
      <w:r w:rsidRPr="008B1FDB">
        <w:t xml:space="preserve">, where this has been </w:t>
      </w:r>
      <w:r>
        <w:t>agreed to</w:t>
      </w:r>
      <w:r w:rsidR="009116FE">
        <w:t xml:space="preserve"> </w:t>
      </w:r>
      <w:r w:rsidRPr="008B1FDB">
        <w:t xml:space="preserve">by the </w:t>
      </w:r>
      <w:r w:rsidRPr="0075018F">
        <w:t>department</w:t>
      </w:r>
      <w:r w:rsidRPr="008B1FDB">
        <w:t xml:space="preserve">. This </w:t>
      </w:r>
      <w:r>
        <w:t xml:space="preserve">is to </w:t>
      </w:r>
      <w:r w:rsidRPr="008B1FDB">
        <w:t>support</w:t>
      </w:r>
      <w:r>
        <w:t xml:space="preserve"> future RBG</w:t>
      </w:r>
      <w:r w:rsidRPr="008B1FDB">
        <w:t xml:space="preserve"> </w:t>
      </w:r>
      <w:r>
        <w:t>eligibility</w:t>
      </w:r>
      <w:r w:rsidR="009116FE">
        <w:t xml:space="preserve"> </w:t>
      </w:r>
      <w:r w:rsidRPr="008B1FDB">
        <w:t xml:space="preserve">and ensure continuity and compliance with HERDC requirements </w:t>
      </w:r>
      <w:r w:rsidR="006E2234">
        <w:t>should</w:t>
      </w:r>
      <w:r w:rsidRPr="008B1FDB">
        <w:t xml:space="preserve"> eligibility </w:t>
      </w:r>
      <w:r w:rsidR="006E2234">
        <w:t>be</w:t>
      </w:r>
      <w:r w:rsidRPr="008B1FDB">
        <w:t xml:space="preserve"> </w:t>
      </w:r>
      <w:r>
        <w:t>established</w:t>
      </w:r>
      <w:r w:rsidR="009116FE">
        <w:t>.</w:t>
      </w:r>
    </w:p>
    <w:p w:rsidRPr="0075018F" w:rsidR="00C50B07" w:rsidP="006108A9" w:rsidRDefault="00C50B07" w14:paraId="5EE729FE" w14:textId="77777777">
      <w:pPr>
        <w:pStyle w:val="Heading2"/>
      </w:pPr>
      <w:bookmarkStart w:name="_Toc523214661" w:id="9"/>
      <w:bookmarkStart w:name="_Toc27055341" w:id="10"/>
      <w:bookmarkStart w:name="_Toc81230892" w:id="11"/>
      <w:bookmarkStart w:name="_Toc92461267" w:id="12"/>
      <w:bookmarkStart w:name="_Toc147503802" w:id="13"/>
      <w:bookmarkStart w:name="_Toc222833851" w:id="14"/>
      <w:r>
        <w:t>2</w:t>
      </w:r>
      <w:r w:rsidRPr="0075018F">
        <w:t>.2</w:t>
      </w:r>
      <w:r w:rsidRPr="0075018F">
        <w:tab/>
      </w:r>
      <w:r w:rsidRPr="0075018F">
        <w:t>Use of data</w:t>
      </w:r>
      <w:bookmarkEnd w:id="9"/>
      <w:bookmarkEnd w:id="10"/>
      <w:bookmarkEnd w:id="11"/>
      <w:bookmarkEnd w:id="12"/>
      <w:bookmarkEnd w:id="13"/>
      <w:bookmarkEnd w:id="14"/>
    </w:p>
    <w:p w:rsidRPr="0075018F" w:rsidR="00C50B07" w:rsidP="009D347E" w:rsidRDefault="00C50B07" w14:paraId="6542E66A" w14:textId="39035639">
      <w:r w:rsidRPr="0075018F">
        <w:t xml:space="preserve">HERDC </w:t>
      </w:r>
      <w:r>
        <w:t>R&amp;D income</w:t>
      </w:r>
      <w:r w:rsidRPr="0075018F">
        <w:t xml:space="preserve"> </w:t>
      </w:r>
      <w:r>
        <w:t xml:space="preserve">data </w:t>
      </w:r>
      <w:r w:rsidRPr="0075018F">
        <w:t xml:space="preserve">is collected by the ARC through </w:t>
      </w:r>
      <w:r>
        <w:t>RMS</w:t>
      </w:r>
      <w:r w:rsidRPr="0075018F">
        <w:t xml:space="preserve"> and disclosed to the department for the annual calculation of RBGs, in accordance with the</w:t>
      </w:r>
      <w:r>
        <w:t xml:space="preserve"> ARC</w:t>
      </w:r>
      <w:r w:rsidRPr="0075018F">
        <w:t xml:space="preserve"> </w:t>
      </w:r>
      <w:hyperlink w:history="1" r:id="rId20">
        <w:r>
          <w:rPr>
            <w:rStyle w:val="Hyperlink"/>
          </w:rPr>
          <w:t>Privacy Policy</w:t>
        </w:r>
      </w:hyperlink>
      <w:r w:rsidRPr="0075018F">
        <w:t>.</w:t>
      </w:r>
    </w:p>
    <w:p w:rsidRPr="0075018F" w:rsidR="00C50B07" w:rsidP="009D347E" w:rsidRDefault="00C50B07" w14:paraId="528E54FC" w14:textId="500F9B94">
      <w:pPr>
        <w:rPr>
          <w:lang w:val="en-US"/>
        </w:rPr>
      </w:pPr>
      <w:r w:rsidRPr="0075018F">
        <w:rPr>
          <w:lang w:val="en-US"/>
        </w:rPr>
        <w:t xml:space="preserve">The department uses HERDC </w:t>
      </w:r>
      <w:r>
        <w:rPr>
          <w:lang w:val="en-US"/>
        </w:rPr>
        <w:t>R&amp;D income</w:t>
      </w:r>
      <w:r w:rsidRPr="0075018F">
        <w:rPr>
          <w:lang w:val="en-US"/>
        </w:rPr>
        <w:t xml:space="preserve"> data</w:t>
      </w:r>
      <w:r>
        <w:rPr>
          <w:lang w:val="en-US"/>
        </w:rPr>
        <w:t>,</w:t>
      </w:r>
      <w:r w:rsidRPr="0075018F">
        <w:rPr>
          <w:lang w:val="en-US"/>
        </w:rPr>
        <w:t xml:space="preserve"> together with data from the Higher Education Student Data Collection</w:t>
      </w:r>
      <w:r>
        <w:rPr>
          <w:lang w:val="en-US"/>
        </w:rPr>
        <w:t xml:space="preserve"> (HESDC),</w:t>
      </w:r>
      <w:r w:rsidRPr="0075018F">
        <w:rPr>
          <w:lang w:val="en-US"/>
        </w:rPr>
        <w:t xml:space="preserve"> to determine HEPs’ annual RBG allocations</w:t>
      </w:r>
      <w:r>
        <w:rPr>
          <w:lang w:val="en-US"/>
        </w:rPr>
        <w:t xml:space="preserve"> through the Research Support Program (RSP) and Research Training Program (RTP), in accordance with the </w:t>
      </w:r>
      <w:hyperlink w:history="1" r:id="rId21">
        <w:hyperlink w:history="1" r:id="rId22">
          <w:r>
            <w:rPr>
              <w:rStyle w:val="Hyperlink"/>
              <w:rFonts w:ascii="Calibri" w:hAnsi="Calibri" w:cstheme="minorHAnsi"/>
            </w:rPr>
            <w:t xml:space="preserve">CSG </w:t>
          </w:r>
        </w:hyperlink>
      </w:hyperlink>
      <w:r w:rsidRPr="00345958">
        <w:rPr>
          <w:rFonts w:ascii="Calibri" w:hAnsi="Calibri" w:cstheme="minorHAnsi"/>
          <w:color w:val="000000" w:themeColor="text1"/>
        </w:rPr>
        <w:t xml:space="preserve">and the </w:t>
      </w:r>
      <w:hyperlink w:history="1" r:id="rId23">
        <w:r>
          <w:rPr>
            <w:rStyle w:val="Hyperlink"/>
            <w:rFonts w:ascii="Calibri" w:hAnsi="Calibri" w:cstheme="minorHAnsi"/>
          </w:rPr>
          <w:t>Other Grants Guidelines (Research) 2017</w:t>
        </w:r>
      </w:hyperlink>
      <w:r>
        <w:rPr>
          <w:rFonts w:ascii="Calibri" w:hAnsi="Calibri" w:cstheme="minorHAnsi"/>
          <w:color w:val="000000" w:themeColor="text1"/>
        </w:rPr>
        <w:t xml:space="preserve"> (OGG). Further i</w:t>
      </w:r>
      <w:r w:rsidRPr="0075018F">
        <w:rPr>
          <w:lang w:val="en-US"/>
        </w:rPr>
        <w:t xml:space="preserve">nformation about RBGs, including program guidelines, conditions of grants and processes for calculating grant amounts can be found on the </w:t>
      </w:r>
      <w:hyperlink w:history="1" r:id="rId24">
        <w:r>
          <w:rPr>
            <w:rStyle w:val="Hyperlink"/>
            <w:lang w:val="en-US"/>
          </w:rPr>
          <w:t>RBG</w:t>
        </w:r>
        <w:r w:rsidRPr="0075018F">
          <w:rPr>
            <w:rStyle w:val="Hyperlink"/>
            <w:lang w:val="en-US"/>
          </w:rPr>
          <w:t xml:space="preserve"> webpage</w:t>
        </w:r>
      </w:hyperlink>
      <w:r w:rsidRPr="0075018F">
        <w:rPr>
          <w:lang w:val="en-US"/>
        </w:rPr>
        <w:t>.</w:t>
      </w:r>
    </w:p>
    <w:p w:rsidRPr="0075018F" w:rsidR="00C50B07" w:rsidP="009D347E" w:rsidRDefault="00C50B07" w14:paraId="395F37A4" w14:textId="3C0296E3">
      <w:pPr>
        <w:rPr>
          <w:lang w:val="en-US"/>
        </w:rPr>
      </w:pPr>
      <w:r w:rsidRPr="0075018F">
        <w:rPr>
          <w:lang w:val="en-US"/>
        </w:rPr>
        <w:t xml:space="preserve">It is a condition of RBG funding that the materials required in </w:t>
      </w:r>
      <w:r>
        <w:rPr>
          <w:b/>
          <w:lang w:val="en-US"/>
        </w:rPr>
        <w:t>s</w:t>
      </w:r>
      <w:r w:rsidRPr="0075018F">
        <w:rPr>
          <w:b/>
          <w:lang w:val="en-US"/>
        </w:rPr>
        <w:t xml:space="preserve">ection </w:t>
      </w:r>
      <w:r>
        <w:rPr>
          <w:b/>
          <w:lang w:val="en-US"/>
        </w:rPr>
        <w:t>2</w:t>
      </w:r>
      <w:r w:rsidRPr="0075018F">
        <w:rPr>
          <w:b/>
          <w:lang w:val="en-US"/>
        </w:rPr>
        <w:t>.4</w:t>
      </w:r>
      <w:r w:rsidRPr="0075018F">
        <w:rPr>
          <w:lang w:val="en-US"/>
        </w:rPr>
        <w:t xml:space="preserve"> of these </w:t>
      </w:r>
      <w:r w:rsidRPr="0075018F">
        <w:rPr>
          <w:iCs/>
          <w:lang w:val="en-US"/>
        </w:rPr>
        <w:t xml:space="preserve">specifications </w:t>
      </w:r>
      <w:r w:rsidRPr="0075018F">
        <w:rPr>
          <w:lang w:val="en-US"/>
        </w:rPr>
        <w:t>are provided to the department by 30 June 202</w:t>
      </w:r>
      <w:r>
        <w:rPr>
          <w:lang w:val="en-US"/>
        </w:rPr>
        <w:t>6</w:t>
      </w:r>
      <w:r w:rsidRPr="0075018F">
        <w:rPr>
          <w:lang w:val="en-US"/>
        </w:rPr>
        <w:t>.</w:t>
      </w:r>
    </w:p>
    <w:p w:rsidR="00C50B07" w:rsidP="009D347E" w:rsidRDefault="00C50B07" w14:paraId="14E65E3B" w14:textId="01D05290">
      <w:r w:rsidRPr="0075018F">
        <w:rPr>
          <w:lang w:val="en-US"/>
        </w:rPr>
        <w:t xml:space="preserve">The department may use </w:t>
      </w:r>
      <w:r>
        <w:rPr>
          <w:lang w:val="en-US"/>
        </w:rPr>
        <w:t>R&amp;D income</w:t>
      </w:r>
      <w:r w:rsidRPr="0075018F">
        <w:rPr>
          <w:lang w:val="en-US"/>
        </w:rPr>
        <w:t xml:space="preserve"> data submitted through HERDC by HEPs to inform other analyses conducted by the department and may also provide the data to other government agencies. Data collected through </w:t>
      </w:r>
      <w:r w:rsidRPr="0075018F">
        <w:t>HERDC is published</w:t>
      </w:r>
      <w:r>
        <w:t xml:space="preserve"> on the </w:t>
      </w:r>
      <w:hyperlink w:history="1" r:id="rId25">
        <w:r>
          <w:rPr>
            <w:rStyle w:val="Hyperlink"/>
          </w:rPr>
          <w:t xml:space="preserve">HERDC </w:t>
        </w:r>
        <w:r w:rsidRPr="00EE5D43">
          <w:rPr>
            <w:rStyle w:val="Hyperlink"/>
          </w:rPr>
          <w:t>webpage</w:t>
        </w:r>
      </w:hyperlink>
      <w:r>
        <w:t>.</w:t>
      </w:r>
      <w:r w:rsidRPr="0075018F">
        <w:t xml:space="preserve"> </w:t>
      </w:r>
    </w:p>
    <w:p w:rsidRPr="0075018F" w:rsidR="00C50B07" w:rsidP="009D347E" w:rsidRDefault="00C50B07" w14:paraId="64B9B421" w14:textId="46193703">
      <w:bookmarkStart w:name="_Hlk179367382" w:id="15"/>
      <w:r>
        <w:rPr>
          <w:rFonts w:ascii="Calibri" w:hAnsi="Calibri" w:eastAsia="Calibri" w:cs="Arial"/>
        </w:rPr>
        <w:t xml:space="preserve">HERDC </w:t>
      </w:r>
      <w:r w:rsidRPr="002A37D9">
        <w:rPr>
          <w:rFonts w:ascii="Calibri" w:hAnsi="Calibri" w:eastAsia="Calibri" w:cs="Arial"/>
        </w:rPr>
        <w:t xml:space="preserve">data </w:t>
      </w:r>
      <w:r>
        <w:rPr>
          <w:rFonts w:ascii="Calibri" w:hAnsi="Calibri" w:eastAsia="Calibri" w:cs="Arial"/>
        </w:rPr>
        <w:t>may</w:t>
      </w:r>
      <w:r w:rsidRPr="002A37D9">
        <w:rPr>
          <w:rFonts w:ascii="Calibri" w:hAnsi="Calibri" w:eastAsia="Calibri" w:cs="Arial"/>
        </w:rPr>
        <w:t xml:space="preserve"> be shared with </w:t>
      </w:r>
      <w:r>
        <w:rPr>
          <w:rFonts w:ascii="Calibri" w:hAnsi="Calibri" w:eastAsia="Calibri" w:cs="Arial"/>
        </w:rPr>
        <w:t xml:space="preserve">KCA </w:t>
      </w:r>
      <w:r w:rsidRPr="002A37D9">
        <w:rPr>
          <w:rFonts w:ascii="Calibri" w:hAnsi="Calibri" w:eastAsia="Calibri" w:cs="Arial"/>
        </w:rPr>
        <w:t xml:space="preserve">to assist </w:t>
      </w:r>
      <w:r>
        <w:rPr>
          <w:rFonts w:ascii="Calibri" w:hAnsi="Calibri" w:eastAsia="Calibri" w:cs="Arial"/>
        </w:rPr>
        <w:t xml:space="preserve">with annual </w:t>
      </w:r>
      <w:hyperlink w:history="1" r:id="rId26">
        <w:r w:rsidR="006D407F">
          <w:rPr>
            <w:rStyle w:val="Hyperlink"/>
            <w:rFonts w:ascii="Calibri" w:hAnsi="Calibri" w:eastAsia="Calibri" w:cs="Arial"/>
          </w:rPr>
          <w:t>SCOPR</w:t>
        </w:r>
      </w:hyperlink>
      <w:r w:rsidR="006D407F">
        <w:t xml:space="preserve"> processes</w:t>
      </w:r>
      <w:r>
        <w:rPr>
          <w:rFonts w:ascii="Calibri" w:hAnsi="Calibri" w:eastAsia="Calibri" w:cs="Arial"/>
        </w:rPr>
        <w:t>.</w:t>
      </w:r>
    </w:p>
    <w:p w:rsidRPr="0075018F" w:rsidR="00C50B07" w:rsidP="006108A9" w:rsidRDefault="00C50B07" w14:paraId="434046C1" w14:textId="77777777">
      <w:pPr>
        <w:pStyle w:val="Heading2"/>
      </w:pPr>
      <w:bookmarkStart w:name="_Toc523214662" w:id="16"/>
      <w:bookmarkStart w:name="_Toc27055342" w:id="17"/>
      <w:bookmarkStart w:name="_Toc81230893" w:id="18"/>
      <w:bookmarkStart w:name="_Toc92461268" w:id="19"/>
      <w:bookmarkStart w:name="_Toc147503803" w:id="20"/>
      <w:bookmarkStart w:name="_Toc222833852" w:id="21"/>
      <w:bookmarkEnd w:id="15"/>
      <w:r>
        <w:t>2</w:t>
      </w:r>
      <w:r w:rsidRPr="0075018F">
        <w:t>.3</w:t>
      </w:r>
      <w:r w:rsidRPr="0075018F">
        <w:tab/>
      </w:r>
      <w:r w:rsidRPr="0075018F">
        <w:t>Use of funding</w:t>
      </w:r>
      <w:bookmarkEnd w:id="16"/>
      <w:bookmarkEnd w:id="17"/>
      <w:bookmarkEnd w:id="18"/>
      <w:bookmarkEnd w:id="19"/>
      <w:bookmarkEnd w:id="20"/>
      <w:bookmarkEnd w:id="21"/>
    </w:p>
    <w:p w:rsidRPr="0075018F" w:rsidR="00C50B07" w:rsidP="009D347E" w:rsidRDefault="00C50B07" w14:paraId="13E7421E" w14:textId="77777777">
      <w:pPr>
        <w:rPr>
          <w:lang w:val="en-US"/>
        </w:rPr>
      </w:pPr>
      <w:r w:rsidRPr="0075018F">
        <w:rPr>
          <w:lang w:val="en-US"/>
        </w:rPr>
        <w:t>The department’s allocation of RBGs to HEPs is independent of funding for individual R&amp;D projects. HEPs have the autonomy to decide what projects, personnel, materials, equipment, and infrastructure RBG funding should support across their R&amp;D and research training activities.</w:t>
      </w:r>
    </w:p>
    <w:p w:rsidR="00C50B07" w:rsidP="009D347E" w:rsidRDefault="00C50B07" w14:paraId="29E030DF" w14:textId="77777777">
      <w:pPr>
        <w:rPr>
          <w:lang w:val="en-US"/>
        </w:rPr>
      </w:pPr>
      <w:r w:rsidRPr="0075018F">
        <w:rPr>
          <w:lang w:val="en-US"/>
        </w:rPr>
        <w:t>The department does not intend that HEPs use the HERDC as the basis for their internal systems for allocating their R&amp;D and research training funding. HEPs should develop their own internal allocation policies and systems.</w:t>
      </w:r>
    </w:p>
    <w:p w:rsidRPr="006108A9" w:rsidR="00C50B07" w:rsidP="006108A9" w:rsidRDefault="00C50B07" w14:paraId="18BFA8CA" w14:textId="77777777">
      <w:pPr>
        <w:pStyle w:val="Heading2"/>
      </w:pPr>
      <w:bookmarkStart w:name="_Toc523214663" w:id="22"/>
      <w:bookmarkStart w:name="_Toc27055343" w:id="23"/>
      <w:bookmarkStart w:name="_Toc81230894" w:id="24"/>
      <w:bookmarkStart w:name="_Toc92461269" w:id="25"/>
      <w:bookmarkStart w:name="_Toc147503804" w:id="26"/>
      <w:bookmarkStart w:name="_Toc222833853" w:id="27"/>
      <w:r>
        <w:t>2</w:t>
      </w:r>
      <w:r w:rsidRPr="006108A9">
        <w:t>.4</w:t>
      </w:r>
      <w:r w:rsidRPr="006108A9">
        <w:tab/>
      </w:r>
      <w:r w:rsidRPr="006108A9">
        <w:t>Information to be submitted</w:t>
      </w:r>
      <w:bookmarkEnd w:id="22"/>
      <w:bookmarkEnd w:id="23"/>
      <w:bookmarkEnd w:id="24"/>
      <w:bookmarkEnd w:id="25"/>
      <w:bookmarkEnd w:id="26"/>
      <w:bookmarkEnd w:id="27"/>
    </w:p>
    <w:p w:rsidRPr="0075018F" w:rsidR="00C50B07" w:rsidP="009D347E" w:rsidRDefault="00C50B07" w14:paraId="0BBB15B1" w14:textId="77777777">
      <w:pPr>
        <w:rPr>
          <w:lang w:val="en-US"/>
        </w:rPr>
      </w:pPr>
      <w:r w:rsidRPr="0075018F">
        <w:rPr>
          <w:lang w:val="en-US"/>
        </w:rPr>
        <w:t xml:space="preserve">HEPs must provide </w:t>
      </w:r>
      <w:r>
        <w:rPr>
          <w:lang w:val="en-US"/>
        </w:rPr>
        <w:t xml:space="preserve">material </w:t>
      </w:r>
      <w:r w:rsidRPr="0075018F">
        <w:rPr>
          <w:lang w:val="en-US"/>
        </w:rPr>
        <w:t>to the department</w:t>
      </w:r>
      <w:r>
        <w:rPr>
          <w:lang w:val="en-US"/>
        </w:rPr>
        <w:t xml:space="preserve"> specified in </w:t>
      </w:r>
      <w:r w:rsidRPr="00E0425D">
        <w:t>the table below</w:t>
      </w:r>
      <w:r w:rsidRPr="0075018F">
        <w:rPr>
          <w:lang w:val="en-US"/>
        </w:rPr>
        <w:t xml:space="preserve">: </w:t>
      </w:r>
    </w:p>
    <w:tbl>
      <w:tblPr>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1E0" w:firstRow="1" w:lastRow="1" w:firstColumn="1" w:lastColumn="1" w:noHBand="0" w:noVBand="0"/>
      </w:tblPr>
      <w:tblGrid>
        <w:gridCol w:w="7213"/>
        <w:gridCol w:w="1566"/>
      </w:tblGrid>
      <w:tr w:rsidRPr="0075018F" w:rsidR="00C50B07" w:rsidTr="00660464" w14:paraId="43B33844" w14:textId="77777777">
        <w:trPr>
          <w:trHeight w:val="445" w:hRule="exact"/>
          <w:tblHeader/>
          <w:jc w:val="center"/>
        </w:trPr>
        <w:tc>
          <w:tcPr>
            <w:tcW w:w="7213" w:type="dxa"/>
            <w:tcBorders>
              <w:top w:val="single" w:color="auto" w:sz="4" w:space="0"/>
              <w:left w:val="single" w:color="auto" w:sz="4" w:space="0"/>
              <w:bottom w:val="single" w:color="auto" w:sz="6" w:space="0"/>
              <w:right w:val="single" w:color="auto" w:sz="6" w:space="0"/>
            </w:tcBorders>
            <w:shd w:val="clear" w:color="auto" w:fill="002D3F"/>
            <w:hideMark/>
          </w:tcPr>
          <w:p w:rsidRPr="00660464" w:rsidR="00C50B07" w:rsidRDefault="00C50B07" w14:paraId="233BE5A5" w14:textId="77777777">
            <w:pPr>
              <w:rPr>
                <w:b/>
                <w:bCs/>
                <w:lang w:val="en-US"/>
              </w:rPr>
            </w:pPr>
            <w:r w:rsidRPr="00660464">
              <w:rPr>
                <w:b/>
                <w:bCs/>
                <w:lang w:val="en-US"/>
              </w:rPr>
              <w:t xml:space="preserve">Material required </w:t>
            </w:r>
          </w:p>
        </w:tc>
        <w:tc>
          <w:tcPr>
            <w:tcW w:w="1566" w:type="dxa"/>
            <w:tcBorders>
              <w:top w:val="single" w:color="auto" w:sz="4" w:space="0"/>
              <w:left w:val="single" w:color="auto" w:sz="6" w:space="0"/>
              <w:bottom w:val="single" w:color="auto" w:sz="6" w:space="0"/>
              <w:right w:val="single" w:color="auto" w:sz="4" w:space="0"/>
            </w:tcBorders>
            <w:shd w:val="clear" w:color="auto" w:fill="002D3F"/>
            <w:hideMark/>
          </w:tcPr>
          <w:p w:rsidRPr="00660464" w:rsidR="00C50B07" w:rsidRDefault="00C50B07" w14:paraId="4BE5A336" w14:textId="77777777">
            <w:pPr>
              <w:rPr>
                <w:b/>
                <w:bCs/>
                <w:lang w:val="en-US"/>
              </w:rPr>
            </w:pPr>
            <w:r w:rsidRPr="00660464">
              <w:rPr>
                <w:b/>
                <w:bCs/>
                <w:lang w:val="en-US"/>
              </w:rPr>
              <w:t xml:space="preserve">Due date </w:t>
            </w:r>
          </w:p>
        </w:tc>
      </w:tr>
      <w:tr w:rsidRPr="0075018F" w:rsidR="00C50B07" w14:paraId="2C9D88AC" w14:textId="77777777">
        <w:trPr>
          <w:trHeight w:val="301"/>
          <w:jc w:val="center"/>
        </w:trPr>
        <w:tc>
          <w:tcPr>
            <w:tcW w:w="7213" w:type="dxa"/>
            <w:tcBorders>
              <w:top w:val="single" w:color="auto" w:sz="6" w:space="0"/>
              <w:left w:val="single" w:color="auto" w:sz="4" w:space="0"/>
              <w:bottom w:val="single" w:color="auto" w:sz="6" w:space="0"/>
              <w:right w:val="single" w:color="auto" w:sz="6" w:space="0"/>
            </w:tcBorders>
            <w:hideMark/>
          </w:tcPr>
          <w:p w:rsidRPr="0075018F" w:rsidR="00C50B07" w:rsidRDefault="00C50B07" w14:paraId="4D8266E3" w14:textId="77777777">
            <w:pPr>
              <w:rPr>
                <w:lang w:val="en-US"/>
              </w:rPr>
            </w:pPr>
            <w:r w:rsidRPr="0075018F">
              <w:rPr>
                <w:lang w:val="en-US"/>
              </w:rPr>
              <w:t xml:space="preserve">R&amp;D income return </w:t>
            </w:r>
          </w:p>
        </w:tc>
        <w:tc>
          <w:tcPr>
            <w:tcW w:w="1566" w:type="dxa"/>
            <w:tcBorders>
              <w:top w:val="single" w:color="auto" w:sz="6" w:space="0"/>
              <w:left w:val="single" w:color="auto" w:sz="6" w:space="0"/>
              <w:right w:val="single" w:color="auto" w:sz="4" w:space="0"/>
            </w:tcBorders>
            <w:vAlign w:val="center"/>
            <w:hideMark/>
          </w:tcPr>
          <w:p w:rsidRPr="0075018F" w:rsidR="00C50B07" w:rsidRDefault="00C50B07" w14:paraId="1EB1F8AB" w14:textId="54DC4FA3">
            <w:pPr>
              <w:rPr>
                <w:lang w:val="en-US"/>
              </w:rPr>
            </w:pPr>
            <w:r w:rsidRPr="0075018F">
              <w:rPr>
                <w:lang w:val="en-US"/>
              </w:rPr>
              <w:t>30 June 202</w:t>
            </w:r>
            <w:r>
              <w:rPr>
                <w:lang w:val="en-US"/>
              </w:rPr>
              <w:t>6</w:t>
            </w:r>
          </w:p>
        </w:tc>
      </w:tr>
      <w:tr w:rsidRPr="0075018F" w:rsidR="00C50B07" w14:paraId="0C146C44" w14:textId="77777777">
        <w:trPr>
          <w:trHeight w:val="273"/>
          <w:jc w:val="center"/>
        </w:trPr>
        <w:tc>
          <w:tcPr>
            <w:tcW w:w="7213" w:type="dxa"/>
            <w:tcBorders>
              <w:top w:val="single" w:color="auto" w:sz="6" w:space="0"/>
              <w:left w:val="single" w:color="auto" w:sz="4" w:space="0"/>
              <w:bottom w:val="single" w:color="auto" w:sz="6" w:space="0"/>
              <w:right w:val="single" w:color="auto" w:sz="6" w:space="0"/>
            </w:tcBorders>
            <w:hideMark/>
          </w:tcPr>
          <w:p w:rsidRPr="0075018F" w:rsidR="00C50B07" w:rsidRDefault="00C50B07" w14:paraId="3290EC14" w14:textId="77777777">
            <w:pPr>
              <w:rPr>
                <w:lang w:val="en-US"/>
              </w:rPr>
            </w:pPr>
            <w:r w:rsidRPr="0075018F">
              <w:rPr>
                <w:lang w:val="en-US"/>
              </w:rPr>
              <w:t xml:space="preserve">Vice-Chancellor’s certification </w:t>
            </w:r>
          </w:p>
        </w:tc>
        <w:tc>
          <w:tcPr>
            <w:tcW w:w="0" w:type="auto"/>
            <w:tcBorders>
              <w:left w:val="single" w:color="auto" w:sz="6" w:space="0"/>
              <w:right w:val="single" w:color="auto" w:sz="4" w:space="0"/>
            </w:tcBorders>
            <w:vAlign w:val="center"/>
            <w:hideMark/>
          </w:tcPr>
          <w:p w:rsidRPr="0075018F" w:rsidR="00C50B07" w:rsidRDefault="00C50B07" w14:paraId="7CBD7A94" w14:textId="3B6D5A5C">
            <w:pPr>
              <w:rPr>
                <w:lang w:val="en-US"/>
              </w:rPr>
            </w:pPr>
            <w:r w:rsidRPr="0075018F">
              <w:rPr>
                <w:lang w:val="en-US"/>
              </w:rPr>
              <w:t>30 June 202</w:t>
            </w:r>
            <w:r>
              <w:rPr>
                <w:lang w:val="en-US"/>
              </w:rPr>
              <w:t>6</w:t>
            </w:r>
          </w:p>
        </w:tc>
      </w:tr>
      <w:tr w:rsidRPr="0075018F" w:rsidR="00C50B07" w14:paraId="4C8F161E" w14:textId="77777777">
        <w:trPr>
          <w:trHeight w:val="289"/>
          <w:jc w:val="center"/>
        </w:trPr>
        <w:tc>
          <w:tcPr>
            <w:tcW w:w="7213" w:type="dxa"/>
            <w:tcBorders>
              <w:top w:val="single" w:color="auto" w:sz="6" w:space="0"/>
              <w:left w:val="single" w:color="auto" w:sz="4" w:space="0"/>
              <w:bottom w:val="single" w:color="auto" w:sz="4" w:space="0"/>
              <w:right w:val="single" w:color="auto" w:sz="6" w:space="0"/>
            </w:tcBorders>
            <w:hideMark/>
          </w:tcPr>
          <w:p w:rsidRPr="0075018F" w:rsidR="00C50B07" w:rsidRDefault="00C50B07" w14:paraId="068A20C8" w14:textId="77777777">
            <w:pPr>
              <w:rPr>
                <w:lang w:val="en-US"/>
              </w:rPr>
            </w:pPr>
            <w:r w:rsidRPr="0075018F">
              <w:rPr>
                <w:lang w:val="en-US"/>
              </w:rPr>
              <w:t>Audit report</w:t>
            </w:r>
          </w:p>
        </w:tc>
        <w:tc>
          <w:tcPr>
            <w:tcW w:w="0" w:type="auto"/>
            <w:tcBorders>
              <w:left w:val="single" w:color="auto" w:sz="6" w:space="0"/>
              <w:bottom w:val="single" w:color="auto" w:sz="4" w:space="0"/>
              <w:right w:val="single" w:color="auto" w:sz="4" w:space="0"/>
            </w:tcBorders>
            <w:vAlign w:val="center"/>
            <w:hideMark/>
          </w:tcPr>
          <w:p w:rsidRPr="0075018F" w:rsidR="00C50B07" w:rsidRDefault="00C50B07" w14:paraId="7C185558" w14:textId="6EE563CF">
            <w:pPr>
              <w:rPr>
                <w:lang w:val="en-US"/>
              </w:rPr>
            </w:pPr>
            <w:r w:rsidRPr="0075018F">
              <w:rPr>
                <w:lang w:val="en-US"/>
              </w:rPr>
              <w:t>30 June 202</w:t>
            </w:r>
            <w:r>
              <w:rPr>
                <w:lang w:val="en-US"/>
              </w:rPr>
              <w:t>6</w:t>
            </w:r>
          </w:p>
        </w:tc>
      </w:tr>
    </w:tbl>
    <w:p w:rsidRPr="006108A9" w:rsidR="00C50B07" w:rsidP="006108A9" w:rsidRDefault="00C50B07" w14:paraId="28504E33" w14:textId="77777777">
      <w:pPr>
        <w:pStyle w:val="Heading3"/>
      </w:pPr>
      <w:bookmarkStart w:name="_Toc523214664" w:id="28"/>
      <w:bookmarkStart w:name="_Toc27055344" w:id="29"/>
      <w:bookmarkStart w:name="_Toc81230895" w:id="30"/>
      <w:bookmarkStart w:name="_Toc92461270" w:id="31"/>
      <w:bookmarkStart w:name="_Toc147503805" w:id="32"/>
      <w:bookmarkStart w:name="_Toc222833854" w:id="33"/>
      <w:r>
        <w:t>2</w:t>
      </w:r>
      <w:r w:rsidRPr="006108A9">
        <w:t>.4.1</w:t>
      </w:r>
      <w:r>
        <w:tab/>
      </w:r>
      <w:r w:rsidRPr="006108A9">
        <w:t>R&amp;D income return</w:t>
      </w:r>
      <w:bookmarkEnd w:id="28"/>
      <w:bookmarkEnd w:id="29"/>
      <w:bookmarkEnd w:id="30"/>
      <w:bookmarkEnd w:id="31"/>
      <w:bookmarkEnd w:id="32"/>
      <w:bookmarkEnd w:id="33"/>
    </w:p>
    <w:p w:rsidRPr="0075018F" w:rsidR="00C50B07" w:rsidP="009D347E" w:rsidRDefault="00C50B07" w14:paraId="2BD4B114" w14:textId="478C00E5">
      <w:pPr>
        <w:rPr>
          <w:lang w:val="en-US"/>
        </w:rPr>
      </w:pPr>
      <w:r w:rsidRPr="0075018F">
        <w:rPr>
          <w:lang w:val="en-US"/>
        </w:rPr>
        <w:t xml:space="preserve">HEPs must provide R&amp;D income received for the </w:t>
      </w:r>
      <w:r>
        <w:rPr>
          <w:lang w:val="en-US"/>
        </w:rPr>
        <w:t>2025</w:t>
      </w:r>
      <w:r w:rsidRPr="0075018F">
        <w:rPr>
          <w:lang w:val="en-US"/>
        </w:rPr>
        <w:t xml:space="preserve"> reference year, grouped into </w:t>
      </w:r>
      <w:r>
        <w:rPr>
          <w:lang w:val="en-US"/>
        </w:rPr>
        <w:t>4</w:t>
      </w:r>
      <w:r w:rsidRPr="0075018F">
        <w:rPr>
          <w:lang w:val="en-US"/>
        </w:rPr>
        <w:t xml:space="preserve"> categories:</w:t>
      </w:r>
    </w:p>
    <w:p w:rsidRPr="0075018F" w:rsidR="00C50B07" w:rsidP="00C50B07" w:rsidRDefault="00C50B07" w14:paraId="199A08BC" w14:textId="77777777">
      <w:pPr>
        <w:pStyle w:val="ListBullet"/>
      </w:pPr>
      <w:r w:rsidRPr="0075018F">
        <w:t>Category 1: Australian competitive grant R&amp;D income</w:t>
      </w:r>
    </w:p>
    <w:p w:rsidRPr="0075018F" w:rsidR="00C50B07" w:rsidP="00C50B07" w:rsidRDefault="00C50B07" w14:paraId="454DDE2D" w14:textId="77777777">
      <w:pPr>
        <w:pStyle w:val="ListBullet"/>
      </w:pPr>
      <w:r w:rsidRPr="0075018F">
        <w:t xml:space="preserve">Category 2: </w:t>
      </w:r>
      <w:r>
        <w:t>o</w:t>
      </w:r>
      <w:r w:rsidRPr="0075018F">
        <w:t>ther public sector R&amp;D income</w:t>
      </w:r>
    </w:p>
    <w:p w:rsidRPr="0075018F" w:rsidR="00C50B07" w:rsidP="00C50B07" w:rsidRDefault="00C50B07" w14:paraId="575141EF" w14:textId="77777777">
      <w:pPr>
        <w:pStyle w:val="ListBullet"/>
      </w:pPr>
      <w:r w:rsidRPr="0075018F">
        <w:t xml:space="preserve">Category 3: </w:t>
      </w:r>
      <w:r>
        <w:t>i</w:t>
      </w:r>
      <w:r w:rsidRPr="0075018F">
        <w:t>ndustry and other R&amp;D income</w:t>
      </w:r>
    </w:p>
    <w:p w:rsidRPr="0075018F" w:rsidR="00C50B07" w:rsidP="00C50B07" w:rsidRDefault="00C50B07" w14:paraId="635B42A4" w14:textId="77777777">
      <w:pPr>
        <w:pStyle w:val="ListBullet"/>
      </w:pPr>
      <w:r w:rsidRPr="0075018F">
        <w:t>Category 4: Cooperative Research Centre (CRC) R&amp;D income.</w:t>
      </w:r>
    </w:p>
    <w:p w:rsidRPr="00012B6A" w:rsidR="00C50B07" w:rsidP="0039778B" w:rsidRDefault="00C50B07" w14:paraId="3F187F18" w14:textId="054D9A45">
      <w:pPr>
        <w:pStyle w:val="ListBullet2"/>
        <w:numPr>
          <w:ilvl w:val="0"/>
          <w:numId w:val="0"/>
        </w:numPr>
      </w:pPr>
      <w:bookmarkStart w:name="_Toc523214665" w:id="34"/>
      <w:bookmarkStart w:name="_Toc27055345" w:id="35"/>
      <w:bookmarkStart w:name="_Toc81230896" w:id="36"/>
      <w:bookmarkStart w:name="_Toc92461271" w:id="37"/>
      <w:r w:rsidRPr="00012B6A">
        <w:t xml:space="preserve">The reference year is the </w:t>
      </w:r>
      <w:r>
        <w:t>2025</w:t>
      </w:r>
      <w:r w:rsidRPr="00012B6A">
        <w:t xml:space="preserve"> calendar year.</w:t>
      </w:r>
      <w:r>
        <w:t xml:space="preserve"> </w:t>
      </w:r>
      <w:r w:rsidRPr="0084520D">
        <w:t>The categorisation of R&amp;D income must reflect the circumstances of the reference year.</w:t>
      </w:r>
    </w:p>
    <w:p w:rsidRPr="0075018F" w:rsidR="00C50B07" w:rsidP="009D347E" w:rsidRDefault="00C50B07" w14:paraId="29D09CAD" w14:textId="0C7F7CAE">
      <w:pPr>
        <w:rPr>
          <w:lang w:val="en-US"/>
        </w:rPr>
      </w:pPr>
      <w:r w:rsidRPr="0075018F">
        <w:rPr>
          <w:lang w:val="en-US"/>
        </w:rPr>
        <w:t xml:space="preserve">The </w:t>
      </w:r>
      <w:r>
        <w:rPr>
          <w:lang w:val="en-US"/>
        </w:rPr>
        <w:t>2025</w:t>
      </w:r>
      <w:r w:rsidRPr="0075018F">
        <w:rPr>
          <w:lang w:val="en-US"/>
        </w:rPr>
        <w:t xml:space="preserve"> R&amp;D income return must be submitted </w:t>
      </w:r>
      <w:r>
        <w:rPr>
          <w:lang w:val="en-US"/>
        </w:rPr>
        <w:t xml:space="preserve">and certified by the HEP’s Vice-Chancellor </w:t>
      </w:r>
      <w:r w:rsidRPr="0075018F">
        <w:rPr>
          <w:lang w:val="en-US"/>
        </w:rPr>
        <w:t xml:space="preserve">via </w:t>
      </w:r>
      <w:hyperlink w:history="1" r:id="rId27">
        <w:r>
          <w:rPr>
            <w:rStyle w:val="Hyperlink"/>
            <w:lang w:val="en-US"/>
          </w:rPr>
          <w:t>RMS</w:t>
        </w:r>
      </w:hyperlink>
      <w:r w:rsidRPr="0075018F">
        <w:rPr>
          <w:lang w:val="en-US"/>
        </w:rPr>
        <w:t xml:space="preserve"> to the ARC. </w:t>
      </w:r>
    </w:p>
    <w:p w:rsidRPr="005007B2" w:rsidR="00C50B07" w:rsidP="006108A9" w:rsidRDefault="00C50B07" w14:paraId="43177456" w14:textId="77777777">
      <w:pPr>
        <w:pStyle w:val="Heading3"/>
        <w:rPr>
          <w:lang w:val="en-US"/>
        </w:rPr>
      </w:pPr>
      <w:bookmarkStart w:name="_Toc147503806" w:id="38"/>
      <w:bookmarkStart w:name="_Toc222833855" w:id="39"/>
      <w:r>
        <w:t>2</w:t>
      </w:r>
      <w:r w:rsidRPr="005007B2">
        <w:t>.4.2</w:t>
      </w:r>
      <w:r w:rsidRPr="005007B2">
        <w:tab/>
      </w:r>
      <w:r w:rsidRPr="005007B2">
        <w:t>Vice-Chancellor certification</w:t>
      </w:r>
      <w:bookmarkEnd w:id="38"/>
      <w:bookmarkEnd w:id="39"/>
      <w:r w:rsidRPr="005007B2">
        <w:t xml:space="preserve"> </w:t>
      </w:r>
      <w:bookmarkEnd w:id="34"/>
      <w:bookmarkEnd w:id="35"/>
      <w:bookmarkEnd w:id="36"/>
      <w:bookmarkEnd w:id="37"/>
    </w:p>
    <w:p w:rsidRPr="0075018F" w:rsidR="00C50B07" w:rsidP="009D347E" w:rsidRDefault="00C50B07" w14:paraId="75D6D8C3" w14:textId="269E25B0">
      <w:pPr>
        <w:rPr>
          <w:lang w:val="en-US"/>
        </w:rPr>
      </w:pPr>
      <w:r w:rsidRPr="0075018F">
        <w:rPr>
          <w:lang w:val="en-US"/>
        </w:rPr>
        <w:t xml:space="preserve">Vice-Chancellors (or equivalent) must certify that their HEP’s R&amp;D income return is correct and has been compiled in accordance with this specification document. This certification is completed in </w:t>
      </w:r>
      <w:r>
        <w:rPr>
          <w:lang w:val="en-US"/>
        </w:rPr>
        <w:t>RMS</w:t>
      </w:r>
      <w:r w:rsidRPr="0075018F">
        <w:rPr>
          <w:lang w:val="en-US"/>
        </w:rPr>
        <w:t>. A separate certification statement is not required.</w:t>
      </w:r>
    </w:p>
    <w:p w:rsidRPr="005007B2" w:rsidR="00C50B07" w:rsidP="006108A9" w:rsidRDefault="00C50B07" w14:paraId="4E46A2A8" w14:textId="77777777">
      <w:pPr>
        <w:pStyle w:val="Heading3"/>
      </w:pPr>
      <w:bookmarkStart w:name="_Toc523214666" w:id="40"/>
      <w:bookmarkStart w:name="_Toc27055346" w:id="41"/>
      <w:bookmarkStart w:name="_Toc81230897" w:id="42"/>
      <w:bookmarkStart w:name="_Toc92461272" w:id="43"/>
      <w:bookmarkStart w:name="_Toc147503807" w:id="44"/>
      <w:bookmarkStart w:name="_Toc222833856" w:id="45"/>
      <w:r>
        <w:t>2</w:t>
      </w:r>
      <w:r w:rsidRPr="005007B2">
        <w:t>.4.3</w:t>
      </w:r>
      <w:r w:rsidRPr="005007B2">
        <w:tab/>
      </w:r>
      <w:r w:rsidRPr="005007B2">
        <w:t>Audit report</w:t>
      </w:r>
      <w:bookmarkEnd w:id="40"/>
      <w:bookmarkEnd w:id="41"/>
      <w:bookmarkEnd w:id="42"/>
      <w:bookmarkEnd w:id="43"/>
      <w:bookmarkEnd w:id="44"/>
      <w:bookmarkEnd w:id="45"/>
    </w:p>
    <w:p w:rsidRPr="0075018F" w:rsidR="00C50B07" w:rsidP="009D347E" w:rsidRDefault="00C50B07" w14:paraId="06DADD94" w14:textId="77777777">
      <w:pPr>
        <w:rPr>
          <w:lang w:val="en-US"/>
        </w:rPr>
      </w:pPr>
      <w:r w:rsidRPr="0075018F">
        <w:rPr>
          <w:lang w:val="en-US"/>
        </w:rPr>
        <w:t>Each HEP must arrange for an audit of the Category 1, 2, 3 and 4 R&amp;D income in their respective R&amp;D income return and provide the department with a Special Purpose Audit Report under the</w:t>
      </w:r>
      <w:r>
        <w:rPr>
          <w:lang w:val="en-US"/>
        </w:rPr>
        <w:t xml:space="preserve"> </w:t>
      </w:r>
      <w:r w:rsidRPr="00D428F8">
        <w:rPr>
          <w:lang w:val="en-US"/>
        </w:rPr>
        <w:t xml:space="preserve">Auditing and Assurance Standard Board (AASB) </w:t>
      </w:r>
      <w:hyperlink w:history="1" r:id="rId28">
        <w:r>
          <w:rPr>
            <w:rStyle w:val="Hyperlink"/>
            <w:lang w:val="en-US"/>
          </w:rPr>
          <w:t>Auditing Standard</w:t>
        </w:r>
      </w:hyperlink>
      <w:r w:rsidRPr="0075018F">
        <w:rPr>
          <w:lang w:val="en-US"/>
        </w:rPr>
        <w:t xml:space="preserve"> ASA800, which clearly certifies that the R&amp;D income recorded is correct.</w:t>
      </w:r>
    </w:p>
    <w:p w:rsidRPr="0075018F" w:rsidR="00C50B07" w:rsidP="009D347E" w:rsidRDefault="00C50B07" w14:paraId="15732260" w14:textId="77777777">
      <w:pPr>
        <w:rPr>
          <w:lang w:val="en-US"/>
        </w:rPr>
      </w:pPr>
      <w:r w:rsidRPr="0075018F">
        <w:rPr>
          <w:lang w:val="en-US"/>
        </w:rPr>
        <w:t>In addition to ensuring that the R&amp;D income reported by a HEP under its R&amp;D income return is correct, the department expects that the audit also ensures that R&amp;D income is:</w:t>
      </w:r>
    </w:p>
    <w:p w:rsidRPr="0075018F" w:rsidR="00C50B07" w:rsidP="00C50B07" w:rsidRDefault="00C50B07" w14:paraId="7CFA8BC5" w14:textId="77777777">
      <w:pPr>
        <w:pStyle w:val="ListBullet"/>
      </w:pPr>
      <w:r w:rsidRPr="0075018F">
        <w:t>attributed to activities that comply with the definition of R&amp;D (</w:t>
      </w:r>
      <w:r>
        <w:rPr>
          <w:b/>
          <w:bCs/>
        </w:rPr>
        <w:t>s</w:t>
      </w:r>
      <w:r w:rsidRPr="0075018F">
        <w:rPr>
          <w:b/>
          <w:bCs/>
        </w:rPr>
        <w:t>ection 3</w:t>
      </w:r>
      <w:r w:rsidRPr="0075018F">
        <w:t>)</w:t>
      </w:r>
    </w:p>
    <w:p w:rsidRPr="0075018F" w:rsidR="00C50B07" w:rsidP="00C50B07" w:rsidRDefault="00C50B07" w14:paraId="32D10F09" w14:textId="77777777">
      <w:pPr>
        <w:pStyle w:val="ListBullet"/>
      </w:pPr>
      <w:r w:rsidRPr="0075018F">
        <w:t>attributed to the correct category of R&amp;D income</w:t>
      </w:r>
    </w:p>
    <w:p w:rsidRPr="0075018F" w:rsidR="00C50B07" w:rsidP="00C50B07" w:rsidRDefault="00C50B07" w14:paraId="193A9986" w14:textId="77777777">
      <w:pPr>
        <w:pStyle w:val="ListBullet"/>
      </w:pPr>
      <w:r w:rsidRPr="0075018F">
        <w:t>identified by transparent and explicit transactions.</w:t>
      </w:r>
    </w:p>
    <w:p w:rsidRPr="008902C1" w:rsidR="00C50B07" w:rsidP="008902C1" w:rsidRDefault="00C50B07" w14:paraId="78206791" w14:textId="77777777">
      <w:pPr>
        <w:rPr>
          <w:lang w:val="en-US"/>
        </w:rPr>
      </w:pPr>
      <w:r w:rsidRPr="0075018F">
        <w:rPr>
          <w:lang w:val="en-US"/>
        </w:rPr>
        <w:t xml:space="preserve">The audit </w:t>
      </w:r>
      <w:r>
        <w:rPr>
          <w:lang w:val="en-US"/>
        </w:rPr>
        <w:t xml:space="preserve">of HERDC returns </w:t>
      </w:r>
      <w:r w:rsidRPr="0075018F">
        <w:rPr>
          <w:lang w:val="en-US"/>
        </w:rPr>
        <w:t>should be conducted by an independent, external, and qualified auditor. HEPs may choose to use the auditors that undertake the audit of their financial statements.</w:t>
      </w:r>
      <w:bookmarkStart w:name="_Toc523214667" w:id="46"/>
      <w:bookmarkStart w:name="_Toc27055347" w:id="47"/>
      <w:bookmarkStart w:name="_Toc81230898" w:id="48"/>
      <w:bookmarkStart w:name="_Toc92461273" w:id="49"/>
      <w:bookmarkStart w:name="_Toc147503808" w:id="50"/>
    </w:p>
    <w:p w:rsidRPr="0075018F" w:rsidR="00C50B07" w:rsidP="006108A9" w:rsidRDefault="00C50B07" w14:paraId="0E32273B" w14:textId="77777777">
      <w:pPr>
        <w:pStyle w:val="Heading2"/>
      </w:pPr>
      <w:bookmarkStart w:name="_Toc523214668" w:id="51"/>
      <w:bookmarkStart w:name="_Toc27055348" w:id="52"/>
      <w:bookmarkStart w:name="_Toc81230899" w:id="53"/>
      <w:bookmarkStart w:name="_Toc92461274" w:id="54"/>
      <w:bookmarkStart w:name="_Toc147503809" w:id="55"/>
      <w:bookmarkStart w:name="_Toc222833857" w:id="56"/>
      <w:bookmarkEnd w:id="46"/>
      <w:bookmarkEnd w:id="47"/>
      <w:bookmarkEnd w:id="48"/>
      <w:bookmarkEnd w:id="49"/>
      <w:bookmarkEnd w:id="50"/>
      <w:r>
        <w:t>2</w:t>
      </w:r>
      <w:r w:rsidRPr="0075018F">
        <w:t>.</w:t>
      </w:r>
      <w:r>
        <w:t>5</w:t>
      </w:r>
      <w:r w:rsidRPr="0075018F">
        <w:tab/>
      </w:r>
      <w:r w:rsidRPr="0075018F">
        <w:t>Related documents</w:t>
      </w:r>
      <w:bookmarkEnd w:id="51"/>
      <w:bookmarkEnd w:id="52"/>
      <w:bookmarkEnd w:id="53"/>
      <w:bookmarkEnd w:id="54"/>
      <w:bookmarkEnd w:id="55"/>
      <w:bookmarkEnd w:id="56"/>
    </w:p>
    <w:p w:rsidRPr="0075018F" w:rsidR="00C50B07" w:rsidP="009D347E" w:rsidRDefault="00C50B07" w14:paraId="3517B828" w14:textId="1C18A708">
      <w:pPr>
        <w:rPr>
          <w:lang w:val="en-US"/>
        </w:rPr>
      </w:pPr>
      <w:r w:rsidRPr="0075018F">
        <w:rPr>
          <w:lang w:val="en-US"/>
        </w:rPr>
        <w:t xml:space="preserve">The specifications should be read in conjunction with </w:t>
      </w:r>
      <w:r>
        <w:rPr>
          <w:lang w:val="en-US"/>
        </w:rPr>
        <w:t xml:space="preserve">the ARC </w:t>
      </w:r>
      <w:hyperlink w:history="1" r:id="rId29">
        <w:r>
          <w:rPr>
            <w:rStyle w:val="Hyperlink"/>
            <w:lang w:val="en-US"/>
          </w:rPr>
          <w:t>RMS</w:t>
        </w:r>
        <w:r w:rsidRPr="009140AF">
          <w:rPr>
            <w:rStyle w:val="Hyperlink"/>
            <w:lang w:val="en-US"/>
          </w:rPr>
          <w:t xml:space="preserve"> User Guide</w:t>
        </w:r>
      </w:hyperlink>
      <w:r>
        <w:rPr>
          <w:lang w:val="en-US"/>
        </w:rPr>
        <w:t>.</w:t>
      </w:r>
    </w:p>
    <w:p w:rsidRPr="0075018F" w:rsidR="00C50B07" w:rsidP="009D347E" w:rsidRDefault="00C50B07" w14:paraId="6A00B96F" w14:textId="7E78B3D8">
      <w:pPr>
        <w:rPr>
          <w:lang w:val="en-US"/>
        </w:rPr>
      </w:pPr>
      <w:r w:rsidRPr="0075018F">
        <w:rPr>
          <w:lang w:val="en-US"/>
        </w:rPr>
        <w:t xml:space="preserve">In addition, the department uses definitions and concepts referred to in the </w:t>
      </w:r>
      <w:r>
        <w:rPr>
          <w:lang w:val="en-US"/>
        </w:rPr>
        <w:t>AASB accounting standards</w:t>
      </w:r>
      <w:r w:rsidRPr="0075018F">
        <w:rPr>
          <w:lang w:val="en-US"/>
        </w:rPr>
        <w:t xml:space="preserve"> and explanatory materials </w:t>
      </w:r>
      <w:r w:rsidRPr="006B6ECC">
        <w:rPr>
          <w:lang w:val="en-US"/>
        </w:rPr>
        <w:t>AASB 9</w:t>
      </w:r>
      <w:r w:rsidRPr="0075018F">
        <w:rPr>
          <w:lang w:val="en-US"/>
        </w:rPr>
        <w:t xml:space="preserve">, </w:t>
      </w:r>
      <w:r w:rsidRPr="006B6ECC">
        <w:rPr>
          <w:lang w:val="en-US"/>
        </w:rPr>
        <w:t>AASB 15</w:t>
      </w:r>
      <w:r w:rsidRPr="0075018F">
        <w:rPr>
          <w:lang w:val="en-US"/>
        </w:rPr>
        <w:t xml:space="preserve">, </w:t>
      </w:r>
      <w:r w:rsidRPr="006B6ECC">
        <w:rPr>
          <w:lang w:val="en-US"/>
        </w:rPr>
        <w:t>AASB 138</w:t>
      </w:r>
      <w:r w:rsidRPr="0075018F">
        <w:rPr>
          <w:lang w:val="en-US"/>
        </w:rPr>
        <w:t xml:space="preserve">, </w:t>
      </w:r>
      <w:r w:rsidRPr="006B6ECC">
        <w:rPr>
          <w:lang w:val="en-US"/>
        </w:rPr>
        <w:t>AASB</w:t>
      </w:r>
      <w:r>
        <w:rPr>
          <w:lang w:val="en-US"/>
        </w:rPr>
        <w:t> </w:t>
      </w:r>
      <w:r w:rsidRPr="006B6ECC">
        <w:rPr>
          <w:lang w:val="en-US"/>
        </w:rPr>
        <w:t>1058</w:t>
      </w:r>
      <w:r w:rsidRPr="0075018F">
        <w:rPr>
          <w:lang w:val="en-US"/>
        </w:rPr>
        <w:t xml:space="preserve"> and </w:t>
      </w:r>
      <w:r w:rsidRPr="006B6ECC">
        <w:rPr>
          <w:lang w:val="en-US"/>
        </w:rPr>
        <w:t>AASB 2016-8</w:t>
      </w:r>
      <w:r w:rsidRPr="0075018F">
        <w:rPr>
          <w:lang w:val="en-US"/>
        </w:rPr>
        <w:t xml:space="preserve">. </w:t>
      </w:r>
    </w:p>
    <w:p w:rsidRPr="0075018F" w:rsidR="00C50B07" w:rsidP="009D347E" w:rsidRDefault="00C50B07" w14:paraId="38D6CE89" w14:textId="77777777">
      <w:pPr>
        <w:rPr>
          <w:lang w:val="en-US"/>
        </w:rPr>
      </w:pPr>
      <w:r w:rsidRPr="00044281">
        <w:t>HEPs are not required to report HERDC R&amp;D income in line with the changed accounting standards AASB 9 and AASB 15 that came into effect on 1 January 2018.</w:t>
      </w:r>
    </w:p>
    <w:p w:rsidRPr="0075018F" w:rsidR="00C50B07" w:rsidP="006108A9" w:rsidRDefault="00C50B07" w14:paraId="23BE373C" w14:textId="77777777">
      <w:pPr>
        <w:pStyle w:val="Heading2"/>
      </w:pPr>
      <w:bookmarkStart w:name="_Toc147503810" w:id="57"/>
      <w:bookmarkStart w:name="_Toc222833858" w:id="58"/>
      <w:bookmarkStart w:name="_Toc523214669" w:id="59"/>
      <w:bookmarkStart w:name="_Toc27055349" w:id="60"/>
      <w:bookmarkStart w:name="_Toc81230900" w:id="61"/>
      <w:bookmarkStart w:name="_Toc92461275" w:id="62"/>
      <w:r>
        <w:t>2</w:t>
      </w:r>
      <w:r w:rsidRPr="0075018F">
        <w:t>.</w:t>
      </w:r>
      <w:r>
        <w:t>6</w:t>
      </w:r>
      <w:r w:rsidRPr="0075018F">
        <w:tab/>
      </w:r>
      <w:r w:rsidRPr="0075018F">
        <w:t>Freedom of Information Act 1982</w:t>
      </w:r>
      <w:bookmarkEnd w:id="57"/>
      <w:bookmarkEnd w:id="58"/>
    </w:p>
    <w:bookmarkEnd w:id="59"/>
    <w:bookmarkEnd w:id="60"/>
    <w:bookmarkEnd w:id="61"/>
    <w:bookmarkEnd w:id="62"/>
    <w:p w:rsidR="00C50B07" w:rsidP="009D347E" w:rsidRDefault="00C50B07" w14:paraId="5359CDFD" w14:textId="77777777">
      <w:pPr>
        <w:rPr>
          <w:lang w:val="en-US"/>
        </w:rPr>
      </w:pPr>
      <w:r w:rsidRPr="0075018F">
        <w:rPr>
          <w:lang w:val="en-US"/>
        </w:rPr>
        <w:t xml:space="preserve">All documents obtained by the department with regard to the HERDC are subject to the </w:t>
      </w:r>
      <w:hyperlink w:history="1" r:id="rId30">
        <w:r w:rsidRPr="00060012">
          <w:rPr>
            <w:rStyle w:val="Hyperlink"/>
            <w:i/>
            <w:lang w:val="en-US"/>
          </w:rPr>
          <w:t>Freedom of Information Act 1982</w:t>
        </w:r>
      </w:hyperlink>
      <w:r w:rsidRPr="0075018F">
        <w:rPr>
          <w:lang w:val="en-US"/>
        </w:rPr>
        <w:t xml:space="preserve"> (</w:t>
      </w:r>
      <w:r w:rsidRPr="0075018F">
        <w:rPr>
          <w:iCs/>
          <w:lang w:val="en-US"/>
        </w:rPr>
        <w:t>FOI Act</w:t>
      </w:r>
      <w:r w:rsidRPr="0075018F">
        <w:rPr>
          <w:lang w:val="en-US"/>
        </w:rPr>
        <w:t>). Unless a document falls under an exemption provision, it may be made available to the applicant</w:t>
      </w:r>
      <w:r>
        <w:rPr>
          <w:lang w:val="en-US"/>
        </w:rPr>
        <w:t xml:space="preserve"> on </w:t>
      </w:r>
      <w:r w:rsidRPr="0075018F">
        <w:rPr>
          <w:lang w:val="en-US"/>
        </w:rPr>
        <w:t xml:space="preserve">request, under the </w:t>
      </w:r>
      <w:r w:rsidRPr="0075018F">
        <w:rPr>
          <w:iCs/>
          <w:lang w:val="en-US"/>
        </w:rPr>
        <w:t>FOI Act</w:t>
      </w:r>
      <w:r w:rsidRPr="0075018F">
        <w:rPr>
          <w:lang w:val="en-US"/>
        </w:rPr>
        <w:t xml:space="preserve">. </w:t>
      </w:r>
    </w:p>
    <w:p w:rsidRPr="0075018F" w:rsidR="00C50B07" w:rsidP="009D347E" w:rsidRDefault="00C50B07" w14:paraId="374050E8" w14:textId="77777777">
      <w:pPr>
        <w:rPr>
          <w:lang w:val="en-US"/>
        </w:rPr>
      </w:pPr>
      <w:r w:rsidRPr="0075018F">
        <w:rPr>
          <w:lang w:val="en-US"/>
        </w:rPr>
        <w:t xml:space="preserve">All freedom of information (FOI) requests are to be referred to the FOI Coordinator via email at </w:t>
      </w:r>
      <w:hyperlink w:history="1" r:id="rId31">
        <w:r w:rsidRPr="0075018F">
          <w:rPr>
            <w:rStyle w:val="Hyperlink"/>
            <w:lang w:val="en-US"/>
          </w:rPr>
          <w:t>FOI@education.gov.au</w:t>
        </w:r>
      </w:hyperlink>
      <w:r w:rsidRPr="0075018F">
        <w:rPr>
          <w:lang w:val="en-US"/>
        </w:rPr>
        <w:t>.</w:t>
      </w:r>
    </w:p>
    <w:p w:rsidRPr="0075018F" w:rsidR="00C50B07" w:rsidP="009D347E" w:rsidRDefault="00C50B07" w14:paraId="396CA0A2" w14:textId="77777777">
      <w:pPr>
        <w:rPr>
          <w:lang w:val="en-US"/>
        </w:rPr>
      </w:pPr>
      <w:r w:rsidRPr="0075018F">
        <w:rPr>
          <w:lang w:val="en-US"/>
        </w:rPr>
        <w:t>Decisions regarding requests for access to documents will be made by the department’s</w:t>
      </w:r>
      <w:r w:rsidRPr="0075018F">
        <w:t xml:space="preserve"> authorised</w:t>
      </w:r>
      <w:r w:rsidRPr="0075018F">
        <w:rPr>
          <w:lang w:val="en-US"/>
        </w:rPr>
        <w:t xml:space="preserve"> FOI decision-maker in accordance with the requirements of the </w:t>
      </w:r>
      <w:r w:rsidRPr="0075018F">
        <w:rPr>
          <w:iCs/>
          <w:lang w:val="en-US"/>
        </w:rPr>
        <w:t>FOI Act</w:t>
      </w:r>
      <w:r w:rsidRPr="0075018F">
        <w:rPr>
          <w:lang w:val="en-US"/>
        </w:rPr>
        <w:t>.</w:t>
      </w:r>
    </w:p>
    <w:p w:rsidRPr="0075018F" w:rsidR="00C50B07" w:rsidP="006108A9" w:rsidRDefault="00C50B07" w14:paraId="175B4437" w14:textId="77777777">
      <w:pPr>
        <w:pStyle w:val="Heading2"/>
      </w:pPr>
      <w:bookmarkStart w:name="_Toc523214670" w:id="63"/>
      <w:bookmarkStart w:name="_Toc27055350" w:id="64"/>
      <w:bookmarkStart w:name="_Toc81230901" w:id="65"/>
      <w:bookmarkStart w:name="_Toc92461276" w:id="66"/>
      <w:bookmarkStart w:name="_Toc147503811" w:id="67"/>
      <w:bookmarkStart w:name="_Toc222833859" w:id="68"/>
      <w:r>
        <w:t>2</w:t>
      </w:r>
      <w:r w:rsidRPr="0075018F">
        <w:t>.</w:t>
      </w:r>
      <w:r>
        <w:t>7</w:t>
      </w:r>
      <w:r w:rsidRPr="0075018F">
        <w:tab/>
      </w:r>
      <w:r w:rsidRPr="0075018F">
        <w:t>Verification material</w:t>
      </w:r>
      <w:bookmarkEnd w:id="63"/>
      <w:bookmarkEnd w:id="64"/>
      <w:bookmarkEnd w:id="65"/>
      <w:bookmarkEnd w:id="66"/>
      <w:bookmarkEnd w:id="67"/>
      <w:bookmarkEnd w:id="68"/>
    </w:p>
    <w:p w:rsidRPr="0075018F" w:rsidR="00C50B07" w:rsidP="009D347E" w:rsidRDefault="00C50B07" w14:paraId="2354B1E5" w14:textId="77777777">
      <w:pPr>
        <w:rPr>
          <w:lang w:val="en-US"/>
        </w:rPr>
      </w:pPr>
      <w:r w:rsidRPr="0075018F">
        <w:rPr>
          <w:lang w:val="en-US"/>
        </w:rPr>
        <w:t xml:space="preserve">HEPs must maintain verification material to demonstrate that </w:t>
      </w:r>
      <w:r>
        <w:rPr>
          <w:lang w:val="en-US"/>
        </w:rPr>
        <w:t xml:space="preserve">the reported </w:t>
      </w:r>
      <w:r w:rsidRPr="0075018F">
        <w:rPr>
          <w:lang w:val="en-US"/>
        </w:rPr>
        <w:t xml:space="preserve">R&amp;D income meets the criteria of the </w:t>
      </w:r>
      <w:r>
        <w:rPr>
          <w:lang w:val="en-US"/>
        </w:rPr>
        <w:t xml:space="preserve">relevant </w:t>
      </w:r>
      <w:r w:rsidRPr="0075018F">
        <w:rPr>
          <w:lang w:val="en-US"/>
        </w:rPr>
        <w:t>categories. Examples of verification materials include funding agreements, memoranda of understanding, letters of agreement, contracts, proof of acceptance of a tender or approval of an application for funding.</w:t>
      </w:r>
    </w:p>
    <w:p w:rsidRPr="0075018F" w:rsidR="00C50B07" w:rsidP="009D347E" w:rsidRDefault="00C50B07" w14:paraId="033975B6" w14:textId="77777777">
      <w:pPr>
        <w:rPr>
          <w:lang w:val="en-US"/>
        </w:rPr>
      </w:pPr>
      <w:r w:rsidRPr="0075018F">
        <w:rPr>
          <w:lang w:val="en-US"/>
        </w:rPr>
        <w:t xml:space="preserve">For the purposes of the HERDC, HEPs must retain verification material for a minimum of </w:t>
      </w:r>
      <w:r>
        <w:rPr>
          <w:lang w:val="en-US"/>
        </w:rPr>
        <w:t>5</w:t>
      </w:r>
      <w:r w:rsidRPr="0075018F">
        <w:rPr>
          <w:lang w:val="en-US"/>
        </w:rPr>
        <w:t xml:space="preserve"> years to facilitate any audit of R&amp;D income data that may be conducted by, or on behalf of, the department.</w:t>
      </w:r>
    </w:p>
    <w:p w:rsidRPr="0075018F" w:rsidR="00C50B07" w:rsidP="009D347E" w:rsidRDefault="00C50B07" w14:paraId="4E658096" w14:textId="77777777">
      <w:pPr>
        <w:rPr>
          <w:lang w:val="en-US"/>
        </w:rPr>
      </w:pPr>
      <w:r w:rsidRPr="0075018F">
        <w:rPr>
          <w:lang w:val="en-US"/>
        </w:rPr>
        <w:t xml:space="preserve">HEPs should ensure that their relevant verification material </w:t>
      </w:r>
      <w:r>
        <w:rPr>
          <w:lang w:val="en-US"/>
        </w:rPr>
        <w:t>is</w:t>
      </w:r>
      <w:r w:rsidRPr="0075018F">
        <w:rPr>
          <w:lang w:val="en-US"/>
        </w:rPr>
        <w:t xml:space="preserve"> up to date and reflect the nature of the R&amp;D activity being undertaken and the roles of the parties. Arrangements supported by email only (without supporting attachments) do not constitute appropriate verification material.</w:t>
      </w:r>
    </w:p>
    <w:p w:rsidRPr="0075018F" w:rsidR="00C50B07" w:rsidP="006108A9" w:rsidRDefault="00C50B07" w14:paraId="2702E08C" w14:textId="77777777">
      <w:pPr>
        <w:pStyle w:val="Heading2"/>
      </w:pPr>
      <w:bookmarkStart w:name="_Toc523214671" w:id="69"/>
      <w:bookmarkStart w:name="_Toc27055351" w:id="70"/>
      <w:bookmarkStart w:name="_Toc81230902" w:id="71"/>
      <w:bookmarkStart w:name="_Toc92461277" w:id="72"/>
      <w:bookmarkStart w:name="_Toc147503812" w:id="73"/>
      <w:bookmarkStart w:name="_Toc222833860" w:id="74"/>
      <w:r>
        <w:t>2</w:t>
      </w:r>
      <w:r w:rsidRPr="0075018F">
        <w:t>.</w:t>
      </w:r>
      <w:r>
        <w:t>8</w:t>
      </w:r>
      <w:r w:rsidRPr="0075018F">
        <w:tab/>
      </w:r>
      <w:r w:rsidRPr="0075018F">
        <w:t>Contact details</w:t>
      </w:r>
      <w:bookmarkEnd w:id="69"/>
      <w:bookmarkEnd w:id="70"/>
      <w:bookmarkEnd w:id="71"/>
      <w:bookmarkEnd w:id="72"/>
      <w:bookmarkEnd w:id="73"/>
      <w:bookmarkEnd w:id="74"/>
    </w:p>
    <w:p w:rsidR="00C50B07" w:rsidP="009D347E" w:rsidRDefault="00C50B07" w14:paraId="346D347A" w14:textId="77777777">
      <w:pPr>
        <w:rPr>
          <w:lang w:val="en-US"/>
        </w:rPr>
      </w:pPr>
      <w:r w:rsidRPr="0075018F">
        <w:rPr>
          <w:lang w:val="en-US"/>
        </w:rPr>
        <w:t xml:space="preserve">Questions concerning the HERDC and these </w:t>
      </w:r>
      <w:r w:rsidRPr="0075018F">
        <w:rPr>
          <w:iCs/>
          <w:lang w:val="en-US"/>
        </w:rPr>
        <w:t>specifications</w:t>
      </w:r>
      <w:r w:rsidRPr="0075018F">
        <w:rPr>
          <w:lang w:val="en-US"/>
        </w:rPr>
        <w:t xml:space="preserve"> can be directed to </w:t>
      </w:r>
      <w:hyperlink w:history="1" r:id="rId32">
        <w:r w:rsidRPr="00A11169">
          <w:rPr>
            <w:rStyle w:val="Hyperlink"/>
            <w:lang w:val="en-US"/>
          </w:rPr>
          <w:t>RBGrants@education.gov.au</w:t>
        </w:r>
      </w:hyperlink>
      <w:r w:rsidRPr="0075018F">
        <w:rPr>
          <w:lang w:val="en-US"/>
        </w:rPr>
        <w:t>.</w:t>
      </w:r>
    </w:p>
    <w:p w:rsidRPr="001821A2" w:rsidR="00C50B07" w:rsidP="00401237" w:rsidRDefault="00C50B07" w14:paraId="5C82E916" w14:textId="77777777">
      <w:pPr>
        <w:pStyle w:val="Heading1"/>
        <w:tabs>
          <w:tab w:val="num" w:pos="397"/>
        </w:tabs>
        <w:spacing w:before="0"/>
        <w:ind w:left="709" w:hanging="709"/>
      </w:pPr>
      <w:r>
        <w:rPr>
          <w:lang w:val="en-US"/>
        </w:rPr>
        <w:br w:type="page"/>
      </w:r>
      <w:bookmarkStart w:name="_Toc147503814" w:id="75"/>
      <w:bookmarkStart w:name="_Toc222833861" w:id="76"/>
      <w:bookmarkStart w:name="_Toc27055353" w:id="77"/>
      <w:bookmarkStart w:name="_Toc81230904" w:id="78"/>
      <w:bookmarkStart w:name="_Toc92461279" w:id="79"/>
      <w:r w:rsidRPr="001821A2">
        <w:t>Definition of research and experimental development</w:t>
      </w:r>
      <w:bookmarkEnd w:id="75"/>
      <w:bookmarkEnd w:id="76"/>
      <w:r w:rsidRPr="001821A2">
        <w:t xml:space="preserve"> </w:t>
      </w:r>
      <w:bookmarkEnd w:id="77"/>
      <w:bookmarkEnd w:id="78"/>
      <w:bookmarkEnd w:id="79"/>
    </w:p>
    <w:p w:rsidRPr="001821A2" w:rsidR="00C50B07" w:rsidP="008B4DCE" w:rsidRDefault="00C50B07" w14:paraId="2534D6BF" w14:textId="19315F6D">
      <w:pPr>
        <w:spacing w:after="120"/>
        <w:rPr>
          <w:rFonts w:cstheme="minorHAnsi"/>
        </w:rPr>
      </w:pPr>
      <w:r w:rsidRPr="001821A2">
        <w:rPr>
          <w:rFonts w:cstheme="minorHAnsi"/>
        </w:rPr>
        <w:t xml:space="preserve">HERDC </w:t>
      </w:r>
      <w:r>
        <w:rPr>
          <w:rFonts w:cstheme="minorHAnsi"/>
        </w:rPr>
        <w:t xml:space="preserve">uses the </w:t>
      </w:r>
      <w:r w:rsidRPr="001821A2">
        <w:rPr>
          <w:rFonts w:cstheme="minorHAnsi"/>
        </w:rPr>
        <w:t xml:space="preserve">Organisation for Economic Cooperation and Development (OECD) definition of </w:t>
      </w:r>
      <w:r>
        <w:rPr>
          <w:rFonts w:cstheme="minorHAnsi"/>
        </w:rPr>
        <w:t>R&amp;D</w:t>
      </w:r>
      <w:r w:rsidRPr="001821A2">
        <w:rPr>
          <w:rFonts w:cstheme="minorHAnsi"/>
        </w:rPr>
        <w:t xml:space="preserve"> set out in the </w:t>
      </w:r>
      <w:hyperlink w:history="1" r:id="rId33">
        <w:r w:rsidRPr="001821A2">
          <w:rPr>
            <w:rStyle w:val="Hyperlink"/>
          </w:rPr>
          <w:t>2015 Frascati Manual</w:t>
        </w:r>
      </w:hyperlink>
      <w:r>
        <w:rPr>
          <w:rFonts w:cstheme="minorHAnsi"/>
        </w:rPr>
        <w:t xml:space="preserve"> which is </w:t>
      </w:r>
      <w:r w:rsidRPr="001821A2">
        <w:rPr>
          <w:rFonts w:cstheme="minorHAnsi"/>
        </w:rPr>
        <w:t>‘creative and systematic work undertaken in order to increase the stock of knowledge –</w:t>
      </w:r>
      <w:r>
        <w:rPr>
          <w:rFonts w:cstheme="minorHAnsi"/>
        </w:rPr>
        <w:t xml:space="preserve"> </w:t>
      </w:r>
      <w:r w:rsidRPr="001821A2">
        <w:rPr>
          <w:rFonts w:cstheme="minorHAnsi"/>
        </w:rPr>
        <w:t>including knowledge of humankind, culture and society – and to devise new applications of available knowledge.’</w:t>
      </w:r>
      <w:r w:rsidRPr="001821A2">
        <w:rPr>
          <w:rFonts w:cstheme="minorHAnsi"/>
          <w:vertAlign w:val="superscript"/>
        </w:rPr>
        <w:footnoteReference w:id="4"/>
      </w:r>
      <w:r w:rsidRPr="001821A2">
        <w:rPr>
          <w:rFonts w:cstheme="minorHAnsi"/>
        </w:rPr>
        <w:t xml:space="preserve"> </w:t>
      </w:r>
    </w:p>
    <w:p w:rsidRPr="001821A2" w:rsidR="00C50B07" w:rsidP="009D347E" w:rsidRDefault="00C50B07" w14:paraId="771F2A7C" w14:textId="77777777">
      <w:pPr>
        <w:spacing w:after="120"/>
        <w:rPr>
          <w:rFonts w:cstheme="minorHAnsi"/>
        </w:rPr>
      </w:pPr>
      <w:r w:rsidRPr="001821A2">
        <w:rPr>
          <w:rFonts w:cstheme="minorHAnsi"/>
        </w:rPr>
        <w:t xml:space="preserve">For an activity to be a R&amp;D activity it must jointly satisfy </w:t>
      </w:r>
      <w:r w:rsidRPr="001821A2">
        <w:rPr>
          <w:rFonts w:cstheme="minorHAnsi"/>
          <w:u w:val="single"/>
        </w:rPr>
        <w:t xml:space="preserve">all </w:t>
      </w:r>
      <w:r>
        <w:rPr>
          <w:rFonts w:cstheme="minorHAnsi"/>
          <w:u w:val="single"/>
        </w:rPr>
        <w:t>5</w:t>
      </w:r>
      <w:r w:rsidRPr="001821A2">
        <w:rPr>
          <w:rFonts w:cstheme="minorHAnsi"/>
        </w:rPr>
        <w:t xml:space="preserve"> of the below core criteria. A R&amp;D activity must be:</w:t>
      </w:r>
    </w:p>
    <w:p w:rsidRPr="001821A2" w:rsidR="00C50B07" w:rsidP="00D27624" w:rsidRDefault="00C50B07" w14:paraId="01ADD3BB" w14:textId="77777777">
      <w:pPr>
        <w:pStyle w:val="ListNumber"/>
      </w:pPr>
      <w:r w:rsidRPr="001821A2">
        <w:t>novel: aimed at new findings</w:t>
      </w:r>
      <w:r w:rsidRPr="001821A2">
        <w:rPr>
          <w:vertAlign w:val="superscript"/>
        </w:rPr>
        <w:footnoteReference w:id="5"/>
      </w:r>
    </w:p>
    <w:p w:rsidRPr="001821A2" w:rsidR="00C50B07" w:rsidP="00D27624" w:rsidRDefault="00C50B07" w14:paraId="04A06A01" w14:textId="77777777">
      <w:pPr>
        <w:pStyle w:val="ListNumber"/>
      </w:pPr>
      <w:r w:rsidRPr="001821A2">
        <w:t xml:space="preserve">creative: based on original, not obvious, concepts and hypotheses </w:t>
      </w:r>
    </w:p>
    <w:p w:rsidRPr="001821A2" w:rsidR="00C50B07" w:rsidP="00D27624" w:rsidRDefault="00C50B07" w14:paraId="190F5D45" w14:textId="77777777">
      <w:pPr>
        <w:pStyle w:val="ListNumber"/>
      </w:pPr>
      <w:r w:rsidRPr="001821A2">
        <w:t xml:space="preserve">uncertain: uncertain about the final outcome(s) </w:t>
      </w:r>
    </w:p>
    <w:p w:rsidRPr="001821A2" w:rsidR="00C50B07" w:rsidP="00D27624" w:rsidRDefault="00C50B07" w14:paraId="7D79CD4F" w14:textId="77777777">
      <w:pPr>
        <w:pStyle w:val="ListNumber"/>
      </w:pPr>
      <w:r w:rsidRPr="001821A2">
        <w:t xml:space="preserve">systemic: planned and budgeted </w:t>
      </w:r>
    </w:p>
    <w:p w:rsidRPr="008902C1" w:rsidR="00C50B07" w:rsidP="00D27624" w:rsidRDefault="00C50B07" w14:paraId="44C65BED" w14:textId="77777777">
      <w:pPr>
        <w:pStyle w:val="ListNumber"/>
      </w:pPr>
      <w:r w:rsidRPr="001821A2">
        <w:t>transferable and/or reproducible: lead to results that could be possibly reproduced.</w:t>
      </w:r>
      <w:r w:rsidRPr="001821A2">
        <w:rPr>
          <w:vertAlign w:val="superscript"/>
        </w:rPr>
        <w:footnoteReference w:id="6"/>
      </w:r>
    </w:p>
    <w:p w:rsidRPr="001821A2" w:rsidR="00C50B07" w:rsidP="009D347E" w:rsidRDefault="00C50B07" w14:paraId="08C17DE0" w14:textId="77777777">
      <w:pPr>
        <w:spacing w:before="240" w:after="120"/>
        <w:rPr>
          <w:rFonts w:cstheme="minorHAnsi"/>
        </w:rPr>
      </w:pPr>
      <w:r w:rsidRPr="001821A2">
        <w:rPr>
          <w:rFonts w:cstheme="minorHAnsi"/>
        </w:rPr>
        <w:t xml:space="preserve">The above definition encompasses pure and oriented basic research, applied research and experimental development, which are defined in the </w:t>
      </w:r>
      <w:r w:rsidRPr="00476886">
        <w:t>2015 Frascati Manual</w:t>
      </w:r>
      <w:r>
        <w:rPr>
          <w:rFonts w:cstheme="minorHAnsi"/>
        </w:rPr>
        <w:t xml:space="preserve"> a</w:t>
      </w:r>
      <w:r w:rsidRPr="001821A2">
        <w:rPr>
          <w:rFonts w:cstheme="minorHAnsi"/>
        </w:rPr>
        <w:t>s follows:</w:t>
      </w:r>
    </w:p>
    <w:p w:rsidR="00C50B07" w:rsidP="00C50B07" w:rsidRDefault="00C50B07" w14:paraId="0206A7A3" w14:textId="77777777">
      <w:pPr>
        <w:pStyle w:val="ListBullet"/>
        <w:spacing w:after="0"/>
      </w:pPr>
      <w:r w:rsidRPr="006027B1">
        <w:t>Basic research is experimental or theoretical work undertaken primarily to acquire new knowledge of the underlying foundations of phenomena and observable facts, without any particular application or use in view.</w:t>
      </w:r>
      <w:r w:rsidRPr="006027B1">
        <w:rPr>
          <w:vertAlign w:val="superscript"/>
        </w:rPr>
        <w:footnoteReference w:id="7"/>
      </w:r>
      <w:r w:rsidRPr="00E24203">
        <w:rPr>
          <w:vertAlign w:val="superscript"/>
        </w:rPr>
        <w:t xml:space="preserve"> </w:t>
      </w:r>
      <w:r w:rsidRPr="006027B1">
        <w:t xml:space="preserve">There are </w:t>
      </w:r>
      <w:r>
        <w:t>2</w:t>
      </w:r>
      <w:r w:rsidRPr="006027B1">
        <w:t xml:space="preserve"> types of basic research:</w:t>
      </w:r>
    </w:p>
    <w:p w:rsidRPr="006027B1" w:rsidR="00C50B07" w:rsidP="00D27624" w:rsidRDefault="00C50B07" w14:paraId="5459C09A" w14:textId="77777777">
      <w:pPr>
        <w:pStyle w:val="ListBullet3"/>
      </w:pPr>
      <w:r w:rsidRPr="006027B1">
        <w:t>Pure basic research is carried out for the advancement of knowledge, without seeking economic or social benefits or making an active effort to apply the results to practical problems or to transfer the results to sectors responsible for their application.</w:t>
      </w:r>
      <w:r w:rsidRPr="006027B1">
        <w:rPr>
          <w:vertAlign w:val="superscript"/>
        </w:rPr>
        <w:footnoteReference w:id="8"/>
      </w:r>
    </w:p>
    <w:p w:rsidRPr="006027B1" w:rsidR="00C50B07" w:rsidP="00D27624" w:rsidRDefault="00C50B07" w14:paraId="123EAA1E" w14:textId="77777777">
      <w:pPr>
        <w:pStyle w:val="ListBullet3"/>
        <w:spacing w:after="0"/>
      </w:pPr>
      <w:r w:rsidRPr="006027B1">
        <w:t>Oriented basic research is carried out with the expectation that it will produce a broad base of knowledge likely to form the basis of the solution to recognised or expected current or future problems or possibilities.</w:t>
      </w:r>
      <w:r w:rsidRPr="006027B1">
        <w:rPr>
          <w:vertAlign w:val="superscript"/>
        </w:rPr>
        <w:footnoteReference w:id="9"/>
      </w:r>
    </w:p>
    <w:p w:rsidRPr="006027B1" w:rsidR="00C50B07" w:rsidP="00C50B07" w:rsidRDefault="00C50B07" w14:paraId="09110709" w14:textId="77777777">
      <w:pPr>
        <w:pStyle w:val="ListBullet"/>
        <w:spacing w:after="0"/>
      </w:pPr>
      <w:r w:rsidRPr="006027B1">
        <w:t>Applied research is original investigation undertaken in order to acquire new knowledge. It is, however, directed primarily towards a specific, practical aim or objective</w:t>
      </w:r>
      <w:r w:rsidRPr="006027B1">
        <w:rPr>
          <w:vertAlign w:val="superscript"/>
        </w:rPr>
        <w:footnoteReference w:id="10"/>
      </w:r>
      <w:r w:rsidRPr="006027B1">
        <w:t xml:space="preserve"> (including a client-driven purpose).</w:t>
      </w:r>
    </w:p>
    <w:p w:rsidRPr="006027B1" w:rsidR="00C50B07" w:rsidP="00C50B07" w:rsidRDefault="00C50B07" w14:paraId="6D479858" w14:textId="77777777">
      <w:pPr>
        <w:pStyle w:val="ListBullet"/>
      </w:pPr>
      <w:r w:rsidRPr="006027B1">
        <w:t>Experimental development is systematic work, drawing on knowledge gained from research and practical experience and producing additional knowledge, which is directed to producing new products or processes or to improving existing products or processes.</w:t>
      </w:r>
      <w:r w:rsidRPr="006027B1">
        <w:rPr>
          <w:vertAlign w:val="superscript"/>
        </w:rPr>
        <w:footnoteReference w:id="11"/>
      </w:r>
      <w:bookmarkStart w:name="_Toc27055354" w:id="81"/>
    </w:p>
    <w:p w:rsidR="00C50B07" w:rsidP="006027B1" w:rsidRDefault="00C50B07" w14:paraId="6EAC4B05" w14:textId="77777777">
      <w:pPr>
        <w:spacing w:after="120" w:line="276" w:lineRule="auto"/>
        <w:contextualSpacing/>
        <w:rPr>
          <w:rFonts w:cstheme="minorHAnsi"/>
        </w:rPr>
      </w:pPr>
    </w:p>
    <w:p w:rsidRPr="00190CC4" w:rsidR="00C50B07" w:rsidP="006027B1" w:rsidRDefault="00C50B07" w14:paraId="62C7041D" w14:textId="77777777">
      <w:pPr>
        <w:spacing w:after="120" w:line="276" w:lineRule="auto"/>
        <w:contextualSpacing/>
        <w:rPr>
          <w:rFonts w:cstheme="minorHAnsi"/>
        </w:rPr>
      </w:pPr>
      <w:r w:rsidRPr="00190CC4">
        <w:rPr>
          <w:rFonts w:cstheme="minorHAnsi"/>
          <w:b/>
          <w:color w:val="205E29"/>
          <w:sz w:val="32"/>
          <w:szCs w:val="32"/>
        </w:rPr>
        <w:br w:type="page"/>
      </w:r>
    </w:p>
    <w:p w:rsidRPr="001821A2" w:rsidR="00C50B07" w:rsidP="006108A9" w:rsidRDefault="00C50B07" w14:paraId="07F5ABC6" w14:textId="77777777">
      <w:pPr>
        <w:pStyle w:val="Heading2"/>
      </w:pPr>
      <w:bookmarkStart w:name="_Toc81230905" w:id="82"/>
      <w:bookmarkStart w:name="_Toc92461280" w:id="83"/>
      <w:bookmarkStart w:name="_Toc147503815" w:id="84"/>
      <w:bookmarkStart w:name="_Toc222833862" w:id="85"/>
      <w:r w:rsidRPr="001821A2">
        <w:t>3.1</w:t>
      </w:r>
      <w:r w:rsidRPr="001821A2">
        <w:tab/>
      </w:r>
      <w:r w:rsidRPr="001821A2">
        <w:t>Inclusions and exclusions</w:t>
      </w:r>
      <w:bookmarkEnd w:id="82"/>
      <w:bookmarkEnd w:id="83"/>
      <w:bookmarkEnd w:id="84"/>
      <w:bookmarkEnd w:id="85"/>
    </w:p>
    <w:p w:rsidRPr="001821A2" w:rsidR="00C50B07" w:rsidP="009D347E" w:rsidRDefault="00C50B07" w14:paraId="76CB793B" w14:textId="16269B96">
      <w:pPr>
        <w:spacing w:after="120"/>
      </w:pPr>
      <w:bookmarkStart w:name="_Toc81224873" w:id="86"/>
      <w:bookmarkStart w:name="_Toc81225029" w:id="87"/>
      <w:r w:rsidRPr="001821A2">
        <w:t xml:space="preserve">The sections below provide additional guidance </w:t>
      </w:r>
      <w:r>
        <w:t>about</w:t>
      </w:r>
      <w:r w:rsidRPr="001821A2">
        <w:t xml:space="preserve"> the activities that can be considered R&amp;D and therefore included in a HEP’s R&amp;D income return. These lists are not exhaustive.</w:t>
      </w:r>
      <w:bookmarkEnd w:id="86"/>
      <w:bookmarkEnd w:id="87"/>
    </w:p>
    <w:p w:rsidRPr="001821A2" w:rsidR="00C50B07" w:rsidP="006108A9" w:rsidRDefault="00C50B07" w14:paraId="76F6D660" w14:textId="77777777">
      <w:pPr>
        <w:pStyle w:val="Heading3"/>
      </w:pPr>
      <w:bookmarkStart w:name="_Toc81230906" w:id="88"/>
      <w:bookmarkStart w:name="_Toc92461281" w:id="89"/>
      <w:bookmarkStart w:name="_Toc147503816" w:id="90"/>
      <w:bookmarkStart w:name="_Toc222833863" w:id="91"/>
      <w:r w:rsidRPr="001821A2">
        <w:t>3.1.1</w:t>
      </w:r>
      <w:r w:rsidRPr="001821A2">
        <w:tab/>
      </w:r>
      <w:r w:rsidRPr="001821A2">
        <w:t>Examples of activities that meet the definition of R&amp;D include:</w:t>
      </w:r>
      <w:bookmarkEnd w:id="81"/>
      <w:bookmarkEnd w:id="88"/>
      <w:bookmarkEnd w:id="89"/>
      <w:bookmarkEnd w:id="90"/>
      <w:bookmarkEnd w:id="91"/>
    </w:p>
    <w:p w:rsidRPr="001821A2" w:rsidR="00C50B07" w:rsidP="00D27624" w:rsidRDefault="00C50B07" w14:paraId="768B0A25" w14:textId="77777777">
      <w:pPr>
        <w:pStyle w:val="List2"/>
      </w:pPr>
      <w:r w:rsidRPr="001821A2">
        <w:t>Professional, technical, administrative or clerical support staff directly engaged in activities essential to the conduct of R&amp;D.</w:t>
      </w:r>
    </w:p>
    <w:p w:rsidRPr="001821A2" w:rsidR="00C50B07" w:rsidP="00D27624" w:rsidRDefault="00C50B07" w14:paraId="4F113596" w14:textId="77777777">
      <w:pPr>
        <w:pStyle w:val="List2"/>
      </w:pPr>
      <w:r w:rsidRPr="001821A2">
        <w:t>The activities of higher degree by research (HDR)</w:t>
      </w:r>
      <w:r w:rsidRPr="001821A2">
        <w:rPr>
          <w:vertAlign w:val="superscript"/>
        </w:rPr>
        <w:footnoteReference w:id="12"/>
      </w:r>
      <w:r w:rsidRPr="001821A2">
        <w:t xml:space="preserve"> students enrolled at the HEP.</w:t>
      </w:r>
    </w:p>
    <w:p w:rsidRPr="001821A2" w:rsidR="00C50B07" w:rsidP="00D27624" w:rsidRDefault="00C50B07" w14:paraId="624196FA" w14:textId="77777777">
      <w:pPr>
        <w:pStyle w:val="List2"/>
      </w:pPr>
      <w:r w:rsidRPr="001821A2">
        <w:t>The development of HDR training and courses.</w:t>
      </w:r>
    </w:p>
    <w:p w:rsidRPr="001821A2" w:rsidR="00C50B07" w:rsidP="00D27624" w:rsidRDefault="00C50B07" w14:paraId="0949ECB6" w14:textId="77777777">
      <w:pPr>
        <w:pStyle w:val="List2"/>
      </w:pPr>
      <w:r w:rsidRPr="001821A2">
        <w:t>The supervision of HDR students enrolled at the HEP.</w:t>
      </w:r>
    </w:p>
    <w:p w:rsidRPr="001821A2" w:rsidR="00C50B07" w:rsidP="00D27624" w:rsidRDefault="00C50B07" w14:paraId="740AA734" w14:textId="77777777">
      <w:pPr>
        <w:pStyle w:val="List2"/>
      </w:pPr>
      <w:r w:rsidRPr="001821A2">
        <w:t>R&amp;D into applications software, new programming languages and new operating systems</w:t>
      </w:r>
    </w:p>
    <w:p w:rsidRPr="001821A2" w:rsidR="00C50B07" w:rsidP="00D27624" w:rsidRDefault="00C50B07" w14:paraId="57BD72B8" w14:textId="77777777">
      <w:pPr>
        <w:pStyle w:val="List2"/>
      </w:pPr>
      <w:r w:rsidRPr="001821A2">
        <w:t>Prototype development and testing.</w:t>
      </w:r>
    </w:p>
    <w:p w:rsidRPr="001821A2" w:rsidR="00C50B07" w:rsidP="00D27624" w:rsidRDefault="00C50B07" w14:paraId="19E6EE5D" w14:textId="77777777">
      <w:pPr>
        <w:pStyle w:val="List2"/>
      </w:pPr>
      <w:r w:rsidRPr="001821A2">
        <w:t>Construction and operation of a pilot plant where the primary objective is to make further improvements.</w:t>
      </w:r>
    </w:p>
    <w:p w:rsidRPr="001821A2" w:rsidR="00C50B07" w:rsidP="00D27624" w:rsidRDefault="00C50B07" w14:paraId="4B532061" w14:textId="77777777">
      <w:pPr>
        <w:pStyle w:val="List2"/>
      </w:pPr>
      <w:r w:rsidRPr="001821A2">
        <w:t>Trial production where there is full scale testing and subsequent further design and engineering.</w:t>
      </w:r>
    </w:p>
    <w:p w:rsidRPr="001821A2" w:rsidR="00C50B07" w:rsidP="00D27624" w:rsidRDefault="00C50B07" w14:paraId="4F0E04BA" w14:textId="77777777">
      <w:pPr>
        <w:pStyle w:val="List2"/>
      </w:pPr>
      <w:r w:rsidRPr="001821A2">
        <w:t>Phases I to III of clinical trials.</w:t>
      </w:r>
    </w:p>
    <w:p w:rsidRPr="001821A2" w:rsidR="00C50B07" w:rsidP="00D27624" w:rsidRDefault="00C50B07" w14:paraId="67D82517" w14:textId="77777777">
      <w:pPr>
        <w:pStyle w:val="List2"/>
      </w:pPr>
      <w:r w:rsidRPr="001821A2">
        <w:t xml:space="preserve">Non-traditional research </w:t>
      </w:r>
      <w:r>
        <w:t xml:space="preserve">in </w:t>
      </w:r>
      <w:r w:rsidRPr="001821A2">
        <w:t>creative arts including original creative works, live performance of creative works, recorded or rendered works, and curated exhibitions or events</w:t>
      </w:r>
      <w:bookmarkStart w:name="_Toc27055355" w:id="92"/>
      <w:r w:rsidRPr="001821A2">
        <w:t>.</w:t>
      </w:r>
    </w:p>
    <w:p w:rsidRPr="001821A2" w:rsidR="00C50B07" w:rsidP="006108A9" w:rsidRDefault="00C50B07" w14:paraId="6A13D52B" w14:textId="77777777">
      <w:pPr>
        <w:pStyle w:val="Heading3"/>
      </w:pPr>
      <w:bookmarkStart w:name="_Toc81230907" w:id="93"/>
      <w:bookmarkStart w:name="_Toc92461282" w:id="94"/>
      <w:bookmarkStart w:name="_Toc147503817" w:id="95"/>
      <w:bookmarkStart w:name="_Toc222833864" w:id="96"/>
      <w:r w:rsidRPr="001821A2">
        <w:t>3.1.2</w:t>
      </w:r>
      <w:r w:rsidRPr="001821A2">
        <w:tab/>
      </w:r>
      <w:r w:rsidRPr="001821A2">
        <w:t>Examples of activities that do not meet the definition of R&amp;D include:</w:t>
      </w:r>
      <w:bookmarkEnd w:id="92"/>
      <w:bookmarkEnd w:id="93"/>
      <w:bookmarkEnd w:id="94"/>
      <w:bookmarkEnd w:id="95"/>
      <w:bookmarkEnd w:id="96"/>
    </w:p>
    <w:p w:rsidRPr="001821A2" w:rsidR="00C50B07" w:rsidP="00C50B07" w:rsidRDefault="00C50B07" w14:paraId="15E5CF74" w14:textId="77777777">
      <w:pPr>
        <w:pStyle w:val="List2"/>
        <w:numPr>
          <w:ilvl w:val="1"/>
          <w:numId w:val="8"/>
        </w:numPr>
      </w:pPr>
      <w:r w:rsidRPr="001821A2">
        <w:t>Scientific and technical information services.</w:t>
      </w:r>
    </w:p>
    <w:p w:rsidRPr="001821A2" w:rsidR="00C50B07" w:rsidP="00C50B07" w:rsidRDefault="00C50B07" w14:paraId="2C546025" w14:textId="77777777">
      <w:pPr>
        <w:pStyle w:val="List2"/>
        <w:numPr>
          <w:ilvl w:val="1"/>
          <w:numId w:val="8"/>
        </w:numPr>
      </w:pPr>
      <w:r w:rsidRPr="001821A2">
        <w:t>General purpose or routine data collection.</w:t>
      </w:r>
    </w:p>
    <w:p w:rsidRPr="001821A2" w:rsidR="00C50B07" w:rsidP="00C50B07" w:rsidRDefault="00C50B07" w14:paraId="3BF93E76" w14:textId="77777777">
      <w:pPr>
        <w:pStyle w:val="List2"/>
        <w:numPr>
          <w:ilvl w:val="1"/>
          <w:numId w:val="8"/>
        </w:numPr>
      </w:pPr>
      <w:r w:rsidRPr="001821A2">
        <w:t>Standardisation and routine testing.</w:t>
      </w:r>
    </w:p>
    <w:p w:rsidRPr="001821A2" w:rsidR="00C50B07" w:rsidP="00C50B07" w:rsidRDefault="00C50B07" w14:paraId="63DE1898" w14:textId="77777777">
      <w:pPr>
        <w:pStyle w:val="List2"/>
        <w:numPr>
          <w:ilvl w:val="1"/>
          <w:numId w:val="8"/>
        </w:numPr>
      </w:pPr>
      <w:r w:rsidRPr="001821A2">
        <w:t>Feasibility studies (except into R&amp;D projects).</w:t>
      </w:r>
    </w:p>
    <w:p w:rsidRPr="001821A2" w:rsidR="00C50B07" w:rsidP="00C50B07" w:rsidRDefault="00C50B07" w14:paraId="5A62765A" w14:textId="77777777">
      <w:pPr>
        <w:pStyle w:val="List2"/>
        <w:numPr>
          <w:ilvl w:val="1"/>
          <w:numId w:val="8"/>
        </w:numPr>
      </w:pPr>
      <w:r w:rsidRPr="001821A2">
        <w:t>Specialised, routine medical care.</w:t>
      </w:r>
    </w:p>
    <w:p w:rsidRPr="001821A2" w:rsidR="00C50B07" w:rsidP="00C50B07" w:rsidRDefault="00C50B07" w14:paraId="0E63538F" w14:textId="77777777">
      <w:pPr>
        <w:pStyle w:val="List2"/>
        <w:numPr>
          <w:ilvl w:val="1"/>
          <w:numId w:val="8"/>
        </w:numPr>
      </w:pPr>
      <w:r w:rsidRPr="001821A2">
        <w:t>Literature reviews that are predominantly a summary of the current knowledge and findings of a particular R&amp;D field or topic and do not include any critical assessment or report any new findings or original experimental work.</w:t>
      </w:r>
    </w:p>
    <w:p w:rsidRPr="001821A2" w:rsidR="00C50B07" w:rsidP="00C50B07" w:rsidRDefault="00C50B07" w14:paraId="138947E7" w14:textId="77777777">
      <w:pPr>
        <w:pStyle w:val="List2"/>
        <w:numPr>
          <w:ilvl w:val="1"/>
          <w:numId w:val="8"/>
        </w:numPr>
      </w:pPr>
      <w:r w:rsidRPr="001821A2">
        <w:t>Commercial, legal and administrative aspects of patenting, plant breeders’ rights, copyright, material transfer agreements or intellectual property licensing, option and assignment activities, and royalties.</w:t>
      </w:r>
    </w:p>
    <w:p w:rsidRPr="001821A2" w:rsidR="00C50B07" w:rsidP="00C50B07" w:rsidRDefault="00C50B07" w14:paraId="1498302E" w14:textId="77777777">
      <w:pPr>
        <w:pStyle w:val="List2"/>
        <w:numPr>
          <w:ilvl w:val="1"/>
          <w:numId w:val="8"/>
        </w:numPr>
      </w:pPr>
      <w:r w:rsidRPr="001821A2">
        <w:t>Routine computer programming, systems work or software maintenance.</w:t>
      </w:r>
    </w:p>
    <w:p w:rsidRPr="001821A2" w:rsidR="00C50B07" w:rsidP="00C50B07" w:rsidRDefault="00C50B07" w14:paraId="2D7CFE39" w14:textId="77777777">
      <w:pPr>
        <w:pStyle w:val="List2"/>
        <w:numPr>
          <w:ilvl w:val="1"/>
          <w:numId w:val="8"/>
        </w:numPr>
      </w:pPr>
      <w:r w:rsidRPr="001821A2">
        <w:t xml:space="preserve">Stages of product development that do not meet the </w:t>
      </w:r>
      <w:r>
        <w:t>5</w:t>
      </w:r>
      <w:r w:rsidRPr="001821A2">
        <w:t xml:space="preserve"> </w:t>
      </w:r>
      <w:r>
        <w:t xml:space="preserve">core </w:t>
      </w:r>
      <w:r w:rsidRPr="001821A2">
        <w:t>R&amp;D criteria above.</w:t>
      </w:r>
      <w:r w:rsidRPr="001821A2">
        <w:rPr>
          <w:rFonts w:cs="Times New Roman"/>
          <w:vertAlign w:val="superscript"/>
        </w:rPr>
        <w:footnoteReference w:id="13"/>
      </w:r>
    </w:p>
    <w:p w:rsidRPr="001821A2" w:rsidR="00C50B07" w:rsidP="00C50B07" w:rsidRDefault="00C50B07" w14:paraId="2F319C50" w14:textId="77777777">
      <w:pPr>
        <w:pStyle w:val="List2"/>
        <w:numPr>
          <w:ilvl w:val="1"/>
          <w:numId w:val="8"/>
        </w:numPr>
      </w:pPr>
      <w:r w:rsidRPr="001821A2">
        <w:t>Pre-production development.</w:t>
      </w:r>
      <w:r w:rsidRPr="001821A2">
        <w:rPr>
          <w:rFonts w:cs="Times New Roman"/>
          <w:vertAlign w:val="superscript"/>
        </w:rPr>
        <w:footnoteReference w:id="14"/>
      </w:r>
    </w:p>
    <w:p w:rsidRPr="001821A2" w:rsidR="00C50B07" w:rsidP="00C50B07" w:rsidRDefault="00C50B07" w14:paraId="1D46671B" w14:textId="77777777">
      <w:pPr>
        <w:pStyle w:val="List2"/>
        <w:numPr>
          <w:ilvl w:val="1"/>
          <w:numId w:val="8"/>
        </w:numPr>
      </w:pPr>
      <w:r w:rsidRPr="001821A2">
        <w:t>Market research.</w:t>
      </w:r>
    </w:p>
    <w:p w:rsidRPr="001821A2" w:rsidR="00C50B07" w:rsidP="00C50B07" w:rsidRDefault="00C50B07" w14:paraId="30EE3992" w14:textId="77777777">
      <w:pPr>
        <w:pStyle w:val="List2"/>
        <w:numPr>
          <w:ilvl w:val="1"/>
          <w:numId w:val="8"/>
        </w:numPr>
      </w:pPr>
      <w:r w:rsidRPr="001821A2">
        <w:t>Construction of fully tested prototypes for marketing purposes.</w:t>
      </w:r>
    </w:p>
    <w:p w:rsidRPr="001821A2" w:rsidR="00C50B07" w:rsidP="00C50B07" w:rsidRDefault="00C50B07" w14:paraId="3E2369CF" w14:textId="77777777">
      <w:pPr>
        <w:pStyle w:val="List2"/>
        <w:numPr>
          <w:ilvl w:val="1"/>
          <w:numId w:val="8"/>
        </w:numPr>
      </w:pPr>
      <w:r w:rsidRPr="001821A2">
        <w:t>After sales service and troubleshooting.</w:t>
      </w:r>
    </w:p>
    <w:p w:rsidRPr="001821A2" w:rsidR="00C50B07" w:rsidP="00C50B07" w:rsidRDefault="00C50B07" w14:paraId="6F9F06E2" w14:textId="77777777">
      <w:pPr>
        <w:pStyle w:val="List2"/>
        <w:numPr>
          <w:ilvl w:val="1"/>
          <w:numId w:val="8"/>
        </w:numPr>
      </w:pPr>
      <w:r w:rsidRPr="001821A2">
        <w:t>Industrial engineering and design for production purposes.</w:t>
      </w:r>
    </w:p>
    <w:p w:rsidRPr="001821A2" w:rsidR="00C50B07" w:rsidP="00C50B07" w:rsidRDefault="00C50B07" w14:paraId="42D80064" w14:textId="77777777">
      <w:pPr>
        <w:pStyle w:val="List2"/>
        <w:numPr>
          <w:ilvl w:val="1"/>
          <w:numId w:val="8"/>
        </w:numPr>
      </w:pPr>
      <w:r w:rsidRPr="001821A2">
        <w:t xml:space="preserve">Creative activities that do not meet the </w:t>
      </w:r>
      <w:r>
        <w:t>5</w:t>
      </w:r>
      <w:r w:rsidRPr="001821A2">
        <w:t xml:space="preserve"> core R&amp;D criteria above</w:t>
      </w:r>
      <w:r>
        <w:t>.</w:t>
      </w:r>
    </w:p>
    <w:p w:rsidRPr="001821A2" w:rsidR="00C50B07" w:rsidP="00C50B07" w:rsidRDefault="00C50B07" w14:paraId="7393D291" w14:textId="77777777">
      <w:pPr>
        <w:pStyle w:val="List2"/>
        <w:numPr>
          <w:ilvl w:val="1"/>
          <w:numId w:val="8"/>
        </w:numPr>
      </w:pPr>
      <w:r w:rsidRPr="001821A2">
        <w:t>R&amp;D financing and support services.</w:t>
      </w:r>
    </w:p>
    <w:p w:rsidRPr="001821A2" w:rsidR="00C50B07" w:rsidP="00C50B07" w:rsidRDefault="00C50B07" w14:paraId="09020781" w14:textId="77777777">
      <w:pPr>
        <w:pStyle w:val="List2"/>
        <w:numPr>
          <w:ilvl w:val="1"/>
          <w:numId w:val="8"/>
        </w:numPr>
      </w:pPr>
      <w:r w:rsidRPr="001821A2">
        <w:t>Consultancies or framework analysis activities that are designed to analyse or evaluate processes at external operators.</w:t>
      </w:r>
    </w:p>
    <w:p w:rsidR="00C50B07" w:rsidP="00C50B07" w:rsidRDefault="00C50B07" w14:paraId="2DE69909" w14:textId="77777777">
      <w:pPr>
        <w:pStyle w:val="List2"/>
        <w:numPr>
          <w:ilvl w:val="1"/>
          <w:numId w:val="8"/>
        </w:numPr>
      </w:pPr>
      <w:r w:rsidRPr="001821A2">
        <w:t>Teaching services based on existing knowledge which do not constitute entirely new advancements in knowledge.</w:t>
      </w:r>
    </w:p>
    <w:p w:rsidR="00C50B07" w:rsidP="0039778B" w:rsidRDefault="00C50B07" w14:paraId="0289B874" w14:textId="77777777">
      <w:pPr>
        <w:spacing w:after="160"/>
      </w:pPr>
      <w:r>
        <w:br w:type="page"/>
      </w:r>
    </w:p>
    <w:p w:rsidRPr="00247159" w:rsidR="00C50B07" w:rsidP="00634374" w:rsidRDefault="00C50B07" w14:paraId="7875E6DF" w14:textId="77777777">
      <w:pPr>
        <w:pStyle w:val="Heading1"/>
        <w:tabs>
          <w:tab w:val="num" w:pos="397"/>
        </w:tabs>
        <w:spacing w:before="0"/>
        <w:ind w:left="709" w:hanging="709"/>
      </w:pPr>
      <w:bookmarkStart w:name="_Toc27055356" w:id="97"/>
      <w:bookmarkStart w:name="_Toc81230908" w:id="98"/>
      <w:bookmarkStart w:name="_Toc92461283" w:id="99"/>
      <w:bookmarkStart w:name="_Toc147503818" w:id="100"/>
      <w:bookmarkStart w:name="_Toc222833865" w:id="101"/>
      <w:r w:rsidRPr="00247159">
        <w:t>Categories 1 to 4 R&amp;D income requirements</w:t>
      </w:r>
      <w:bookmarkEnd w:id="97"/>
      <w:bookmarkEnd w:id="98"/>
      <w:bookmarkEnd w:id="99"/>
      <w:bookmarkEnd w:id="100"/>
      <w:bookmarkEnd w:id="101"/>
    </w:p>
    <w:p w:rsidRPr="00012B6A" w:rsidR="00C50B07" w:rsidP="009D347E" w:rsidRDefault="00C50B07" w14:paraId="5E26E3B6" w14:textId="77777777">
      <w:pPr>
        <w:spacing w:after="120"/>
      </w:pPr>
      <w:r w:rsidRPr="00012B6A">
        <w:t xml:space="preserve">This section provides the information necessary for HEPs to determine what can and cannot be included under Categories 1 to 4 of their HERDC return. </w:t>
      </w:r>
      <w:bookmarkStart w:name="_Toc437848417" w:id="102"/>
      <w:bookmarkStart w:name="_Toc437848473" w:id="103"/>
      <w:bookmarkStart w:name="_Toc437848513" w:id="104"/>
      <w:bookmarkStart w:name="_Toc437848588" w:id="105"/>
      <w:bookmarkStart w:name="_Toc437850659" w:id="106"/>
      <w:bookmarkStart w:name="_Toc437850735" w:id="107"/>
      <w:bookmarkStart w:name="_Toc437850810" w:id="108"/>
      <w:bookmarkStart w:name="_Toc437851163" w:id="109"/>
      <w:bookmarkStart w:name="_Toc437848418" w:id="110"/>
      <w:bookmarkStart w:name="_Toc437848474" w:id="111"/>
      <w:bookmarkStart w:name="_Toc437848514" w:id="112"/>
      <w:bookmarkStart w:name="_Toc437848589" w:id="113"/>
      <w:bookmarkStart w:name="_Toc437850660" w:id="114"/>
      <w:bookmarkStart w:name="_Toc437850736" w:id="115"/>
      <w:bookmarkStart w:name="_Toc437850811" w:id="116"/>
      <w:bookmarkStart w:name="_Toc437851164" w:id="117"/>
      <w:bookmarkStart w:name="CursorPositionBM" w:id="118"/>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sidRPr="00012B6A">
        <w:t xml:space="preserve">HEPs must provide information on all R&amp;D income received in the reference year that falls into the following </w:t>
      </w:r>
      <w:r>
        <w:t>4</w:t>
      </w:r>
      <w:r w:rsidRPr="00012B6A">
        <w:t xml:space="preserve"> categories:</w:t>
      </w:r>
    </w:p>
    <w:p w:rsidRPr="006027B1" w:rsidR="00C50B07" w:rsidP="00C50B07" w:rsidRDefault="00C50B07" w14:paraId="14FAA0DA" w14:textId="77777777">
      <w:pPr>
        <w:pStyle w:val="ListBullet"/>
      </w:pPr>
      <w:r w:rsidRPr="006027B1">
        <w:t>Category 1: Australian competitive grant R&amp;D income</w:t>
      </w:r>
    </w:p>
    <w:p w:rsidRPr="006027B1" w:rsidR="00C50B07" w:rsidP="00C50B07" w:rsidRDefault="00C50B07" w14:paraId="6DF9759A" w14:textId="77777777">
      <w:pPr>
        <w:pStyle w:val="ListBullet"/>
      </w:pPr>
      <w:r w:rsidRPr="006027B1">
        <w:t>Category 2: other public sector R&amp;D income</w:t>
      </w:r>
    </w:p>
    <w:p w:rsidRPr="006027B1" w:rsidR="00C50B07" w:rsidP="00C50B07" w:rsidRDefault="00C50B07" w14:paraId="16218DCF" w14:textId="77777777">
      <w:pPr>
        <w:pStyle w:val="ListBullet"/>
      </w:pPr>
      <w:r w:rsidRPr="006027B1">
        <w:t>Category 3: industry and other R&amp;D income</w:t>
      </w:r>
    </w:p>
    <w:p w:rsidRPr="006027B1" w:rsidR="00C50B07" w:rsidP="00C50B07" w:rsidRDefault="00C50B07" w14:paraId="2049F13A" w14:textId="77777777">
      <w:pPr>
        <w:pStyle w:val="ListBullet"/>
      </w:pPr>
      <w:r w:rsidRPr="006027B1">
        <w:t>Category 4: CRC R&amp;D income.</w:t>
      </w:r>
    </w:p>
    <w:p w:rsidRPr="00012B6A" w:rsidR="00C50B07" w:rsidP="006108A9" w:rsidRDefault="00C50B07" w14:paraId="4FB80C4B" w14:textId="77777777">
      <w:pPr>
        <w:pStyle w:val="Heading2"/>
      </w:pPr>
      <w:bookmarkStart w:name="_7.1_General_requirements" w:id="119"/>
      <w:bookmarkStart w:name="_Toc87171315" w:id="120"/>
      <w:bookmarkStart w:name="_Toc96678052" w:id="121"/>
      <w:bookmarkStart w:name="_Toc112733795" w:id="122"/>
      <w:bookmarkStart w:name="_Toc112734005" w:id="123"/>
      <w:bookmarkStart w:name="_Ref115747973" w:id="124"/>
      <w:bookmarkStart w:name="_Toc116182982" w:id="125"/>
      <w:bookmarkStart w:name="_Toc251924125" w:id="126"/>
      <w:bookmarkStart w:name="_Toc406668869" w:id="127"/>
      <w:bookmarkStart w:name="_Toc482284839" w:id="128"/>
      <w:bookmarkStart w:name="_Toc489438087" w:id="129"/>
      <w:bookmarkStart w:name="_Toc489955870" w:id="130"/>
      <w:bookmarkStart w:name="_Toc491172986" w:id="131"/>
      <w:bookmarkStart w:name="_Toc523214675" w:id="132"/>
      <w:bookmarkStart w:name="_Toc27055357" w:id="133"/>
      <w:bookmarkStart w:name="_Toc81230909" w:id="134"/>
      <w:bookmarkStart w:name="_Toc92461284" w:id="135"/>
      <w:bookmarkStart w:name="_Toc147503819" w:id="136"/>
      <w:bookmarkStart w:name="_Toc222833866" w:id="137"/>
      <w:bookmarkEnd w:id="119"/>
      <w:r w:rsidRPr="00012B6A">
        <w:t>4.1</w:t>
      </w:r>
      <w:r w:rsidRPr="00012B6A">
        <w:tab/>
      </w:r>
      <w:r w:rsidRPr="00012B6A">
        <w:t>General requirements</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rsidRPr="00012B6A" w:rsidR="00C50B07" w:rsidP="009D347E" w:rsidRDefault="00C50B07" w14:paraId="62BC8B5C" w14:textId="77777777">
      <w:r w:rsidRPr="00012B6A">
        <w:t xml:space="preserve">Categories 1 to 4 R&amp;D income can only be included in a HEP’s return if it meets </w:t>
      </w:r>
      <w:r w:rsidRPr="00012B6A">
        <w:rPr>
          <w:u w:val="single"/>
        </w:rPr>
        <w:t>all</w:t>
      </w:r>
      <w:r w:rsidRPr="00012B6A">
        <w:t xml:space="preserve"> of the following principles. The R&amp;D income must be:</w:t>
      </w:r>
    </w:p>
    <w:p w:rsidRPr="006027B1" w:rsidR="00C50B07" w:rsidP="00C50B07" w:rsidRDefault="00C50B07" w14:paraId="763B3AC2" w14:textId="77777777">
      <w:pPr>
        <w:pStyle w:val="ListBullet"/>
        <w:rPr>
          <w:b/>
          <w:bCs/>
        </w:rPr>
      </w:pPr>
      <w:r w:rsidRPr="006027B1">
        <w:rPr>
          <w:b/>
          <w:bCs/>
        </w:rPr>
        <w:t>For activities consistent with the definition of R&amp;D (section 3).</w:t>
      </w:r>
    </w:p>
    <w:p w:rsidRPr="006027B1" w:rsidR="00C50B07" w:rsidP="00C50B07" w:rsidRDefault="00C50B07" w14:paraId="594A2BB9" w14:textId="77777777">
      <w:pPr>
        <w:pStyle w:val="ListBullet"/>
        <w:spacing w:after="0"/>
        <w:rPr>
          <w:b/>
          <w:bCs/>
        </w:rPr>
      </w:pPr>
      <w:r w:rsidRPr="006027B1">
        <w:rPr>
          <w:b/>
          <w:bCs/>
        </w:rPr>
        <w:t>Net receipted income, received in the reference year and recognised in a HEP’s financial system as being related to that reference year:</w:t>
      </w:r>
    </w:p>
    <w:p w:rsidR="00C50B07" w:rsidP="00D27624" w:rsidRDefault="00C50B07" w14:paraId="0D7C2CCE" w14:textId="77777777">
      <w:pPr>
        <w:pStyle w:val="ListBullet3"/>
        <w:spacing w:after="0"/>
      </w:pPr>
      <w:r w:rsidRPr="00012B6A">
        <w:t xml:space="preserve">Net receipted income is the amount of R&amp;D income a HEP (or its subsidiary) retains in its accounting system after shared R&amp;D income has been divided and/or third-party R&amp;D income has been expended and/or distributed. </w:t>
      </w:r>
    </w:p>
    <w:p w:rsidRPr="006027B1" w:rsidR="00C50B07" w:rsidP="00C50B07" w:rsidRDefault="00C50B07" w14:paraId="6FCF9115" w14:textId="77777777">
      <w:pPr>
        <w:pStyle w:val="ListBullet"/>
        <w:spacing w:after="0"/>
        <w:rPr>
          <w:b/>
          <w:bCs/>
        </w:rPr>
      </w:pPr>
      <w:r w:rsidRPr="006027B1">
        <w:rPr>
          <w:b/>
          <w:bCs/>
        </w:rPr>
        <w:t>Only be counted once:</w:t>
      </w:r>
    </w:p>
    <w:p w:rsidRPr="00012B6A" w:rsidR="00C50B07" w:rsidP="00D27624" w:rsidRDefault="00C50B07" w14:paraId="08FDBFF4" w14:textId="77777777">
      <w:pPr>
        <w:pStyle w:val="ListBullet3"/>
        <w:spacing w:after="0"/>
      </w:pPr>
      <w:r w:rsidRPr="00012B6A">
        <w:t>HEPs must apply the principle that no income is to be double counted or included in the income returns for multiple years.</w:t>
      </w:r>
    </w:p>
    <w:p w:rsidRPr="006027B1" w:rsidR="00C50B07" w:rsidP="00C50B07" w:rsidRDefault="00C50B07" w14:paraId="09B9A7B8" w14:textId="77777777">
      <w:pPr>
        <w:pStyle w:val="ListBullet"/>
        <w:spacing w:after="0"/>
        <w:rPr>
          <w:b/>
          <w:bCs/>
        </w:rPr>
      </w:pPr>
      <w:r w:rsidRPr="006027B1">
        <w:rPr>
          <w:b/>
          <w:bCs/>
        </w:rPr>
        <w:t>Include any variations to R&amp;D income previously reported:</w:t>
      </w:r>
    </w:p>
    <w:p w:rsidR="00C50B07" w:rsidP="00D27624" w:rsidRDefault="00C50B07" w14:paraId="3263FA89" w14:textId="14187DF9">
      <w:pPr>
        <w:pStyle w:val="ListBullet3"/>
        <w:spacing w:after="0"/>
      </w:pPr>
      <w:r w:rsidRPr="00012B6A">
        <w:t xml:space="preserve">HEPs may count </w:t>
      </w:r>
      <w:r>
        <w:t>2024</w:t>
      </w:r>
      <w:r w:rsidRPr="00012B6A">
        <w:t xml:space="preserve"> R&amp;D income only where the HEP has made a genuine omission of that income from its previous year’s HERDC return and the HEP can verify to its auditor’s satisfaction that the income was not reported in the previous year’s return. </w:t>
      </w:r>
    </w:p>
    <w:p w:rsidRPr="00012B6A" w:rsidR="00C50B07" w:rsidP="00D27624" w:rsidRDefault="00C50B07" w14:paraId="408F388E" w14:textId="77777777">
      <w:pPr>
        <w:pStyle w:val="ListBullet3"/>
        <w:spacing w:after="0"/>
      </w:pPr>
      <w:r w:rsidRPr="00012B6A">
        <w:t>A HEP must reduce the R&amp;D income reported for a particular category where R&amp;D income received in an earlier year has been refunded.</w:t>
      </w:r>
    </w:p>
    <w:p w:rsidRPr="0023553C" w:rsidR="00C50B07" w:rsidP="00C50B07" w:rsidRDefault="00C50B07" w14:paraId="517970CF" w14:textId="77777777">
      <w:pPr>
        <w:pStyle w:val="ListBullet"/>
        <w:spacing w:after="0"/>
        <w:rPr>
          <w:b/>
          <w:bCs/>
        </w:rPr>
      </w:pPr>
      <w:r w:rsidRPr="0023553C">
        <w:rPr>
          <w:b/>
          <w:bCs/>
        </w:rPr>
        <w:t>Consistent with audited quarterly or annual CRC financial reports for reported R&amp;D income from CRCs.</w:t>
      </w:r>
    </w:p>
    <w:p w:rsidRPr="00877750" w:rsidR="00C50B07" w:rsidP="00210F56" w:rsidRDefault="00C50B07" w14:paraId="3AE98B25" w14:textId="77777777">
      <w:pPr>
        <w:pStyle w:val="Heading2"/>
        <w:rPr>
          <w:rFonts w:eastAsia="Times New Roman"/>
        </w:rPr>
      </w:pPr>
      <w:bookmarkStart w:name="_Toc147503820" w:id="138"/>
      <w:bookmarkStart w:name="_Toc222833867" w:id="139"/>
      <w:bookmarkStart w:name="_Toc523214682" w:id="140"/>
      <w:bookmarkStart w:name="_Toc491172989" w:id="141"/>
      <w:bookmarkStart w:name="_Toc489955873" w:id="142"/>
      <w:bookmarkStart w:name="_Toc489438090" w:id="143"/>
      <w:bookmarkStart w:name="_Toc482284842" w:id="144"/>
      <w:bookmarkStart w:name="_Ref440031911" w:id="145"/>
      <w:bookmarkStart w:name="_Toc27055364" w:id="146"/>
      <w:bookmarkStart w:name="_Toc81230916" w:id="147"/>
      <w:bookmarkStart w:name="_Toc92461291" w:id="148"/>
      <w:r w:rsidRPr="00877750">
        <w:rPr>
          <w:rFonts w:eastAsia="Times New Roman"/>
        </w:rPr>
        <w:t>4.2</w:t>
      </w:r>
      <w:r w:rsidRPr="00877750">
        <w:rPr>
          <w:rFonts w:eastAsia="Times New Roman"/>
        </w:rPr>
        <w:tab/>
      </w:r>
      <w:r w:rsidRPr="00877750">
        <w:rPr>
          <w:rFonts w:eastAsia="Times New Roman"/>
        </w:rPr>
        <w:t>Inclusions and exclusions</w:t>
      </w:r>
      <w:bookmarkEnd w:id="138"/>
      <w:bookmarkEnd w:id="139"/>
    </w:p>
    <w:p w:rsidRPr="00877750" w:rsidR="00C50B07" w:rsidP="009D347E" w:rsidRDefault="00C50B07" w14:paraId="2C8BCB08" w14:textId="77777777">
      <w:pPr>
        <w:keepNext/>
        <w:keepLines/>
        <w:spacing w:after="120"/>
        <w:rPr>
          <w:rFonts w:ascii="Calibri" w:hAnsi="Calibri" w:eastAsia="Calibri" w:cs="Times New Roman"/>
        </w:rPr>
      </w:pPr>
      <w:r w:rsidRPr="00877750">
        <w:rPr>
          <w:rFonts w:ascii="Calibri" w:hAnsi="Calibri" w:eastAsia="Calibri" w:cs="Times New Roman"/>
        </w:rPr>
        <w:t xml:space="preserve">The sections below provide additional guidance on the net receipted R&amp;D income that can be included or must be excluded from a HEP’s R&amp;D income return. </w:t>
      </w:r>
    </w:p>
    <w:p w:rsidRPr="00877750" w:rsidR="00C50B07" w:rsidP="009D347E" w:rsidRDefault="00C50B07" w14:paraId="09F8BB6A" w14:textId="77777777">
      <w:pPr>
        <w:keepNext/>
        <w:keepLines/>
        <w:spacing w:after="120"/>
        <w:rPr>
          <w:rFonts w:ascii="Calibri" w:hAnsi="Calibri" w:eastAsia="Calibri" w:cs="Times New Roman"/>
        </w:rPr>
      </w:pPr>
      <w:r w:rsidRPr="00877750">
        <w:rPr>
          <w:rFonts w:ascii="Calibri" w:hAnsi="Calibri" w:eastAsia="Calibri" w:cs="Times New Roman"/>
        </w:rPr>
        <w:t xml:space="preserve">These lists are not exhaustive, and it is the department’s expectation that HEPs work with their auditors in determining which R&amp;D income can be reported. Additional guidance on income involving other parties is at </w:t>
      </w:r>
      <w:r w:rsidRPr="00877750">
        <w:rPr>
          <w:rFonts w:ascii="Calibri" w:hAnsi="Calibri" w:eastAsia="Calibri" w:cs="Times New Roman"/>
          <w:b/>
        </w:rPr>
        <w:t>section 4.3</w:t>
      </w:r>
      <w:r w:rsidRPr="00AF154F">
        <w:rPr>
          <w:rFonts w:ascii="Calibri" w:hAnsi="Calibri" w:eastAsia="Calibri" w:cs="Times New Roman"/>
          <w:bCs/>
        </w:rPr>
        <w:t>.</w:t>
      </w:r>
    </w:p>
    <w:p w:rsidRPr="00877750" w:rsidR="00C50B07" w:rsidP="00210F56" w:rsidRDefault="00C50B07" w14:paraId="263A8C41" w14:textId="77777777">
      <w:pPr>
        <w:pStyle w:val="Heading3"/>
        <w:rPr>
          <w:rFonts w:eastAsia="Times New Roman"/>
        </w:rPr>
      </w:pPr>
      <w:bookmarkStart w:name="_Toc168817205" w:id="149"/>
      <w:bookmarkStart w:name="_Toc168824824" w:id="150"/>
      <w:bookmarkStart w:name="_7.2_Research_income" w:id="151"/>
      <w:bookmarkStart w:name="_Toc251924126" w:id="152"/>
      <w:bookmarkStart w:name="_Toc406668875" w:id="153"/>
      <w:bookmarkStart w:name="_Toc406669258" w:id="154"/>
      <w:bookmarkStart w:name="_Toc523214677" w:id="155"/>
      <w:bookmarkStart w:name="_Toc27055359" w:id="156"/>
      <w:bookmarkStart w:name="_Toc81230911" w:id="157"/>
      <w:bookmarkStart w:name="_Toc92461286" w:id="158"/>
      <w:bookmarkStart w:name="_Toc147503821" w:id="159"/>
      <w:bookmarkStart w:name="_Toc222833868" w:id="160"/>
      <w:bookmarkEnd w:id="149"/>
      <w:bookmarkEnd w:id="150"/>
      <w:bookmarkEnd w:id="151"/>
      <w:r w:rsidRPr="00877750">
        <w:rPr>
          <w:rFonts w:eastAsia="Times New Roman"/>
        </w:rPr>
        <w:t>4.2.1</w:t>
      </w:r>
      <w:r w:rsidRPr="00877750">
        <w:rPr>
          <w:rFonts w:eastAsia="Times New Roman"/>
        </w:rPr>
        <w:tab/>
      </w:r>
      <w:bookmarkStart w:name="_Hlk113365657" w:id="161"/>
      <w:r w:rsidRPr="00877750">
        <w:rPr>
          <w:rFonts w:eastAsia="Times New Roman"/>
        </w:rPr>
        <w:t>Net receipted income that can be included in the R&amp;D income return</w:t>
      </w:r>
      <w:bookmarkEnd w:id="152"/>
      <w:bookmarkEnd w:id="153"/>
      <w:bookmarkEnd w:id="154"/>
      <w:r w:rsidRPr="00877750">
        <w:rPr>
          <w:rFonts w:eastAsia="Times New Roman"/>
        </w:rPr>
        <w:t xml:space="preserve"> </w:t>
      </w:r>
      <w:bookmarkEnd w:id="161"/>
      <w:r w:rsidRPr="00877750">
        <w:rPr>
          <w:rFonts w:eastAsia="Times New Roman"/>
        </w:rPr>
        <w:t>comprises:</w:t>
      </w:r>
      <w:bookmarkEnd w:id="155"/>
      <w:bookmarkEnd w:id="156"/>
      <w:bookmarkEnd w:id="157"/>
      <w:bookmarkEnd w:id="158"/>
      <w:bookmarkEnd w:id="159"/>
      <w:bookmarkEnd w:id="160"/>
    </w:p>
    <w:p w:rsidRPr="00DA0D03" w:rsidR="00C50B07" w:rsidP="00C50B07" w:rsidRDefault="00C50B07" w14:paraId="2F235CAD" w14:textId="0AA56A2A">
      <w:pPr>
        <w:pStyle w:val="List2"/>
        <w:numPr>
          <w:ilvl w:val="1"/>
          <w:numId w:val="9"/>
        </w:numPr>
      </w:pPr>
      <w:r w:rsidRPr="00877750">
        <w:t xml:space="preserve">Stipends and scholarships for HDR students enrolled at the HEP, unless explicitly excluded in </w:t>
      </w:r>
      <w:r w:rsidRPr="006027B1">
        <w:rPr>
          <w:b/>
        </w:rPr>
        <w:t xml:space="preserve">section 4.2.2(n) </w:t>
      </w:r>
      <w:r w:rsidRPr="006027B1">
        <w:rPr>
          <w:bCs/>
        </w:rPr>
        <w:t xml:space="preserve">and </w:t>
      </w:r>
      <w:r w:rsidRPr="006027B1">
        <w:rPr>
          <w:b/>
        </w:rPr>
        <w:t>section 4.2.2(w)</w:t>
      </w:r>
      <w:r w:rsidRPr="00AF154F">
        <w:t>.</w:t>
      </w:r>
      <w:r w:rsidRPr="006027B1">
        <w:rPr>
          <w:b/>
          <w:bCs/>
        </w:rPr>
        <w:t xml:space="preserve"> </w:t>
      </w:r>
    </w:p>
    <w:p w:rsidRPr="00DA0D03" w:rsidR="00C50B07" w:rsidP="00D27624" w:rsidRDefault="00C50B07" w14:paraId="7AA72220" w14:textId="77777777">
      <w:pPr>
        <w:pStyle w:val="List2"/>
        <w:spacing w:after="0"/>
      </w:pPr>
      <w:r>
        <w:t xml:space="preserve">Non-Commonwealth Government </w:t>
      </w:r>
      <w:r w:rsidRPr="008B3F79">
        <w:t>top-ups to</w:t>
      </w:r>
      <w:r>
        <w:t>:</w:t>
      </w:r>
      <w:r w:rsidRPr="008B3F79">
        <w:t xml:space="preserve"> </w:t>
      </w:r>
    </w:p>
    <w:p w:rsidRPr="00DA0D03" w:rsidR="00C50B07" w:rsidP="00D27624" w:rsidRDefault="00C50B07" w14:paraId="78D51830" w14:textId="77777777">
      <w:pPr>
        <w:pStyle w:val="List3"/>
      </w:pPr>
      <w:r w:rsidRPr="008B3F79">
        <w:t xml:space="preserve">Commonwealth Government grants </w:t>
      </w:r>
    </w:p>
    <w:p w:rsidRPr="00877750" w:rsidR="00C50B07" w:rsidP="00D27624" w:rsidRDefault="00C50B07" w14:paraId="220DDF4D" w14:textId="77777777">
      <w:pPr>
        <w:pStyle w:val="List3"/>
        <w:spacing w:after="0"/>
      </w:pPr>
      <w:r>
        <w:t xml:space="preserve">Funding </w:t>
      </w:r>
      <w:r w:rsidRPr="008B3F79">
        <w:t xml:space="preserve">listed at </w:t>
      </w:r>
      <w:r w:rsidRPr="002B3093">
        <w:rPr>
          <w:b/>
          <w:bCs/>
        </w:rPr>
        <w:t>4.2.2(w)</w:t>
      </w:r>
      <w:r w:rsidRPr="00AF154F">
        <w:t>.</w:t>
      </w:r>
      <w:r>
        <w:t xml:space="preserve"> </w:t>
      </w:r>
    </w:p>
    <w:p w:rsidRPr="00877750" w:rsidR="00C50B07" w:rsidP="00C50B07" w:rsidRDefault="00C50B07" w14:paraId="093C5C2D" w14:textId="77777777">
      <w:pPr>
        <w:pStyle w:val="List2"/>
        <w:numPr>
          <w:ilvl w:val="1"/>
          <w:numId w:val="9"/>
        </w:numPr>
      </w:pPr>
      <w:r w:rsidRPr="00877750">
        <w:t>Income derived from the provision of R&amp;D services (exclusive of GST).</w:t>
      </w:r>
    </w:p>
    <w:p w:rsidRPr="00877750" w:rsidR="00C50B07" w:rsidP="00C50B07" w:rsidRDefault="00C50B07" w14:paraId="6BA8DD99" w14:textId="77777777">
      <w:pPr>
        <w:pStyle w:val="List2"/>
        <w:numPr>
          <w:ilvl w:val="1"/>
          <w:numId w:val="9"/>
        </w:numPr>
      </w:pPr>
      <w:r w:rsidRPr="00877750">
        <w:t>Travel grants where funds are provided specifically for the purpose of travel and used to enable access to a program of R&amp;D. Researchers using the funds are expected to be active participants in the R&amp;D program, rather than observers or visitors.</w:t>
      </w:r>
    </w:p>
    <w:p w:rsidRPr="00877750" w:rsidR="00C50B07" w:rsidP="00C50B07" w:rsidRDefault="00C50B07" w14:paraId="484A19B6" w14:textId="77777777">
      <w:pPr>
        <w:pStyle w:val="List2"/>
        <w:numPr>
          <w:ilvl w:val="1"/>
          <w:numId w:val="9"/>
        </w:numPr>
      </w:pPr>
      <w:r w:rsidRPr="00877750">
        <w:t>Income derived from the investment of, and interest earned from, donations, bequests, and endowments available for the expenditure on R&amp;D.</w:t>
      </w:r>
      <w:bookmarkStart w:name="OLE_LINK14" w:id="162"/>
      <w:bookmarkStart w:name="OLE_LINK13" w:id="163"/>
    </w:p>
    <w:p w:rsidRPr="00877750" w:rsidR="00C50B07" w:rsidP="00D27624" w:rsidRDefault="00C50B07" w14:paraId="5DC940F1" w14:textId="77777777">
      <w:pPr>
        <w:pStyle w:val="List2"/>
        <w:spacing w:after="0"/>
      </w:pPr>
      <w:r w:rsidRPr="00877750">
        <w:t xml:space="preserve">Research infrastructure income (unless excluded in </w:t>
      </w:r>
      <w:r w:rsidRPr="002B3093">
        <w:rPr>
          <w:b/>
          <w:bCs/>
        </w:rPr>
        <w:t>section 4.2.2(g)</w:t>
      </w:r>
      <w:r w:rsidRPr="00877750">
        <w:t xml:space="preserve"> and </w:t>
      </w:r>
      <w:r w:rsidRPr="002B3093">
        <w:rPr>
          <w:b/>
          <w:bCs/>
        </w:rPr>
        <w:t>4.2.2(x)</w:t>
      </w:r>
      <w:r w:rsidRPr="00C069CD">
        <w:t>)</w:t>
      </w:r>
      <w:r w:rsidRPr="00877750">
        <w:t xml:space="preserve"> including:</w:t>
      </w:r>
    </w:p>
    <w:p w:rsidRPr="00DA0D03" w:rsidR="00C50B07" w:rsidP="00D27624" w:rsidRDefault="00C50B07" w14:paraId="0CCD57FD" w14:textId="77777777">
      <w:pPr>
        <w:pStyle w:val="List3"/>
      </w:pPr>
      <w:r w:rsidRPr="00DA0D03">
        <w:t xml:space="preserve">funding for equipment purchase, installation, maintenance, hire and lease </w:t>
      </w:r>
    </w:p>
    <w:p w:rsidRPr="00DA0D03" w:rsidR="00C50B07" w:rsidP="00D27624" w:rsidRDefault="00C50B07" w14:paraId="3CB530BE" w14:textId="06E68349">
      <w:pPr>
        <w:pStyle w:val="List3"/>
        <w:spacing w:after="0"/>
      </w:pPr>
      <w:r w:rsidRPr="00DA0D03">
        <w:t xml:space="preserve">non-capital aspects </w:t>
      </w:r>
      <w:r w:rsidRPr="00DA0D03" w:rsidDel="00AD4A01">
        <w:t xml:space="preserve">of </w:t>
      </w:r>
      <w:r w:rsidRPr="00DA0D03">
        <w:t xml:space="preserve">facilities, for example laboratories, libraries, computing centres, animal houses, herbaria, and experimental farms </w:t>
      </w:r>
    </w:p>
    <w:p w:rsidRPr="00DA0D03" w:rsidR="00C50B07" w:rsidP="00D27624" w:rsidRDefault="00C50B07" w14:paraId="0E1BCCD5" w14:textId="77777777">
      <w:pPr>
        <w:pStyle w:val="List3"/>
        <w:spacing w:after="0"/>
      </w:pPr>
      <w:r w:rsidRPr="00DA0D03">
        <w:t>grants for specific and specialised equipment used for the conduct of R&amp;D.</w:t>
      </w:r>
    </w:p>
    <w:bookmarkEnd w:id="162"/>
    <w:bookmarkEnd w:id="163"/>
    <w:p w:rsidRPr="00877750" w:rsidR="00C50B07" w:rsidP="00C50B07" w:rsidRDefault="00C50B07" w14:paraId="5B8DB8C1" w14:textId="77777777">
      <w:pPr>
        <w:pStyle w:val="List2"/>
        <w:numPr>
          <w:ilvl w:val="1"/>
          <w:numId w:val="9"/>
        </w:numPr>
      </w:pPr>
      <w:r w:rsidRPr="00877750">
        <w:t>Income from non-Australian HEPs provided specifically for the conduct of R&amp;D.</w:t>
      </w:r>
    </w:p>
    <w:p w:rsidRPr="00877750" w:rsidR="00C50B07" w:rsidP="550B070E" w:rsidRDefault="00C50B07" w14:paraId="66F5B8D9" w14:textId="34E51077">
      <w:pPr>
        <w:pStyle w:val="List2"/>
      </w:pPr>
      <w:r>
        <w:t>Income received in support of the R&amp;D activities and training of HDR students enrolled at the HEP. This includes funds providing the cost of a student’s HDR fee-paying place</w:t>
      </w:r>
      <w:r w:rsidR="615CDE9E">
        <w:t xml:space="preserve"> (unless excluded in </w:t>
      </w:r>
      <w:r w:rsidRPr="550B070E" w:rsidR="615CDE9E">
        <w:rPr>
          <w:b/>
          <w:bCs/>
        </w:rPr>
        <w:t>section 4.2.2(p)</w:t>
      </w:r>
      <w:r w:rsidR="615CDE9E">
        <w:t xml:space="preserve">, </w:t>
      </w:r>
      <w:r w:rsidRPr="550B070E" w:rsidR="615CDE9E">
        <w:rPr>
          <w:b/>
          <w:bCs/>
        </w:rPr>
        <w:t>4.2.2(v)(i)</w:t>
      </w:r>
      <w:r w:rsidR="615CDE9E">
        <w:t xml:space="preserve">, </w:t>
      </w:r>
      <w:r w:rsidRPr="550B070E" w:rsidR="615CDE9E">
        <w:rPr>
          <w:b/>
          <w:bCs/>
        </w:rPr>
        <w:t>4.2.2(v)(iv)</w:t>
      </w:r>
      <w:r w:rsidR="615CDE9E">
        <w:t xml:space="preserve"> and </w:t>
      </w:r>
      <w:r w:rsidRPr="550B070E" w:rsidR="615CDE9E">
        <w:rPr>
          <w:b/>
          <w:bCs/>
        </w:rPr>
        <w:t>4.2.2(w)(v)</w:t>
      </w:r>
      <w:r w:rsidR="615CDE9E">
        <w:t>)</w:t>
      </w:r>
      <w:r>
        <w:t xml:space="preserve">. </w:t>
      </w:r>
    </w:p>
    <w:p w:rsidRPr="00877750" w:rsidR="00C50B07" w:rsidP="00C50B07" w:rsidRDefault="00C50B07" w14:paraId="7BC15CE2" w14:textId="77777777">
      <w:pPr>
        <w:pStyle w:val="List2"/>
        <w:numPr>
          <w:ilvl w:val="1"/>
          <w:numId w:val="9"/>
        </w:numPr>
      </w:pPr>
      <w:r w:rsidRPr="00877750">
        <w:t>When a HEP receives income (such as a general or untied grant or a multi-purpose industry contract) that provides for activities other than R&amp;D, the HEP may report the proportion of that grant that can be clearly and transparently attributed to the direct costs of conducting R&amp;D.</w:t>
      </w:r>
    </w:p>
    <w:p w:rsidRPr="00877750" w:rsidR="00C50B07" w:rsidP="00210F56" w:rsidRDefault="00C50B07" w14:paraId="44153433" w14:textId="60A815DE">
      <w:pPr>
        <w:pStyle w:val="Heading3"/>
        <w:rPr>
          <w:rFonts w:eastAsia="Times New Roman"/>
        </w:rPr>
      </w:pPr>
      <w:bookmarkStart w:name="_7.3_Research_income" w:id="164"/>
      <w:bookmarkStart w:name="_Toc168817207" w:id="165"/>
      <w:bookmarkStart w:name="_Toc168824826" w:id="166"/>
      <w:bookmarkStart w:name="_Research_income_which" w:id="167"/>
      <w:bookmarkStart w:name="_Toc96678054" w:id="168"/>
      <w:bookmarkStart w:name="_Toc112733797" w:id="169"/>
      <w:bookmarkStart w:name="_Toc112734007" w:id="170"/>
      <w:bookmarkStart w:name="_Ref114289615" w:id="171"/>
      <w:bookmarkStart w:name="_Ref114289632" w:id="172"/>
      <w:bookmarkStart w:name="_Toc116182984" w:id="173"/>
      <w:bookmarkStart w:name="_Ref216077597" w:id="174"/>
      <w:bookmarkStart w:name="_Toc251924127" w:id="175"/>
      <w:bookmarkStart w:name="OLE_LINK23" w:id="176"/>
      <w:bookmarkStart w:name="OLE_LINK24" w:id="177"/>
      <w:bookmarkStart w:name="_Toc406668876" w:id="178"/>
      <w:bookmarkStart w:name="_Toc406669259" w:id="179"/>
      <w:bookmarkStart w:name="_Toc523214678" w:id="180"/>
      <w:bookmarkStart w:name="_Toc27055360" w:id="181"/>
      <w:bookmarkStart w:name="_Toc81230912" w:id="182"/>
      <w:bookmarkStart w:name="_Toc92461287" w:id="183"/>
      <w:bookmarkStart w:name="_Toc147503822" w:id="184"/>
      <w:bookmarkStart w:name="_Toc222833869" w:id="185"/>
      <w:bookmarkEnd w:id="164"/>
      <w:bookmarkEnd w:id="165"/>
      <w:bookmarkEnd w:id="166"/>
      <w:bookmarkEnd w:id="167"/>
      <w:r w:rsidRPr="00877750">
        <w:rPr>
          <w:rFonts w:eastAsia="Times New Roman"/>
        </w:rPr>
        <w:t>4.2.2</w:t>
      </w:r>
      <w:r w:rsidRPr="00877750">
        <w:rPr>
          <w:rFonts w:eastAsia="Times New Roman"/>
        </w:rPr>
        <w:tab/>
      </w:r>
      <w:r w:rsidRPr="00877750">
        <w:rPr>
          <w:rFonts w:eastAsia="Times New Roman"/>
        </w:rPr>
        <w:t>R</w:t>
      </w:r>
      <w:bookmarkStart w:name="_Hlk113365802" w:id="186"/>
      <w:r w:rsidRPr="00877750">
        <w:rPr>
          <w:rFonts w:eastAsia="Times New Roman"/>
        </w:rPr>
        <w:t xml:space="preserve">&amp;D income that is excluded </w:t>
      </w:r>
      <w:r>
        <w:rPr>
          <w:rFonts w:eastAsia="Times New Roman"/>
        </w:rPr>
        <w:t>from</w:t>
      </w:r>
      <w:r w:rsidRPr="00877750">
        <w:rPr>
          <w:rFonts w:eastAsia="Times New Roman"/>
        </w:rPr>
        <w:t xml:space="preserve"> the R&amp;D income return</w:t>
      </w:r>
      <w:bookmarkEnd w:id="168"/>
      <w:bookmarkEnd w:id="169"/>
      <w:bookmarkEnd w:id="170"/>
      <w:bookmarkEnd w:id="171"/>
      <w:bookmarkEnd w:id="172"/>
      <w:bookmarkEnd w:id="173"/>
      <w:bookmarkEnd w:id="174"/>
      <w:bookmarkEnd w:id="175"/>
      <w:bookmarkEnd w:id="176"/>
      <w:bookmarkEnd w:id="177"/>
      <w:bookmarkEnd w:id="178"/>
      <w:bookmarkEnd w:id="179"/>
      <w:r w:rsidRPr="00877750">
        <w:rPr>
          <w:rFonts w:eastAsia="Times New Roman"/>
        </w:rPr>
        <w:t xml:space="preserve"> </w:t>
      </w:r>
      <w:bookmarkEnd w:id="186"/>
      <w:r w:rsidRPr="00877750">
        <w:rPr>
          <w:rFonts w:eastAsia="Times New Roman"/>
        </w:rPr>
        <w:t>comprises:</w:t>
      </w:r>
      <w:bookmarkEnd w:id="180"/>
      <w:bookmarkEnd w:id="181"/>
      <w:bookmarkEnd w:id="182"/>
      <w:bookmarkEnd w:id="183"/>
      <w:bookmarkEnd w:id="184"/>
      <w:bookmarkEnd w:id="185"/>
    </w:p>
    <w:p w:rsidRPr="00877750" w:rsidR="00C50B07" w:rsidP="00C50B07" w:rsidRDefault="00C50B07" w14:paraId="7C806A28" w14:textId="77777777">
      <w:pPr>
        <w:pStyle w:val="List2"/>
        <w:numPr>
          <w:ilvl w:val="1"/>
          <w:numId w:val="10"/>
        </w:numPr>
      </w:pPr>
      <w:r w:rsidRPr="00877750">
        <w:t>Any income above the amount of net receipted income.</w:t>
      </w:r>
    </w:p>
    <w:p w:rsidRPr="00877750" w:rsidR="00C50B07" w:rsidP="00C50B07" w:rsidRDefault="00C50B07" w14:paraId="6575745E" w14:textId="77777777">
      <w:pPr>
        <w:pStyle w:val="List2"/>
        <w:numPr>
          <w:ilvl w:val="1"/>
          <w:numId w:val="10"/>
        </w:numPr>
      </w:pPr>
      <w:r w:rsidRPr="00877750">
        <w:t>GST amounts.</w:t>
      </w:r>
    </w:p>
    <w:p w:rsidRPr="00877750" w:rsidR="00C50B07" w:rsidP="00C50B07" w:rsidRDefault="00C50B07" w14:paraId="65FE3375" w14:textId="77777777">
      <w:pPr>
        <w:pStyle w:val="List2"/>
        <w:numPr>
          <w:ilvl w:val="1"/>
          <w:numId w:val="10"/>
        </w:numPr>
      </w:pPr>
      <w:r w:rsidRPr="00877750">
        <w:t>Any interest income accruing to R&amp;D grants, contracts and consultancies.</w:t>
      </w:r>
    </w:p>
    <w:p w:rsidRPr="00877750" w:rsidR="00C50B07" w:rsidP="00C50B07" w:rsidRDefault="00C50B07" w14:paraId="6408EC43" w14:textId="77777777">
      <w:pPr>
        <w:pStyle w:val="List2"/>
        <w:numPr>
          <w:ilvl w:val="1"/>
          <w:numId w:val="10"/>
        </w:numPr>
      </w:pPr>
      <w:r w:rsidRPr="00877750">
        <w:t>Any interest income received from donations, bequests and endowments unless expressly for the purposes of R&amp;D.</w:t>
      </w:r>
    </w:p>
    <w:p w:rsidRPr="00877750" w:rsidR="00C50B07" w:rsidP="00C50B07" w:rsidRDefault="00C50B07" w14:paraId="455CC199" w14:textId="2B5BDFDC">
      <w:pPr>
        <w:pStyle w:val="List2"/>
        <w:numPr>
          <w:ilvl w:val="1"/>
          <w:numId w:val="10"/>
        </w:numPr>
      </w:pPr>
      <w:r w:rsidRPr="00877750">
        <w:t>Any in</w:t>
      </w:r>
      <w:r>
        <w:t>-</w:t>
      </w:r>
      <w:r w:rsidRPr="00877750">
        <w:t>kind contributions to grants, contracts and other enforceable agreements.</w:t>
      </w:r>
    </w:p>
    <w:p w:rsidRPr="00877750" w:rsidR="00C50B07" w:rsidP="00C50B07" w:rsidRDefault="00C50B07" w14:paraId="127BDCB5" w14:textId="77777777">
      <w:pPr>
        <w:pStyle w:val="List2"/>
        <w:numPr>
          <w:ilvl w:val="1"/>
          <w:numId w:val="10"/>
        </w:numPr>
      </w:pPr>
      <w:r w:rsidRPr="00877750">
        <w:t>Cash contributions made to a HEP on condition that the HEP use these contributions to purchase goods or services from a CRC or other funding provider; such arrangements are regarded as in-kind contributions.</w:t>
      </w:r>
    </w:p>
    <w:p w:rsidRPr="00877750" w:rsidR="00C50B07" w:rsidP="00C50B07" w:rsidRDefault="00C50B07" w14:paraId="34CEC23A" w14:textId="77777777">
      <w:pPr>
        <w:pStyle w:val="List2"/>
        <w:numPr>
          <w:ilvl w:val="1"/>
          <w:numId w:val="10"/>
        </w:numPr>
      </w:pPr>
      <w:r w:rsidRPr="00877750">
        <w:t>Capital grants</w:t>
      </w:r>
      <w:r w:rsidRPr="006027B1">
        <w:rPr>
          <w:rFonts w:cstheme="minorHAnsi"/>
        </w:rPr>
        <w:t>.</w:t>
      </w:r>
      <w:r w:rsidRPr="007F6D54">
        <w:rPr>
          <w:rFonts w:cstheme="minorHAnsi"/>
          <w:vertAlign w:val="superscript"/>
        </w:rPr>
        <w:footnoteReference w:id="15"/>
      </w:r>
    </w:p>
    <w:p w:rsidRPr="00A90935" w:rsidR="00C50B07" w:rsidP="00C50B07" w:rsidRDefault="00C50B07" w14:paraId="7AFE06EE" w14:textId="77777777">
      <w:pPr>
        <w:pStyle w:val="List2"/>
        <w:numPr>
          <w:ilvl w:val="1"/>
          <w:numId w:val="10"/>
        </w:numPr>
      </w:pPr>
      <w:r w:rsidRPr="00877750">
        <w:t xml:space="preserve">Any R&amp;D income received by the HEP from a subsidiary or any independent HEP operations that do not meet the definition of a subsidiary provided </w:t>
      </w:r>
      <w:r w:rsidRPr="00A90935">
        <w:t xml:space="preserve">at </w:t>
      </w:r>
      <w:r w:rsidRPr="00754BC7">
        <w:rPr>
          <w:b/>
          <w:bCs/>
        </w:rPr>
        <w:t>section</w:t>
      </w:r>
      <w:r>
        <w:t xml:space="preserve"> </w:t>
      </w:r>
      <w:r w:rsidRPr="006027B1">
        <w:rPr>
          <w:b/>
        </w:rPr>
        <w:t>4.3.1</w:t>
      </w:r>
      <w:r w:rsidRPr="006027B1">
        <w:rPr>
          <w:bCs/>
        </w:rPr>
        <w:t>.</w:t>
      </w:r>
    </w:p>
    <w:p w:rsidRPr="00877750" w:rsidR="00C50B07" w:rsidP="00C50B07" w:rsidRDefault="00C50B07" w14:paraId="7E5CCCD2" w14:textId="77777777">
      <w:pPr>
        <w:pStyle w:val="List2"/>
        <w:numPr>
          <w:ilvl w:val="1"/>
          <w:numId w:val="10"/>
        </w:numPr>
      </w:pPr>
      <w:r w:rsidRPr="00877750">
        <w:t>Any R&amp;D income received by the HEP from any other Australian HEP or its subsidiaries except in respect of shared R&amp;D income (</w:t>
      </w:r>
      <w:bookmarkStart w:name="OLE_LINK18" w:id="187"/>
      <w:bookmarkStart w:name="OLE_LINK17" w:id="188"/>
      <w:r w:rsidRPr="00877750">
        <w:t xml:space="preserve">in accordance with </w:t>
      </w:r>
      <w:bookmarkEnd w:id="187"/>
      <w:bookmarkEnd w:id="188"/>
      <w:r w:rsidRPr="006027B1">
        <w:rPr>
          <w:b/>
          <w:bCs/>
        </w:rPr>
        <w:t>section 4.3</w:t>
      </w:r>
      <w:r w:rsidRPr="00877750">
        <w:t xml:space="preserve">) or transfers (in accordance with </w:t>
      </w:r>
      <w:r w:rsidRPr="006027B1">
        <w:rPr>
          <w:b/>
          <w:bCs/>
        </w:rPr>
        <w:t>section 4.4</w:t>
      </w:r>
      <w:r w:rsidRPr="00877750">
        <w:t>).</w:t>
      </w:r>
    </w:p>
    <w:p w:rsidRPr="00877750" w:rsidR="00C50B07" w:rsidP="00C50B07" w:rsidRDefault="00C50B07" w14:paraId="492A97F0" w14:textId="77777777">
      <w:pPr>
        <w:pStyle w:val="List2"/>
        <w:numPr>
          <w:ilvl w:val="1"/>
          <w:numId w:val="10"/>
        </w:numPr>
      </w:pPr>
      <w:r w:rsidRPr="00877750">
        <w:t>Any income received by a HEP or its subsidiaries from the sale of non-financial assets, even if that income is to be expended on R&amp;D at the HEP’s discretion.</w:t>
      </w:r>
    </w:p>
    <w:p w:rsidRPr="00877750" w:rsidR="00C50B07" w:rsidP="00C50B07" w:rsidRDefault="00C50B07" w14:paraId="0213B193" w14:textId="77777777">
      <w:pPr>
        <w:pStyle w:val="List2"/>
        <w:numPr>
          <w:ilvl w:val="1"/>
          <w:numId w:val="10"/>
        </w:numPr>
      </w:pPr>
      <w:r w:rsidRPr="00877750">
        <w:t>Any income received by a HEP or its subsidiaries for the rental and use of its facilities and accommodation, even if this is related to the conduct of R&amp;D.</w:t>
      </w:r>
    </w:p>
    <w:p w:rsidRPr="00877750" w:rsidR="00C50B07" w:rsidP="00C50B07" w:rsidRDefault="00C50B07" w14:paraId="489010A5" w14:textId="77777777">
      <w:pPr>
        <w:pStyle w:val="List2"/>
        <w:numPr>
          <w:ilvl w:val="1"/>
          <w:numId w:val="10"/>
        </w:numPr>
      </w:pPr>
      <w:r w:rsidRPr="00877750">
        <w:t xml:space="preserve">Any third-party income except for those instances specified in </w:t>
      </w:r>
      <w:r w:rsidRPr="006027B1">
        <w:rPr>
          <w:b/>
        </w:rPr>
        <w:t>section 4.3</w:t>
      </w:r>
      <w:r w:rsidRPr="006027B1">
        <w:rPr>
          <w:bCs/>
        </w:rPr>
        <w:t>.</w:t>
      </w:r>
    </w:p>
    <w:p w:rsidRPr="00877750" w:rsidR="00C50B07" w:rsidP="00C50B07" w:rsidRDefault="00C50B07" w14:paraId="59DB6548" w14:textId="77777777">
      <w:pPr>
        <w:pStyle w:val="List2"/>
        <w:numPr>
          <w:ilvl w:val="1"/>
          <w:numId w:val="10"/>
        </w:numPr>
      </w:pPr>
      <w:bookmarkStart w:name="OLE_LINK28" w:id="189"/>
      <w:bookmarkStart w:name="OLE_LINK27" w:id="190"/>
      <w:r w:rsidRPr="00877750">
        <w:t>Funds provided to the personal accounts of HEP staff, or funds used by a CRC to purchase goods or services for use by the HEP.</w:t>
      </w:r>
    </w:p>
    <w:p w:rsidRPr="00877750" w:rsidR="00C50B07" w:rsidP="00C50B07" w:rsidRDefault="00C50B07" w14:paraId="50C955BE" w14:textId="77777777">
      <w:pPr>
        <w:pStyle w:val="List2"/>
        <w:numPr>
          <w:ilvl w:val="1"/>
          <w:numId w:val="10"/>
        </w:numPr>
      </w:pPr>
      <w:r w:rsidRPr="00877750">
        <w:t>Any scholarships or grants that are provided by the HEP for its own HDR students.</w:t>
      </w:r>
    </w:p>
    <w:p w:rsidRPr="00877750" w:rsidR="00C50B07" w:rsidP="00C50B07" w:rsidRDefault="00C50B07" w14:paraId="56EB4B04" w14:textId="77777777">
      <w:pPr>
        <w:pStyle w:val="List2"/>
        <w:numPr>
          <w:ilvl w:val="1"/>
          <w:numId w:val="10"/>
        </w:numPr>
      </w:pPr>
      <w:r w:rsidRPr="00877750">
        <w:t>Income received by students or by HEPs on behalf of students, for the R&amp;D component of a degree that is not a masters by research or doctorate by research, including externally funded scholarships or stipends.</w:t>
      </w:r>
    </w:p>
    <w:p w:rsidRPr="00877750" w:rsidR="00C50B07" w:rsidP="550B070E" w:rsidRDefault="00C50B07" w14:paraId="1BA9AEFF" w14:textId="6E47536F">
      <w:pPr>
        <w:pStyle w:val="List2"/>
      </w:pPr>
      <w:r>
        <w:t>HDR student fee income</w:t>
      </w:r>
      <w:r w:rsidR="00685A96">
        <w:t xml:space="preserve"> paid by the student</w:t>
      </w:r>
      <w:r>
        <w:t>.</w:t>
      </w:r>
    </w:p>
    <w:p w:rsidRPr="00877750" w:rsidR="00C50B07" w:rsidP="00C50B07" w:rsidRDefault="00C50B07" w14:paraId="57AB3E9B" w14:textId="77777777">
      <w:pPr>
        <w:pStyle w:val="List2"/>
        <w:numPr>
          <w:ilvl w:val="1"/>
          <w:numId w:val="10"/>
        </w:numPr>
      </w:pPr>
      <w:bookmarkStart w:name="OLE_LINK9" w:id="191"/>
      <w:bookmarkStart w:name="OLE_LINK6" w:id="192"/>
      <w:bookmarkEnd w:id="189"/>
      <w:bookmarkEnd w:id="190"/>
      <w:r w:rsidRPr="00877750">
        <w:t>Income received from a multi-purpose contract or other enforceable agreement that cannot be clearly attributed to the direct costs of conducting R&amp;D, even if the income was provided for R&amp;D</w:t>
      </w:r>
      <w:bookmarkEnd w:id="191"/>
      <w:bookmarkEnd w:id="192"/>
      <w:r w:rsidRPr="00877750">
        <w:t>.</w:t>
      </w:r>
    </w:p>
    <w:p w:rsidRPr="00877750" w:rsidR="00C50B07" w:rsidP="00C50B07" w:rsidRDefault="00C50B07" w14:paraId="5F8DB592" w14:textId="77777777">
      <w:pPr>
        <w:pStyle w:val="List2"/>
        <w:numPr>
          <w:ilvl w:val="1"/>
          <w:numId w:val="10"/>
        </w:numPr>
      </w:pPr>
      <w:r w:rsidRPr="00877750">
        <w:t>Income received from a government grant, contract or other enforceable agreement for a specific purpose other than R&amp;D (such as teaching), even if a proportion of that income is expended on R&amp;D at the HEP’s discretion.</w:t>
      </w:r>
    </w:p>
    <w:p w:rsidRPr="00A90935" w:rsidR="00C50B07" w:rsidP="00C50B07" w:rsidRDefault="00C50B07" w14:paraId="5A7B8624" w14:textId="77777777">
      <w:pPr>
        <w:pStyle w:val="List2"/>
        <w:numPr>
          <w:ilvl w:val="1"/>
          <w:numId w:val="10"/>
        </w:numPr>
      </w:pPr>
      <w:r w:rsidRPr="00877750">
        <w:t xml:space="preserve">Income </w:t>
      </w:r>
      <w:r w:rsidRPr="00A90935">
        <w:t>provided specifically for the purpose of hosting, organising or attending a conference or workshop.</w:t>
      </w:r>
    </w:p>
    <w:p w:rsidRPr="00A90935" w:rsidR="00C50B07" w:rsidP="00C50B07" w:rsidRDefault="00C50B07" w14:paraId="4FD606B1" w14:textId="77777777">
      <w:pPr>
        <w:pStyle w:val="List2"/>
        <w:numPr>
          <w:ilvl w:val="1"/>
          <w:numId w:val="10"/>
        </w:numPr>
      </w:pPr>
      <w:r w:rsidRPr="00A90935">
        <w:t>Income provided specifically for the purpose of producing publications or teaching preparation (rather than conducting R&amp;D).</w:t>
      </w:r>
    </w:p>
    <w:p w:rsidRPr="00A90935" w:rsidR="00C50B07" w:rsidP="00C50B07" w:rsidRDefault="00C50B07" w14:paraId="60CB988E" w14:textId="77777777">
      <w:pPr>
        <w:pStyle w:val="List2"/>
        <w:numPr>
          <w:ilvl w:val="1"/>
          <w:numId w:val="10"/>
        </w:numPr>
      </w:pPr>
      <w:r w:rsidRPr="00A90935">
        <w:t>Any income received by the HEP for undertaking any type of R&amp;D peer review activity.</w:t>
      </w:r>
    </w:p>
    <w:p w:rsidRPr="00A90935" w:rsidR="00C50B07" w:rsidP="00D27624" w:rsidRDefault="00C50B07" w14:paraId="7DA85AC5" w14:textId="77777777">
      <w:pPr>
        <w:pStyle w:val="List2"/>
        <w:spacing w:after="0"/>
      </w:pPr>
      <w:r>
        <w:t>G</w:t>
      </w:r>
      <w:r w:rsidRPr="00A90935">
        <w:t xml:space="preserve">rants or funding from the </w:t>
      </w:r>
      <w:r>
        <w:t xml:space="preserve">department’s </w:t>
      </w:r>
      <w:r w:rsidRPr="00A90935">
        <w:t>following programs:</w:t>
      </w:r>
    </w:p>
    <w:p w:rsidRPr="00A90935" w:rsidR="00C50B07" w:rsidP="00D27624" w:rsidRDefault="00C50B07" w14:paraId="3EAF39F1" w14:textId="77777777">
      <w:pPr>
        <w:pStyle w:val="List3"/>
        <w:spacing w:after="0"/>
      </w:pPr>
      <w:r w:rsidRPr="00A90935">
        <w:t>Commonwealth Grant Scheme (Commonwealth supported places)</w:t>
      </w:r>
    </w:p>
    <w:p w:rsidR="00C50B07" w:rsidP="00D27624" w:rsidRDefault="00C50B07" w14:paraId="634EAE7C" w14:textId="77777777">
      <w:pPr>
        <w:pStyle w:val="List3"/>
        <w:spacing w:after="0"/>
      </w:pPr>
      <w:r w:rsidRPr="00A90935">
        <w:t xml:space="preserve">National Priorities and Industry Linkage </w:t>
      </w:r>
      <w:r>
        <w:t>F</w:t>
      </w:r>
      <w:r w:rsidRPr="00A90935">
        <w:t>und</w:t>
      </w:r>
    </w:p>
    <w:p w:rsidR="00C50B07" w:rsidP="00D27624" w:rsidRDefault="00C50B07" w14:paraId="5C88C661" w14:textId="77777777">
      <w:pPr>
        <w:pStyle w:val="List3"/>
        <w:spacing w:after="0"/>
      </w:pPr>
      <w:r w:rsidRPr="00A90935">
        <w:t>Regional Research Collaboration Program</w:t>
      </w:r>
    </w:p>
    <w:p w:rsidR="00C50B07" w:rsidP="00D27624" w:rsidRDefault="00C50B07" w14:paraId="062F5055" w14:textId="77777777">
      <w:pPr>
        <w:pStyle w:val="List3"/>
        <w:spacing w:after="0"/>
      </w:pPr>
      <w:r>
        <w:t>RSP</w:t>
      </w:r>
    </w:p>
    <w:p w:rsidRPr="000A72E3" w:rsidR="00C50B07" w:rsidP="00D27624" w:rsidRDefault="00C50B07" w14:paraId="60297F3B" w14:textId="77777777">
      <w:pPr>
        <w:pStyle w:val="List3"/>
        <w:spacing w:after="0"/>
      </w:pPr>
      <w:r w:rsidRPr="000A72E3">
        <w:t>Strategic University Reform Fund</w:t>
      </w:r>
      <w:r>
        <w:t>.</w:t>
      </w:r>
    </w:p>
    <w:p w:rsidRPr="00A90935" w:rsidR="00C50B07" w:rsidP="00D27624" w:rsidRDefault="00C50B07" w14:paraId="3302D6AC" w14:textId="77777777">
      <w:pPr>
        <w:pStyle w:val="List2"/>
        <w:spacing w:after="0"/>
      </w:pPr>
      <w:r w:rsidRPr="00A90935">
        <w:t xml:space="preserve">Commonwealth Government grants or funding that provide stipend or scholarship support for HDR students </w:t>
      </w:r>
      <w:r>
        <w:t xml:space="preserve">from </w:t>
      </w:r>
      <w:r w:rsidRPr="00A90935">
        <w:t>the following programs:</w:t>
      </w:r>
    </w:p>
    <w:p w:rsidRPr="00A90935" w:rsidR="00C50B07" w:rsidP="00D27624" w:rsidRDefault="00C50B07" w14:paraId="0EF24EF7" w14:textId="77777777">
      <w:pPr>
        <w:pStyle w:val="List3"/>
        <w:spacing w:after="0"/>
      </w:pPr>
      <w:r w:rsidRPr="00A90935">
        <w:t>Commonwealth Scholarships Program for South Australia</w:t>
      </w:r>
    </w:p>
    <w:p w:rsidRPr="00A90935" w:rsidR="00C50B07" w:rsidP="00D27624" w:rsidRDefault="00C50B07" w14:paraId="00CC2257" w14:textId="77777777">
      <w:pPr>
        <w:pStyle w:val="List3"/>
        <w:spacing w:after="0"/>
      </w:pPr>
      <w:r w:rsidRPr="00A90935">
        <w:t>Destination Australia scholarships</w:t>
      </w:r>
    </w:p>
    <w:p w:rsidRPr="00A90935" w:rsidR="00C50B07" w:rsidP="00D27624" w:rsidRDefault="00C50B07" w14:paraId="324E1775" w14:textId="77777777">
      <w:pPr>
        <w:pStyle w:val="List3"/>
        <w:spacing w:after="0"/>
      </w:pPr>
      <w:r w:rsidRPr="00A90935">
        <w:t>Endeavour scholarships, fellowships and grants</w:t>
      </w:r>
    </w:p>
    <w:p w:rsidRPr="00A90935" w:rsidR="00C50B07" w:rsidP="00D27624" w:rsidRDefault="00C50B07" w14:paraId="78E6B1A7" w14:textId="77777777">
      <w:pPr>
        <w:pStyle w:val="List3"/>
        <w:spacing w:after="0"/>
      </w:pPr>
      <w:r w:rsidRPr="00A90935">
        <w:t xml:space="preserve">National Industry PhD </w:t>
      </w:r>
      <w:r>
        <w:t>P</w:t>
      </w:r>
      <w:r w:rsidRPr="00A90935">
        <w:t>rogram</w:t>
      </w:r>
    </w:p>
    <w:p w:rsidRPr="00A90935" w:rsidR="00C50B07" w:rsidP="00D27624" w:rsidRDefault="00D50D50" w14:paraId="453A4A51" w14:textId="571FBF76">
      <w:pPr>
        <w:pStyle w:val="List3"/>
        <w:spacing w:after="0"/>
      </w:pPr>
      <w:r>
        <w:t>RTP</w:t>
      </w:r>
    </w:p>
    <w:p w:rsidRPr="005007B2" w:rsidR="00C50B07" w:rsidP="00D27624" w:rsidRDefault="00C50B07" w14:paraId="6841E435" w14:textId="77777777">
      <w:pPr>
        <w:pStyle w:val="List3"/>
        <w:spacing w:after="0"/>
      </w:pPr>
      <w:r w:rsidRPr="00A90935">
        <w:t>Rural and Regional Enterprise Scholarships.</w:t>
      </w:r>
    </w:p>
    <w:p w:rsidRPr="00A90935" w:rsidR="00C50B07" w:rsidP="00D27624" w:rsidRDefault="00C50B07" w14:paraId="42DCBCD7" w14:textId="0352DFCA">
      <w:pPr>
        <w:pStyle w:val="List2"/>
        <w:spacing w:after="0"/>
      </w:pPr>
      <w:r w:rsidRPr="00A90935">
        <w:t xml:space="preserve">Commonwealth Government grants or funding that support research infrastructure </w:t>
      </w:r>
      <w:r>
        <w:br/>
      </w:r>
      <w:r w:rsidRPr="00A90935">
        <w:t xml:space="preserve">(refer </w:t>
      </w:r>
      <w:r>
        <w:rPr>
          <w:b/>
          <w:bCs/>
        </w:rPr>
        <w:t>s</w:t>
      </w:r>
      <w:r w:rsidRPr="00FA0487">
        <w:rPr>
          <w:b/>
          <w:bCs/>
        </w:rPr>
        <w:t>ection</w:t>
      </w:r>
      <w:r>
        <w:t xml:space="preserve"> </w:t>
      </w:r>
      <w:r w:rsidRPr="00C069CD">
        <w:rPr>
          <w:b/>
          <w:bCs/>
        </w:rPr>
        <w:t>4.2.1(f)</w:t>
      </w:r>
      <w:r w:rsidRPr="00A90935">
        <w:t>)</w:t>
      </w:r>
      <w:r>
        <w:t xml:space="preserve"> from </w:t>
      </w:r>
      <w:r w:rsidRPr="00A90935">
        <w:t>the following programs:</w:t>
      </w:r>
    </w:p>
    <w:p w:rsidR="00C50B07" w:rsidP="00D27624" w:rsidRDefault="00C50B07" w14:paraId="29455A0D" w14:textId="77777777">
      <w:pPr>
        <w:pStyle w:val="List3"/>
        <w:spacing w:after="0"/>
      </w:pPr>
      <w:r w:rsidRPr="00A90935">
        <w:t>ARC Linkage-Infrastructure, Equipment and Facilities (including cash contributions from other sources)</w:t>
      </w:r>
    </w:p>
    <w:p w:rsidRPr="00A90935" w:rsidR="00C50B07" w:rsidP="00D27624" w:rsidRDefault="00C50B07" w14:paraId="649C654F" w14:textId="77777777">
      <w:pPr>
        <w:pStyle w:val="List3"/>
        <w:spacing w:after="0"/>
      </w:pPr>
      <w:r>
        <w:t xml:space="preserve">Medical Research Future Fund (MRFF) </w:t>
      </w:r>
      <w:r w:rsidRPr="002213D5">
        <w:t>Research Data Infrastructure initiative</w:t>
      </w:r>
    </w:p>
    <w:p w:rsidRPr="00A90935" w:rsidR="00C50B07" w:rsidP="00D27624" w:rsidRDefault="00C50B07" w14:paraId="5EE77791" w14:textId="77777777">
      <w:pPr>
        <w:pStyle w:val="List3"/>
        <w:spacing w:after="0"/>
      </w:pPr>
      <w:r>
        <w:t xml:space="preserve">MRFF </w:t>
      </w:r>
      <w:r w:rsidRPr="00A90935">
        <w:t>National Critical Research Infrastructure</w:t>
      </w:r>
      <w:r>
        <w:t xml:space="preserve"> </w:t>
      </w:r>
    </w:p>
    <w:p w:rsidRPr="00A90935" w:rsidR="00C50B07" w:rsidP="00D27624" w:rsidRDefault="00C50B07" w14:paraId="70E2D6C8" w14:textId="77777777">
      <w:pPr>
        <w:pStyle w:val="List3"/>
        <w:spacing w:after="0"/>
      </w:pPr>
      <w:r w:rsidRPr="00A90935">
        <w:t>National Collaborative Research Infrastructure Strategy</w:t>
      </w:r>
      <w:r>
        <w:t xml:space="preserve"> (NCRIS)</w:t>
      </w:r>
      <w:r w:rsidRPr="00A90935">
        <w:t xml:space="preserve"> (including cash contributions from other sources)</w:t>
      </w:r>
    </w:p>
    <w:p w:rsidRPr="00A90935" w:rsidR="00C50B07" w:rsidP="00D27624" w:rsidRDefault="00C50B07" w14:paraId="4956A015" w14:textId="77777777">
      <w:pPr>
        <w:pStyle w:val="List3"/>
        <w:spacing w:after="0"/>
      </w:pPr>
      <w:r w:rsidRPr="00A90935">
        <w:t>National Computational Infrastructure</w:t>
      </w:r>
    </w:p>
    <w:p w:rsidRPr="00A90935" w:rsidR="00C50B07" w:rsidP="00D27624" w:rsidRDefault="00C50B07" w14:paraId="1B480EFC" w14:textId="77777777">
      <w:pPr>
        <w:pStyle w:val="List3"/>
        <w:spacing w:after="0"/>
      </w:pPr>
      <w:r w:rsidRPr="008E6FBF">
        <w:t xml:space="preserve">National Health and Medical Research Council </w:t>
      </w:r>
      <w:r>
        <w:t>(</w:t>
      </w:r>
      <w:r w:rsidRPr="00A90935">
        <w:t>NHMRC</w:t>
      </w:r>
      <w:r>
        <w:t>)</w:t>
      </w:r>
      <w:r w:rsidRPr="00A90935">
        <w:t xml:space="preserve"> Equipment Grant Scheme</w:t>
      </w:r>
    </w:p>
    <w:p w:rsidRPr="00877750" w:rsidR="00C50B07" w:rsidP="00D27624" w:rsidRDefault="00C50B07" w14:paraId="3673ACB8" w14:textId="77777777">
      <w:pPr>
        <w:pStyle w:val="List3"/>
        <w:spacing w:after="0"/>
        <w:rPr>
          <w:color w:val="000000"/>
        </w:rPr>
      </w:pPr>
      <w:r w:rsidRPr="00877750">
        <w:rPr>
          <w:color w:val="000000"/>
        </w:rPr>
        <w:t>NHMRC Independent Research Institutes Infrastructure Support Scheme (IRIISS) grants.</w:t>
      </w:r>
    </w:p>
    <w:p w:rsidRPr="000A72E3" w:rsidR="00C50B07" w:rsidP="00210F56" w:rsidRDefault="00C50B07" w14:paraId="0EB5DA26" w14:textId="77777777">
      <w:pPr>
        <w:pStyle w:val="Heading2"/>
        <w:rPr>
          <w:rFonts w:eastAsia="Times New Roman"/>
        </w:rPr>
      </w:pPr>
      <w:bookmarkStart w:name="_Toc147503823" w:id="193"/>
      <w:bookmarkStart w:name="_Toc222833870" w:id="194"/>
      <w:r w:rsidRPr="000A72E3">
        <w:rPr>
          <w:rFonts w:eastAsia="Times New Roman"/>
        </w:rPr>
        <w:t>4.3</w:t>
      </w:r>
      <w:r>
        <w:rPr>
          <w:rFonts w:eastAsia="Times New Roman"/>
        </w:rPr>
        <w:tab/>
      </w:r>
      <w:r w:rsidRPr="000A72E3">
        <w:rPr>
          <w:rFonts w:eastAsia="Times New Roman"/>
        </w:rPr>
        <w:t>Income involving other parties</w:t>
      </w:r>
      <w:bookmarkEnd w:id="193"/>
      <w:bookmarkEnd w:id="194"/>
    </w:p>
    <w:p w:rsidRPr="00A90935" w:rsidR="00C50B07" w:rsidP="009D347E" w:rsidRDefault="00C50B07" w14:paraId="717EAC55" w14:textId="77777777">
      <w:pPr>
        <w:tabs>
          <w:tab w:val="left" w:pos="-284"/>
        </w:tabs>
        <w:spacing w:after="160"/>
        <w:ind w:right="697"/>
        <w:rPr>
          <w:rFonts w:ascii="Calibri" w:hAnsi="Calibri" w:eastAsia="Times New Roman" w:cs="Arial"/>
        </w:rPr>
      </w:pPr>
      <w:r w:rsidRPr="00A90935">
        <w:rPr>
          <w:rFonts w:ascii="Calibri" w:hAnsi="Calibri" w:eastAsia="Times New Roman" w:cs="Arial"/>
        </w:rPr>
        <w:t xml:space="preserve">The sections below detail the different types of third-party relationships and how to report eligible net receipted income in a HEP’s HERDC return. </w:t>
      </w:r>
    </w:p>
    <w:p w:rsidRPr="00877750" w:rsidR="00C50B07" w:rsidP="00EF4DCF" w:rsidRDefault="00C50B07" w14:paraId="23A6327D" w14:textId="77777777">
      <w:pPr>
        <w:pStyle w:val="Heading3"/>
        <w:rPr>
          <w:rFonts w:eastAsia="Times New Roman"/>
        </w:rPr>
      </w:pPr>
      <w:bookmarkStart w:name="_Toc523214680" w:id="195"/>
      <w:bookmarkStart w:name="_Toc27055362" w:id="196"/>
      <w:bookmarkStart w:name="_Toc81230914" w:id="197"/>
      <w:bookmarkStart w:name="_Toc92461289" w:id="198"/>
      <w:bookmarkStart w:name="_Toc147503824" w:id="199"/>
      <w:bookmarkStart w:name="_Toc222833871" w:id="200"/>
      <w:r w:rsidRPr="00877750">
        <w:rPr>
          <w:rFonts w:eastAsia="Times New Roman"/>
        </w:rPr>
        <w:t>4.3.1</w:t>
      </w:r>
      <w:r w:rsidRPr="00877750">
        <w:rPr>
          <w:rFonts w:eastAsia="Times New Roman"/>
        </w:rPr>
        <w:tab/>
      </w:r>
      <w:bookmarkEnd w:id="195"/>
      <w:bookmarkEnd w:id="196"/>
      <w:bookmarkEnd w:id="197"/>
      <w:bookmarkEnd w:id="198"/>
      <w:r w:rsidRPr="00877750">
        <w:rPr>
          <w:rFonts w:eastAsia="Times New Roman"/>
        </w:rPr>
        <w:t xml:space="preserve">Eligible </w:t>
      </w:r>
      <w:r>
        <w:rPr>
          <w:rFonts w:eastAsia="Times New Roman"/>
        </w:rPr>
        <w:t>third-party</w:t>
      </w:r>
      <w:r w:rsidRPr="00877750">
        <w:rPr>
          <w:rFonts w:eastAsia="Times New Roman"/>
        </w:rPr>
        <w:t xml:space="preserve"> income</w:t>
      </w:r>
      <w:bookmarkEnd w:id="199"/>
      <w:bookmarkEnd w:id="200"/>
    </w:p>
    <w:p w:rsidR="00C50B07" w:rsidP="0039778B" w:rsidRDefault="00C50B07" w14:paraId="39EBB7C2" w14:textId="23CE7A3A">
      <w:pPr>
        <w:tabs>
          <w:tab w:val="left" w:pos="284"/>
        </w:tabs>
        <w:spacing w:after="160"/>
        <w:ind w:right="697"/>
        <w:rPr>
          <w:rFonts w:ascii="Calibri" w:hAnsi="Calibri" w:eastAsia="Calibri" w:cs="Times New Roman"/>
        </w:rPr>
      </w:pPr>
      <w:r>
        <w:rPr>
          <w:rFonts w:ascii="Calibri" w:hAnsi="Calibri" w:eastAsia="Calibri" w:cs="Times New Roman"/>
        </w:rPr>
        <w:t xml:space="preserve">Income received by a subsidiary or an affiliate of a HEP is third-party income that is eligible to be reported for HERDC. </w:t>
      </w:r>
      <w:r w:rsidRPr="00B80E3F">
        <w:rPr>
          <w:rFonts w:ascii="Calibri" w:hAnsi="Calibri" w:eastAsia="Calibri" w:cs="Times New Roman"/>
        </w:rPr>
        <w:t>A HEP is also able to report income where they have made payments to a third party for goods and services in support of the conduct of R&amp;D under the control of the HEP.</w:t>
      </w:r>
    </w:p>
    <w:p w:rsidRPr="00877750" w:rsidR="00C50B07" w:rsidP="0039778B" w:rsidRDefault="00C50B07" w14:paraId="22F558DB" w14:textId="77777777">
      <w:pPr>
        <w:tabs>
          <w:tab w:val="left" w:pos="284"/>
        </w:tabs>
        <w:spacing w:after="120"/>
        <w:ind w:right="697"/>
        <w:rPr>
          <w:rFonts w:ascii="Calibri" w:hAnsi="Calibri" w:eastAsia="Calibri" w:cs="Times New Roman"/>
        </w:rPr>
      </w:pPr>
      <w:r w:rsidRPr="00877750">
        <w:rPr>
          <w:rFonts w:ascii="Calibri" w:hAnsi="Calibri" w:eastAsia="Calibri" w:cs="Times New Roman"/>
        </w:rPr>
        <w:t>Net receipted income is intended to identify only the income that a HEP (or its subsidiary) receives for its own R&amp;D activities.</w:t>
      </w:r>
    </w:p>
    <w:p w:rsidRPr="00877750" w:rsidR="00C50B07" w:rsidP="0039778B" w:rsidRDefault="00C50B07" w14:paraId="395E990F" w14:textId="77777777">
      <w:pPr>
        <w:tabs>
          <w:tab w:val="left" w:pos="284"/>
        </w:tabs>
        <w:spacing w:after="120"/>
        <w:ind w:right="697"/>
        <w:rPr>
          <w:rFonts w:ascii="Calibri" w:hAnsi="Calibri" w:eastAsia="Calibri" w:cs="Times New Roman"/>
        </w:rPr>
      </w:pPr>
      <w:r w:rsidRPr="00877750">
        <w:rPr>
          <w:rFonts w:ascii="Calibri" w:hAnsi="Calibri" w:eastAsia="Calibri" w:cs="Times New Roman"/>
        </w:rPr>
        <w:t>Where HEPs have entered into formal employment arrangements with researchers in affiliated or partner organisations (external to the HEP), income that can be reported must be net receipted income and commensurable with the employment arrangements.</w:t>
      </w:r>
    </w:p>
    <w:p w:rsidRPr="00877750" w:rsidR="00C50B07" w:rsidP="009D347E" w:rsidRDefault="00C50B07" w14:paraId="7D22A392" w14:textId="1D5FF8B7">
      <w:pPr>
        <w:spacing w:after="160"/>
        <w:ind w:right="696"/>
        <w:rPr>
          <w:rFonts w:ascii="Calibri" w:hAnsi="Calibri" w:eastAsia="Calibri" w:cs="Times New Roman"/>
        </w:rPr>
      </w:pPr>
      <w:r w:rsidRPr="00877750">
        <w:rPr>
          <w:rFonts w:ascii="Calibri" w:hAnsi="Calibri" w:eastAsia="Calibri" w:cs="Times New Roman"/>
        </w:rPr>
        <w:t xml:space="preserve">Employment arrangements must be bona fide. HEPs must exclude that portion of </w:t>
      </w:r>
      <w:r>
        <w:rPr>
          <w:rFonts w:ascii="Calibri" w:hAnsi="Calibri" w:eastAsia="Calibri" w:cs="Times New Roman"/>
        </w:rPr>
        <w:t>R&amp;D income</w:t>
      </w:r>
      <w:r w:rsidRPr="00877750">
        <w:rPr>
          <w:rFonts w:ascii="Calibri" w:hAnsi="Calibri" w:eastAsia="Calibri" w:cs="Times New Roman"/>
        </w:rPr>
        <w:t xml:space="preserve"> which is subject to cost reimbursement arrangements with affiliates or partner organisations (i.e.</w:t>
      </w:r>
      <w:r>
        <w:rPr>
          <w:rFonts w:ascii="Calibri" w:hAnsi="Calibri" w:eastAsia="Calibri" w:cs="Times New Roman"/>
        </w:rPr>
        <w:t>,</w:t>
      </w:r>
      <w:r w:rsidRPr="00877750">
        <w:rPr>
          <w:rFonts w:ascii="Calibri" w:hAnsi="Calibri" w:eastAsia="Calibri" w:cs="Times New Roman"/>
        </w:rPr>
        <w:t xml:space="preserve"> to reimburse research costs, including researcher salaries) which are not explicitly covered within a formal legal relationship between the HEP and the external organisation.</w:t>
      </w:r>
    </w:p>
    <w:p w:rsidRPr="00877750" w:rsidR="00C50B07" w:rsidP="00D637AE" w:rsidRDefault="00C50B07" w14:paraId="34EA110D" w14:textId="77777777">
      <w:pPr>
        <w:pStyle w:val="Heading4"/>
        <w:rPr>
          <w:rFonts w:eastAsia="Times New Roman"/>
        </w:rPr>
      </w:pPr>
      <w:r w:rsidRPr="00877750">
        <w:rPr>
          <w:rFonts w:eastAsia="Times New Roman"/>
        </w:rPr>
        <w:t>Subsidiaries</w:t>
      </w:r>
    </w:p>
    <w:p w:rsidRPr="00A90935" w:rsidR="00C50B07" w:rsidP="009D347E" w:rsidRDefault="00C50B07" w14:paraId="129CE0B0" w14:textId="77777777">
      <w:pPr>
        <w:spacing w:after="120"/>
        <w:ind w:right="697"/>
        <w:rPr>
          <w:rFonts w:ascii="Calibri" w:hAnsi="Calibri" w:eastAsia="Times New Roman" w:cs="Arial"/>
        </w:rPr>
      </w:pPr>
      <w:r w:rsidRPr="00A90935">
        <w:rPr>
          <w:rFonts w:ascii="Calibri" w:hAnsi="Calibri" w:eastAsia="Times New Roman" w:cs="Arial"/>
        </w:rPr>
        <w:t xml:space="preserve">Also known as controlled entities, a subsidiary is an entity under the control of a HEP. </w:t>
      </w:r>
    </w:p>
    <w:p w:rsidRPr="00A90935" w:rsidR="00C50B07" w:rsidP="009D347E" w:rsidRDefault="00C50B07" w14:paraId="276485EC" w14:textId="77777777">
      <w:pPr>
        <w:spacing w:after="160"/>
        <w:ind w:right="697"/>
        <w:rPr>
          <w:rFonts w:ascii="Calibri" w:hAnsi="Calibri" w:eastAsia="Times New Roman" w:cs="Arial"/>
        </w:rPr>
      </w:pPr>
      <w:r w:rsidRPr="00A90935">
        <w:rPr>
          <w:rFonts w:ascii="Calibri" w:hAnsi="Calibri" w:eastAsia="Times New Roman" w:cs="Arial"/>
        </w:rPr>
        <w:t xml:space="preserve">Any subsidiary income reported in accordance with </w:t>
      </w:r>
      <w:r w:rsidRPr="00A3003B">
        <w:rPr>
          <w:rFonts w:ascii="Calibri" w:hAnsi="Calibri" w:eastAsia="Times New Roman" w:cs="Arial"/>
          <w:b/>
          <w:bCs/>
        </w:rPr>
        <w:t>section 4.3</w:t>
      </w:r>
      <w:r w:rsidRPr="00A90935">
        <w:rPr>
          <w:rFonts w:ascii="Calibri" w:hAnsi="Calibri" w:eastAsia="Times New Roman" w:cs="Arial"/>
        </w:rPr>
        <w:t xml:space="preserve"> and included in a HEP’s R&amp;D income return must be reported in the ‘university’ income column of the return.</w:t>
      </w:r>
    </w:p>
    <w:p w:rsidR="00C50B07" w:rsidP="00D637AE" w:rsidRDefault="00C50B07" w14:paraId="56727B3C" w14:textId="77777777">
      <w:pPr>
        <w:pStyle w:val="Heading4"/>
        <w:rPr>
          <w:rFonts w:eastAsia="Times New Roman"/>
        </w:rPr>
      </w:pPr>
      <w:r w:rsidRPr="00877750">
        <w:rPr>
          <w:rFonts w:eastAsia="Times New Roman"/>
        </w:rPr>
        <w:t>Affiliates</w:t>
      </w:r>
    </w:p>
    <w:p w:rsidR="00C50B07" w:rsidP="009D347E" w:rsidRDefault="00C50B07" w14:paraId="5C4DAEC1" w14:textId="34398DF1">
      <w:pPr>
        <w:spacing w:after="160"/>
        <w:ind w:right="697"/>
        <w:rPr>
          <w:rFonts w:ascii="Calibri" w:hAnsi="Calibri" w:eastAsia="Times New Roman" w:cs="Arial"/>
        </w:rPr>
      </w:pPr>
      <w:r>
        <w:rPr>
          <w:rFonts w:ascii="Calibri" w:hAnsi="Calibri" w:eastAsia="Times New Roman" w:cs="Arial"/>
        </w:rPr>
        <w:t xml:space="preserve">Affiliates are defined in the </w:t>
      </w:r>
      <w:hyperlink w:history="1" r:id="rId34">
        <w:r>
          <w:rPr>
            <w:rStyle w:val="Hyperlink"/>
          </w:rPr>
          <w:t>CSG</w:t>
        </w:r>
      </w:hyperlink>
      <w:r>
        <w:rPr>
          <w:rFonts w:ascii="Calibri" w:hAnsi="Calibri" w:eastAsia="Times New Roman" w:cs="Arial"/>
        </w:rPr>
        <w:t xml:space="preserve"> as </w:t>
      </w:r>
      <w:r w:rsidRPr="009E03A2">
        <w:rPr>
          <w:rFonts w:ascii="Calibri" w:hAnsi="Calibri" w:eastAsia="Times New Roman" w:cs="Arial"/>
        </w:rPr>
        <w:t>an entity that is formally or functionally integrated into a HEP’s core academic, clinical or research operations, but does not include an entity that is only connected to the HEP through external co-supervisory or co-funding arrangements, or because it has entered into a written agreement with the HEP about research internships undertaken by students of the HEP</w:t>
      </w:r>
      <w:r w:rsidR="007F09BA">
        <w:rPr>
          <w:rStyle w:val="FootnoteReference"/>
          <w:rFonts w:eastAsia="Times New Roman"/>
        </w:rPr>
        <w:footnoteReference w:id="16"/>
      </w:r>
      <w:r w:rsidRPr="009E03A2">
        <w:rPr>
          <w:rFonts w:ascii="Calibri" w:hAnsi="Calibri" w:eastAsia="Times New Roman" w:cs="Arial"/>
        </w:rPr>
        <w:t>.</w:t>
      </w:r>
    </w:p>
    <w:p w:rsidRPr="00A90935" w:rsidR="00C50B07" w:rsidP="009D347E" w:rsidRDefault="00C50B07" w14:paraId="2B35FA62" w14:textId="05D53E08">
      <w:pPr>
        <w:spacing w:after="160"/>
        <w:ind w:right="697"/>
        <w:rPr>
          <w:rFonts w:ascii="Calibri" w:hAnsi="Calibri" w:eastAsia="Times New Roman" w:cs="Arial"/>
        </w:rPr>
      </w:pPr>
      <w:r w:rsidRPr="00B80E3F">
        <w:rPr>
          <w:rFonts w:ascii="Calibri" w:hAnsi="Calibri" w:eastAsia="Times New Roman" w:cs="Arial"/>
        </w:rPr>
        <w:t xml:space="preserve">While the individual characteristics of affiliate arrangements will vary across the sector, HEPs can report income for a research project where the HEP has a formal legal relationship with an affiliate, such as a </w:t>
      </w:r>
      <w:r>
        <w:rPr>
          <w:rFonts w:ascii="Calibri" w:hAnsi="Calibri" w:eastAsia="Times New Roman" w:cs="Arial"/>
        </w:rPr>
        <w:t>m</w:t>
      </w:r>
      <w:r w:rsidRPr="00B80E3F">
        <w:rPr>
          <w:rFonts w:ascii="Calibri" w:hAnsi="Calibri" w:eastAsia="Times New Roman" w:cs="Arial"/>
        </w:rPr>
        <w:t xml:space="preserve">edical </w:t>
      </w:r>
      <w:r>
        <w:rPr>
          <w:rFonts w:ascii="Calibri" w:hAnsi="Calibri" w:eastAsia="Times New Roman" w:cs="Arial"/>
        </w:rPr>
        <w:t>r</w:t>
      </w:r>
      <w:r w:rsidRPr="00B80E3F">
        <w:rPr>
          <w:rFonts w:ascii="Calibri" w:hAnsi="Calibri" w:eastAsia="Times New Roman" w:cs="Arial"/>
        </w:rPr>
        <w:t xml:space="preserve">esearch </w:t>
      </w:r>
      <w:r>
        <w:rPr>
          <w:rFonts w:ascii="Calibri" w:hAnsi="Calibri" w:eastAsia="Times New Roman" w:cs="Arial"/>
        </w:rPr>
        <w:t>i</w:t>
      </w:r>
      <w:r w:rsidRPr="00B80E3F">
        <w:rPr>
          <w:rFonts w:ascii="Calibri" w:hAnsi="Calibri" w:eastAsia="Times New Roman" w:cs="Arial"/>
        </w:rPr>
        <w:t>nstitute, that specifies conditions</w:t>
      </w:r>
      <w:r>
        <w:rPr>
          <w:rFonts w:ascii="Calibri" w:hAnsi="Calibri" w:eastAsia="Times New Roman" w:cs="Arial"/>
        </w:rPr>
        <w:t>. Conditions include</w:t>
      </w:r>
      <w:r w:rsidRPr="00B80E3F">
        <w:rPr>
          <w:rFonts w:ascii="Calibri" w:hAnsi="Calibri" w:eastAsia="Times New Roman" w:cs="Arial"/>
        </w:rPr>
        <w:t xml:space="preserve"> obligations under the underlying funding arrangements, financial arrangements, alignment of strategic research objectives, research ethics and integrity, or the responsibility for the quality of the research projects.</w:t>
      </w:r>
      <w:r w:rsidRPr="00A90935">
        <w:rPr>
          <w:rFonts w:ascii="Calibri" w:hAnsi="Calibri" w:eastAsia="Times New Roman" w:cs="Arial"/>
        </w:rPr>
        <w:t xml:space="preserve"> The HEP must also be the grant recipient and the total amount of income must be net receipted income (i.e. received, retained in the HEP’s accounting system and verified in the HEP’s audited financial statements). </w:t>
      </w:r>
    </w:p>
    <w:p w:rsidR="00C50B07" w:rsidP="009D347E" w:rsidRDefault="00C50B07" w14:paraId="50D33F7E" w14:textId="77777777">
      <w:pPr>
        <w:spacing w:after="160"/>
        <w:ind w:right="697"/>
        <w:rPr>
          <w:rFonts w:ascii="Calibri" w:hAnsi="Calibri" w:eastAsia="Times New Roman" w:cs="Arial"/>
        </w:rPr>
      </w:pPr>
      <w:r w:rsidRPr="00A90935">
        <w:rPr>
          <w:rFonts w:ascii="Calibri" w:hAnsi="Calibri" w:eastAsia="Times New Roman" w:cs="Arial"/>
        </w:rPr>
        <w:t xml:space="preserve">Any affiliate income reported in accordance with </w:t>
      </w:r>
      <w:r w:rsidRPr="00F66CB7">
        <w:rPr>
          <w:rFonts w:ascii="Calibri" w:hAnsi="Calibri" w:eastAsia="Times New Roman" w:cs="Arial"/>
          <w:b/>
          <w:bCs/>
        </w:rPr>
        <w:t>section 4.3</w:t>
      </w:r>
      <w:r w:rsidRPr="00A90935">
        <w:rPr>
          <w:rFonts w:ascii="Calibri" w:hAnsi="Calibri" w:eastAsia="Times New Roman" w:cs="Arial"/>
        </w:rPr>
        <w:t xml:space="preserve"> and included in a HEP’s R&amp;D income return must be reported in the ‘</w:t>
      </w:r>
      <w:r>
        <w:rPr>
          <w:rFonts w:ascii="Calibri" w:hAnsi="Calibri" w:eastAsia="Times New Roman" w:cs="Arial"/>
        </w:rPr>
        <w:t>A</w:t>
      </w:r>
      <w:r w:rsidRPr="00A90935">
        <w:rPr>
          <w:rFonts w:ascii="Calibri" w:hAnsi="Calibri" w:eastAsia="Times New Roman" w:cs="Arial"/>
        </w:rPr>
        <w:t>ffiliate’ income column of the return.</w:t>
      </w:r>
    </w:p>
    <w:p w:rsidRPr="00877750" w:rsidR="00C50B07" w:rsidP="00D637AE" w:rsidRDefault="00C50B07" w14:paraId="18007C62" w14:textId="77777777">
      <w:pPr>
        <w:pStyle w:val="Heading4"/>
        <w:rPr>
          <w:rFonts w:eastAsia="Times New Roman"/>
        </w:rPr>
      </w:pPr>
      <w:bookmarkStart w:name="_Toc523214681" w:id="201"/>
      <w:bookmarkStart w:name="_Toc27055363" w:id="202"/>
      <w:bookmarkStart w:name="_Toc81230915" w:id="203"/>
      <w:bookmarkStart w:name="_Toc92461290" w:id="204"/>
      <w:r w:rsidRPr="00877750">
        <w:rPr>
          <w:rFonts w:eastAsia="Times New Roman"/>
        </w:rPr>
        <w:t>Shared income</w:t>
      </w:r>
      <w:bookmarkEnd w:id="201"/>
      <w:bookmarkEnd w:id="202"/>
      <w:bookmarkEnd w:id="203"/>
      <w:bookmarkEnd w:id="204"/>
      <w:r w:rsidRPr="00877750">
        <w:rPr>
          <w:rFonts w:eastAsia="Times New Roman"/>
        </w:rPr>
        <w:t xml:space="preserve"> </w:t>
      </w:r>
    </w:p>
    <w:p w:rsidRPr="00877750" w:rsidR="00C50B07" w:rsidP="009D347E" w:rsidRDefault="00C50B07" w14:paraId="65B0712C" w14:textId="4F3FC38C">
      <w:pPr>
        <w:tabs>
          <w:tab w:val="left" w:pos="284"/>
        </w:tabs>
        <w:spacing w:after="120"/>
        <w:ind w:right="696"/>
        <w:rPr>
          <w:rFonts w:ascii="Calibri" w:hAnsi="Calibri" w:eastAsia="Calibri" w:cs="Times New Roman"/>
        </w:rPr>
      </w:pPr>
      <w:r w:rsidRPr="00877750">
        <w:rPr>
          <w:rFonts w:ascii="Calibri" w:hAnsi="Calibri" w:eastAsia="Calibri" w:cs="Times New Roman"/>
        </w:rPr>
        <w:t xml:space="preserve">R&amp;D income is considered ‘shared’ if part of a payment is passed from the primary recipient to another named party according to a grant, contract </w:t>
      </w:r>
      <w:r w:rsidRPr="006E2234">
        <w:rPr>
          <w:rFonts w:ascii="Calibri" w:hAnsi="Calibri" w:eastAsia="Calibri" w:cs="Times New Roman"/>
        </w:rPr>
        <w:t>or other enforceable agreement</w:t>
      </w:r>
      <w:r w:rsidRPr="00877750">
        <w:rPr>
          <w:rFonts w:ascii="Calibri" w:hAnsi="Calibri" w:eastAsia="Calibri" w:cs="Times New Roman"/>
        </w:rPr>
        <w:t xml:space="preserve"> or a tender/application for funding. </w:t>
      </w:r>
      <w:r>
        <w:rPr>
          <w:rFonts w:ascii="Calibri" w:hAnsi="Calibri" w:eastAsia="Calibri" w:cs="Times New Roman"/>
        </w:rPr>
        <w:t>Examples of a</w:t>
      </w:r>
      <w:r w:rsidRPr="00877750">
        <w:rPr>
          <w:rFonts w:ascii="Calibri" w:hAnsi="Calibri" w:eastAsia="Calibri" w:cs="Times New Roman"/>
        </w:rPr>
        <w:t xml:space="preserve"> party </w:t>
      </w:r>
      <w:r>
        <w:rPr>
          <w:rFonts w:ascii="Calibri" w:hAnsi="Calibri" w:eastAsia="Calibri" w:cs="Times New Roman"/>
        </w:rPr>
        <w:t>include</w:t>
      </w:r>
      <w:r w:rsidRPr="00877750">
        <w:rPr>
          <w:rFonts w:ascii="Calibri" w:hAnsi="Calibri" w:eastAsia="Calibri" w:cs="Times New Roman"/>
        </w:rPr>
        <w:t xml:space="preserve"> a HEP, the staff of a HEP, or </w:t>
      </w:r>
      <w:r w:rsidRPr="003B2FDC" w:rsidR="003B2FDC">
        <w:rPr>
          <w:rFonts w:ascii="Calibri" w:hAnsi="Calibri" w:eastAsia="Calibri" w:cs="Times New Roman"/>
        </w:rPr>
        <w:t>any other organisation, whether or not it</w:t>
      </w:r>
      <w:r w:rsidRPr="00A927A4">
        <w:rPr>
          <w:rFonts w:ascii="Calibri" w:hAnsi="Calibri" w:eastAsia="Calibri" w:cs="Times New Roman"/>
        </w:rPr>
        <w:t xml:space="preserve"> </w:t>
      </w:r>
      <w:r w:rsidRPr="00877750" w:rsidR="006C26B9">
        <w:rPr>
          <w:rFonts w:ascii="Calibri" w:hAnsi="Calibri" w:eastAsia="Calibri" w:cs="Times New Roman"/>
        </w:rPr>
        <w:t>perform</w:t>
      </w:r>
      <w:r w:rsidR="006C26B9">
        <w:rPr>
          <w:rFonts w:ascii="Calibri" w:hAnsi="Calibri" w:eastAsia="Calibri" w:cs="Times New Roman"/>
        </w:rPr>
        <w:t xml:space="preserve">s </w:t>
      </w:r>
      <w:r w:rsidRPr="00877750">
        <w:rPr>
          <w:rFonts w:ascii="Calibri" w:hAnsi="Calibri" w:eastAsia="Calibri" w:cs="Times New Roman"/>
        </w:rPr>
        <w:t xml:space="preserve">R&amp;D. </w:t>
      </w:r>
      <w:r w:rsidRPr="000E5A68">
        <w:rPr>
          <w:rFonts w:ascii="Calibri" w:hAnsi="Calibri" w:eastAsia="Calibri" w:cs="Times New Roman"/>
        </w:rPr>
        <w:t>These examples are not exhaustive.</w:t>
      </w:r>
      <w:r>
        <w:rPr>
          <w:rFonts w:ascii="Calibri" w:hAnsi="Calibri" w:eastAsia="Calibri" w:cs="Times New Roman"/>
        </w:rPr>
        <w:t xml:space="preserve"> </w:t>
      </w:r>
      <w:r w:rsidRPr="00877750">
        <w:rPr>
          <w:rFonts w:ascii="Calibri" w:hAnsi="Calibri" w:eastAsia="Calibri" w:cs="Times New Roman"/>
        </w:rPr>
        <w:t xml:space="preserve">Parties must be named in </w:t>
      </w:r>
      <w:r>
        <w:rPr>
          <w:rFonts w:ascii="Calibri" w:hAnsi="Calibri" w:eastAsia="Calibri" w:cs="Times New Roman"/>
        </w:rPr>
        <w:t>the</w:t>
      </w:r>
      <w:r w:rsidRPr="00877750">
        <w:rPr>
          <w:rFonts w:ascii="Calibri" w:hAnsi="Calibri" w:eastAsia="Calibri" w:cs="Times New Roman"/>
        </w:rPr>
        <w:t xml:space="preserve"> grant, contract or any </w:t>
      </w:r>
      <w:r w:rsidRPr="006E2234">
        <w:rPr>
          <w:rFonts w:ascii="Calibri" w:hAnsi="Calibri" w:eastAsia="Calibri" w:cs="Times New Roman"/>
        </w:rPr>
        <w:t xml:space="preserve">other enforceable </w:t>
      </w:r>
      <w:r w:rsidRPr="00877750">
        <w:rPr>
          <w:rFonts w:ascii="Calibri" w:hAnsi="Calibri" w:eastAsia="Calibri" w:cs="Times New Roman"/>
        </w:rPr>
        <w:t>agreement or in the initial tender/application for funding.</w:t>
      </w:r>
    </w:p>
    <w:p w:rsidR="00C50B07" w:rsidP="009D347E" w:rsidRDefault="00C50B07" w14:paraId="3CF2A051" w14:textId="77777777">
      <w:pPr>
        <w:tabs>
          <w:tab w:val="left" w:pos="284"/>
        </w:tabs>
        <w:spacing w:after="120"/>
        <w:ind w:right="696"/>
        <w:rPr>
          <w:rFonts w:ascii="Calibri" w:hAnsi="Calibri" w:eastAsia="Calibri" w:cs="Times New Roman"/>
        </w:rPr>
      </w:pPr>
      <w:r w:rsidRPr="00877750">
        <w:rPr>
          <w:rFonts w:ascii="Calibri" w:hAnsi="Calibri" w:eastAsia="Calibri" w:cs="Times New Roman"/>
        </w:rPr>
        <w:t>HEPs can only report the income received or retained following the distribution of shared R&amp;D income.</w:t>
      </w:r>
    </w:p>
    <w:p w:rsidRPr="00837B68" w:rsidR="00C50B07" w:rsidP="00837B68" w:rsidRDefault="00C50B07" w14:paraId="42FD1C84" w14:textId="10655236">
      <w:pPr>
        <w:pBdr>
          <w:top w:val="single" w:color="00254A" w:themeColor="text2" w:sz="24" w:space="1"/>
          <w:left w:val="single" w:color="00254A" w:themeColor="text2" w:sz="24" w:space="4"/>
          <w:bottom w:val="single" w:color="00254A" w:themeColor="text2" w:sz="24" w:space="1"/>
          <w:right w:val="single" w:color="00254A" w:themeColor="text2" w:sz="24" w:space="4"/>
        </w:pBdr>
        <w:shd w:val="clear" w:color="auto" w:fill="F2F2F2" w:themeFill="background1" w:themeFillShade="F2"/>
        <w:spacing w:before="120" w:after="120"/>
        <w:rPr>
          <w:rFonts w:cs="Arial"/>
        </w:rPr>
      </w:pPr>
      <w:r>
        <w:rPr>
          <w:rFonts w:ascii="Calibri" w:hAnsi="Calibri" w:eastAsia="Calibri" w:cs="Times New Roman"/>
          <w:b/>
          <w:bCs/>
        </w:rPr>
        <w:t xml:space="preserve">Example: </w:t>
      </w:r>
      <w:r w:rsidRPr="00FD5D17">
        <w:rPr>
          <w:rFonts w:cs="Arial"/>
          <w:iCs/>
        </w:rPr>
        <w:t>Where a shared R&amp;D income grant exists, if HEP A receives a grant of $50,000 of which $20,000 is transferred to HEP B</w:t>
      </w:r>
      <w:r>
        <w:rPr>
          <w:rFonts w:cs="Arial"/>
          <w:iCs/>
        </w:rPr>
        <w:t xml:space="preserve"> and </w:t>
      </w:r>
      <w:r w:rsidRPr="00F8519B">
        <w:rPr>
          <w:rFonts w:cs="Arial"/>
          <w:iCs/>
        </w:rPr>
        <w:t>$5</w:t>
      </w:r>
      <w:r>
        <w:rPr>
          <w:rFonts w:cs="Arial"/>
          <w:iCs/>
        </w:rPr>
        <w:t>,000 is</w:t>
      </w:r>
      <w:r w:rsidRPr="00F8519B">
        <w:rPr>
          <w:rFonts w:cs="Arial"/>
          <w:iCs/>
        </w:rPr>
        <w:t xml:space="preserve"> transferred to a </w:t>
      </w:r>
      <w:r>
        <w:rPr>
          <w:rFonts w:cs="Arial"/>
          <w:iCs/>
        </w:rPr>
        <w:t xml:space="preserve">non-HEP </w:t>
      </w:r>
      <w:r w:rsidRPr="00F8519B">
        <w:rPr>
          <w:rFonts w:cs="Arial"/>
          <w:iCs/>
        </w:rPr>
        <w:t>organisation that is not an affiliate or subsidiary</w:t>
      </w:r>
      <w:r w:rsidR="00F11CC8">
        <w:rPr>
          <w:rFonts w:cs="Arial"/>
          <w:iCs/>
        </w:rPr>
        <w:t xml:space="preserve"> of HEP A</w:t>
      </w:r>
      <w:r>
        <w:rPr>
          <w:rFonts w:cs="Arial"/>
          <w:iCs/>
        </w:rPr>
        <w:t>,</w:t>
      </w:r>
      <w:r w:rsidRPr="00FD5D17">
        <w:rPr>
          <w:rFonts w:cs="Arial"/>
          <w:iCs/>
        </w:rPr>
        <w:t xml:space="preserve"> HEP A should report $</w:t>
      </w:r>
      <w:r>
        <w:rPr>
          <w:rFonts w:cs="Arial"/>
          <w:iCs/>
        </w:rPr>
        <w:t>25</w:t>
      </w:r>
      <w:r w:rsidRPr="00FD5D17">
        <w:rPr>
          <w:rFonts w:cs="Arial"/>
          <w:iCs/>
        </w:rPr>
        <w:t xml:space="preserve">,000 and HEP B </w:t>
      </w:r>
      <w:r>
        <w:rPr>
          <w:rFonts w:cs="Arial"/>
          <w:iCs/>
        </w:rPr>
        <w:t xml:space="preserve">should report </w:t>
      </w:r>
      <w:r w:rsidRPr="00FD5D17">
        <w:rPr>
          <w:rFonts w:cs="Arial"/>
          <w:iCs/>
        </w:rPr>
        <w:t>$20,000.</w:t>
      </w:r>
    </w:p>
    <w:p w:rsidRPr="00D61674" w:rsidR="00C50B07" w:rsidP="006108A9" w:rsidRDefault="00C50B07" w14:paraId="033BCCAC" w14:textId="77777777">
      <w:pPr>
        <w:pStyle w:val="Heading3"/>
      </w:pPr>
      <w:bookmarkStart w:name="_Toc147503825" w:id="205"/>
      <w:bookmarkStart w:name="_Toc222833872" w:id="206"/>
      <w:r w:rsidRPr="00D61674">
        <w:t>4.3.2</w:t>
      </w:r>
      <w:r>
        <w:tab/>
      </w:r>
      <w:r w:rsidRPr="00D61674">
        <w:t>Ineligible third-party income</w:t>
      </w:r>
      <w:bookmarkEnd w:id="205"/>
      <w:bookmarkEnd w:id="206"/>
    </w:p>
    <w:p w:rsidRPr="00877750" w:rsidR="00C50B07" w:rsidP="009D347E" w:rsidRDefault="00C50B07" w14:paraId="2827985C" w14:textId="77777777">
      <w:pPr>
        <w:spacing w:after="160"/>
        <w:ind w:right="696"/>
        <w:rPr>
          <w:rFonts w:ascii="Calibri" w:hAnsi="Calibri" w:eastAsia="Calibri" w:cs="Times New Roman"/>
        </w:rPr>
      </w:pPr>
      <w:r w:rsidRPr="00877750">
        <w:rPr>
          <w:rFonts w:ascii="Calibri" w:hAnsi="Calibri" w:eastAsia="Calibri" w:cs="Times New Roman"/>
        </w:rPr>
        <w:t>R&amp;D income administered by a HEP on behalf of a third-party organisation where the third party conducts the R&amp;D independently of the HEP must be excluded.</w:t>
      </w:r>
    </w:p>
    <w:p w:rsidRPr="00C620E2" w:rsidR="00C50B07" w:rsidP="006108A9" w:rsidRDefault="00C50B07" w14:paraId="120CCBE8" w14:textId="77777777">
      <w:pPr>
        <w:pStyle w:val="Heading2"/>
      </w:pPr>
      <w:bookmarkStart w:name="_Toc147503826" w:id="207"/>
      <w:bookmarkStart w:name="_Toc222833873" w:id="208"/>
      <w:r w:rsidRPr="00C620E2">
        <w:t>4.4</w:t>
      </w:r>
      <w:r w:rsidRPr="00C620E2">
        <w:tab/>
      </w:r>
      <w:r w:rsidRPr="00C620E2">
        <w:t>Transfers</w:t>
      </w:r>
      <w:bookmarkEnd w:id="140"/>
      <w:bookmarkEnd w:id="141"/>
      <w:bookmarkEnd w:id="142"/>
      <w:bookmarkEnd w:id="143"/>
      <w:bookmarkEnd w:id="144"/>
      <w:bookmarkEnd w:id="145"/>
      <w:bookmarkEnd w:id="146"/>
      <w:bookmarkEnd w:id="147"/>
      <w:bookmarkEnd w:id="148"/>
      <w:bookmarkEnd w:id="207"/>
      <w:bookmarkEnd w:id="208"/>
    </w:p>
    <w:p w:rsidRPr="00C620E2" w:rsidR="00C50B07" w:rsidP="009D347E" w:rsidRDefault="00C50B07" w14:paraId="0FF73C88" w14:textId="77777777">
      <w:pPr>
        <w:tabs>
          <w:tab w:val="left" w:pos="284"/>
        </w:tabs>
        <w:spacing w:after="120"/>
      </w:pPr>
      <w:r w:rsidRPr="00C620E2">
        <w:t xml:space="preserve">When staff transfer into, exit from, or move between HEPs and </w:t>
      </w:r>
      <w:r>
        <w:t>take</w:t>
      </w:r>
      <w:r w:rsidRPr="00C620E2">
        <w:t xml:space="preserve"> R&amp;D funding with them, this must be reflected in adjustments to the affected HEPs’</w:t>
      </w:r>
      <w:r>
        <w:t xml:space="preserve"> R&amp;D</w:t>
      </w:r>
      <w:r w:rsidRPr="00C620E2">
        <w:t xml:space="preserve"> income returns.</w:t>
      </w:r>
      <w:bookmarkStart w:name="_Toc437848425" w:id="209"/>
      <w:bookmarkStart w:name="_Toc437848480" w:id="210"/>
      <w:bookmarkStart w:name="_Toc437848520" w:id="211"/>
      <w:bookmarkStart w:name="_Toc437848595" w:id="212"/>
      <w:bookmarkStart w:name="_Toc437850666" w:id="213"/>
      <w:bookmarkStart w:name="_Toc437850742" w:id="214"/>
      <w:bookmarkStart w:name="_Toc437850817" w:id="215"/>
      <w:bookmarkStart w:name="_Toc437851170" w:id="216"/>
      <w:bookmarkEnd w:id="209"/>
      <w:bookmarkEnd w:id="210"/>
      <w:bookmarkEnd w:id="211"/>
      <w:bookmarkEnd w:id="212"/>
      <w:bookmarkEnd w:id="213"/>
      <w:bookmarkEnd w:id="214"/>
      <w:bookmarkEnd w:id="215"/>
      <w:bookmarkEnd w:id="216"/>
    </w:p>
    <w:p w:rsidRPr="00C620E2" w:rsidR="00C50B07" w:rsidP="006108A9" w:rsidRDefault="00C50B07" w14:paraId="1AD9D831" w14:textId="77777777">
      <w:pPr>
        <w:pStyle w:val="Heading2"/>
      </w:pPr>
      <w:bookmarkStart w:name="_Toc523214683" w:id="217"/>
      <w:bookmarkStart w:name="_Toc491172990" w:id="218"/>
      <w:bookmarkStart w:name="_Toc489955874" w:id="219"/>
      <w:bookmarkStart w:name="_Toc489438091" w:id="220"/>
      <w:bookmarkStart w:name="_Toc482284843" w:id="221"/>
      <w:bookmarkStart w:name="_Toc27055365" w:id="222"/>
      <w:bookmarkStart w:name="_Toc81230917" w:id="223"/>
      <w:bookmarkStart w:name="_Toc92461292" w:id="224"/>
      <w:bookmarkStart w:name="_Toc147503827" w:id="225"/>
      <w:bookmarkStart w:name="_Toc222833874" w:id="226"/>
      <w:r w:rsidRPr="00C620E2">
        <w:t>4.5</w:t>
      </w:r>
      <w:r w:rsidRPr="00C620E2">
        <w:tab/>
      </w:r>
      <w:r w:rsidRPr="00C620E2">
        <w:t>Refunds</w:t>
      </w:r>
      <w:bookmarkEnd w:id="217"/>
      <w:bookmarkEnd w:id="218"/>
      <w:bookmarkEnd w:id="219"/>
      <w:bookmarkEnd w:id="220"/>
      <w:bookmarkEnd w:id="221"/>
      <w:bookmarkEnd w:id="222"/>
      <w:bookmarkEnd w:id="223"/>
      <w:bookmarkEnd w:id="224"/>
      <w:bookmarkEnd w:id="225"/>
      <w:bookmarkEnd w:id="226"/>
    </w:p>
    <w:p w:rsidRPr="00C620E2" w:rsidR="00C50B07" w:rsidP="009D347E" w:rsidRDefault="00C50B07" w14:paraId="32479EC7" w14:textId="77777777">
      <w:pPr>
        <w:keepNext/>
        <w:keepLines/>
        <w:tabs>
          <w:tab w:val="left" w:pos="284"/>
        </w:tabs>
        <w:spacing w:after="120"/>
      </w:pPr>
      <w:r w:rsidRPr="00C620E2">
        <w:t>When, in the reference year covered by the R&amp;D income return, a HEP refunds any income received either in the current year or an earlier year, income reported in the reference year must be reduced by the amount of the refund.</w:t>
      </w:r>
    </w:p>
    <w:p w:rsidRPr="00C620E2" w:rsidR="00C50B07" w:rsidP="00AA2A39" w:rsidRDefault="00C50B07" w14:paraId="00A2FD02" w14:textId="77777777">
      <w:pPr>
        <w:pStyle w:val="Heading2"/>
      </w:pPr>
      <w:bookmarkStart w:name="_Toc523214684" w:id="227"/>
      <w:bookmarkStart w:name="_Toc491172991" w:id="228"/>
      <w:bookmarkStart w:name="_Toc489955875" w:id="229"/>
      <w:bookmarkStart w:name="_Toc489438092" w:id="230"/>
      <w:bookmarkStart w:name="_Toc482284844" w:id="231"/>
      <w:bookmarkStart w:name="_Toc27055366" w:id="232"/>
      <w:bookmarkStart w:name="_Toc81230918" w:id="233"/>
      <w:bookmarkStart w:name="_Toc92461293" w:id="234"/>
      <w:bookmarkStart w:name="_Toc147503828" w:id="235"/>
      <w:bookmarkStart w:name="_Toc222833875" w:id="236"/>
      <w:r w:rsidRPr="00C620E2">
        <w:t>4.6</w:t>
      </w:r>
      <w:r w:rsidRPr="00C620E2">
        <w:tab/>
      </w:r>
      <w:r w:rsidRPr="00C620E2">
        <w:t xml:space="preserve">CRCs that are no longer </w:t>
      </w:r>
      <w:r w:rsidRPr="00AA2A39">
        <w:t>operational</w:t>
      </w:r>
      <w:bookmarkEnd w:id="227"/>
      <w:bookmarkEnd w:id="228"/>
      <w:bookmarkEnd w:id="229"/>
      <w:bookmarkEnd w:id="230"/>
      <w:bookmarkEnd w:id="231"/>
      <w:bookmarkEnd w:id="232"/>
      <w:bookmarkEnd w:id="233"/>
      <w:bookmarkEnd w:id="234"/>
      <w:bookmarkEnd w:id="235"/>
      <w:bookmarkEnd w:id="236"/>
    </w:p>
    <w:p w:rsidR="00C50B07" w:rsidP="00DA0D03" w:rsidRDefault="00C50B07" w14:paraId="07D0D87F" w14:textId="77777777">
      <w:pPr>
        <w:tabs>
          <w:tab w:val="left" w:pos="284"/>
        </w:tabs>
        <w:spacing w:after="0"/>
      </w:pPr>
      <w:r w:rsidRPr="00C620E2">
        <w:t>When a CRC (or CRC-P) is no longer operational, and it is not possible to verify the R&amp;D proportion of the income with the CRC in which the HEP was the researcher or a participant, the amount reported and attributable to that CRC may be reported on the basis of the HEP’s financial records alone.</w:t>
      </w:r>
      <w:r>
        <w:t xml:space="preserve"> </w:t>
      </w:r>
    </w:p>
    <w:p w:rsidRPr="00C620E2" w:rsidR="00C50B07" w:rsidP="0039778B" w:rsidRDefault="00C50B07" w14:paraId="720E3E67" w14:textId="77777777">
      <w:pPr>
        <w:spacing w:after="160"/>
      </w:pPr>
      <w:r>
        <w:br w:type="page"/>
      </w:r>
    </w:p>
    <w:p w:rsidRPr="00FB7B35" w:rsidR="00C50B07" w:rsidP="00634374" w:rsidRDefault="00C50B07" w14:paraId="277CD896" w14:textId="77777777">
      <w:pPr>
        <w:pStyle w:val="Heading1"/>
        <w:tabs>
          <w:tab w:val="num" w:pos="397"/>
        </w:tabs>
        <w:spacing w:before="0"/>
        <w:ind w:left="709" w:hanging="709"/>
      </w:pPr>
      <w:bookmarkStart w:name="_Toc491172992" w:id="237"/>
      <w:bookmarkStart w:name="_Toc489955876" w:id="238"/>
      <w:bookmarkStart w:name="_Toc489438093" w:id="239"/>
      <w:bookmarkStart w:name="_Toc482284845" w:id="240"/>
      <w:bookmarkStart w:name="_Toc523214685" w:id="241"/>
      <w:bookmarkStart w:name="_Toc27055367" w:id="242"/>
      <w:bookmarkStart w:name="_Toc81230919" w:id="243"/>
      <w:bookmarkStart w:name="_Toc92461294" w:id="244"/>
      <w:bookmarkStart w:name="_Toc147503829" w:id="245"/>
      <w:bookmarkStart w:name="_Toc222833876" w:id="246"/>
      <w:r w:rsidRPr="00FB7B35">
        <w:t>R&amp;D income categories</w:t>
      </w:r>
      <w:bookmarkEnd w:id="237"/>
      <w:bookmarkEnd w:id="238"/>
      <w:bookmarkEnd w:id="239"/>
      <w:bookmarkEnd w:id="240"/>
      <w:bookmarkEnd w:id="241"/>
      <w:bookmarkEnd w:id="242"/>
      <w:bookmarkEnd w:id="243"/>
      <w:bookmarkEnd w:id="244"/>
      <w:bookmarkEnd w:id="245"/>
      <w:bookmarkEnd w:id="246"/>
    </w:p>
    <w:p w:rsidRPr="00FB7B35" w:rsidR="00C50B07" w:rsidP="009D347E" w:rsidRDefault="00C50B07" w14:paraId="7B8DC895" w14:textId="77777777">
      <w:pPr>
        <w:spacing w:after="120"/>
        <w:rPr>
          <w:rFonts w:cs="Arial"/>
        </w:rPr>
      </w:pPr>
      <w:r w:rsidRPr="00FB7B35">
        <w:rPr>
          <w:rFonts w:cs="Arial"/>
        </w:rPr>
        <w:t xml:space="preserve">HEPs must enter all R&amp;D income into the R&amp;D income return according to the following </w:t>
      </w:r>
      <w:r>
        <w:rPr>
          <w:rFonts w:cs="Arial"/>
        </w:rPr>
        <w:t>4</w:t>
      </w:r>
      <w:r w:rsidRPr="00FB7B35">
        <w:rPr>
          <w:rFonts w:cs="Arial"/>
        </w:rPr>
        <w:t xml:space="preserve"> categories:</w:t>
      </w:r>
    </w:p>
    <w:p w:rsidRPr="00FB7B35" w:rsidR="00C50B07" w:rsidP="00C50B07" w:rsidRDefault="00C50B07" w14:paraId="0954F105" w14:textId="77777777">
      <w:pPr>
        <w:pStyle w:val="ListBullet"/>
      </w:pPr>
      <w:r w:rsidRPr="00FB7B35">
        <w:t>Category 1: Australian competitive grant R&amp;D income</w:t>
      </w:r>
    </w:p>
    <w:p w:rsidRPr="00FB7B35" w:rsidR="00C50B07" w:rsidP="00C50B07" w:rsidRDefault="00C50B07" w14:paraId="1AAF0E15" w14:textId="77777777">
      <w:pPr>
        <w:pStyle w:val="ListBullet"/>
      </w:pPr>
      <w:r w:rsidRPr="00FB7B35">
        <w:t xml:space="preserve">Category 2: </w:t>
      </w:r>
      <w:r>
        <w:t>o</w:t>
      </w:r>
      <w:r w:rsidRPr="00FB7B35">
        <w:t>ther public sector R&amp;D income</w:t>
      </w:r>
    </w:p>
    <w:p w:rsidRPr="00FB7B35" w:rsidR="00C50B07" w:rsidP="00C50B07" w:rsidRDefault="00C50B07" w14:paraId="48BBF71F" w14:textId="77777777">
      <w:pPr>
        <w:pStyle w:val="ListBullet"/>
      </w:pPr>
      <w:r w:rsidRPr="00FB7B35">
        <w:t xml:space="preserve">Category 3: </w:t>
      </w:r>
      <w:r>
        <w:t>i</w:t>
      </w:r>
      <w:r w:rsidRPr="00FB7B35">
        <w:t>ndustry and other R&amp;D income</w:t>
      </w:r>
    </w:p>
    <w:p w:rsidRPr="00C85B4C" w:rsidR="00C50B07" w:rsidP="00C50B07" w:rsidRDefault="00C50B07" w14:paraId="6E0442A4" w14:textId="77777777">
      <w:pPr>
        <w:pStyle w:val="ListBullet"/>
      </w:pPr>
      <w:r w:rsidRPr="00FB7B35">
        <w:t>Category 4: CRC R&amp;D income.</w:t>
      </w:r>
    </w:p>
    <w:p w:rsidR="00C50B07" w:rsidP="00C85B4C" w:rsidRDefault="00C50B07" w14:paraId="347D7A60" w14:textId="77777777">
      <w:pPr>
        <w:tabs>
          <w:tab w:val="num" w:pos="284"/>
        </w:tabs>
        <w:spacing w:after="120"/>
        <w:rPr>
          <w:rFonts w:eastAsia="Times New Roman" w:cs="Arial"/>
        </w:rPr>
      </w:pPr>
      <w:r w:rsidRPr="00FB7B35">
        <w:rPr>
          <w:rFonts w:eastAsia="Times New Roman" w:cs="Arial"/>
        </w:rPr>
        <w:t>R&amp;D income may be derived directly or indirectly from one or more ultimate funding entities. An ultimate funding entity will have full discretionary</w:t>
      </w:r>
      <w:r w:rsidRPr="00FB7B35">
        <w:rPr>
          <w:rFonts w:ascii="Arial" w:hAnsi="Arial" w:eastAsia="Times New Roman" w:cs="Arial"/>
          <w:sz w:val="21"/>
          <w:szCs w:val="21"/>
        </w:rPr>
        <w:t xml:space="preserve"> </w:t>
      </w:r>
      <w:r w:rsidRPr="00FB7B35">
        <w:rPr>
          <w:rFonts w:eastAsia="Times New Roman" w:cs="Arial"/>
        </w:rPr>
        <w:t>power to commence the research funding process that ends in the awarding of research funds to a HEP, for funding that it controls. If an entity is carrying out the instructions of another funding body through a contract or enforceable agreement, then that entity is not the original source of income/ultimate funding entity. HEPs should undertake reasonable effort to determine the original source of income/ultimate funding entity.</w:t>
      </w:r>
    </w:p>
    <w:p w:rsidRPr="00FB7B35" w:rsidR="00C50B07" w:rsidP="00F66CB7" w:rsidRDefault="00C50B07" w14:paraId="4CCC84D3" w14:textId="77777777">
      <w:pPr>
        <w:tabs>
          <w:tab w:val="num" w:pos="284"/>
        </w:tabs>
        <w:spacing w:after="120"/>
      </w:pPr>
      <w:r w:rsidRPr="00FB7B35">
        <w:t xml:space="preserve">HEPs </w:t>
      </w:r>
      <w:r w:rsidRPr="00F66CB7">
        <w:rPr>
          <w:rFonts w:eastAsia="Times New Roman" w:cs="Arial"/>
        </w:rPr>
        <w:t>need</w:t>
      </w:r>
      <w:r w:rsidRPr="00FB7B35">
        <w:t xml:space="preserve"> to be able to determine the original source, or sources, of income from one or more ultimate funding entities.</w:t>
      </w:r>
    </w:p>
    <w:p w:rsidRPr="00582639" w:rsidR="00C50B07" w:rsidP="009D347E" w:rsidRDefault="00C50B07" w14:paraId="5D106539" w14:textId="77777777">
      <w:pPr>
        <w:tabs>
          <w:tab w:val="num" w:pos="284"/>
        </w:tabs>
        <w:spacing w:after="120"/>
        <w:rPr>
          <w:rFonts w:eastAsia="Times New Roman" w:cs="Arial"/>
        </w:rPr>
      </w:pPr>
      <w:r w:rsidRPr="00FB7B35" w:rsidDel="00C61298">
        <w:rPr>
          <w:rFonts w:eastAsia="Times New Roman" w:cs="Arial"/>
        </w:rPr>
        <w:t xml:space="preserve">There is no separate category for income received </w:t>
      </w:r>
      <w:r w:rsidRPr="00FB7B35">
        <w:rPr>
          <w:rFonts w:eastAsia="Times New Roman" w:cs="Arial"/>
        </w:rPr>
        <w:t>from</w:t>
      </w:r>
      <w:r w:rsidRPr="00FB7B35" w:rsidDel="00C61298">
        <w:rPr>
          <w:rFonts w:eastAsia="Times New Roman" w:cs="Arial"/>
        </w:rPr>
        <w:t xml:space="preserve"> </w:t>
      </w:r>
      <w:r w:rsidRPr="00FB7B35">
        <w:rPr>
          <w:rFonts w:eastAsia="Times New Roman" w:cs="Arial"/>
        </w:rPr>
        <w:t>multiple ultimate funding entities for an R&amp;D project</w:t>
      </w:r>
      <w:r w:rsidRPr="00FB7B35" w:rsidDel="00C61298">
        <w:rPr>
          <w:rFonts w:eastAsia="Times New Roman" w:cs="Arial"/>
        </w:rPr>
        <w:t xml:space="preserve">. </w:t>
      </w:r>
      <w:r w:rsidRPr="00FB7B35">
        <w:rPr>
          <w:rFonts w:eastAsia="Times New Roman" w:cs="Arial"/>
        </w:rPr>
        <w:t>I</w:t>
      </w:r>
      <w:r w:rsidRPr="00FB7B35" w:rsidDel="00C61298">
        <w:rPr>
          <w:rFonts w:eastAsia="Times New Roman" w:cs="Arial"/>
        </w:rPr>
        <w:t xml:space="preserve">ncome </w:t>
      </w:r>
      <w:r w:rsidRPr="00FB7B35">
        <w:rPr>
          <w:rFonts w:eastAsia="Times New Roman" w:cs="Arial"/>
        </w:rPr>
        <w:t xml:space="preserve">received from multiple ultimate funding entities </w:t>
      </w:r>
      <w:r w:rsidRPr="00FB7B35" w:rsidDel="00C61298">
        <w:rPr>
          <w:rFonts w:eastAsia="Times New Roman" w:cs="Arial"/>
        </w:rPr>
        <w:t>should be</w:t>
      </w:r>
      <w:r w:rsidRPr="00FB7B35">
        <w:rPr>
          <w:rFonts w:eastAsia="Times New Roman" w:cs="Arial"/>
        </w:rPr>
        <w:t xml:space="preserve"> apportioned and</w:t>
      </w:r>
      <w:r w:rsidRPr="00FB7B35" w:rsidDel="00C61298">
        <w:rPr>
          <w:rFonts w:eastAsia="Times New Roman" w:cs="Arial"/>
        </w:rPr>
        <w:t xml:space="preserve"> assigned to the appropriate reporting category</w:t>
      </w:r>
      <w:r w:rsidRPr="00FB7B35">
        <w:rPr>
          <w:rFonts w:eastAsia="Times New Roman" w:cs="Arial"/>
        </w:rPr>
        <w:t xml:space="preserve">, </w:t>
      </w:r>
      <w:r w:rsidRPr="00FB7B35" w:rsidDel="00C61298">
        <w:rPr>
          <w:rFonts w:eastAsia="Times New Roman" w:cs="Arial"/>
        </w:rPr>
        <w:t xml:space="preserve">according to </w:t>
      </w:r>
      <w:r w:rsidRPr="00FB7B35">
        <w:rPr>
          <w:rFonts w:eastAsia="Times New Roman" w:cs="Arial"/>
        </w:rPr>
        <w:t>each</w:t>
      </w:r>
      <w:r w:rsidRPr="00FB7B35" w:rsidDel="00C61298">
        <w:rPr>
          <w:rFonts w:eastAsia="Times New Roman" w:cs="Arial"/>
        </w:rPr>
        <w:t xml:space="preserve"> original source of income</w:t>
      </w:r>
      <w:r w:rsidRPr="00FB7B35">
        <w:rPr>
          <w:rFonts w:eastAsia="Times New Roman" w:cs="Arial"/>
        </w:rPr>
        <w:t xml:space="preserve"> from one or more </w:t>
      </w:r>
      <w:r w:rsidRPr="00FB7B35" w:rsidDel="00C61298">
        <w:rPr>
          <w:rFonts w:eastAsia="Times New Roman" w:cs="Arial"/>
        </w:rPr>
        <w:t>ultimate funding entit</w:t>
      </w:r>
      <w:r w:rsidRPr="00FB7B35">
        <w:rPr>
          <w:rFonts w:eastAsia="Times New Roman" w:cs="Arial"/>
        </w:rPr>
        <w:t>ies</w:t>
      </w:r>
      <w:r w:rsidRPr="00FB7B35" w:rsidDel="00C61298">
        <w:rPr>
          <w:rFonts w:eastAsia="Times New Roman" w:cs="Arial"/>
        </w:rPr>
        <w:t>.</w:t>
      </w:r>
      <w:r>
        <w:rPr>
          <w:rFonts w:eastAsia="Times New Roman" w:cs="Arial"/>
        </w:rPr>
        <w:t xml:space="preserve"> </w:t>
      </w:r>
    </w:p>
    <w:p w:rsidRPr="00FB7B35" w:rsidR="00C50B07" w:rsidDel="00335C75" w:rsidP="009D347E" w:rsidRDefault="00C50B07" w14:paraId="59081BFD" w14:textId="61FFA59C">
      <w:pPr>
        <w:tabs>
          <w:tab w:val="num" w:pos="284"/>
        </w:tabs>
        <w:spacing w:after="120"/>
        <w:rPr>
          <w:rFonts w:eastAsia="Times New Roman" w:cs="Arial"/>
        </w:rPr>
      </w:pPr>
      <w:r w:rsidRPr="00FB7B35" w:rsidDel="00335C75">
        <w:rPr>
          <w:rFonts w:eastAsia="Times New Roman" w:cs="Arial"/>
        </w:rPr>
        <w:t xml:space="preserve">HEPs are to correctly manage the categorisation of R&amp;D income. It is suggested that HEPs nominate the appropriate HERDC income category (or categories) at the time that funding agreements, grants or contracts are executed. HEPs should provide their faculties or departments with this information to help ensure that all income is coded to the correct HERDC income category for </w:t>
      </w:r>
      <w:r w:rsidRPr="00E03FD4">
        <w:rPr>
          <w:rFonts w:eastAsia="Times New Roman" w:cs="Arial"/>
        </w:rPr>
        <w:t xml:space="preserve">each reporting year and updated if the nature </w:t>
      </w:r>
      <w:r w:rsidR="0093723B">
        <w:rPr>
          <w:rFonts w:eastAsia="Times New Roman" w:cs="Arial"/>
        </w:rPr>
        <w:t xml:space="preserve">and categorisation </w:t>
      </w:r>
      <w:r w:rsidRPr="00E03FD4">
        <w:rPr>
          <w:rFonts w:eastAsia="Times New Roman" w:cs="Arial"/>
        </w:rPr>
        <w:t>of the funding changes.</w:t>
      </w:r>
    </w:p>
    <w:p w:rsidRPr="00FB7B35" w:rsidR="00C50B07" w:rsidP="009D347E" w:rsidRDefault="00C50B07" w14:paraId="2726A269" w14:textId="278132EE">
      <w:pPr>
        <w:tabs>
          <w:tab w:val="num" w:pos="284"/>
        </w:tabs>
        <w:spacing w:after="120"/>
        <w:rPr>
          <w:rFonts w:eastAsia="Times New Roman" w:cs="Arial"/>
        </w:rPr>
      </w:pPr>
      <w:r w:rsidRPr="00FB7B35">
        <w:rPr>
          <w:rFonts w:eastAsia="Times New Roman" w:cs="Arial"/>
        </w:rPr>
        <w:t xml:space="preserve">Categories 2 and 3 consist of government income sub-categories for government’s ‘own purpose’ (sub-categories 2.1, 2.3 and 3.7) and </w:t>
      </w:r>
      <w:r>
        <w:rPr>
          <w:rFonts w:eastAsia="Times New Roman" w:cs="Arial"/>
        </w:rPr>
        <w:t>‘</w:t>
      </w:r>
      <w:r w:rsidRPr="00FB7B35">
        <w:rPr>
          <w:rFonts w:eastAsia="Times New Roman" w:cs="Arial"/>
        </w:rPr>
        <w:t>other’ (sub-categories 2.2, 2.4 and 3.8). HEPs are required to distinguish between income provided for government's ‘own purpose’ and ‘other’.</w:t>
      </w:r>
    </w:p>
    <w:p w:rsidR="00C50B07" w:rsidP="009D347E" w:rsidRDefault="00C50B07" w14:paraId="10316665" w14:textId="77777777">
      <w:pPr>
        <w:spacing w:after="120"/>
      </w:pPr>
      <w:r w:rsidRPr="00FB7B35">
        <w:t xml:space="preserve">The ‘own purpose’ sub-categories refer to investment by government where the government will be the end-user of that research. Research carried out for purposes where government is not the end-user </w:t>
      </w:r>
      <w:r>
        <w:t>is</w:t>
      </w:r>
      <w:r w:rsidRPr="00FB7B35">
        <w:t xml:space="preserve"> considered as ‘other’. The reason for distinguishing between these terms is to enable the collection of data that shows how much research investment by government is for its own use. The example below describes an instance of an ‘own purpose’ government R&amp;D income</w:t>
      </w:r>
      <w:bookmarkStart w:name="_Toc168817211" w:id="247"/>
      <w:bookmarkStart w:name="_Toc168824830" w:id="248"/>
      <w:bookmarkStart w:name="_Ref213670512" w:id="249"/>
      <w:bookmarkStart w:name="_Toc406668881" w:id="250"/>
      <w:bookmarkEnd w:id="247"/>
      <w:bookmarkEnd w:id="248"/>
      <w:r>
        <w:t>.</w:t>
      </w:r>
    </w:p>
    <w:p w:rsidR="00C50B07" w:rsidP="00B75794" w:rsidRDefault="00C50B07" w14:paraId="5231F8C6" w14:textId="77777777">
      <w:pPr>
        <w:pBdr>
          <w:top w:val="single" w:color="00254A" w:themeColor="text2" w:sz="24" w:space="1"/>
          <w:left w:val="single" w:color="00254A" w:themeColor="text2" w:sz="24" w:space="4"/>
          <w:bottom w:val="single" w:color="00254A" w:themeColor="text2" w:sz="24" w:space="1"/>
          <w:right w:val="single" w:color="00254A" w:themeColor="text2" w:sz="24" w:space="4"/>
          <w:between w:val="single" w:color="00254A" w:themeColor="text2" w:sz="24" w:space="1"/>
          <w:bar w:val="single" w:color="00254A" w:themeColor="text2" w:sz="24"/>
        </w:pBdr>
        <w:shd w:val="clear" w:color="auto" w:fill="F2F2F2" w:themeFill="background1" w:themeFillShade="F2"/>
        <w:spacing w:after="120"/>
      </w:pPr>
      <w:r w:rsidRPr="00B75794">
        <w:rPr>
          <w:b/>
          <w:bCs/>
        </w:rPr>
        <w:t>Example:</w:t>
      </w:r>
      <w:r>
        <w:t xml:space="preserve"> </w:t>
      </w:r>
      <w:r w:rsidRPr="00572D68">
        <w:rPr>
          <w:rFonts w:cs="Arial"/>
          <w:iCs/>
        </w:rPr>
        <w:t xml:space="preserve">A state government has an agreement with </w:t>
      </w:r>
      <w:r>
        <w:rPr>
          <w:rFonts w:cs="Arial"/>
          <w:iCs/>
        </w:rPr>
        <w:t>HEP</w:t>
      </w:r>
      <w:r w:rsidRPr="00572D68">
        <w:rPr>
          <w:rFonts w:cs="Arial"/>
          <w:iCs/>
        </w:rPr>
        <w:t xml:space="preserve"> </w:t>
      </w:r>
      <w:r>
        <w:rPr>
          <w:rFonts w:cs="Arial"/>
          <w:iCs/>
        </w:rPr>
        <w:t>X</w:t>
      </w:r>
      <w:r w:rsidRPr="00572D68">
        <w:rPr>
          <w:rFonts w:cs="Arial"/>
          <w:iCs/>
        </w:rPr>
        <w:t xml:space="preserve"> for a research project worth $400,000 to investigate childhood obesity, nutrition and lifestyle factors. The funds were not competitive, and the funding agreement between </w:t>
      </w:r>
      <w:r>
        <w:rPr>
          <w:rFonts w:cs="Arial"/>
          <w:iCs/>
        </w:rPr>
        <w:t>HEP</w:t>
      </w:r>
      <w:r w:rsidRPr="00572D68">
        <w:rPr>
          <w:rFonts w:cs="Arial"/>
          <w:iCs/>
        </w:rPr>
        <w:t xml:space="preserve"> </w:t>
      </w:r>
      <w:r>
        <w:rPr>
          <w:rFonts w:cs="Arial"/>
          <w:iCs/>
        </w:rPr>
        <w:t>X</w:t>
      </w:r>
      <w:r w:rsidRPr="00572D68">
        <w:rPr>
          <w:rFonts w:cs="Arial"/>
          <w:iCs/>
        </w:rPr>
        <w:t xml:space="preserve"> and the government contains a clause where the </w:t>
      </w:r>
      <w:r>
        <w:rPr>
          <w:rFonts w:cs="Arial"/>
          <w:iCs/>
        </w:rPr>
        <w:t>HEP</w:t>
      </w:r>
      <w:r w:rsidRPr="00572D68">
        <w:rPr>
          <w:rFonts w:cs="Arial"/>
          <w:iCs/>
        </w:rPr>
        <w:t xml:space="preserve"> must assign all or part of the intellectual property arising from the agreement back to the government customer. The state government intends to use this information to develop promotion materials and tools to encourage healthy lifestyles in young Australians. In this case, the $400,000 of income would be determined as own purpose, namely sub-category 2.3: State/territory/local (own purpose).</w:t>
      </w:r>
    </w:p>
    <w:p w:rsidRPr="0039778B" w:rsidR="00C50B07" w:rsidP="00CD53D1" w:rsidRDefault="00C50B07" w14:paraId="622193BA" w14:textId="77777777">
      <w:r w:rsidRPr="00FB7B35">
        <w:t xml:space="preserve">A list of all HERDC categories and sub-categories is provided at </w:t>
      </w:r>
      <w:r w:rsidRPr="00FB7B35">
        <w:rPr>
          <w:b/>
        </w:rPr>
        <w:t>section 7</w:t>
      </w:r>
      <w:r w:rsidRPr="00FB7B35">
        <w:t>.</w:t>
      </w:r>
    </w:p>
    <w:p w:rsidRPr="00AA2A39" w:rsidR="00C50B07" w:rsidP="00AA2A39" w:rsidRDefault="00C50B07" w14:paraId="3D2D3192" w14:textId="77777777">
      <w:pPr>
        <w:pStyle w:val="Heading2"/>
      </w:pPr>
      <w:bookmarkStart w:name="_Toc523214686" w:id="251"/>
      <w:bookmarkStart w:name="_Toc491172993" w:id="252"/>
      <w:bookmarkStart w:name="_Toc27055368" w:id="253"/>
      <w:bookmarkStart w:name="_Toc81230920" w:id="254"/>
      <w:bookmarkStart w:name="_Toc92461295" w:id="255"/>
      <w:bookmarkStart w:name="_Toc147503830" w:id="256"/>
      <w:bookmarkStart w:name="_Toc222833877" w:id="257"/>
      <w:r w:rsidRPr="00AA2A39">
        <w:t>5.1</w:t>
      </w:r>
      <w:r w:rsidRPr="00AA2A39">
        <w:tab/>
      </w:r>
      <w:r w:rsidRPr="00AA2A39">
        <w:t xml:space="preserve">Category 1: Australian competitive </w:t>
      </w:r>
      <w:bookmarkEnd w:id="249"/>
      <w:bookmarkEnd w:id="250"/>
      <w:r w:rsidRPr="00AA2A39">
        <w:t>grant R&amp;D income</w:t>
      </w:r>
      <w:bookmarkEnd w:id="251"/>
      <w:bookmarkEnd w:id="252"/>
      <w:bookmarkEnd w:id="253"/>
      <w:bookmarkEnd w:id="254"/>
      <w:bookmarkEnd w:id="255"/>
      <w:bookmarkEnd w:id="256"/>
      <w:bookmarkEnd w:id="257"/>
    </w:p>
    <w:p w:rsidRPr="00FB7B35" w:rsidR="00C50B07" w:rsidP="009D347E" w:rsidRDefault="00C50B07" w14:paraId="09D37034" w14:textId="77777777">
      <w:r w:rsidRPr="00FB7B35">
        <w:t xml:space="preserve">This section provides information to assist HEPs to determine whether R&amp;D income is eligible to be counted as Category 1 R&amp;D income. </w:t>
      </w:r>
      <w:r w:rsidRPr="00FB7B35">
        <w:rPr>
          <w:iCs/>
        </w:rPr>
        <w:t>Category 1</w:t>
      </w:r>
      <w:r w:rsidRPr="00FB7B35">
        <w:t xml:space="preserve"> consists only of net receipted income received from Australian funding bodies for those R&amp;D schemes and programs that have been self-assessed as Australian competitive grant R&amp;D income, and must be sub-categorised as follows:</w:t>
      </w:r>
    </w:p>
    <w:p w:rsidRPr="00FB7B35" w:rsidR="00C50B07" w:rsidP="00C50B07" w:rsidRDefault="00C50B07" w14:paraId="0F843D48" w14:textId="77777777">
      <w:pPr>
        <w:pStyle w:val="ListBullet"/>
      </w:pPr>
      <w:r w:rsidRPr="00FB7B35">
        <w:t>Sub-category 1.1 National Health and Medical Research Council (NHMRC)</w:t>
      </w:r>
    </w:p>
    <w:p w:rsidRPr="00FB7B35" w:rsidR="00C50B07" w:rsidP="00C50B07" w:rsidRDefault="00C50B07" w14:paraId="5F2FA415" w14:textId="77777777">
      <w:pPr>
        <w:pStyle w:val="ListBullet"/>
      </w:pPr>
      <w:r w:rsidRPr="00FB7B35">
        <w:t>Sub-category 1.2 Australian Research Council (ARC)</w:t>
      </w:r>
    </w:p>
    <w:p w:rsidRPr="00FB7B35" w:rsidR="00C50B07" w:rsidP="00C50B07" w:rsidRDefault="00C50B07" w14:paraId="41B6AAEC" w14:textId="77777777">
      <w:pPr>
        <w:pStyle w:val="ListBullet"/>
      </w:pPr>
      <w:r w:rsidRPr="00FB7B35">
        <w:t>Sub-category 1.3 Medical Research Future Fund (MRFF)</w:t>
      </w:r>
    </w:p>
    <w:p w:rsidRPr="00FB7B35" w:rsidR="00C50B07" w:rsidP="00C50B07" w:rsidRDefault="00C50B07" w14:paraId="17C7EBCA" w14:textId="77777777">
      <w:pPr>
        <w:pStyle w:val="ListBullet"/>
      </w:pPr>
      <w:r w:rsidRPr="00FB7B35">
        <w:t>Sub-category 1.4 Rural R&amp;D</w:t>
      </w:r>
    </w:p>
    <w:p w:rsidRPr="00FB7B35" w:rsidR="00C50B07" w:rsidP="00C50B07" w:rsidRDefault="00C50B07" w14:paraId="6BAD65DE" w14:textId="77777777">
      <w:pPr>
        <w:pStyle w:val="ListBullet"/>
      </w:pPr>
      <w:r w:rsidRPr="00FB7B35">
        <w:t>Sub-category 1.5 Commonwealth other</w:t>
      </w:r>
    </w:p>
    <w:p w:rsidRPr="00FB7B35" w:rsidR="00C50B07" w:rsidP="00C50B07" w:rsidRDefault="00C50B07" w14:paraId="7629EC68" w14:textId="77777777">
      <w:pPr>
        <w:pStyle w:val="ListBullet"/>
      </w:pPr>
      <w:r w:rsidRPr="00FB7B35">
        <w:t>Sub-category 1.6 State/territory government</w:t>
      </w:r>
    </w:p>
    <w:p w:rsidRPr="00FB7B35" w:rsidR="00C50B07" w:rsidP="00C50B07" w:rsidRDefault="00C50B07" w14:paraId="415F4E3D" w14:textId="77777777">
      <w:pPr>
        <w:pStyle w:val="ListBullet"/>
      </w:pPr>
      <w:r w:rsidRPr="00FB7B35">
        <w:t>Sub-category 1.7 Other.</w:t>
      </w:r>
    </w:p>
    <w:p w:rsidRPr="00FB7B35" w:rsidR="00C50B07" w:rsidP="009D347E" w:rsidRDefault="00C50B07" w14:paraId="004948C4" w14:textId="77777777">
      <w:r w:rsidRPr="00FB7B35">
        <w:t xml:space="preserve">Partner organisation cash contributions to grants awarded by schemes that have been self-assessed as Australian competitive grant R&amp;D income should not be reported in </w:t>
      </w:r>
      <w:r w:rsidRPr="00FB7B35">
        <w:rPr>
          <w:iCs/>
        </w:rPr>
        <w:t>Category 1,</w:t>
      </w:r>
      <w:r w:rsidRPr="00FB7B35">
        <w:t xml:space="preserve"> regardless of whether the partner contributions were identified in the scheme and/or program. This income should instead be reported under the HERDC category relevant to the source of the funding. Competitive grant income from international organisations or schemes should be reported under </w:t>
      </w:r>
      <w:r w:rsidRPr="00FB7B35">
        <w:rPr>
          <w:iCs/>
        </w:rPr>
        <w:t>Category 3.</w:t>
      </w:r>
    </w:p>
    <w:p w:rsidR="00C50B07" w:rsidP="009D347E" w:rsidRDefault="00C50B07" w14:paraId="16792913" w14:textId="77777777">
      <w:r w:rsidRPr="00FB7B35">
        <w:t>Prior to 2018, the Australian Competitive Grants Register</w:t>
      </w:r>
      <w:r>
        <w:t xml:space="preserve"> (ACGR)</w:t>
      </w:r>
      <w:r w:rsidRPr="00FB7B35">
        <w:t xml:space="preserve"> was used to determine which income could be counted as </w:t>
      </w:r>
      <w:r w:rsidRPr="00FB7B35">
        <w:rPr>
          <w:iCs/>
        </w:rPr>
        <w:t>Category 1</w:t>
      </w:r>
      <w:r w:rsidRPr="00FB7B35">
        <w:t xml:space="preserve"> R&amp;D income. For 2018 data onwards, self-assessment applied instead of the grants register, as the department is no longer updating the register. HEPs should use the</w:t>
      </w:r>
      <w:r>
        <w:t xml:space="preserve"> dark</w:t>
      </w:r>
      <w:r w:rsidRPr="00FB7B35">
        <w:t xml:space="preserve"> blue section of the </w:t>
      </w:r>
      <w:r>
        <w:rPr>
          <w:bCs/>
        </w:rPr>
        <w:t>d</w:t>
      </w:r>
      <w:r w:rsidRPr="00FB7B35">
        <w:rPr>
          <w:bCs/>
        </w:rPr>
        <w:t xml:space="preserve">ecision </w:t>
      </w:r>
      <w:r>
        <w:rPr>
          <w:bCs/>
        </w:rPr>
        <w:t>t</w:t>
      </w:r>
      <w:r w:rsidRPr="00FB7B35">
        <w:rPr>
          <w:bCs/>
        </w:rPr>
        <w:t>ree</w:t>
      </w:r>
      <w:r w:rsidRPr="00FB7B35">
        <w:t xml:space="preserve"> (</w:t>
      </w:r>
      <w:r w:rsidRPr="00FB7B35">
        <w:rPr>
          <w:b/>
          <w:bCs/>
        </w:rPr>
        <w:t>Fig</w:t>
      </w:r>
      <w:r>
        <w:rPr>
          <w:b/>
          <w:bCs/>
        </w:rPr>
        <w:t xml:space="preserve">ure </w:t>
      </w:r>
      <w:r w:rsidRPr="00FB7B35">
        <w:rPr>
          <w:b/>
          <w:bCs/>
        </w:rPr>
        <w:t>1</w:t>
      </w:r>
      <w:r w:rsidRPr="00FB7B35">
        <w:t xml:space="preserve">) to determine if the income can be counted as Category 1. The </w:t>
      </w:r>
      <w:r>
        <w:t>purple</w:t>
      </w:r>
      <w:r w:rsidRPr="00FB7B35">
        <w:t xml:space="preserve"> section of the </w:t>
      </w:r>
      <w:r>
        <w:t>d</w:t>
      </w:r>
      <w:r w:rsidRPr="00FB7B35">
        <w:t xml:space="preserve">ecision </w:t>
      </w:r>
      <w:r>
        <w:t>t</w:t>
      </w:r>
      <w:r w:rsidRPr="00FB7B35">
        <w:t xml:space="preserve">ree can then be used to determine which of the </w:t>
      </w:r>
      <w:r>
        <w:t>7</w:t>
      </w:r>
      <w:r w:rsidRPr="00FB7B35">
        <w:t xml:space="preserve"> sub-categories the R&amp;D income belongs to.</w:t>
      </w:r>
    </w:p>
    <w:p w:rsidR="00C50B07" w:rsidP="009D347E" w:rsidRDefault="00C50B07" w14:paraId="41297547" w14:textId="77777777"/>
    <w:p w:rsidRPr="00FB7B35" w:rsidR="00C50B07" w:rsidP="009D347E" w:rsidRDefault="00C50B07" w14:paraId="6E84EF8D" w14:textId="77777777">
      <w:pPr>
        <w:tabs>
          <w:tab w:val="num" w:pos="284"/>
          <w:tab w:val="num" w:pos="1134"/>
        </w:tabs>
        <w:spacing w:after="120"/>
        <w:rPr>
          <w:rFonts w:ascii="Arial" w:hAnsi="Arial" w:eastAsia="Times New Roman" w:cs="Arial"/>
          <w:b/>
          <w:color w:val="1A5E2F"/>
          <w:sz w:val="28"/>
          <w:szCs w:val="21"/>
        </w:rPr>
        <w:sectPr w:rsidRPr="00FB7B35" w:rsidR="00C50B07" w:rsidSect="00C50B07">
          <w:headerReference w:type="even" r:id="rId35"/>
          <w:headerReference w:type="default" r:id="rId36"/>
          <w:headerReference w:type="first" r:id="rId37"/>
          <w:pgSz w:w="11906" w:h="16838" w:orient="portrait"/>
          <w:pgMar w:top="851" w:right="1440" w:bottom="1151" w:left="1440" w:header="1134" w:footer="720" w:gutter="0"/>
          <w:cols w:space="720"/>
        </w:sectPr>
      </w:pPr>
    </w:p>
    <w:p w:rsidR="00C50B07" w:rsidP="00246436" w:rsidRDefault="00C50B07" w14:paraId="40420DB1" w14:textId="5F50FD2E">
      <w:pPr>
        <w:spacing w:after="0" w:line="240" w:lineRule="auto"/>
        <w:jc w:val="both"/>
        <w:rPr>
          <w:rFonts w:ascii="Arial" w:hAnsi="Arial" w:cs="Arial"/>
        </w:rPr>
      </w:pPr>
    </w:p>
    <w:p w:rsidR="00C50B07" w:rsidP="00146DD6" w:rsidRDefault="00C50B07" w14:paraId="4114123F" w14:textId="77777777">
      <w:pPr>
        <w:spacing w:after="0" w:line="240" w:lineRule="auto"/>
        <w:jc w:val="both"/>
      </w:pPr>
    </w:p>
    <w:tbl>
      <w:tblPr>
        <w:tblStyle w:val="TableGrid"/>
        <w:tblpPr w:leftFromText="180" w:rightFromText="180" w:vertAnchor="page" w:horzAnchor="margin" w:tblpY="1319"/>
        <w:tblW w:w="0" w:type="auto"/>
        <w:tblLook w:val="04A0" w:firstRow="1" w:lastRow="0" w:firstColumn="1" w:lastColumn="0" w:noHBand="0" w:noVBand="1"/>
      </w:tblPr>
      <w:tblGrid>
        <w:gridCol w:w="3681"/>
        <w:gridCol w:w="4819"/>
        <w:gridCol w:w="5448"/>
      </w:tblGrid>
      <w:tr w:rsidRPr="003616C5" w:rsidR="00C50B07" w:rsidTr="003616C5" w14:paraId="15259FF1" w14:textId="77777777">
        <w:tc>
          <w:tcPr>
            <w:tcW w:w="3681" w:type="dxa"/>
          </w:tcPr>
          <w:p w:rsidRPr="003616C5" w:rsidR="00C50B07" w:rsidP="003616C5" w:rsidRDefault="00C50B07" w14:paraId="19B9D033" w14:textId="77777777">
            <w:pPr>
              <w:pStyle w:val="List2"/>
              <w:numPr>
                <w:ilvl w:val="0"/>
                <w:numId w:val="0"/>
              </w:numPr>
              <w:spacing w:after="0"/>
              <w:rPr>
                <w:b/>
                <w:bCs/>
                <w:sz w:val="18"/>
                <w:szCs w:val="18"/>
              </w:rPr>
            </w:pPr>
            <w:r w:rsidRPr="003616C5">
              <w:rPr>
                <w:b/>
                <w:bCs/>
                <w:sz w:val="18"/>
                <w:szCs w:val="18"/>
              </w:rPr>
              <w:t>Decision tree question</w:t>
            </w:r>
          </w:p>
        </w:tc>
        <w:tc>
          <w:tcPr>
            <w:tcW w:w="4819" w:type="dxa"/>
          </w:tcPr>
          <w:p w:rsidRPr="003616C5" w:rsidR="00C50B07" w:rsidP="003616C5" w:rsidRDefault="00C50B07" w14:paraId="087506A7" w14:textId="21E1F3BB">
            <w:pPr>
              <w:spacing w:after="0"/>
              <w:rPr>
                <w:b/>
                <w:bCs/>
                <w:sz w:val="18"/>
                <w:szCs w:val="18"/>
              </w:rPr>
            </w:pPr>
            <w:r w:rsidRPr="003616C5">
              <w:rPr>
                <w:b/>
                <w:bCs/>
                <w:sz w:val="18"/>
                <w:szCs w:val="18"/>
              </w:rPr>
              <w:t>Option 1</w:t>
            </w:r>
          </w:p>
        </w:tc>
        <w:tc>
          <w:tcPr>
            <w:tcW w:w="5448" w:type="dxa"/>
          </w:tcPr>
          <w:p w:rsidRPr="003616C5" w:rsidR="00C50B07" w:rsidP="003616C5" w:rsidRDefault="008A2C88" w14:paraId="0C8CEB25" w14:textId="30EED8F7">
            <w:pPr>
              <w:spacing w:after="0"/>
              <w:rPr>
                <w:b/>
                <w:bCs/>
                <w:sz w:val="18"/>
                <w:szCs w:val="18"/>
              </w:rPr>
            </w:pPr>
            <w:r w:rsidRPr="00146DD6">
              <w:rPr>
                <w:rFonts w:ascii="Arial" w:hAnsi="Arial" w:eastAsia="Times New Roman" w:cs="Arial"/>
                <w:b/>
                <w:noProof/>
                <w:color w:val="1A5E2F"/>
                <w:sz w:val="28"/>
                <w:szCs w:val="21"/>
              </w:rPr>
              <w:drawing>
                <wp:anchor distT="0" distB="0" distL="114300" distR="114300" simplePos="0" relativeHeight="251657215" behindDoc="0" locked="0" layoutInCell="1" allowOverlap="1" wp14:anchorId="4731B7E5" wp14:editId="1BCD0EBB">
                  <wp:simplePos x="0" y="0"/>
                  <wp:positionH relativeFrom="column">
                    <wp:posOffset>-5556885</wp:posOffset>
                  </wp:positionH>
                  <wp:positionV relativeFrom="paragraph">
                    <wp:posOffset>-354814</wp:posOffset>
                  </wp:positionV>
                  <wp:extent cx="9136551" cy="4435522"/>
                  <wp:effectExtent l="0" t="0" r="7620" b="3175"/>
                  <wp:wrapNone/>
                  <wp:docPr id="17257302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730254" name=""/>
                          <pic:cNvPicPr/>
                        </pic:nvPicPr>
                        <pic:blipFill>
                          <a:blip r:embed="rId38">
                            <a:extLst>
                              <a:ext uri="{28A0092B-C50C-407E-A947-70E740481C1C}">
                                <a14:useLocalDpi xmlns:a14="http://schemas.microsoft.com/office/drawing/2010/main" val="0"/>
                              </a:ext>
                            </a:extLst>
                          </a:blip>
                          <a:stretch>
                            <a:fillRect/>
                          </a:stretch>
                        </pic:blipFill>
                        <pic:spPr>
                          <a:xfrm>
                            <a:off x="0" y="0"/>
                            <a:ext cx="9136551" cy="4435522"/>
                          </a:xfrm>
                          <a:prstGeom prst="rect">
                            <a:avLst/>
                          </a:prstGeom>
                        </pic:spPr>
                      </pic:pic>
                    </a:graphicData>
                  </a:graphic>
                  <wp14:sizeRelH relativeFrom="margin">
                    <wp14:pctWidth>0</wp14:pctWidth>
                  </wp14:sizeRelH>
                  <wp14:sizeRelV relativeFrom="margin">
                    <wp14:pctHeight>0</wp14:pctHeight>
                  </wp14:sizeRelV>
                </wp:anchor>
              </w:drawing>
            </w:r>
            <w:r w:rsidRPr="003616C5" w:rsidR="00C50B07">
              <w:rPr>
                <w:b/>
                <w:bCs/>
                <w:sz w:val="18"/>
                <w:szCs w:val="18"/>
              </w:rPr>
              <w:t>Option 2</w:t>
            </w:r>
          </w:p>
        </w:tc>
      </w:tr>
      <w:tr w:rsidRPr="003616C5" w:rsidR="00C50B07" w:rsidTr="003616C5" w14:paraId="746A7F83" w14:textId="77777777">
        <w:tc>
          <w:tcPr>
            <w:tcW w:w="3681" w:type="dxa"/>
          </w:tcPr>
          <w:p w:rsidRPr="003616C5" w:rsidR="00C50B07" w:rsidP="003616C5" w:rsidRDefault="00C50B07" w14:paraId="5F75AE8D" w14:textId="77777777">
            <w:pPr>
              <w:spacing w:after="0"/>
              <w:rPr>
                <w:sz w:val="18"/>
                <w:szCs w:val="18"/>
              </w:rPr>
            </w:pPr>
            <w:r w:rsidRPr="003616C5">
              <w:rPr>
                <w:b/>
                <w:bCs/>
                <w:sz w:val="18"/>
                <w:szCs w:val="18"/>
              </w:rPr>
              <w:t>Question 1:</w:t>
            </w:r>
            <w:r w:rsidRPr="003616C5">
              <w:rPr>
                <w:sz w:val="18"/>
                <w:szCs w:val="18"/>
              </w:rPr>
              <w:t xml:space="preserve"> Is the income available on a nationally competitive basis?</w:t>
            </w:r>
          </w:p>
        </w:tc>
        <w:tc>
          <w:tcPr>
            <w:tcW w:w="4819" w:type="dxa"/>
          </w:tcPr>
          <w:p w:rsidRPr="003616C5" w:rsidR="00C50B07" w:rsidP="003616C5" w:rsidRDefault="00C50B07" w14:paraId="40B6346F" w14:textId="59A1D82B">
            <w:pPr>
              <w:spacing w:after="0"/>
              <w:rPr>
                <w:sz w:val="18"/>
                <w:szCs w:val="18"/>
              </w:rPr>
            </w:pPr>
            <w:r w:rsidRPr="003616C5">
              <w:rPr>
                <w:sz w:val="18"/>
                <w:szCs w:val="18"/>
              </w:rPr>
              <w:t xml:space="preserve">If yes, go to </w:t>
            </w:r>
            <w:r w:rsidRPr="003616C5">
              <w:rPr>
                <w:b/>
                <w:bCs/>
                <w:sz w:val="18"/>
                <w:szCs w:val="18"/>
              </w:rPr>
              <w:t>Question 2</w:t>
            </w:r>
            <w:r w:rsidRPr="003616C5">
              <w:rPr>
                <w:sz w:val="18"/>
                <w:szCs w:val="18"/>
              </w:rPr>
              <w:t>.</w:t>
            </w:r>
          </w:p>
        </w:tc>
        <w:tc>
          <w:tcPr>
            <w:tcW w:w="5448" w:type="dxa"/>
          </w:tcPr>
          <w:p w:rsidRPr="003616C5" w:rsidR="00C50B07" w:rsidP="003616C5" w:rsidRDefault="00C50B07" w14:paraId="29065EAB" w14:textId="77777777">
            <w:pPr>
              <w:spacing w:after="0"/>
              <w:rPr>
                <w:sz w:val="18"/>
                <w:szCs w:val="18"/>
              </w:rPr>
            </w:pPr>
            <w:r w:rsidRPr="003616C5">
              <w:rPr>
                <w:sz w:val="18"/>
                <w:szCs w:val="18"/>
              </w:rPr>
              <w:t xml:space="preserve">If no, the income is </w:t>
            </w:r>
            <w:r w:rsidRPr="003616C5">
              <w:rPr>
                <w:b/>
                <w:bCs/>
                <w:sz w:val="18"/>
                <w:szCs w:val="18"/>
              </w:rPr>
              <w:t>not eligible as Category 1</w:t>
            </w:r>
            <w:r w:rsidRPr="003616C5">
              <w:rPr>
                <w:sz w:val="18"/>
                <w:szCs w:val="18"/>
              </w:rPr>
              <w:t>.</w:t>
            </w:r>
          </w:p>
        </w:tc>
      </w:tr>
      <w:tr w:rsidRPr="003616C5" w:rsidR="00C50B07" w:rsidTr="003616C5" w14:paraId="53B703A6" w14:textId="77777777">
        <w:tc>
          <w:tcPr>
            <w:tcW w:w="3681" w:type="dxa"/>
          </w:tcPr>
          <w:p w:rsidRPr="003616C5" w:rsidR="00C50B07" w:rsidP="003616C5" w:rsidRDefault="00C50B07" w14:paraId="34AACA0A" w14:textId="77777777">
            <w:pPr>
              <w:spacing w:after="0"/>
              <w:rPr>
                <w:sz w:val="18"/>
                <w:szCs w:val="18"/>
              </w:rPr>
            </w:pPr>
            <w:r w:rsidRPr="003616C5">
              <w:rPr>
                <w:b/>
                <w:bCs/>
                <w:sz w:val="18"/>
                <w:szCs w:val="18"/>
              </w:rPr>
              <w:t>Question 2</w:t>
            </w:r>
            <w:r w:rsidRPr="003616C5">
              <w:rPr>
                <w:sz w:val="18"/>
                <w:szCs w:val="18"/>
              </w:rPr>
              <w:t>: Is the income used for research?</w:t>
            </w:r>
          </w:p>
        </w:tc>
        <w:tc>
          <w:tcPr>
            <w:tcW w:w="4819" w:type="dxa"/>
          </w:tcPr>
          <w:p w:rsidRPr="003616C5" w:rsidR="00C50B07" w:rsidP="003616C5" w:rsidRDefault="00C50B07" w14:paraId="1715A871" w14:textId="450F87DD">
            <w:pPr>
              <w:spacing w:after="0"/>
              <w:rPr>
                <w:sz w:val="18"/>
                <w:szCs w:val="18"/>
              </w:rPr>
            </w:pPr>
            <w:r w:rsidRPr="003616C5">
              <w:rPr>
                <w:sz w:val="18"/>
                <w:szCs w:val="18"/>
              </w:rPr>
              <w:t xml:space="preserve">If yes, go to </w:t>
            </w:r>
            <w:r w:rsidRPr="003616C5">
              <w:rPr>
                <w:b/>
                <w:bCs/>
                <w:sz w:val="18"/>
                <w:szCs w:val="18"/>
              </w:rPr>
              <w:t>Question 3</w:t>
            </w:r>
            <w:r w:rsidRPr="003616C5">
              <w:rPr>
                <w:sz w:val="18"/>
                <w:szCs w:val="18"/>
              </w:rPr>
              <w:t>.</w:t>
            </w:r>
          </w:p>
        </w:tc>
        <w:tc>
          <w:tcPr>
            <w:tcW w:w="5448" w:type="dxa"/>
          </w:tcPr>
          <w:p w:rsidRPr="003616C5" w:rsidR="00C50B07" w:rsidP="003616C5" w:rsidRDefault="00C50B07" w14:paraId="34EBC37B" w14:textId="3EEF1648">
            <w:pPr>
              <w:spacing w:after="0"/>
              <w:rPr>
                <w:sz w:val="18"/>
                <w:szCs w:val="18"/>
              </w:rPr>
            </w:pPr>
            <w:r w:rsidRPr="003616C5">
              <w:rPr>
                <w:sz w:val="18"/>
                <w:szCs w:val="18"/>
              </w:rPr>
              <w:t xml:space="preserve">If no, the income is </w:t>
            </w:r>
            <w:r w:rsidRPr="003616C5">
              <w:rPr>
                <w:b/>
                <w:bCs/>
                <w:sz w:val="18"/>
                <w:szCs w:val="18"/>
              </w:rPr>
              <w:t>not eligible as Category 1</w:t>
            </w:r>
            <w:r w:rsidRPr="003616C5">
              <w:rPr>
                <w:sz w:val="18"/>
                <w:szCs w:val="18"/>
              </w:rPr>
              <w:t>.</w:t>
            </w:r>
          </w:p>
        </w:tc>
      </w:tr>
      <w:tr w:rsidRPr="003616C5" w:rsidR="00C50B07" w:rsidTr="003616C5" w14:paraId="488AFFD4" w14:textId="77777777">
        <w:tc>
          <w:tcPr>
            <w:tcW w:w="3681" w:type="dxa"/>
          </w:tcPr>
          <w:p w:rsidRPr="003616C5" w:rsidR="00C50B07" w:rsidP="003616C5" w:rsidRDefault="00C50B07" w14:paraId="2F13D976" w14:textId="77777777">
            <w:pPr>
              <w:spacing w:after="0"/>
              <w:rPr>
                <w:sz w:val="18"/>
                <w:szCs w:val="18"/>
              </w:rPr>
            </w:pPr>
            <w:r>
              <w:rPr>
                <w:noProof/>
              </w:rPr>
              <mc:AlternateContent>
                <mc:Choice Requires="wps">
                  <w:drawing>
                    <wp:anchor distT="0" distB="0" distL="114300" distR="114300" simplePos="0" relativeHeight="251658242" behindDoc="0" locked="0" layoutInCell="1" allowOverlap="1" wp14:anchorId="265E2CE8" wp14:editId="19F0E670">
                      <wp:simplePos x="0" y="0"/>
                      <wp:positionH relativeFrom="column">
                        <wp:posOffset>-125746</wp:posOffset>
                      </wp:positionH>
                      <wp:positionV relativeFrom="paragraph">
                        <wp:posOffset>-1040485</wp:posOffset>
                      </wp:positionV>
                      <wp:extent cx="8930005" cy="213756"/>
                      <wp:effectExtent l="0" t="0" r="4445" b="0"/>
                      <wp:wrapNone/>
                      <wp:docPr id="938111588" name="Text Box 1"/>
                      <wp:cNvGraphicFramePr/>
                      <a:graphic xmlns:a="http://schemas.openxmlformats.org/drawingml/2006/main">
                        <a:graphicData uri="http://schemas.microsoft.com/office/word/2010/wordprocessingShape">
                          <wps:wsp>
                            <wps:cNvSpPr txBox="1"/>
                            <wps:spPr>
                              <a:xfrm>
                                <a:off x="0" y="0"/>
                                <a:ext cx="8930005" cy="213756"/>
                              </a:xfrm>
                              <a:prstGeom prst="rect">
                                <a:avLst/>
                              </a:prstGeom>
                              <a:solidFill>
                                <a:prstClr val="white"/>
                              </a:solidFill>
                              <a:ln>
                                <a:noFill/>
                              </a:ln>
                            </wps:spPr>
                            <wps:txbx>
                              <w:txbxContent>
                                <w:p w:rsidRPr="00BF4492" w:rsidR="00C50B07" w:rsidP="00642E54" w:rsidRDefault="00C50B07" w14:paraId="543F5FF0" w14:textId="4907B6D2">
                                  <w:pPr>
                                    <w:pStyle w:val="Caption1Tree"/>
                                    <w:numPr>
                                      <w:ilvl w:val="0"/>
                                      <w:numId w:val="21"/>
                                    </w:numPr>
                                    <w:ind w:left="851" w:hanging="851"/>
                                  </w:pPr>
                                  <w:bookmarkStart w:name="_Toc222833878" w:id="258"/>
                                  <w:r w:rsidRPr="00BF4492">
                                    <w:t>Decision tree to determine Category 1 Australian competitive grant R&amp;D income</w:t>
                                  </w:r>
                                  <w:bookmarkEnd w:id="258"/>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w14:anchorId="25070508">
                    <v:shapetype id="_x0000_t202" coordsize="21600,21600" o:spt="202" path="m,l,21600r21600,l21600,xe" w14:anchorId="265E2CE8">
                      <v:stroke joinstyle="miter"/>
                      <v:path gradientshapeok="t" o:connecttype="rect"/>
                    </v:shapetype>
                    <v:shape id="Text Box 1" style="position:absolute;margin-left:-9.9pt;margin-top:-81.95pt;width:703.15pt;height:16.8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">
                      <v:textbox inset="0,0,0,0">
                        <w:txbxContent>
                          <w:p w:rsidRPr="00BF4492" w:rsidR="00C50B07" w:rsidP="00642E54" w:rsidRDefault="00C50B07" w14:paraId="6E4342B7" w14:textId="4907B6D2">
                            <w:pPr>
                              <w:pStyle w:val="Caption1Tree"/>
                              <w:numPr>
                                <w:ilvl w:val="0"/>
                                <w:numId w:val="21"/>
                              </w:numPr>
                              <w:ind w:left="851" w:hanging="851"/>
                            </w:pPr>
                            <w:r w:rsidRPr="00BF4492">
                              <w:t>Decision tree to determine Category 1 Australian competitive grant R&amp;D income</w:t>
                            </w:r>
                          </w:p>
                        </w:txbxContent>
                      </v:textbox>
                    </v:shape>
                  </w:pict>
                </mc:Fallback>
              </mc:AlternateContent>
            </w:r>
            <w:r w:rsidRPr="003616C5">
              <w:rPr>
                <w:b/>
                <w:bCs/>
                <w:sz w:val="18"/>
                <w:szCs w:val="18"/>
              </w:rPr>
              <w:t>Question 3:</w:t>
            </w:r>
            <w:r w:rsidRPr="003616C5">
              <w:rPr>
                <w:sz w:val="18"/>
                <w:szCs w:val="18"/>
              </w:rPr>
              <w:t xml:space="preserve"> Is the scheme nationally advertised and available to all Australian HEPs?</w:t>
            </w:r>
          </w:p>
        </w:tc>
        <w:tc>
          <w:tcPr>
            <w:tcW w:w="4819" w:type="dxa"/>
          </w:tcPr>
          <w:p w:rsidRPr="003616C5" w:rsidR="00C50B07" w:rsidP="003616C5" w:rsidRDefault="00C50B07" w14:paraId="278A5BC3" w14:textId="29D0F6D9">
            <w:pPr>
              <w:spacing w:after="0"/>
              <w:rPr>
                <w:sz w:val="18"/>
                <w:szCs w:val="18"/>
              </w:rPr>
            </w:pPr>
            <w:r w:rsidRPr="003616C5">
              <w:rPr>
                <w:sz w:val="18"/>
                <w:szCs w:val="18"/>
              </w:rPr>
              <w:t xml:space="preserve">If yes, go to </w:t>
            </w:r>
            <w:r w:rsidRPr="003616C5">
              <w:rPr>
                <w:b/>
                <w:bCs/>
                <w:sz w:val="18"/>
                <w:szCs w:val="18"/>
              </w:rPr>
              <w:t>Question 4</w:t>
            </w:r>
            <w:r w:rsidRPr="003616C5">
              <w:rPr>
                <w:sz w:val="18"/>
                <w:szCs w:val="18"/>
              </w:rPr>
              <w:t>.</w:t>
            </w:r>
          </w:p>
        </w:tc>
        <w:tc>
          <w:tcPr>
            <w:tcW w:w="5448" w:type="dxa"/>
          </w:tcPr>
          <w:p w:rsidRPr="003616C5" w:rsidR="00C50B07" w:rsidP="003616C5" w:rsidRDefault="00C50B07" w14:paraId="01EEFDCB" w14:textId="2F3FC0C7">
            <w:pPr>
              <w:spacing w:after="0"/>
              <w:rPr>
                <w:sz w:val="18"/>
                <w:szCs w:val="18"/>
              </w:rPr>
            </w:pPr>
            <w:r w:rsidRPr="003616C5">
              <w:rPr>
                <w:sz w:val="18"/>
                <w:szCs w:val="18"/>
              </w:rPr>
              <w:t xml:space="preserve">If no, the income is </w:t>
            </w:r>
            <w:r w:rsidRPr="003616C5">
              <w:rPr>
                <w:b/>
                <w:bCs/>
                <w:sz w:val="18"/>
                <w:szCs w:val="18"/>
              </w:rPr>
              <w:t>not eligible as Category 1</w:t>
            </w:r>
            <w:r w:rsidRPr="003616C5">
              <w:rPr>
                <w:sz w:val="18"/>
                <w:szCs w:val="18"/>
              </w:rPr>
              <w:t>.</w:t>
            </w:r>
          </w:p>
        </w:tc>
      </w:tr>
      <w:tr w:rsidRPr="003616C5" w:rsidR="00C50B07" w:rsidTr="003616C5" w14:paraId="1DD7B76B" w14:textId="77777777">
        <w:tc>
          <w:tcPr>
            <w:tcW w:w="3681" w:type="dxa"/>
          </w:tcPr>
          <w:p w:rsidRPr="003616C5" w:rsidR="00C50B07" w:rsidP="003616C5" w:rsidRDefault="00C50B07" w14:paraId="178552DE" w14:textId="77777777">
            <w:pPr>
              <w:spacing w:after="0"/>
              <w:rPr>
                <w:sz w:val="18"/>
                <w:szCs w:val="18"/>
              </w:rPr>
            </w:pPr>
            <w:r w:rsidRPr="003616C5">
              <w:rPr>
                <w:b/>
                <w:bCs/>
                <w:sz w:val="18"/>
                <w:szCs w:val="18"/>
              </w:rPr>
              <w:t>Question 4</w:t>
            </w:r>
            <w:r w:rsidRPr="003616C5">
              <w:rPr>
                <w:sz w:val="18"/>
                <w:szCs w:val="18"/>
              </w:rPr>
              <w:t>: Does the scheme have a well-defined mechanism for competition and selection by a qualified panel?</w:t>
            </w:r>
          </w:p>
        </w:tc>
        <w:tc>
          <w:tcPr>
            <w:tcW w:w="4819" w:type="dxa"/>
          </w:tcPr>
          <w:p w:rsidRPr="003616C5" w:rsidR="00C50B07" w:rsidP="003616C5" w:rsidRDefault="00C50B07" w14:paraId="70C8D9E0" w14:textId="6BD649DF">
            <w:pPr>
              <w:spacing w:after="0"/>
              <w:rPr>
                <w:sz w:val="18"/>
                <w:szCs w:val="18"/>
              </w:rPr>
            </w:pPr>
            <w:r w:rsidRPr="003616C5">
              <w:rPr>
                <w:sz w:val="18"/>
                <w:szCs w:val="18"/>
              </w:rPr>
              <w:t xml:space="preserve">If yes, go to </w:t>
            </w:r>
            <w:r w:rsidRPr="003616C5">
              <w:rPr>
                <w:b/>
                <w:bCs/>
                <w:sz w:val="18"/>
                <w:szCs w:val="18"/>
              </w:rPr>
              <w:t>Question 5</w:t>
            </w:r>
            <w:r w:rsidRPr="003616C5">
              <w:rPr>
                <w:sz w:val="18"/>
                <w:szCs w:val="18"/>
              </w:rPr>
              <w:t>.</w:t>
            </w:r>
          </w:p>
        </w:tc>
        <w:tc>
          <w:tcPr>
            <w:tcW w:w="5448" w:type="dxa"/>
          </w:tcPr>
          <w:p w:rsidRPr="003616C5" w:rsidR="00C50B07" w:rsidP="003616C5" w:rsidRDefault="00C50B07" w14:paraId="645B4E4C" w14:textId="77777777">
            <w:pPr>
              <w:spacing w:after="0"/>
              <w:rPr>
                <w:sz w:val="18"/>
                <w:szCs w:val="18"/>
              </w:rPr>
            </w:pPr>
            <w:r w:rsidRPr="003616C5">
              <w:rPr>
                <w:sz w:val="18"/>
                <w:szCs w:val="18"/>
              </w:rPr>
              <w:t xml:space="preserve">If no, the income is </w:t>
            </w:r>
            <w:r w:rsidRPr="003616C5">
              <w:rPr>
                <w:b/>
                <w:bCs/>
                <w:sz w:val="18"/>
                <w:szCs w:val="18"/>
              </w:rPr>
              <w:t>not eligible as Category 1</w:t>
            </w:r>
            <w:r w:rsidRPr="003616C5">
              <w:rPr>
                <w:sz w:val="18"/>
                <w:szCs w:val="18"/>
              </w:rPr>
              <w:t>.</w:t>
            </w:r>
          </w:p>
        </w:tc>
      </w:tr>
      <w:tr w:rsidRPr="003616C5" w:rsidR="00C50B07" w:rsidTr="003616C5" w14:paraId="171DA5A7" w14:textId="77777777">
        <w:trPr>
          <w:trHeight w:val="667"/>
        </w:trPr>
        <w:tc>
          <w:tcPr>
            <w:tcW w:w="3681" w:type="dxa"/>
          </w:tcPr>
          <w:p w:rsidRPr="003616C5" w:rsidR="00C50B07" w:rsidP="003616C5" w:rsidRDefault="00C50B07" w14:paraId="77A4365F" w14:textId="439C0DAD">
            <w:pPr>
              <w:spacing w:after="0"/>
              <w:rPr>
                <w:sz w:val="18"/>
                <w:szCs w:val="18"/>
              </w:rPr>
            </w:pPr>
            <w:r w:rsidRPr="003616C5">
              <w:rPr>
                <w:b/>
                <w:bCs/>
                <w:sz w:val="18"/>
                <w:szCs w:val="18"/>
              </w:rPr>
              <w:t>Question 5:</w:t>
            </w:r>
            <w:r w:rsidRPr="003616C5">
              <w:rPr>
                <w:sz w:val="18"/>
                <w:szCs w:val="18"/>
              </w:rPr>
              <w:t xml:space="preserve"> Is the income made through direct payment to the HEP? </w:t>
            </w:r>
            <w:r w:rsidRPr="003616C5">
              <w:rPr>
                <w:i/>
                <w:iCs/>
                <w:sz w:val="18"/>
                <w:szCs w:val="18"/>
              </w:rPr>
              <w:t>Note: The exception to this requirement is shared income, as defined under section 4.3.1.</w:t>
            </w:r>
          </w:p>
        </w:tc>
        <w:tc>
          <w:tcPr>
            <w:tcW w:w="4819" w:type="dxa"/>
          </w:tcPr>
          <w:p w:rsidRPr="003616C5" w:rsidR="00C50B07" w:rsidP="003616C5" w:rsidRDefault="00C50B07" w14:paraId="71C6C4AF" w14:textId="4352A04A">
            <w:pPr>
              <w:spacing w:after="0"/>
              <w:rPr>
                <w:sz w:val="18"/>
                <w:szCs w:val="18"/>
              </w:rPr>
            </w:pPr>
            <w:r w:rsidRPr="003616C5">
              <w:rPr>
                <w:sz w:val="18"/>
                <w:szCs w:val="18"/>
              </w:rPr>
              <w:t xml:space="preserve">If yes, the income is </w:t>
            </w:r>
            <w:r w:rsidRPr="003616C5">
              <w:rPr>
                <w:b/>
                <w:bCs/>
                <w:sz w:val="18"/>
                <w:szCs w:val="18"/>
              </w:rPr>
              <w:t>eligible as</w:t>
            </w:r>
            <w:r w:rsidRPr="003616C5">
              <w:rPr>
                <w:sz w:val="18"/>
                <w:szCs w:val="18"/>
              </w:rPr>
              <w:t xml:space="preserve"> </w:t>
            </w:r>
            <w:r w:rsidRPr="003616C5">
              <w:rPr>
                <w:b/>
                <w:bCs/>
                <w:sz w:val="18"/>
                <w:szCs w:val="18"/>
              </w:rPr>
              <w:t>Category one</w:t>
            </w:r>
            <w:r w:rsidRPr="003616C5">
              <w:rPr>
                <w:sz w:val="18"/>
                <w:szCs w:val="18"/>
              </w:rPr>
              <w:t xml:space="preserve">. Go to </w:t>
            </w:r>
            <w:r w:rsidRPr="003616C5">
              <w:rPr>
                <w:b/>
                <w:bCs/>
                <w:sz w:val="18"/>
                <w:szCs w:val="18"/>
              </w:rPr>
              <w:t>Question 6</w:t>
            </w:r>
            <w:r w:rsidRPr="003616C5">
              <w:rPr>
                <w:sz w:val="18"/>
                <w:szCs w:val="18"/>
              </w:rPr>
              <w:t>.</w:t>
            </w:r>
            <w:r w:rsidRPr="005A2468">
              <w:rPr>
                <w:i/>
                <w:iCs/>
                <w:sz w:val="18"/>
                <w:szCs w:val="18"/>
              </w:rPr>
              <w:t xml:space="preserve"> Note:</w:t>
            </w:r>
            <w:r w:rsidRPr="00B5613B">
              <w:t xml:space="preserve"> </w:t>
            </w:r>
            <w:r w:rsidRPr="00B5613B">
              <w:rPr>
                <w:i/>
                <w:iCs/>
                <w:sz w:val="18"/>
                <w:szCs w:val="18"/>
              </w:rPr>
              <w:t>R&amp;D income received from CRCs, including CRC-P</w:t>
            </w:r>
            <w:r>
              <w:rPr>
                <w:i/>
                <w:iCs/>
                <w:sz w:val="18"/>
                <w:szCs w:val="18"/>
              </w:rPr>
              <w:t>s</w:t>
            </w:r>
            <w:r w:rsidRPr="00B5613B">
              <w:rPr>
                <w:i/>
                <w:iCs/>
                <w:sz w:val="18"/>
                <w:szCs w:val="18"/>
              </w:rPr>
              <w:t xml:space="preserve">, must be reported under Category 4 R&amp;D income, even if awarded on a competitive basis. Refer to </w:t>
            </w:r>
            <w:r w:rsidRPr="0061796E">
              <w:rPr>
                <w:b/>
                <w:bCs/>
                <w:i/>
                <w:iCs/>
                <w:sz w:val="18"/>
                <w:szCs w:val="18"/>
              </w:rPr>
              <w:t>section 5.4</w:t>
            </w:r>
            <w:r w:rsidRPr="00146DD6" w:rsidR="00996D89">
              <w:rPr>
                <w:rFonts w:ascii="Arial" w:hAnsi="Arial" w:eastAsia="Times New Roman" w:cs="Arial"/>
                <w:b/>
                <w:noProof/>
                <w:color w:val="1A5E2F"/>
                <w:sz w:val="28"/>
                <w:szCs w:val="21"/>
              </w:rPr>
              <w:t xml:space="preserve"> </w:t>
            </w:r>
            <w:r w:rsidRPr="00B5613B">
              <w:rPr>
                <w:i/>
                <w:iCs/>
                <w:sz w:val="18"/>
                <w:szCs w:val="18"/>
              </w:rPr>
              <w:t>.</w:t>
            </w:r>
          </w:p>
        </w:tc>
        <w:tc>
          <w:tcPr>
            <w:tcW w:w="5448" w:type="dxa"/>
          </w:tcPr>
          <w:p w:rsidRPr="003616C5" w:rsidR="00C50B07" w:rsidP="003616C5" w:rsidRDefault="00C50B07" w14:paraId="7174563F" w14:textId="5C41795A">
            <w:pPr>
              <w:spacing w:after="0"/>
              <w:rPr>
                <w:sz w:val="18"/>
                <w:szCs w:val="18"/>
              </w:rPr>
            </w:pPr>
            <w:r w:rsidRPr="003616C5">
              <w:rPr>
                <w:sz w:val="18"/>
                <w:szCs w:val="18"/>
              </w:rPr>
              <w:t xml:space="preserve">If no, the income is </w:t>
            </w:r>
            <w:r w:rsidRPr="003616C5">
              <w:rPr>
                <w:b/>
                <w:bCs/>
                <w:sz w:val="18"/>
                <w:szCs w:val="18"/>
              </w:rPr>
              <w:t>not eligible as Category 1</w:t>
            </w:r>
            <w:r w:rsidRPr="003616C5">
              <w:rPr>
                <w:sz w:val="18"/>
                <w:szCs w:val="18"/>
              </w:rPr>
              <w:t>.</w:t>
            </w:r>
          </w:p>
        </w:tc>
      </w:tr>
      <w:tr w:rsidRPr="003616C5" w:rsidR="00C50B07" w:rsidTr="003616C5" w14:paraId="4D59DA74" w14:textId="77777777">
        <w:tc>
          <w:tcPr>
            <w:tcW w:w="3681" w:type="dxa"/>
          </w:tcPr>
          <w:p w:rsidRPr="003616C5" w:rsidR="00C50B07" w:rsidP="003616C5" w:rsidRDefault="00C50B07" w14:paraId="6768A765" w14:textId="39ECCBC6">
            <w:pPr>
              <w:spacing w:after="0"/>
              <w:rPr>
                <w:sz w:val="18"/>
                <w:szCs w:val="18"/>
              </w:rPr>
            </w:pPr>
            <w:r w:rsidRPr="003616C5">
              <w:rPr>
                <w:b/>
                <w:bCs/>
                <w:sz w:val="18"/>
                <w:szCs w:val="18"/>
              </w:rPr>
              <w:t>Question 6:</w:t>
            </w:r>
            <w:r w:rsidRPr="003616C5">
              <w:rPr>
                <w:sz w:val="18"/>
                <w:szCs w:val="18"/>
              </w:rPr>
              <w:t xml:space="preserve"> Is the income sourced from the Commonwealth Government?</w:t>
            </w:r>
          </w:p>
        </w:tc>
        <w:tc>
          <w:tcPr>
            <w:tcW w:w="4819" w:type="dxa"/>
          </w:tcPr>
          <w:p w:rsidRPr="003616C5" w:rsidR="00C50B07" w:rsidP="003616C5" w:rsidRDefault="00C50B07" w14:paraId="34EAC295" w14:textId="77777777">
            <w:pPr>
              <w:spacing w:after="0"/>
              <w:rPr>
                <w:sz w:val="18"/>
                <w:szCs w:val="18"/>
              </w:rPr>
            </w:pPr>
            <w:r w:rsidRPr="003616C5">
              <w:rPr>
                <w:sz w:val="18"/>
                <w:szCs w:val="18"/>
              </w:rPr>
              <w:t xml:space="preserve">If yes, go to </w:t>
            </w:r>
            <w:r w:rsidRPr="003616C5">
              <w:rPr>
                <w:b/>
                <w:bCs/>
                <w:sz w:val="18"/>
                <w:szCs w:val="18"/>
              </w:rPr>
              <w:t>Question 7</w:t>
            </w:r>
            <w:r w:rsidRPr="003616C5">
              <w:rPr>
                <w:sz w:val="18"/>
                <w:szCs w:val="18"/>
              </w:rPr>
              <w:t>.</w:t>
            </w:r>
          </w:p>
        </w:tc>
        <w:tc>
          <w:tcPr>
            <w:tcW w:w="5448" w:type="dxa"/>
          </w:tcPr>
          <w:p w:rsidRPr="003616C5" w:rsidR="00C50B07" w:rsidP="003616C5" w:rsidRDefault="00C50B07" w14:paraId="2D378F65" w14:textId="112FF50C">
            <w:pPr>
              <w:spacing w:after="0"/>
              <w:rPr>
                <w:sz w:val="18"/>
                <w:szCs w:val="18"/>
              </w:rPr>
            </w:pPr>
            <w:r w:rsidRPr="003616C5">
              <w:rPr>
                <w:sz w:val="18"/>
                <w:szCs w:val="18"/>
              </w:rPr>
              <w:t xml:space="preserve">If no, and the income is sourced from a State or Territory government, it is </w:t>
            </w:r>
            <w:r w:rsidRPr="003616C5">
              <w:rPr>
                <w:b/>
                <w:bCs/>
                <w:sz w:val="18"/>
                <w:szCs w:val="18"/>
              </w:rPr>
              <w:t>State/Territory sub-category 1.6</w:t>
            </w:r>
            <w:r w:rsidRPr="003616C5">
              <w:rPr>
                <w:sz w:val="18"/>
                <w:szCs w:val="18"/>
              </w:rPr>
              <w:t>.</w:t>
            </w:r>
          </w:p>
          <w:p w:rsidRPr="003616C5" w:rsidR="00C50B07" w:rsidP="003616C5" w:rsidRDefault="00C50B07" w14:paraId="4784D12F" w14:textId="77777777">
            <w:pPr>
              <w:spacing w:after="0"/>
              <w:rPr>
                <w:sz w:val="18"/>
                <w:szCs w:val="18"/>
              </w:rPr>
            </w:pPr>
            <w:r w:rsidRPr="003616C5">
              <w:rPr>
                <w:sz w:val="18"/>
                <w:szCs w:val="18"/>
              </w:rPr>
              <w:t xml:space="preserve">If no, and the income is not sourced from a State or Territory Government it is </w:t>
            </w:r>
            <w:r w:rsidRPr="003616C5">
              <w:rPr>
                <w:b/>
                <w:bCs/>
                <w:sz w:val="18"/>
                <w:szCs w:val="18"/>
              </w:rPr>
              <w:t>Other sub-category 1.7</w:t>
            </w:r>
            <w:r w:rsidRPr="003616C5">
              <w:rPr>
                <w:sz w:val="18"/>
                <w:szCs w:val="18"/>
              </w:rPr>
              <w:t>.</w:t>
            </w:r>
          </w:p>
        </w:tc>
      </w:tr>
      <w:tr w:rsidRPr="003616C5" w:rsidR="00C50B07" w:rsidTr="003616C5" w14:paraId="4440EE0C" w14:textId="77777777">
        <w:tc>
          <w:tcPr>
            <w:tcW w:w="3681" w:type="dxa"/>
          </w:tcPr>
          <w:p w:rsidRPr="003616C5" w:rsidR="00C50B07" w:rsidP="003616C5" w:rsidRDefault="00C50B07" w14:paraId="0B1E80F1" w14:textId="77777777">
            <w:pPr>
              <w:spacing w:after="0"/>
              <w:rPr>
                <w:sz w:val="18"/>
                <w:szCs w:val="18"/>
              </w:rPr>
            </w:pPr>
            <w:r w:rsidRPr="003616C5">
              <w:rPr>
                <w:b/>
                <w:bCs/>
                <w:sz w:val="18"/>
                <w:szCs w:val="18"/>
              </w:rPr>
              <w:t>Question 7:</w:t>
            </w:r>
            <w:r w:rsidRPr="003616C5">
              <w:rPr>
                <w:sz w:val="18"/>
                <w:szCs w:val="18"/>
              </w:rPr>
              <w:t xml:space="preserve"> Is the income sourced from NHMRC or ARC?</w:t>
            </w:r>
          </w:p>
        </w:tc>
        <w:tc>
          <w:tcPr>
            <w:tcW w:w="4819" w:type="dxa"/>
          </w:tcPr>
          <w:p w:rsidRPr="003616C5" w:rsidR="00C50B07" w:rsidP="00807A64" w:rsidRDefault="00C50B07" w14:paraId="2C454723" w14:textId="4F0E39E1">
            <w:pPr>
              <w:tabs>
                <w:tab w:val="left" w:pos="1226"/>
              </w:tabs>
              <w:spacing w:after="0"/>
              <w:rPr>
                <w:sz w:val="18"/>
                <w:szCs w:val="18"/>
              </w:rPr>
            </w:pPr>
            <w:r w:rsidRPr="003616C5">
              <w:rPr>
                <w:sz w:val="18"/>
                <w:szCs w:val="18"/>
              </w:rPr>
              <w:t xml:space="preserve">If yes, </w:t>
            </w:r>
            <w:r>
              <w:rPr>
                <w:sz w:val="18"/>
                <w:szCs w:val="18"/>
              </w:rPr>
              <w:t>and</w:t>
            </w:r>
            <w:r w:rsidRPr="003616C5">
              <w:rPr>
                <w:sz w:val="18"/>
                <w:szCs w:val="18"/>
              </w:rPr>
              <w:t xml:space="preserve"> the income is sourced from NHMRC, it is </w:t>
            </w:r>
            <w:r w:rsidRPr="003616C5">
              <w:rPr>
                <w:b/>
                <w:bCs/>
                <w:sz w:val="18"/>
                <w:szCs w:val="18"/>
              </w:rPr>
              <w:t>NHMRC R&amp;D sub-category 1.1.</w:t>
            </w:r>
            <w:r w:rsidRPr="003616C5">
              <w:rPr>
                <w:sz w:val="18"/>
                <w:szCs w:val="18"/>
              </w:rPr>
              <w:t xml:space="preserve"> </w:t>
            </w:r>
          </w:p>
          <w:p w:rsidRPr="003616C5" w:rsidR="00C50B07" w:rsidP="003616C5" w:rsidRDefault="00C50B07" w14:paraId="78C6DC48" w14:textId="77777777">
            <w:pPr>
              <w:spacing w:after="0"/>
              <w:rPr>
                <w:b/>
                <w:bCs/>
                <w:sz w:val="18"/>
                <w:szCs w:val="18"/>
                <w:highlight w:val="yellow"/>
              </w:rPr>
            </w:pPr>
            <w:r w:rsidRPr="003616C5">
              <w:rPr>
                <w:sz w:val="18"/>
                <w:szCs w:val="18"/>
              </w:rPr>
              <w:t xml:space="preserve">If yes, </w:t>
            </w:r>
            <w:r>
              <w:rPr>
                <w:sz w:val="18"/>
                <w:szCs w:val="18"/>
              </w:rPr>
              <w:t>and</w:t>
            </w:r>
            <w:r w:rsidRPr="003616C5">
              <w:rPr>
                <w:sz w:val="18"/>
                <w:szCs w:val="18"/>
              </w:rPr>
              <w:t xml:space="preserve"> the income is sourced from ARC it is </w:t>
            </w:r>
            <w:r w:rsidRPr="003616C5">
              <w:rPr>
                <w:b/>
                <w:bCs/>
                <w:sz w:val="18"/>
                <w:szCs w:val="18"/>
              </w:rPr>
              <w:t xml:space="preserve">ARC R&amp;D sub-category 1.2. </w:t>
            </w:r>
            <w:r w:rsidRPr="003616C5">
              <w:rPr>
                <w:i/>
                <w:iCs/>
                <w:sz w:val="18"/>
                <w:szCs w:val="18"/>
              </w:rPr>
              <w:t>Refer to section 4.2.2(x) for a list of excluded ARC schemes</w:t>
            </w:r>
            <w:r w:rsidRPr="003616C5">
              <w:rPr>
                <w:sz w:val="18"/>
                <w:szCs w:val="18"/>
              </w:rPr>
              <w:t>.</w:t>
            </w:r>
          </w:p>
        </w:tc>
        <w:tc>
          <w:tcPr>
            <w:tcW w:w="5448" w:type="dxa"/>
          </w:tcPr>
          <w:p w:rsidRPr="003616C5" w:rsidR="00C50B07" w:rsidP="003616C5" w:rsidRDefault="00C50B07" w14:paraId="7FFDBCCC" w14:textId="6AE2D6A9">
            <w:pPr>
              <w:spacing w:after="0"/>
              <w:rPr>
                <w:sz w:val="18"/>
                <w:szCs w:val="18"/>
              </w:rPr>
            </w:pPr>
            <w:r w:rsidRPr="003616C5">
              <w:rPr>
                <w:sz w:val="18"/>
                <w:szCs w:val="18"/>
              </w:rPr>
              <w:t xml:space="preserve">If no, go to </w:t>
            </w:r>
            <w:r w:rsidRPr="003616C5">
              <w:rPr>
                <w:b/>
                <w:bCs/>
                <w:sz w:val="18"/>
                <w:szCs w:val="18"/>
              </w:rPr>
              <w:t>Question 8</w:t>
            </w:r>
            <w:r w:rsidRPr="003616C5">
              <w:rPr>
                <w:sz w:val="18"/>
                <w:szCs w:val="18"/>
              </w:rPr>
              <w:t>.</w:t>
            </w:r>
          </w:p>
        </w:tc>
      </w:tr>
      <w:tr w:rsidRPr="003616C5" w:rsidR="00C50B07" w:rsidTr="003616C5" w14:paraId="57F8F9B3" w14:textId="77777777">
        <w:tc>
          <w:tcPr>
            <w:tcW w:w="3681" w:type="dxa"/>
          </w:tcPr>
          <w:p w:rsidRPr="003616C5" w:rsidR="00C50B07" w:rsidP="003616C5" w:rsidRDefault="00C50B07" w14:paraId="09F919A8" w14:textId="77777777">
            <w:pPr>
              <w:spacing w:after="0"/>
              <w:rPr>
                <w:sz w:val="18"/>
                <w:szCs w:val="18"/>
              </w:rPr>
            </w:pPr>
            <w:r w:rsidRPr="003616C5">
              <w:rPr>
                <w:b/>
                <w:bCs/>
                <w:sz w:val="18"/>
                <w:szCs w:val="18"/>
              </w:rPr>
              <w:t>Question 8:</w:t>
            </w:r>
            <w:r w:rsidRPr="003616C5">
              <w:rPr>
                <w:sz w:val="18"/>
                <w:szCs w:val="18"/>
              </w:rPr>
              <w:t xml:space="preserve"> Is the income sourced from MRFF?</w:t>
            </w:r>
          </w:p>
        </w:tc>
        <w:tc>
          <w:tcPr>
            <w:tcW w:w="4819" w:type="dxa"/>
          </w:tcPr>
          <w:p w:rsidRPr="003616C5" w:rsidR="00C50B07" w:rsidP="003616C5" w:rsidRDefault="00C50B07" w14:paraId="3459E699" w14:textId="24366F78">
            <w:pPr>
              <w:spacing w:after="0"/>
              <w:rPr>
                <w:sz w:val="18"/>
                <w:szCs w:val="18"/>
              </w:rPr>
            </w:pPr>
            <w:r w:rsidRPr="003616C5">
              <w:rPr>
                <w:sz w:val="18"/>
                <w:szCs w:val="18"/>
              </w:rPr>
              <w:t xml:space="preserve">If yes, the income is </w:t>
            </w:r>
            <w:r w:rsidRPr="003616C5">
              <w:rPr>
                <w:b/>
                <w:bCs/>
                <w:sz w:val="18"/>
                <w:szCs w:val="18"/>
              </w:rPr>
              <w:t>MRFF R&amp;D sub-category 1.3.</w:t>
            </w:r>
            <w:r w:rsidRPr="003616C5">
              <w:rPr>
                <w:i/>
                <w:iCs/>
                <w:sz w:val="18"/>
                <w:szCs w:val="18"/>
              </w:rPr>
              <w:t xml:space="preserve"> Note: Not all MRFF funding is Category 1. HEPs are advised to examine any MRFF funds that do not meet the </w:t>
            </w:r>
            <w:r>
              <w:rPr>
                <w:i/>
                <w:iCs/>
                <w:sz w:val="18"/>
                <w:szCs w:val="18"/>
              </w:rPr>
              <w:t>5</w:t>
            </w:r>
            <w:r w:rsidRPr="003616C5">
              <w:rPr>
                <w:i/>
                <w:iCs/>
                <w:sz w:val="18"/>
                <w:szCs w:val="18"/>
              </w:rPr>
              <w:t xml:space="preserve"> criteria to determine if it is Category 2 income</w:t>
            </w:r>
            <w:r w:rsidRPr="003616C5">
              <w:rPr>
                <w:sz w:val="18"/>
                <w:szCs w:val="18"/>
              </w:rPr>
              <w:t xml:space="preserve">. </w:t>
            </w:r>
          </w:p>
        </w:tc>
        <w:tc>
          <w:tcPr>
            <w:tcW w:w="5448" w:type="dxa"/>
          </w:tcPr>
          <w:p w:rsidRPr="003616C5" w:rsidR="00C50B07" w:rsidP="003616C5" w:rsidRDefault="00C50B07" w14:paraId="77F047A2" w14:textId="416FA290">
            <w:pPr>
              <w:spacing w:after="0"/>
              <w:rPr>
                <w:sz w:val="18"/>
                <w:szCs w:val="18"/>
              </w:rPr>
            </w:pPr>
            <w:r w:rsidRPr="003616C5">
              <w:rPr>
                <w:sz w:val="18"/>
                <w:szCs w:val="18"/>
              </w:rPr>
              <w:t xml:space="preserve">If no, go to </w:t>
            </w:r>
            <w:r w:rsidRPr="003616C5">
              <w:rPr>
                <w:b/>
                <w:bCs/>
                <w:sz w:val="18"/>
                <w:szCs w:val="18"/>
              </w:rPr>
              <w:t>Question 9</w:t>
            </w:r>
            <w:r w:rsidRPr="003616C5">
              <w:rPr>
                <w:sz w:val="18"/>
                <w:szCs w:val="18"/>
              </w:rPr>
              <w:t>.</w:t>
            </w:r>
          </w:p>
        </w:tc>
      </w:tr>
      <w:tr w:rsidRPr="003616C5" w:rsidR="00C50B07" w:rsidTr="003616C5" w14:paraId="5E16E39C" w14:textId="77777777">
        <w:tc>
          <w:tcPr>
            <w:tcW w:w="3681" w:type="dxa"/>
          </w:tcPr>
          <w:p w:rsidRPr="003616C5" w:rsidR="00C50B07" w:rsidP="003616C5" w:rsidRDefault="00C50B07" w14:paraId="05903EF1" w14:textId="77777777">
            <w:pPr>
              <w:spacing w:after="0"/>
              <w:rPr>
                <w:sz w:val="18"/>
                <w:szCs w:val="18"/>
              </w:rPr>
            </w:pPr>
            <w:r w:rsidRPr="003616C5">
              <w:rPr>
                <w:b/>
                <w:bCs/>
                <w:sz w:val="18"/>
                <w:szCs w:val="18"/>
              </w:rPr>
              <w:t>Question 9:</w:t>
            </w:r>
            <w:r w:rsidRPr="003616C5">
              <w:rPr>
                <w:sz w:val="18"/>
                <w:szCs w:val="18"/>
              </w:rPr>
              <w:t xml:space="preserve"> Is the income sourced from a rural R&amp;D corporation?</w:t>
            </w:r>
          </w:p>
        </w:tc>
        <w:tc>
          <w:tcPr>
            <w:tcW w:w="4819" w:type="dxa"/>
          </w:tcPr>
          <w:p w:rsidRPr="003616C5" w:rsidR="00C50B07" w:rsidP="003616C5" w:rsidRDefault="00C50B07" w14:paraId="09CB6125" w14:textId="77777777">
            <w:pPr>
              <w:spacing w:after="0"/>
              <w:rPr>
                <w:sz w:val="18"/>
                <w:szCs w:val="18"/>
              </w:rPr>
            </w:pPr>
            <w:r w:rsidRPr="003616C5">
              <w:rPr>
                <w:sz w:val="18"/>
                <w:szCs w:val="18"/>
              </w:rPr>
              <w:t xml:space="preserve">If yes, the income is </w:t>
            </w:r>
            <w:r w:rsidRPr="003616C5">
              <w:rPr>
                <w:b/>
                <w:bCs/>
                <w:sz w:val="18"/>
                <w:szCs w:val="18"/>
              </w:rPr>
              <w:t>Rural R&amp;D sub-category 1.4</w:t>
            </w:r>
            <w:r w:rsidRPr="003616C5">
              <w:rPr>
                <w:sz w:val="18"/>
                <w:szCs w:val="18"/>
              </w:rPr>
              <w:t>.</w:t>
            </w:r>
          </w:p>
        </w:tc>
        <w:tc>
          <w:tcPr>
            <w:tcW w:w="5448" w:type="dxa"/>
          </w:tcPr>
          <w:p w:rsidRPr="003616C5" w:rsidR="00C50B07" w:rsidP="00B04576" w:rsidRDefault="00C50B07" w14:paraId="5A5A87C1" w14:textId="38A9FF7A">
            <w:pPr>
              <w:keepNext/>
              <w:spacing w:after="0"/>
              <w:rPr>
                <w:sz w:val="18"/>
                <w:szCs w:val="18"/>
              </w:rPr>
            </w:pPr>
            <w:r w:rsidRPr="003616C5">
              <w:rPr>
                <w:sz w:val="18"/>
                <w:szCs w:val="18"/>
              </w:rPr>
              <w:t xml:space="preserve">If no, the income is </w:t>
            </w:r>
            <w:r w:rsidRPr="003616C5">
              <w:rPr>
                <w:b/>
                <w:bCs/>
                <w:sz w:val="18"/>
                <w:szCs w:val="18"/>
              </w:rPr>
              <w:t>Commonwealth other sub-category 1.5</w:t>
            </w:r>
            <w:r w:rsidRPr="003616C5">
              <w:rPr>
                <w:sz w:val="18"/>
                <w:szCs w:val="18"/>
              </w:rPr>
              <w:t>.</w:t>
            </w:r>
          </w:p>
        </w:tc>
      </w:tr>
    </w:tbl>
    <w:p w:rsidRPr="00C91C51" w:rsidR="00C50B07" w:rsidP="00F95334" w:rsidRDefault="00C50B07" w14:paraId="2F26B21D" w14:textId="77777777">
      <w:pPr>
        <w:pBdr>
          <w:top w:val="single" w:color="47BFAF" w:themeColor="accent4" w:sz="18" w:space="1"/>
          <w:left w:val="single" w:color="47BFAF" w:themeColor="accent4" w:sz="18" w:space="4"/>
          <w:bottom w:val="single" w:color="47BFAF" w:themeColor="accent4" w:sz="18" w:space="1"/>
          <w:right w:val="single" w:color="47BFAF" w:themeColor="accent4" w:sz="18" w:space="4"/>
        </w:pBdr>
        <w:shd w:val="clear" w:color="auto" w:fill="F2F2F2" w:themeFill="background1" w:themeFillShade="F2"/>
        <w:spacing w:after="0" w:line="240" w:lineRule="auto"/>
        <w:jc w:val="both"/>
        <w:rPr>
          <w:b/>
          <w:bCs/>
        </w:rPr>
      </w:pPr>
      <w:r w:rsidRPr="00C91C51">
        <w:rPr>
          <w:b/>
          <w:bCs/>
        </w:rPr>
        <w:t>Note:</w:t>
      </w:r>
    </w:p>
    <w:p w:rsidRPr="00E74FDE" w:rsidR="00C50B07" w:rsidP="00F95334" w:rsidRDefault="00C50B07" w14:paraId="7A8BBF39" w14:textId="77777777">
      <w:pPr>
        <w:pBdr>
          <w:top w:val="single" w:color="47BFAF" w:themeColor="accent4" w:sz="18" w:space="1"/>
          <w:left w:val="single" w:color="47BFAF" w:themeColor="accent4" w:sz="18" w:space="4"/>
          <w:bottom w:val="single" w:color="47BFAF" w:themeColor="accent4" w:sz="18" w:space="1"/>
          <w:right w:val="single" w:color="47BFAF" w:themeColor="accent4" w:sz="18" w:space="4"/>
        </w:pBdr>
        <w:shd w:val="clear" w:color="auto" w:fill="F2F2F2" w:themeFill="background1" w:themeFillShade="F2"/>
        <w:spacing w:after="0" w:line="240" w:lineRule="auto"/>
        <w:jc w:val="both"/>
      </w:pPr>
      <w:r w:rsidRPr="00E74FDE">
        <w:t>* The exception to this requirement is shared income, as defined under section 4.3.1 of the specifications.</w:t>
      </w:r>
    </w:p>
    <w:p w:rsidR="00C50B07" w:rsidP="00F95334" w:rsidRDefault="00C50B07" w14:paraId="5E33F2DA" w14:textId="38403A0B">
      <w:pPr>
        <w:pBdr>
          <w:top w:val="single" w:color="47BFAF" w:themeColor="accent4" w:sz="18" w:space="1"/>
          <w:left w:val="single" w:color="47BFAF" w:themeColor="accent4" w:sz="18" w:space="4"/>
          <w:bottom w:val="single" w:color="47BFAF" w:themeColor="accent4" w:sz="18" w:space="1"/>
          <w:right w:val="single" w:color="47BFAF" w:themeColor="accent4" w:sz="18" w:space="4"/>
        </w:pBdr>
        <w:shd w:val="clear" w:color="auto" w:fill="F2F2F2" w:themeFill="background1" w:themeFillShade="F2"/>
        <w:spacing w:after="0" w:line="240" w:lineRule="auto"/>
        <w:jc w:val="both"/>
      </w:pPr>
      <w:r>
        <w:t>**</w:t>
      </w:r>
      <w:r w:rsidRPr="0061796E">
        <w:t>R&amp;D income received from CRCs, including CRC-P</w:t>
      </w:r>
      <w:r>
        <w:t>s</w:t>
      </w:r>
      <w:r w:rsidRPr="0061796E">
        <w:t xml:space="preserve">, must be reported under Category 4 R&amp;D income, even if awarded on a competitive basis. Refer to </w:t>
      </w:r>
      <w:r w:rsidRPr="0061796E">
        <w:rPr>
          <w:b/>
          <w:bCs/>
        </w:rPr>
        <w:t>section 5.4</w:t>
      </w:r>
      <w:r w:rsidRPr="0061796E">
        <w:t>.</w:t>
      </w:r>
    </w:p>
    <w:p w:rsidRPr="00E74FDE" w:rsidR="00C50B07" w:rsidP="00F95334" w:rsidRDefault="00C50B07" w14:paraId="09F88CDC" w14:textId="77777777">
      <w:pPr>
        <w:pBdr>
          <w:top w:val="single" w:color="47BFAF" w:themeColor="accent4" w:sz="18" w:space="1"/>
          <w:left w:val="single" w:color="47BFAF" w:themeColor="accent4" w:sz="18" w:space="4"/>
          <w:bottom w:val="single" w:color="47BFAF" w:themeColor="accent4" w:sz="18" w:space="1"/>
          <w:right w:val="single" w:color="47BFAF" w:themeColor="accent4" w:sz="18" w:space="4"/>
        </w:pBdr>
        <w:shd w:val="clear" w:color="auto" w:fill="F2F2F2" w:themeFill="background1" w:themeFillShade="F2"/>
        <w:spacing w:after="0" w:line="240" w:lineRule="auto"/>
        <w:jc w:val="both"/>
      </w:pPr>
      <w:r w:rsidRPr="00E74FDE">
        <w:t>^ Refer to section 4.2.2(x) of the specifications for a list of excluded ARC schemes.</w:t>
      </w:r>
    </w:p>
    <w:p w:rsidRPr="00E74FDE" w:rsidR="00C50B07" w:rsidP="00F95334" w:rsidRDefault="00C50B07" w14:paraId="1F408A79" w14:textId="77777777">
      <w:pPr>
        <w:pBdr>
          <w:top w:val="single" w:color="47BFAF" w:themeColor="accent4" w:sz="18" w:space="1"/>
          <w:left w:val="single" w:color="47BFAF" w:themeColor="accent4" w:sz="18" w:space="4"/>
          <w:bottom w:val="single" w:color="47BFAF" w:themeColor="accent4" w:sz="18" w:space="1"/>
          <w:right w:val="single" w:color="47BFAF" w:themeColor="accent4" w:sz="18" w:space="4"/>
        </w:pBdr>
        <w:shd w:val="clear" w:color="auto" w:fill="F2F2F2" w:themeFill="background1" w:themeFillShade="F2"/>
        <w:spacing w:after="0" w:line="240" w:lineRule="auto"/>
        <w:jc w:val="both"/>
      </w:pPr>
      <w:r w:rsidRPr="00E74FDE">
        <w:t xml:space="preserve">~ Not all MRFF funding is Category 1 income. HEPs are advised to examine any MRFF funds that do not meet the </w:t>
      </w:r>
      <w:r>
        <w:t>5</w:t>
      </w:r>
      <w:r w:rsidRPr="00E74FDE">
        <w:t xml:space="preserve"> criteria to determine if it is Category 2 income.</w:t>
      </w:r>
    </w:p>
    <w:p w:rsidRPr="00E74FDE" w:rsidR="00C50B07" w:rsidP="00E74FDE" w:rsidRDefault="00C50B07" w14:paraId="0A0D006E" w14:textId="77777777">
      <w:pPr>
        <w:sectPr w:rsidRPr="00E74FDE" w:rsidR="00C50B07" w:rsidSect="00C50B07">
          <w:headerReference w:type="even" r:id="rId39"/>
          <w:headerReference w:type="default" r:id="rId40"/>
          <w:footerReference w:type="default" r:id="rId41"/>
          <w:headerReference w:type="first" r:id="rId42"/>
          <w:pgSz w:w="16838" w:h="11906" w:orient="landscape"/>
          <w:pgMar w:top="568" w:right="1560" w:bottom="1440" w:left="1151" w:header="596" w:footer="720" w:gutter="0"/>
          <w:cols w:space="720"/>
        </w:sectPr>
      </w:pPr>
    </w:p>
    <w:p w:rsidRPr="00FB7B35" w:rsidR="00C50B07" w:rsidP="006108A9" w:rsidRDefault="00C50B07" w14:paraId="2FD61F7A" w14:textId="77777777">
      <w:pPr>
        <w:pStyle w:val="Heading3"/>
      </w:pPr>
      <w:bookmarkStart w:name="_Toc27055370" w:id="260"/>
      <w:bookmarkStart w:name="_Toc81224890" w:id="261"/>
      <w:bookmarkStart w:name="_Toc81230921" w:id="262"/>
      <w:bookmarkStart w:name="_Toc92461297" w:id="263"/>
      <w:bookmarkStart w:name="_Toc147503832" w:id="264"/>
      <w:bookmarkStart w:name="_Toc222833879" w:id="265"/>
      <w:r w:rsidRPr="00FB7B35">
        <w:t>5.1.1</w:t>
      </w:r>
      <w:r w:rsidRPr="00FB7B35">
        <w:tab/>
      </w:r>
      <w:r w:rsidRPr="00FB7B35">
        <w:t xml:space="preserve">Definition of terms associated with </w:t>
      </w:r>
      <w:r>
        <w:t>d</w:t>
      </w:r>
      <w:r w:rsidRPr="00FB7B35">
        <w:t xml:space="preserve">ecision </w:t>
      </w:r>
      <w:r>
        <w:t>t</w:t>
      </w:r>
      <w:r w:rsidRPr="00FB7B35">
        <w:t>ree</w:t>
      </w:r>
      <w:bookmarkEnd w:id="260"/>
      <w:bookmarkEnd w:id="261"/>
      <w:bookmarkEnd w:id="262"/>
      <w:bookmarkEnd w:id="263"/>
      <w:bookmarkEnd w:id="264"/>
      <w:bookmarkEnd w:id="265"/>
    </w:p>
    <w:p w:rsidRPr="00FB7B35" w:rsidR="00C50B07" w:rsidP="00FA7ED4" w:rsidRDefault="00C50B07" w14:paraId="448268E8" w14:textId="77777777">
      <w:pPr>
        <w:pStyle w:val="Heading4NoTOC"/>
      </w:pPr>
      <w:r w:rsidRPr="00FA7ED4">
        <w:t>ARC</w:t>
      </w:r>
    </w:p>
    <w:p w:rsidRPr="00FB7B35" w:rsidR="00C50B07" w:rsidP="009D347E" w:rsidRDefault="00C50B07" w14:paraId="59FF6119" w14:textId="77777777">
      <w:pPr>
        <w:spacing w:after="120"/>
        <w:rPr>
          <w:rFonts w:eastAsia="Times New Roman" w:cs="Arial"/>
        </w:rPr>
      </w:pPr>
      <w:r w:rsidRPr="00FB7B35">
        <w:rPr>
          <w:rFonts w:eastAsia="Times New Roman" w:cs="Arial"/>
        </w:rPr>
        <w:t>The ARC administers the National Competitive Grants Program (NCGP), which supports the highest</w:t>
      </w:r>
      <w:r w:rsidRPr="00FB7B35">
        <w:rPr>
          <w:rFonts w:eastAsia="Times New Roman" w:cs="Arial"/>
        </w:rPr>
        <w:noBreakHyphen/>
        <w:t>quality fundamental and applied research and research training through national competition. It should be noted that some ARC grants are excluded from Category 1</w:t>
      </w:r>
      <w:r>
        <w:rPr>
          <w:rFonts w:eastAsia="Times New Roman" w:cs="Arial"/>
        </w:rPr>
        <w:t>.</w:t>
      </w:r>
      <w:r w:rsidRPr="00FB7B35">
        <w:rPr>
          <w:rFonts w:eastAsia="Times New Roman" w:cs="Arial"/>
        </w:rPr>
        <w:t xml:space="preserve"> Please refer to </w:t>
      </w:r>
      <w:r w:rsidRPr="00FB7B35">
        <w:rPr>
          <w:rFonts w:eastAsia="Times New Roman" w:cs="Arial"/>
          <w:b/>
        </w:rPr>
        <w:t>section</w:t>
      </w:r>
      <w:r w:rsidRPr="00FB7B35">
        <w:rPr>
          <w:rFonts w:eastAsia="Times New Roman" w:cs="Arial"/>
          <w:bCs/>
        </w:rPr>
        <w:t xml:space="preserve"> </w:t>
      </w:r>
      <w:r w:rsidRPr="00FB7B35">
        <w:rPr>
          <w:rFonts w:eastAsia="Times New Roman" w:cs="Arial"/>
          <w:b/>
        </w:rPr>
        <w:t>4.2.2</w:t>
      </w:r>
      <w:r>
        <w:rPr>
          <w:rFonts w:eastAsia="Times New Roman" w:cs="Arial"/>
          <w:b/>
        </w:rPr>
        <w:t>(x)</w:t>
      </w:r>
      <w:r w:rsidRPr="00FB7B35">
        <w:rPr>
          <w:rFonts w:eastAsia="Times New Roman" w:cs="Arial"/>
          <w:bCs/>
        </w:rPr>
        <w:t>.</w:t>
      </w:r>
    </w:p>
    <w:p w:rsidRPr="00FA7ED4" w:rsidR="00C50B07" w:rsidP="00FA7ED4" w:rsidRDefault="00C50B07" w14:paraId="353CED99" w14:textId="77777777">
      <w:pPr>
        <w:pStyle w:val="Heading4NoTOC"/>
      </w:pPr>
      <w:r w:rsidRPr="00FA7ED4">
        <w:t>Available to all Australian universities/HEPs</w:t>
      </w:r>
    </w:p>
    <w:p w:rsidRPr="00FB7B35" w:rsidR="00C50B07" w:rsidP="009D347E" w:rsidRDefault="00C50B07" w14:paraId="7D73E789" w14:textId="77777777">
      <w:pPr>
        <w:spacing w:after="120"/>
        <w:rPr>
          <w:rFonts w:eastAsia="Times New Roman" w:cs="Arial"/>
        </w:rPr>
      </w:pPr>
      <w:r w:rsidRPr="00FB7B35">
        <w:rPr>
          <w:rFonts w:eastAsia="Times New Roman" w:cs="Arial"/>
        </w:rPr>
        <w:t>There must not be preferential treatment of any applicant during the assessment process based solely on the type of institution nor its geographical location. Each HEP must have an equal chance to submit an application.</w:t>
      </w:r>
    </w:p>
    <w:p w:rsidRPr="00FB7B35" w:rsidR="00C50B07" w:rsidP="00FA7ED4" w:rsidRDefault="00C50B07" w14:paraId="6286749E" w14:textId="77777777">
      <w:pPr>
        <w:pStyle w:val="Heading4NoTOC"/>
      </w:pPr>
      <w:r w:rsidRPr="00FB7B35">
        <w:t>Direct payment</w:t>
      </w:r>
    </w:p>
    <w:p w:rsidRPr="00FB7B35" w:rsidR="00C50B07" w:rsidP="009D347E" w:rsidRDefault="00C50B07" w14:paraId="5B34C95B" w14:textId="635DD32D">
      <w:pPr>
        <w:spacing w:after="120"/>
        <w:rPr>
          <w:rFonts w:eastAsia="Times New Roman" w:cs="Arial"/>
        </w:rPr>
      </w:pPr>
      <w:r w:rsidRPr="00FB7B35">
        <w:rPr>
          <w:rFonts w:eastAsia="Times New Roman" w:cs="Arial"/>
        </w:rPr>
        <w:t>Funds must be provided directly as a result of a nationally competitive process. Funds provided through a third party are not eligible, except where the arrangements between the administering institution/administering organisation and the collaborating institutes are made clear in either the original application or in the agreement between the funding body and the research institutions. Such income would be considered shared income</w:t>
      </w:r>
      <w:r>
        <w:rPr>
          <w:rFonts w:eastAsia="Times New Roman" w:cs="Arial"/>
        </w:rPr>
        <w:t>;</w:t>
      </w:r>
      <w:r w:rsidRPr="00FB7B35">
        <w:rPr>
          <w:rFonts w:eastAsia="Times New Roman" w:cs="Arial"/>
        </w:rPr>
        <w:t xml:space="preserve"> please refer to </w:t>
      </w:r>
      <w:r w:rsidRPr="00FB7B35">
        <w:rPr>
          <w:rFonts w:eastAsia="Times New Roman" w:cs="Arial"/>
          <w:b/>
        </w:rPr>
        <w:t>section</w:t>
      </w:r>
      <w:r w:rsidRPr="00FB7B35">
        <w:rPr>
          <w:rFonts w:eastAsia="Times New Roman" w:cs="Arial"/>
          <w:bCs/>
        </w:rPr>
        <w:t xml:space="preserve"> </w:t>
      </w:r>
      <w:r w:rsidRPr="00FB7B35">
        <w:rPr>
          <w:rFonts w:eastAsia="Times New Roman" w:cs="Arial"/>
          <w:b/>
        </w:rPr>
        <w:t xml:space="preserve">4.3 </w:t>
      </w:r>
      <w:r w:rsidRPr="00FB7B35">
        <w:rPr>
          <w:rFonts w:eastAsia="Times New Roman" w:cs="Arial"/>
        </w:rPr>
        <w:t xml:space="preserve">for details. </w:t>
      </w:r>
    </w:p>
    <w:p w:rsidRPr="00FB7B35" w:rsidR="00C50B07" w:rsidP="00FA7ED4" w:rsidRDefault="00C50B07" w14:paraId="131DA0D9" w14:textId="77777777">
      <w:pPr>
        <w:pStyle w:val="Heading4NoTOC"/>
      </w:pPr>
      <w:r w:rsidRPr="00FB7B35">
        <w:t>MRFF</w:t>
      </w:r>
    </w:p>
    <w:p w:rsidRPr="00FB7B35" w:rsidR="00C50B07" w:rsidP="009D347E" w:rsidRDefault="00C50B07" w14:paraId="72B050D0" w14:textId="77777777">
      <w:pPr>
        <w:spacing w:after="120"/>
        <w:rPr>
          <w:rFonts w:eastAsia="Times New Roman" w:cs="Arial"/>
        </w:rPr>
      </w:pPr>
      <w:r w:rsidRPr="00FB7B35">
        <w:rPr>
          <w:rFonts w:eastAsia="Times New Roman" w:cs="Arial"/>
        </w:rPr>
        <w:t xml:space="preserve">The MRFF, established by the Australian Government under the </w:t>
      </w:r>
      <w:hyperlink w:history="1" r:id="rId43">
        <w:r w:rsidRPr="00292F78">
          <w:rPr>
            <w:rStyle w:val="Hyperlink"/>
            <w:rFonts w:eastAsia="Times New Roman" w:cs="Arial"/>
            <w:i/>
          </w:rPr>
          <w:t>Medical Research Future Fund Act 2015</w:t>
        </w:r>
      </w:hyperlink>
      <w:r w:rsidRPr="00FB7B35">
        <w:rPr>
          <w:rFonts w:eastAsia="Times New Roman" w:cs="Arial"/>
        </w:rPr>
        <w:t>, provides grants of financial assistance to support health and medical research and innovation in improving the health and wellbeing of Australians. The MRFF may disburse funds by open and contestable or targeted calls for applications. In cases where the NHMRC or any other organisation administers competitive MRFF income, the MRFF should be considered the ultimate funding entity. It should be noted that not all MRFF funding is necessarily Category 1; some MRFF funding may fall under Category 2 or be ineligible for HERDC.</w:t>
      </w:r>
    </w:p>
    <w:p w:rsidRPr="00FB7B35" w:rsidR="00C50B07" w:rsidP="00FA7ED4" w:rsidRDefault="00C50B07" w14:paraId="71192D4D" w14:textId="77777777">
      <w:pPr>
        <w:pStyle w:val="Heading4NoTOC"/>
      </w:pPr>
      <w:r w:rsidRPr="00FB7B35">
        <w:t>NHMRC</w:t>
      </w:r>
    </w:p>
    <w:p w:rsidRPr="00FB7B35" w:rsidR="00C50B07" w:rsidP="009D347E" w:rsidRDefault="00C50B07" w14:paraId="6DEBD8FB" w14:textId="77777777">
      <w:pPr>
        <w:spacing w:after="120"/>
        <w:rPr>
          <w:rFonts w:eastAsia="Times New Roman" w:cs="Arial"/>
        </w:rPr>
      </w:pPr>
      <w:r w:rsidRPr="00FB7B35">
        <w:rPr>
          <w:rFonts w:eastAsia="Times New Roman" w:cs="Arial"/>
        </w:rPr>
        <w:t xml:space="preserve">The NHMRC manages research programs and schemes through a variety of mechanisms, including grants for specific research projects and broad programs of research. NHMRC funding supports research across the full spectrum of health and medical research, from basic science through to clinical, public health and health services research. It should be noted that some NHMRC grants are excluded from Category 1, please refer to </w:t>
      </w:r>
      <w:r w:rsidRPr="00FB7B35">
        <w:rPr>
          <w:rFonts w:eastAsia="Times New Roman" w:cs="Arial"/>
          <w:b/>
        </w:rPr>
        <w:t>section 4.2.2</w:t>
      </w:r>
      <w:r>
        <w:rPr>
          <w:rFonts w:eastAsia="Times New Roman" w:cs="Arial"/>
          <w:b/>
        </w:rPr>
        <w:t>(x)</w:t>
      </w:r>
      <w:r w:rsidRPr="00FB7B35">
        <w:rPr>
          <w:rFonts w:eastAsia="Times New Roman" w:cs="Arial"/>
          <w:b/>
        </w:rPr>
        <w:t>.</w:t>
      </w:r>
    </w:p>
    <w:p w:rsidRPr="00FB7B35" w:rsidR="00C50B07" w:rsidP="00FA7ED4" w:rsidRDefault="00C50B07" w14:paraId="0BF018B0" w14:textId="77777777">
      <w:pPr>
        <w:pStyle w:val="Heading4NoTOC"/>
      </w:pPr>
      <w:r w:rsidRPr="00FB7B35">
        <w:t xml:space="preserve">Nationally competitive </w:t>
      </w:r>
    </w:p>
    <w:p w:rsidRPr="00FB7B35" w:rsidR="00C50B07" w:rsidP="009D347E" w:rsidRDefault="00C50B07" w14:paraId="14EFC306" w14:textId="77777777">
      <w:pPr>
        <w:spacing w:after="120"/>
        <w:rPr>
          <w:rFonts w:eastAsia="Times New Roman" w:cs="Arial"/>
        </w:rPr>
      </w:pPr>
      <w:r w:rsidRPr="00FB7B35">
        <w:rPr>
          <w:rFonts w:eastAsia="Times New Roman" w:cs="Arial"/>
        </w:rPr>
        <w:t>Every application submitted by Australian research institutions for funding in a selection process must be assessed and rated against all other applications submitted in that selection process. Projects funded as a result of a direct approach from a funding body are not considered to be nationally competitive.</w:t>
      </w:r>
    </w:p>
    <w:p w:rsidRPr="00FB7B35" w:rsidR="00C50B07" w:rsidP="00FA7ED4" w:rsidRDefault="00C50B07" w14:paraId="4D1981AA" w14:textId="77777777">
      <w:pPr>
        <w:pStyle w:val="Heading4NoTOC"/>
      </w:pPr>
      <w:r w:rsidRPr="00FB7B35">
        <w:t xml:space="preserve">Nationally advertised </w:t>
      </w:r>
    </w:p>
    <w:p w:rsidRPr="00FB7B35" w:rsidR="00C50B07" w:rsidP="009D347E" w:rsidRDefault="00C50B07" w14:paraId="66903158" w14:textId="77777777">
      <w:pPr>
        <w:spacing w:after="120"/>
        <w:rPr>
          <w:rFonts w:eastAsia="Times New Roman" w:cs="Arial"/>
        </w:rPr>
      </w:pPr>
      <w:r w:rsidRPr="00FB7B35">
        <w:rPr>
          <w:rFonts w:eastAsia="Times New Roman" w:cs="Arial"/>
        </w:rPr>
        <w:t xml:space="preserve">All potential applicants in each Australian state and territory must be given an equal opportunity to become aware of and apply to the scheme through the use of any combination of direct contact: newspapers, journals, magazines, </w:t>
      </w:r>
      <w:r>
        <w:rPr>
          <w:rFonts w:eastAsia="Times New Roman" w:cs="Arial"/>
        </w:rPr>
        <w:t>i</w:t>
      </w:r>
      <w:r w:rsidRPr="00FB7B35">
        <w:rPr>
          <w:rFonts w:eastAsia="Times New Roman" w:cs="Arial"/>
        </w:rPr>
        <w:t>nternet, or any other printed or electronic media.</w:t>
      </w:r>
    </w:p>
    <w:p w:rsidRPr="00FB7B35" w:rsidR="00C50B07" w:rsidP="00FA7ED4" w:rsidRDefault="00C50B07" w14:paraId="44C1EDF6" w14:textId="77777777">
      <w:pPr>
        <w:pStyle w:val="Heading4NoTOC"/>
      </w:pPr>
      <w:r w:rsidRPr="00FB7B35">
        <w:t>Scheme</w:t>
      </w:r>
    </w:p>
    <w:p w:rsidRPr="00FB7B35" w:rsidR="00C50B07" w:rsidP="009D347E" w:rsidRDefault="00C50B07" w14:paraId="5ED2CCE8" w14:textId="77777777">
      <w:pPr>
        <w:spacing w:after="120"/>
        <w:rPr>
          <w:rFonts w:eastAsia="Times New Roman" w:cs="Arial"/>
          <w:u w:val="single"/>
        </w:rPr>
      </w:pPr>
      <w:r w:rsidRPr="00FB7B35">
        <w:rPr>
          <w:rFonts w:eastAsia="Times New Roman" w:cs="Arial"/>
        </w:rPr>
        <w:t>A scheme is an administrative process that allocates funds using a discrete set of rules. For example, the ARC’s Discovery and Linkage programs are known as schemes; each of which operate on the basis of a separate set of funding rules. Schemes can include grants and programs.</w:t>
      </w:r>
    </w:p>
    <w:p w:rsidRPr="00FB7B35" w:rsidR="00C50B07" w:rsidP="00FA7ED4" w:rsidRDefault="00C50B07" w14:paraId="580BD89D" w14:textId="77777777">
      <w:pPr>
        <w:pStyle w:val="Heading4NoTOC"/>
      </w:pPr>
      <w:r w:rsidRPr="00FB7B35">
        <w:t>Selection by a qualified panel</w:t>
      </w:r>
    </w:p>
    <w:p w:rsidRPr="00FB7B35" w:rsidR="00C50B07" w:rsidP="009D347E" w:rsidRDefault="00C50B07" w14:paraId="5981F44C" w14:textId="77777777">
      <w:pPr>
        <w:spacing w:after="120"/>
        <w:rPr>
          <w:rFonts w:eastAsia="Times New Roman" w:cs="Arial"/>
        </w:rPr>
      </w:pPr>
      <w:r w:rsidRPr="00FB7B35">
        <w:rPr>
          <w:rFonts w:eastAsia="Times New Roman" w:cs="Arial"/>
        </w:rPr>
        <w:t>All scheme applications are assessed and rated by a panel with the collective expertise and experience to effectively assess applications against all selection criteria for that scheme.</w:t>
      </w:r>
    </w:p>
    <w:p w:rsidRPr="00FB7B35" w:rsidR="00C50B07" w:rsidP="00FA7ED4" w:rsidRDefault="00C50B07" w14:paraId="6985EBB6" w14:textId="77777777">
      <w:pPr>
        <w:pStyle w:val="Heading4NoTOC"/>
      </w:pPr>
      <w:r w:rsidRPr="00FB7B35">
        <w:t>Other</w:t>
      </w:r>
    </w:p>
    <w:p w:rsidRPr="00FB7B35" w:rsidR="00C50B07" w:rsidP="009D347E" w:rsidRDefault="00C50B07" w14:paraId="51B098BB" w14:textId="77777777">
      <w:pPr>
        <w:spacing w:after="120"/>
        <w:rPr>
          <w:rFonts w:eastAsia="Times New Roman" w:cs="Arial"/>
        </w:rPr>
      </w:pPr>
      <w:r w:rsidRPr="00FB7B35">
        <w:rPr>
          <w:rFonts w:eastAsia="Times New Roman" w:cs="Arial"/>
        </w:rPr>
        <w:t xml:space="preserve">The </w:t>
      </w:r>
      <w:r>
        <w:rPr>
          <w:rFonts w:eastAsia="Times New Roman" w:cs="Arial"/>
        </w:rPr>
        <w:t>‘</w:t>
      </w:r>
      <w:r w:rsidRPr="00FB7B35">
        <w:rPr>
          <w:rFonts w:eastAsia="Times New Roman" w:cs="Arial"/>
        </w:rPr>
        <w:t>Other</w:t>
      </w:r>
      <w:r>
        <w:rPr>
          <w:rFonts w:eastAsia="Times New Roman" w:cs="Arial"/>
        </w:rPr>
        <w:t>’</w:t>
      </w:r>
      <w:r w:rsidRPr="00FB7B35">
        <w:rPr>
          <w:rFonts w:eastAsia="Times New Roman" w:cs="Arial"/>
        </w:rPr>
        <w:t xml:space="preserve"> sub-category 1.7 covers all fund sources eligible to be considered as Australian competitive grant R&amp;D income that do not fall into sub-categories 1.1 to 1.6.</w:t>
      </w:r>
    </w:p>
    <w:p w:rsidRPr="00FB7B35" w:rsidR="00C50B07" w:rsidP="00FA7ED4" w:rsidRDefault="00C50B07" w14:paraId="7EE0222F" w14:textId="77777777">
      <w:pPr>
        <w:pStyle w:val="Heading4NoTOC"/>
      </w:pPr>
      <w:r w:rsidRPr="00FB7B35">
        <w:t>Research only</w:t>
      </w:r>
    </w:p>
    <w:p w:rsidRPr="00FB7B35" w:rsidR="00C50B07" w:rsidP="009D347E" w:rsidRDefault="00C50B07" w14:paraId="778C669F" w14:textId="77777777">
      <w:pPr>
        <w:spacing w:after="120"/>
        <w:rPr>
          <w:rFonts w:eastAsia="Times New Roman" w:cs="Arial"/>
        </w:rPr>
      </w:pPr>
      <w:r w:rsidRPr="00FB7B35">
        <w:rPr>
          <w:rFonts w:eastAsia="Times New Roman" w:cs="Arial"/>
        </w:rPr>
        <w:t xml:space="preserve">Research is defined as ‘creative and systematic work undertaken in order to increase the stock of knowledge – including knowledge of humankind, culture and society – and to devise new applications of available knowledge’. Please refer to </w:t>
      </w:r>
      <w:r w:rsidRPr="00FB7B35">
        <w:rPr>
          <w:rFonts w:eastAsia="Times New Roman" w:cs="Arial"/>
          <w:b/>
        </w:rPr>
        <w:t>section 3</w:t>
      </w:r>
      <w:r w:rsidRPr="00FB7B35">
        <w:rPr>
          <w:rFonts w:eastAsia="Times New Roman" w:cs="Arial"/>
        </w:rPr>
        <w:t xml:space="preserve"> for further details.</w:t>
      </w:r>
    </w:p>
    <w:p w:rsidRPr="00FB7B35" w:rsidR="00C50B07" w:rsidP="00FA7ED4" w:rsidRDefault="00C50B07" w14:paraId="6049E436" w14:textId="77777777">
      <w:pPr>
        <w:pStyle w:val="Heading4NoTOC"/>
      </w:pPr>
      <w:r w:rsidRPr="00FB7B35">
        <w:t>Rural R&amp;D Corporation</w:t>
      </w:r>
    </w:p>
    <w:p w:rsidRPr="00FB7B35" w:rsidR="00C50B07" w:rsidP="009D347E" w:rsidRDefault="00C50B07" w14:paraId="0DC4CE9A" w14:textId="77777777">
      <w:pPr>
        <w:spacing w:after="120"/>
        <w:rPr>
          <w:rFonts w:eastAsia="Times New Roman" w:cs="Arial"/>
        </w:rPr>
      </w:pPr>
      <w:r w:rsidRPr="00FB7B35">
        <w:rPr>
          <w:rFonts w:eastAsia="Times New Roman" w:cs="Arial"/>
        </w:rPr>
        <w:t xml:space="preserve">There are 15 Rural Research and Development Corporations (RDCs) across agriculture, fisheries and forestry industries in Australia. The Rural RDCs are a network of organisations which have been formed under a partnership between different agriculture, fisheries and forestry industries and government to drive innovation and improvement in and for rural industries. RDCs invest in agricultural R&amp;D on a competitive basis and partner with public and private providers using funds from levies on production which are matched by the Commonwealth. </w:t>
      </w:r>
    </w:p>
    <w:p w:rsidRPr="00FB7B35" w:rsidR="00C50B07" w:rsidP="00FA7ED4" w:rsidRDefault="00C50B07" w14:paraId="52369B66" w14:textId="77777777">
      <w:pPr>
        <w:pStyle w:val="Heading4NoTOC"/>
      </w:pPr>
      <w:r w:rsidRPr="00FB7B35">
        <w:t xml:space="preserve">Well-defined mechanism for competition </w:t>
      </w:r>
    </w:p>
    <w:p w:rsidR="00C50B07" w:rsidP="009D347E" w:rsidRDefault="00C50B07" w14:paraId="13F46D67" w14:textId="77777777">
      <w:pPr>
        <w:spacing w:after="120"/>
        <w:rPr>
          <w:rFonts w:eastAsia="Times New Roman" w:cs="Arial"/>
        </w:rPr>
      </w:pPr>
      <w:r>
        <w:rPr>
          <w:rFonts w:eastAsia="Times New Roman" w:cs="Arial"/>
        </w:rPr>
        <w:t>T</w:t>
      </w:r>
      <w:r w:rsidRPr="00FB7B35">
        <w:rPr>
          <w:rFonts w:eastAsia="Times New Roman" w:cs="Arial"/>
        </w:rPr>
        <w:t>he project or scheme has publicly available selection criteria against which all applications are assessed. The scheme has publicly available rules stating how assessments are conducted, including provisions to manage conflicts of interest which are binding on the selection panel.</w:t>
      </w:r>
    </w:p>
    <w:p w:rsidRPr="00837B68" w:rsidR="00C50B07" w:rsidP="00C06CA9" w:rsidRDefault="00C50B07" w14:paraId="2315B7A0" w14:textId="77777777">
      <w:pPr>
        <w:pBdr>
          <w:top w:val="single" w:color="47BFAF" w:themeColor="accent4" w:sz="24" w:space="1"/>
          <w:left w:val="single" w:color="47BFAF" w:themeColor="accent4" w:sz="24" w:space="4"/>
          <w:bottom w:val="single" w:color="47BFAF" w:themeColor="accent4" w:sz="24" w:space="1"/>
          <w:right w:val="single" w:color="47BFAF" w:themeColor="accent4" w:sz="24" w:space="4"/>
        </w:pBdr>
        <w:shd w:val="clear" w:color="auto" w:fill="F2F2F2" w:themeFill="background1" w:themeFillShade="F2"/>
        <w:spacing w:after="160"/>
        <w:ind w:right="697"/>
        <w:rPr>
          <w:rFonts w:ascii="Calibri" w:hAnsi="Calibri" w:eastAsia="Times New Roman" w:cs="Arial"/>
        </w:rPr>
      </w:pPr>
      <w:r>
        <w:rPr>
          <w:rFonts w:ascii="Calibri" w:hAnsi="Calibri" w:eastAsia="Times New Roman" w:cs="Arial"/>
          <w:b/>
          <w:bCs/>
        </w:rPr>
        <w:t xml:space="preserve">Note: </w:t>
      </w:r>
      <w:r w:rsidRPr="002764B3">
        <w:rPr>
          <w:rFonts w:eastAsia="Times New Roman" w:cs="Arial"/>
        </w:rPr>
        <w:t xml:space="preserve">R&amp;D income received from CRCs, including CRC-Ps, is not eligible to be reported as Category 1 and must be reported under Category 4. Refer to </w:t>
      </w:r>
      <w:r w:rsidRPr="002764B3">
        <w:rPr>
          <w:rFonts w:eastAsia="Times New Roman" w:cs="Arial"/>
          <w:b/>
          <w:bCs/>
        </w:rPr>
        <w:t>section 5.4</w:t>
      </w:r>
      <w:r w:rsidRPr="002764B3">
        <w:rPr>
          <w:rFonts w:eastAsia="Times New Roman" w:cs="Arial"/>
        </w:rPr>
        <w:t>.</w:t>
      </w:r>
      <w:r>
        <w:rPr>
          <w:rFonts w:ascii="Calibri" w:hAnsi="Calibri" w:eastAsia="Times New Roman" w:cs="Arial"/>
          <w:b/>
          <w:bCs/>
        </w:rPr>
        <w:t xml:space="preserve"> </w:t>
      </w:r>
    </w:p>
    <w:p w:rsidRPr="00AA2A39" w:rsidR="00C50B07" w:rsidP="00AA2A39" w:rsidRDefault="00C50B07" w14:paraId="08CA90E9" w14:textId="77777777">
      <w:pPr>
        <w:pStyle w:val="Heading2"/>
      </w:pPr>
      <w:bookmarkStart w:name="_7.4.2_Category_2:" w:id="266"/>
      <w:bookmarkStart w:name="_Toc168817213" w:id="267"/>
      <w:bookmarkStart w:name="_Toc168824832" w:id="268"/>
      <w:bookmarkStart w:name="_Toc491172994" w:id="269"/>
      <w:bookmarkStart w:name="_Toc523214687" w:id="270"/>
      <w:bookmarkStart w:name="_Toc27055371" w:id="271"/>
      <w:bookmarkStart w:name="_Toc81230922" w:id="272"/>
      <w:bookmarkStart w:name="_Toc92461298" w:id="273"/>
      <w:bookmarkStart w:name="_Toc147503833" w:id="274"/>
      <w:bookmarkStart w:name="_Toc222833880" w:id="275"/>
      <w:bookmarkStart w:name="_Toc87171322" w:id="276"/>
      <w:bookmarkStart w:name="_Toc96678062" w:id="277"/>
      <w:bookmarkStart w:name="_Toc112733805" w:id="278"/>
      <w:bookmarkStart w:name="_Toc112734015" w:id="279"/>
      <w:bookmarkStart w:name="_Ref114290897" w:id="280"/>
      <w:bookmarkStart w:name="_Ref115748270" w:id="281"/>
      <w:bookmarkStart w:name="_Ref115748274" w:id="282"/>
      <w:bookmarkStart w:name="_Toc116182987" w:id="283"/>
      <w:bookmarkStart w:name="_Ref117493856" w:id="284"/>
      <w:bookmarkStart w:name="_Toc406668882" w:id="285"/>
      <w:bookmarkStart w:name="_Ref440032156" w:id="286"/>
      <w:bookmarkStart w:name="_Ref445299481" w:id="287"/>
      <w:bookmarkEnd w:id="266"/>
      <w:bookmarkEnd w:id="267"/>
      <w:bookmarkEnd w:id="268"/>
      <w:r w:rsidRPr="00AA2A39">
        <w:t>5.2</w:t>
      </w:r>
      <w:r w:rsidRPr="00AA2A39">
        <w:tab/>
      </w:r>
      <w:r w:rsidRPr="00AA2A39">
        <w:t>Category 2: other public sector R&amp;D income</w:t>
      </w:r>
      <w:bookmarkEnd w:id="269"/>
      <w:bookmarkEnd w:id="270"/>
      <w:bookmarkEnd w:id="271"/>
      <w:bookmarkEnd w:id="272"/>
      <w:bookmarkEnd w:id="273"/>
      <w:bookmarkEnd w:id="274"/>
      <w:bookmarkEnd w:id="275"/>
    </w:p>
    <w:bookmarkEnd w:id="276"/>
    <w:bookmarkEnd w:id="277"/>
    <w:bookmarkEnd w:id="278"/>
    <w:bookmarkEnd w:id="279"/>
    <w:bookmarkEnd w:id="280"/>
    <w:bookmarkEnd w:id="281"/>
    <w:bookmarkEnd w:id="282"/>
    <w:bookmarkEnd w:id="283"/>
    <w:bookmarkEnd w:id="284"/>
    <w:bookmarkEnd w:id="285"/>
    <w:bookmarkEnd w:id="286"/>
    <w:bookmarkEnd w:id="287"/>
    <w:p w:rsidRPr="00FB7B35" w:rsidR="00C50B07" w:rsidP="009D347E" w:rsidRDefault="00C50B07" w14:paraId="5E25F383" w14:textId="77777777">
      <w:pPr>
        <w:tabs>
          <w:tab w:val="num" w:pos="284"/>
          <w:tab w:val="num" w:pos="1134"/>
        </w:tabs>
        <w:spacing w:after="120"/>
        <w:rPr>
          <w:rFonts w:eastAsia="Times New Roman" w:cs="Arial"/>
        </w:rPr>
      </w:pPr>
      <w:r w:rsidRPr="00FB7B35">
        <w:rPr>
          <w:rFonts w:eastAsia="Times New Roman" w:cs="Arial"/>
          <w:iCs/>
        </w:rPr>
        <w:t>Category 2</w:t>
      </w:r>
      <w:r w:rsidRPr="00FB7B35">
        <w:rPr>
          <w:rFonts w:eastAsia="Times New Roman" w:cs="Arial"/>
        </w:rPr>
        <w:t xml:space="preserve"> consists of R&amp;D income received from the Australian public sector that is not eligible for inclusion as Category 1 income, and must be sub-categorised as follows:</w:t>
      </w:r>
    </w:p>
    <w:p w:rsidRPr="00FB7B35" w:rsidR="00C50B07" w:rsidP="00C50B07" w:rsidRDefault="00C50B07" w14:paraId="70FBE39F" w14:textId="77777777">
      <w:pPr>
        <w:pStyle w:val="ListBullet"/>
      </w:pPr>
      <w:r w:rsidRPr="00FB7B35">
        <w:t>Sub-category 2.1 Commonwealth (own purpose)</w:t>
      </w:r>
    </w:p>
    <w:p w:rsidRPr="00FB7B35" w:rsidR="00C50B07" w:rsidP="00C50B07" w:rsidRDefault="00C50B07" w14:paraId="0A582E58" w14:textId="77777777">
      <w:pPr>
        <w:pStyle w:val="ListBullet"/>
      </w:pPr>
      <w:r w:rsidRPr="00FB7B35">
        <w:t xml:space="preserve">Sub-category 2.2 Commonwealth (other) </w:t>
      </w:r>
    </w:p>
    <w:p w:rsidRPr="00FB7B35" w:rsidR="00C50B07" w:rsidP="00C50B07" w:rsidRDefault="00C50B07" w14:paraId="73F6A8E0" w14:textId="77777777">
      <w:pPr>
        <w:pStyle w:val="ListBullet"/>
      </w:pPr>
      <w:r w:rsidRPr="00FB7B35">
        <w:t>Sub-category 2.3 State/Territory/Local (own purpose)</w:t>
      </w:r>
    </w:p>
    <w:p w:rsidRPr="00FB7B35" w:rsidR="00C50B07" w:rsidP="00C50B07" w:rsidRDefault="00C50B07" w14:paraId="58B9A172" w14:textId="77777777">
      <w:pPr>
        <w:pStyle w:val="ListBullet"/>
      </w:pPr>
      <w:r w:rsidRPr="00FB7B35">
        <w:t>Sub-category 2.4 State/Territory/Local (other).</w:t>
      </w:r>
    </w:p>
    <w:p w:rsidRPr="00FB7B35" w:rsidR="00C50B07" w:rsidP="009D347E" w:rsidRDefault="00C50B07" w14:paraId="647366DB" w14:textId="77777777">
      <w:pPr>
        <w:tabs>
          <w:tab w:val="num" w:pos="284"/>
          <w:tab w:val="num" w:pos="1134"/>
        </w:tabs>
        <w:spacing w:after="120"/>
        <w:rPr>
          <w:rFonts w:eastAsia="Times New Roman" w:cs="Arial"/>
        </w:rPr>
      </w:pPr>
      <w:r w:rsidRPr="00FB7B35">
        <w:rPr>
          <w:rFonts w:eastAsia="Times New Roman" w:cs="Arial"/>
        </w:rPr>
        <w:t>Public sector agencies and authorities may include:</w:t>
      </w:r>
    </w:p>
    <w:p w:rsidRPr="00FB7B35" w:rsidR="00C50B07" w:rsidP="00C50B07" w:rsidRDefault="00C50B07" w14:paraId="3A3DD499" w14:textId="77777777">
      <w:pPr>
        <w:pStyle w:val="ListBullet"/>
      </w:pPr>
      <w:r w:rsidRPr="00FB7B35">
        <w:t>Businesses that are wholly or partly owned or funded by Commonwealth, state or territory, or local governments; have a board; and operate on a profit or cost-recovery basis.</w:t>
      </w:r>
    </w:p>
    <w:p w:rsidRPr="00FB7B35" w:rsidR="00C50B07" w:rsidP="00C50B07" w:rsidRDefault="00C50B07" w14:paraId="7111C0C7" w14:textId="77777777">
      <w:pPr>
        <w:pStyle w:val="ListBullet"/>
      </w:pPr>
      <w:r w:rsidRPr="00FB7B35">
        <w:t>RDCs where they are statutory corporations or authorities.</w:t>
      </w:r>
    </w:p>
    <w:p w:rsidRPr="00FB7B35" w:rsidR="00C50B07" w:rsidP="00C50B07" w:rsidRDefault="00C50B07" w14:paraId="511D9245" w14:textId="77777777">
      <w:pPr>
        <w:pStyle w:val="ListBullet"/>
      </w:pPr>
      <w:r w:rsidRPr="00FB7B35">
        <w:t xml:space="preserve">CRCs, where the reporting HEP has not been defined within the Commonwealth Agreement as ‘The Researcher’ or a ’Participant’ (that is, the reporting HEP was not a signatory to the </w:t>
      </w:r>
      <w:r w:rsidRPr="00FB7B35">
        <w:t xml:space="preserve">Commonwealth Agreement, a CRC Participant’s Agreement, or a Company Constitution during the reporting period). </w:t>
      </w:r>
    </w:p>
    <w:p w:rsidRPr="009C0ED5" w:rsidR="00C50B07" w:rsidP="009D347E" w:rsidRDefault="00C50B07" w14:paraId="76814432" w14:textId="77777777">
      <w:r w:rsidRPr="00FB7B35">
        <w:rPr>
          <w:rFonts w:eastAsia="Times New Roman" w:cs="Arial"/>
        </w:rPr>
        <w:t xml:space="preserve">In allocating the R&amp;D income to a specific sub-category, a HEP should determine which party is the primary beneficiary of the R&amp;D activity (and associated rights to intellectual property or other </w:t>
      </w:r>
      <w:r w:rsidRPr="009C0ED5">
        <w:t>non</w:t>
      </w:r>
      <w:r w:rsidRPr="009C0ED5">
        <w:noBreakHyphen/>
        <w:t xml:space="preserve">financial assets) undertaken by the HEP or its subsidiary. </w:t>
      </w:r>
    </w:p>
    <w:p w:rsidRPr="00FB7B35" w:rsidR="00C50B07" w:rsidP="009D347E" w:rsidRDefault="00C50B07" w14:paraId="582217EA" w14:textId="77777777">
      <w:pPr>
        <w:rPr>
          <w:rFonts w:eastAsia="Times New Roman" w:cs="Arial"/>
        </w:rPr>
      </w:pPr>
      <w:r w:rsidRPr="009C0ED5">
        <w:t>HEPs</w:t>
      </w:r>
      <w:r w:rsidRPr="00FB7B35">
        <w:rPr>
          <w:rFonts w:eastAsia="Times New Roman" w:cs="Arial"/>
        </w:rPr>
        <w:t xml:space="preserve"> are required to consult the terms and conditions of an agreement, particularly any identified intellectual property clauses to help determine which sub-category to allocate funding to. The department applies a strict interpretation to cases where there is a requirement that the HEP must license or assign any arising intellectual property back to the government; such income must be defined as </w:t>
      </w:r>
      <w:r w:rsidRPr="00FB7B35">
        <w:rPr>
          <w:rFonts w:eastAsia="Times New Roman" w:cs="Arial"/>
          <w:iCs/>
        </w:rPr>
        <w:t>own purpose</w:t>
      </w:r>
      <w:r w:rsidRPr="00FB7B35">
        <w:rPr>
          <w:rFonts w:eastAsia="Times New Roman" w:cs="Arial"/>
        </w:rPr>
        <w:t xml:space="preserve">. This includes cases where there is shared ownership of intellectual property rights. </w:t>
      </w:r>
    </w:p>
    <w:p w:rsidRPr="00FB7B35" w:rsidR="00C50B07" w:rsidP="006108A9" w:rsidRDefault="00C50B07" w14:paraId="2EFC5FA0" w14:textId="77777777">
      <w:pPr>
        <w:pStyle w:val="Heading3"/>
      </w:pPr>
      <w:bookmarkStart w:name="_Toc81230923" w:id="288"/>
      <w:bookmarkStart w:name="_Toc92461299" w:id="289"/>
      <w:bookmarkStart w:name="_Toc147503834" w:id="290"/>
      <w:bookmarkStart w:name="_Toc222833881" w:id="291"/>
      <w:r w:rsidRPr="00FB7B35">
        <w:t>5.2.1</w:t>
      </w:r>
      <w:r w:rsidRPr="00FB7B35">
        <w:tab/>
      </w:r>
      <w:r w:rsidRPr="00FB7B35">
        <w:t>Commonwealth government</w:t>
      </w:r>
      <w:bookmarkEnd w:id="288"/>
      <w:bookmarkEnd w:id="289"/>
      <w:bookmarkEnd w:id="290"/>
      <w:bookmarkEnd w:id="291"/>
    </w:p>
    <w:p w:rsidRPr="00FB7B35" w:rsidR="00C50B07" w:rsidP="00D637AE" w:rsidRDefault="00C50B07" w14:paraId="22ED3B05" w14:textId="77777777">
      <w:pPr>
        <w:pStyle w:val="Heading4"/>
      </w:pPr>
      <w:r w:rsidRPr="00FB7B35">
        <w:t>Sub-category 2.1 Commonwealth (own purpose)</w:t>
      </w:r>
    </w:p>
    <w:p w:rsidRPr="00FB7B35" w:rsidR="00C50B07" w:rsidP="009D347E" w:rsidRDefault="00C50B07" w14:paraId="01FDE3A5" w14:textId="481EC127">
      <w:pPr>
        <w:tabs>
          <w:tab w:val="num" w:pos="851"/>
          <w:tab w:val="num" w:pos="1134"/>
        </w:tabs>
        <w:spacing w:after="120"/>
        <w:rPr>
          <w:rFonts w:eastAsia="Times New Roman" w:cs="Arial"/>
        </w:rPr>
      </w:pPr>
      <w:r w:rsidRPr="00FB7B35">
        <w:rPr>
          <w:rFonts w:eastAsia="Times New Roman" w:cs="Arial"/>
        </w:rPr>
        <w:t>This sub-category includes income from government-commissioned R&amp;D services covered by a contract or other enforceable agreement. This sub-category can also include cash contributions to competitive grants (excluding in</w:t>
      </w:r>
      <w:r>
        <w:rPr>
          <w:rFonts w:eastAsia="Times New Roman" w:cs="Arial"/>
        </w:rPr>
        <w:t>-</w:t>
      </w:r>
      <w:r w:rsidRPr="00FB7B35">
        <w:rPr>
          <w:rFonts w:eastAsia="Times New Roman" w:cs="Arial"/>
        </w:rPr>
        <w:t>kind contributions) such as an Australian government agency cash contribution to an ARC Linkage grant (excluding ARC funding component).</w:t>
      </w:r>
    </w:p>
    <w:p w:rsidRPr="00FB7B35" w:rsidR="00C50B07" w:rsidP="009D347E" w:rsidRDefault="00C50B07" w14:paraId="0412E698" w14:textId="77777777">
      <w:pPr>
        <w:tabs>
          <w:tab w:val="num" w:pos="851"/>
          <w:tab w:val="num" w:pos="1134"/>
        </w:tabs>
        <w:spacing w:after="120"/>
        <w:rPr>
          <w:rFonts w:eastAsia="Times New Roman" w:cs="Arial"/>
        </w:rPr>
      </w:pPr>
      <w:r w:rsidRPr="00FB7B35">
        <w:rPr>
          <w:rFonts w:eastAsia="Times New Roman" w:cs="Arial"/>
        </w:rPr>
        <w:t>As a general guide, HEPs should report R&amp;D income in the own purpose category where the HEP must licence, option or assign all or part of the intellectual property (or other non-financial asset) arising from the agreement back to the Commonwealth Government customer. In the case of shared ownership of intellectual property rights, HEP income should also be reported as own purpose.</w:t>
      </w:r>
    </w:p>
    <w:p w:rsidRPr="00FB7B35" w:rsidR="00C50B07" w:rsidP="00D637AE" w:rsidRDefault="00C50B07" w14:paraId="64250ACB" w14:textId="77777777">
      <w:pPr>
        <w:pStyle w:val="Heading4"/>
      </w:pPr>
      <w:r w:rsidRPr="00FB7B35">
        <w:t>Sub-category 2.2 Commonwealth (other)</w:t>
      </w:r>
    </w:p>
    <w:p w:rsidRPr="00FB7B35" w:rsidR="00C50B07" w:rsidP="009D347E" w:rsidRDefault="00C50B07" w14:paraId="7C1BF9B4" w14:textId="77777777">
      <w:pPr>
        <w:tabs>
          <w:tab w:val="num" w:pos="851"/>
          <w:tab w:val="num" w:pos="1134"/>
        </w:tabs>
        <w:spacing w:after="120"/>
        <w:rPr>
          <w:rFonts w:eastAsia="Times New Roman" w:cs="Arial"/>
        </w:rPr>
      </w:pPr>
      <w:r w:rsidRPr="00FB7B35">
        <w:rPr>
          <w:rFonts w:eastAsia="Times New Roman" w:cs="Arial"/>
        </w:rPr>
        <w:t xml:space="preserve">This sub-category will include all other R&amp;D income from Commonwealth agencies and authorities. </w:t>
      </w:r>
    </w:p>
    <w:p w:rsidRPr="00FB7B35" w:rsidR="00C50B07" w:rsidP="009D347E" w:rsidRDefault="00C50B07" w14:paraId="58477BDB" w14:textId="77777777">
      <w:pPr>
        <w:tabs>
          <w:tab w:val="num" w:pos="851"/>
          <w:tab w:val="num" w:pos="1134"/>
        </w:tabs>
        <w:spacing w:after="120"/>
        <w:rPr>
          <w:rFonts w:eastAsia="Times New Roman" w:cs="Arial"/>
        </w:rPr>
      </w:pPr>
      <w:r w:rsidRPr="00FB7B35">
        <w:rPr>
          <w:rFonts w:eastAsia="Times New Roman" w:cs="Arial"/>
        </w:rPr>
        <w:t>For example, this sub-category could include non-specific or untied R&amp;D funding (for example, National Institute grants), R&amp;D grant income not eligible under Category 1 and R&amp;D income where the HEP is delivering a service to a third party on behalf of government.</w:t>
      </w:r>
    </w:p>
    <w:p w:rsidRPr="00FB7B35" w:rsidR="00C50B07" w:rsidP="006108A9" w:rsidRDefault="00C50B07" w14:paraId="49675800" w14:textId="77777777">
      <w:pPr>
        <w:pStyle w:val="Heading3"/>
      </w:pPr>
      <w:bookmarkStart w:name="_Toc81230924" w:id="292"/>
      <w:bookmarkStart w:name="_Toc92461300" w:id="293"/>
      <w:bookmarkStart w:name="_Toc147503835" w:id="294"/>
      <w:bookmarkStart w:name="_Toc222833882" w:id="295"/>
      <w:r w:rsidRPr="00FB7B35">
        <w:t>5.2.2</w:t>
      </w:r>
      <w:r w:rsidRPr="00FB7B35">
        <w:tab/>
      </w:r>
      <w:r w:rsidRPr="00FB7B35">
        <w:t>State/territory/local government R&amp;D</w:t>
      </w:r>
      <w:bookmarkEnd w:id="292"/>
      <w:bookmarkEnd w:id="293"/>
      <w:bookmarkEnd w:id="294"/>
      <w:bookmarkEnd w:id="295"/>
    </w:p>
    <w:p w:rsidRPr="00FB7B35" w:rsidR="00C50B07" w:rsidP="00D637AE" w:rsidRDefault="00C50B07" w14:paraId="1CA7D0DE" w14:textId="77777777">
      <w:pPr>
        <w:pStyle w:val="Heading4"/>
      </w:pPr>
      <w:r w:rsidRPr="00FB7B35">
        <w:t>Sub-category 2.3 State/territory/local (own purpose)</w:t>
      </w:r>
    </w:p>
    <w:p w:rsidRPr="00FB7B35" w:rsidR="00C50B07" w:rsidP="009D347E" w:rsidRDefault="00C50B07" w14:paraId="6D049875" w14:textId="5EE4D945">
      <w:pPr>
        <w:tabs>
          <w:tab w:val="num" w:pos="851"/>
          <w:tab w:val="num" w:pos="1134"/>
        </w:tabs>
        <w:spacing w:after="120"/>
        <w:rPr>
          <w:rFonts w:eastAsia="Times New Roman" w:cs="Arial"/>
        </w:rPr>
      </w:pPr>
      <w:r w:rsidRPr="00FB7B35">
        <w:rPr>
          <w:rFonts w:eastAsia="Times New Roman" w:cs="Arial"/>
        </w:rPr>
        <w:t>This sub-category includes income from government-commissioned R&amp;D services covered by a contract or other enforceable agreement. This sub-category can also include cash contributions to competitive grants (excluding in</w:t>
      </w:r>
      <w:r>
        <w:rPr>
          <w:rFonts w:eastAsia="Times New Roman" w:cs="Arial"/>
        </w:rPr>
        <w:t>-</w:t>
      </w:r>
      <w:r w:rsidRPr="00FB7B35">
        <w:rPr>
          <w:rFonts w:eastAsia="Times New Roman" w:cs="Arial"/>
        </w:rPr>
        <w:t>kind contributions) such as a Queensland Government agency cash contribution to an NHMRC Partnership Project (excluding NHMRC funding component).</w:t>
      </w:r>
    </w:p>
    <w:p w:rsidRPr="00FB7B35" w:rsidR="00C50B07" w:rsidP="009D347E" w:rsidRDefault="00C50B07" w14:paraId="6459A91A" w14:textId="77777777">
      <w:pPr>
        <w:tabs>
          <w:tab w:val="num" w:pos="851"/>
          <w:tab w:val="num" w:pos="1134"/>
        </w:tabs>
        <w:spacing w:after="120"/>
        <w:rPr>
          <w:rFonts w:eastAsia="Times New Roman" w:cs="Arial"/>
        </w:rPr>
      </w:pPr>
      <w:r w:rsidRPr="00FB7B35">
        <w:rPr>
          <w:rFonts w:eastAsia="Times New Roman" w:cs="Arial"/>
        </w:rPr>
        <w:t>As a general guide, HEPs should report R&amp;D income in the own purpose category where the HEP must licence, option or assign all or part of the intellectual property (or other non-financial asset) arising from the agreement back to the state, territory or local government customer. In the case of shared ownership of intellectual property rights, HEP income should also be reported as own purpose.</w:t>
      </w:r>
    </w:p>
    <w:p w:rsidRPr="00FB7B35" w:rsidR="00C50B07" w:rsidP="00D637AE" w:rsidRDefault="00C50B07" w14:paraId="5EB93A29" w14:textId="77777777">
      <w:pPr>
        <w:pStyle w:val="Heading4"/>
      </w:pPr>
      <w:r w:rsidRPr="00FB7B35">
        <w:t>Sub-category 2.4 State/territory/local (other)</w:t>
      </w:r>
    </w:p>
    <w:p w:rsidRPr="00FB7B35" w:rsidR="00C50B07" w:rsidP="009D347E" w:rsidRDefault="00C50B07" w14:paraId="02F9306F" w14:textId="77777777">
      <w:pPr>
        <w:tabs>
          <w:tab w:val="num" w:pos="851"/>
          <w:tab w:val="num" w:pos="1134"/>
        </w:tabs>
        <w:spacing w:after="120"/>
        <w:rPr>
          <w:rFonts w:eastAsia="Times New Roman" w:cs="Arial"/>
        </w:rPr>
      </w:pPr>
      <w:r w:rsidRPr="00FB7B35">
        <w:rPr>
          <w:rFonts w:eastAsia="Times New Roman" w:cs="Arial"/>
        </w:rPr>
        <w:t>This sub-category will include all other R&amp;D income from state, territory or local government agencies and authorities.</w:t>
      </w:r>
    </w:p>
    <w:p w:rsidRPr="00FB7B35" w:rsidR="00C50B07" w:rsidP="00226696" w:rsidRDefault="00C50B07" w14:paraId="2CC3B744" w14:textId="77777777">
      <w:pPr>
        <w:tabs>
          <w:tab w:val="num" w:pos="851"/>
          <w:tab w:val="num" w:pos="1134"/>
        </w:tabs>
        <w:spacing w:after="120"/>
        <w:rPr>
          <w:rFonts w:eastAsia="Times New Roman" w:cs="Arial"/>
        </w:rPr>
      </w:pPr>
      <w:r w:rsidRPr="00FB7B35">
        <w:rPr>
          <w:rFonts w:eastAsia="Times New Roman" w:cs="Arial"/>
        </w:rPr>
        <w:t>For example, this sub-category could include non-specific or untied R&amp;D funding, R&amp;D grant income not eligible under Category 1, and R&amp;D income where the HEP is delivering a service to a third party on behalf of government.</w:t>
      </w:r>
      <w:bookmarkStart w:name="_7.4.3_Category_3:" w:id="296"/>
      <w:bookmarkStart w:name="_Toc115747820" w:id="297"/>
      <w:bookmarkStart w:name="_Toc116182988" w:id="298"/>
      <w:bookmarkStart w:name="_Toc115747821" w:id="299"/>
      <w:bookmarkStart w:name="_Toc116182989" w:id="300"/>
      <w:bookmarkStart w:name="_Toc96319878" w:id="301"/>
      <w:bookmarkStart w:name="_Toc96319995" w:id="302"/>
      <w:bookmarkStart w:name="_Toc96320101" w:id="303"/>
      <w:bookmarkStart w:name="_Toc96320227" w:id="304"/>
      <w:bookmarkStart w:name="_Toc87171323" w:id="305"/>
      <w:bookmarkStart w:name="_Toc96678063" w:id="306"/>
      <w:bookmarkStart w:name="_Toc112733806" w:id="307"/>
      <w:bookmarkStart w:name="_Toc112734016" w:id="308"/>
      <w:bookmarkStart w:name="_Ref114290910" w:id="309"/>
      <w:bookmarkStart w:name="_Toc116182990" w:id="310"/>
      <w:bookmarkStart w:name="_Toc406668883" w:id="311"/>
      <w:bookmarkStart w:name="_Toc491172995" w:id="312"/>
      <w:bookmarkStart w:name="_Toc523214688" w:id="313"/>
      <w:bookmarkEnd w:id="296"/>
      <w:bookmarkEnd w:id="297"/>
      <w:bookmarkEnd w:id="298"/>
      <w:bookmarkEnd w:id="299"/>
      <w:bookmarkEnd w:id="300"/>
      <w:bookmarkEnd w:id="301"/>
      <w:bookmarkEnd w:id="302"/>
      <w:bookmarkEnd w:id="303"/>
      <w:bookmarkEnd w:id="304"/>
    </w:p>
    <w:p w:rsidRPr="00AA2A39" w:rsidR="00C50B07" w:rsidP="00AA2A39" w:rsidRDefault="00C50B07" w14:paraId="6B5A743C" w14:textId="77777777">
      <w:pPr>
        <w:pStyle w:val="Heading2"/>
      </w:pPr>
      <w:bookmarkStart w:name="_Toc27055372" w:id="314"/>
      <w:bookmarkStart w:name="_Toc81230925" w:id="315"/>
      <w:bookmarkStart w:name="_Toc92461301" w:id="316"/>
      <w:bookmarkStart w:name="_Toc147503836" w:id="317"/>
      <w:bookmarkStart w:name="_Toc222833883" w:id="318"/>
      <w:r w:rsidRPr="00AA2A39">
        <w:t>5.3</w:t>
      </w:r>
      <w:r w:rsidRPr="00AA2A39">
        <w:tab/>
      </w:r>
      <w:r w:rsidRPr="00AA2A39">
        <w:t>Category 3: Industry and other R&amp;D income</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rsidRPr="00FB7B35" w:rsidR="00C50B07" w:rsidP="009D347E" w:rsidRDefault="00C50B07" w14:paraId="082A0C0D" w14:textId="77777777">
      <w:pPr>
        <w:keepNext/>
        <w:keepLines/>
        <w:tabs>
          <w:tab w:val="num" w:pos="1134"/>
        </w:tabs>
        <w:spacing w:after="120"/>
        <w:rPr>
          <w:rFonts w:eastAsia="Times New Roman" w:cs="Arial"/>
        </w:rPr>
      </w:pPr>
      <w:r w:rsidRPr="00FB7B35">
        <w:rPr>
          <w:rFonts w:eastAsia="Times New Roman" w:cs="Arial"/>
          <w:iCs/>
        </w:rPr>
        <w:t>Category 3</w:t>
      </w:r>
      <w:r w:rsidRPr="00FB7B35">
        <w:rPr>
          <w:rFonts w:eastAsia="Times New Roman" w:cs="Arial"/>
        </w:rPr>
        <w:t xml:space="preserve"> consists of R&amp;D income received from the private sector, philanthropic and international sources that are not eligible as Category 1 or Category 2 R&amp;D income, and</w:t>
      </w:r>
      <w:r w:rsidRPr="00FB7B35">
        <w:rPr>
          <w:rFonts w:eastAsia="Times New Roman" w:cs="Arial"/>
          <w:i/>
        </w:rPr>
        <w:t xml:space="preserve"> </w:t>
      </w:r>
      <w:r w:rsidRPr="00FB7B35">
        <w:rPr>
          <w:rFonts w:eastAsia="Times New Roman" w:cs="Arial"/>
        </w:rPr>
        <w:t>must be sub-categorised as follows:</w:t>
      </w:r>
    </w:p>
    <w:p w:rsidRPr="00FB7B35" w:rsidR="00C50B07" w:rsidP="00C50B07" w:rsidRDefault="00C50B07" w14:paraId="501CF1B7" w14:textId="77777777">
      <w:pPr>
        <w:pStyle w:val="ListBullet"/>
      </w:pPr>
      <w:r w:rsidRPr="00FB7B35">
        <w:t>Sub-category 3.1 Australian for-profit organisations</w:t>
      </w:r>
    </w:p>
    <w:p w:rsidRPr="00FB7B35" w:rsidR="00C50B07" w:rsidP="00C50B07" w:rsidRDefault="00C50B07" w14:paraId="0171CCA8" w14:textId="77777777">
      <w:pPr>
        <w:pStyle w:val="ListBullet"/>
      </w:pPr>
      <w:r w:rsidRPr="00FB7B35">
        <w:t>Sub-category 3.2 Australian not-for profit organisations</w:t>
      </w:r>
    </w:p>
    <w:p w:rsidRPr="00FB7B35" w:rsidR="00C50B07" w:rsidP="00C50B07" w:rsidRDefault="00C50B07" w14:paraId="05C4EDFA" w14:textId="77777777">
      <w:pPr>
        <w:pStyle w:val="ListBullet"/>
      </w:pPr>
      <w:r w:rsidRPr="00FB7B35">
        <w:t>Sub-category 3.3 Australian philanthropy</w:t>
      </w:r>
    </w:p>
    <w:p w:rsidRPr="00FB7B35" w:rsidR="00C50B07" w:rsidP="00C50B07" w:rsidRDefault="00C50B07" w14:paraId="6EEA31FC" w14:textId="77777777">
      <w:pPr>
        <w:pStyle w:val="ListBullet"/>
      </w:pPr>
      <w:r w:rsidRPr="00FB7B35">
        <w:t>Sub-category 3.4 International for-profit organisations</w:t>
      </w:r>
    </w:p>
    <w:p w:rsidRPr="00FB7B35" w:rsidR="00C50B07" w:rsidP="00C50B07" w:rsidRDefault="00C50B07" w14:paraId="298C95A7" w14:textId="77777777">
      <w:pPr>
        <w:pStyle w:val="ListBullet"/>
      </w:pPr>
      <w:r w:rsidRPr="00FB7B35">
        <w:t>Sub-category 3.5 International not-for profit organisations</w:t>
      </w:r>
    </w:p>
    <w:p w:rsidRPr="00FB7B35" w:rsidR="00C50B07" w:rsidP="00C50B07" w:rsidRDefault="00C50B07" w14:paraId="11560110" w14:textId="77777777">
      <w:pPr>
        <w:pStyle w:val="ListBullet"/>
      </w:pPr>
      <w:r w:rsidRPr="00FB7B35">
        <w:t>Sub-category 3.6 International philanthropy</w:t>
      </w:r>
    </w:p>
    <w:p w:rsidRPr="00FB7B35" w:rsidR="00C50B07" w:rsidP="00C50B07" w:rsidRDefault="00C50B07" w14:paraId="2B736AAD" w14:textId="77777777">
      <w:pPr>
        <w:pStyle w:val="ListBullet"/>
      </w:pPr>
      <w:r w:rsidRPr="00FB7B35">
        <w:t>Sub-category 3.7 International government (own purpose)</w:t>
      </w:r>
    </w:p>
    <w:p w:rsidRPr="00FB7B35" w:rsidR="00C50B07" w:rsidP="00C50B07" w:rsidRDefault="00C50B07" w14:paraId="05D03A9B" w14:textId="77777777">
      <w:pPr>
        <w:pStyle w:val="ListBullet"/>
      </w:pPr>
      <w:r w:rsidRPr="00FB7B35">
        <w:t>Sub-category 3.8 International government (other).</w:t>
      </w:r>
    </w:p>
    <w:p w:rsidRPr="00FB7B35" w:rsidR="00C50B07" w:rsidP="006108A9" w:rsidRDefault="00C50B07" w14:paraId="2064F1ED" w14:textId="77777777">
      <w:pPr>
        <w:pStyle w:val="Heading3"/>
      </w:pPr>
      <w:bookmarkStart w:name="_Toc81230926" w:id="319"/>
      <w:bookmarkStart w:name="_Toc92461302" w:id="320"/>
      <w:bookmarkStart w:name="_Toc147503837" w:id="321"/>
      <w:bookmarkStart w:name="_Toc222833884" w:id="322"/>
      <w:r w:rsidRPr="00FB7B35">
        <w:t>5.3.1</w:t>
      </w:r>
      <w:r w:rsidRPr="00FB7B35">
        <w:tab/>
      </w:r>
      <w:r w:rsidRPr="00FB7B35">
        <w:t>Australian private sector</w:t>
      </w:r>
      <w:bookmarkEnd w:id="319"/>
      <w:bookmarkEnd w:id="320"/>
      <w:bookmarkEnd w:id="321"/>
      <w:bookmarkEnd w:id="322"/>
    </w:p>
    <w:p w:rsidRPr="00FB7B35" w:rsidR="00C50B07" w:rsidP="009D347E" w:rsidRDefault="00C50B07" w14:paraId="5BA1CB9E" w14:textId="77777777">
      <w:pPr>
        <w:tabs>
          <w:tab w:val="num" w:pos="851"/>
          <w:tab w:val="num" w:pos="1134"/>
        </w:tabs>
        <w:spacing w:after="120"/>
        <w:rPr>
          <w:rFonts w:eastAsia="Times New Roman" w:cs="Arial"/>
          <w:b/>
          <w:bCs/>
        </w:rPr>
      </w:pPr>
      <w:r w:rsidRPr="00FB7B35">
        <w:rPr>
          <w:rFonts w:eastAsia="Times New Roman" w:cs="Arial"/>
        </w:rPr>
        <w:t xml:space="preserve">Income in this sub-category can include any R&amp;D commissioned by the Australian private sector. Income in this sub-category also includes cash contributions (excluding in-kind contributions) to competitive grants and R&amp;D grant income from Australian private sector organisations where the organisation or grant scheme is not considered to be Category 1 (see </w:t>
      </w:r>
      <w:r w:rsidRPr="00FB7B35">
        <w:rPr>
          <w:rFonts w:eastAsia="Times New Roman" w:cs="Arial"/>
          <w:b/>
          <w:bCs/>
        </w:rPr>
        <w:t>section 5.1</w:t>
      </w:r>
      <w:r w:rsidRPr="00FB7B35">
        <w:rPr>
          <w:rFonts w:eastAsia="Times New Roman" w:cs="Arial"/>
        </w:rPr>
        <w:t xml:space="preserve">). </w:t>
      </w:r>
    </w:p>
    <w:p w:rsidRPr="00FB7B35" w:rsidR="00C50B07" w:rsidP="009D347E" w:rsidRDefault="00C50B07" w14:paraId="690D40EA" w14:textId="0C701FAF">
      <w:pPr>
        <w:tabs>
          <w:tab w:val="num" w:pos="851"/>
          <w:tab w:val="num" w:pos="1134"/>
        </w:tabs>
        <w:spacing w:after="120"/>
        <w:rPr>
          <w:rFonts w:eastAsia="Times New Roman" w:cs="Arial"/>
        </w:rPr>
      </w:pPr>
      <w:r w:rsidRPr="00FB7B35">
        <w:rPr>
          <w:rFonts w:eastAsia="Times New Roman" w:cs="Arial"/>
        </w:rPr>
        <w:t>The Australian private sector sub-category is divided into R&amp;D income from for</w:t>
      </w:r>
      <w:r>
        <w:rPr>
          <w:rFonts w:eastAsia="Times New Roman" w:cs="Arial"/>
        </w:rPr>
        <w:t>-</w:t>
      </w:r>
      <w:r w:rsidRPr="00FB7B35">
        <w:rPr>
          <w:rFonts w:eastAsia="Times New Roman" w:cs="Arial"/>
        </w:rPr>
        <w:t>profit and not</w:t>
      </w:r>
      <w:r w:rsidRPr="00FB7B35">
        <w:rPr>
          <w:rFonts w:eastAsia="Times New Roman" w:cs="Arial"/>
        </w:rPr>
        <w:noBreakHyphen/>
        <w:t>for</w:t>
      </w:r>
      <w:r w:rsidRPr="00FB7B35">
        <w:rPr>
          <w:rFonts w:eastAsia="Times New Roman" w:cs="Arial"/>
        </w:rPr>
        <w:noBreakHyphen/>
        <w:t>profit organisations.</w:t>
      </w:r>
    </w:p>
    <w:p w:rsidRPr="00FB7B35" w:rsidR="00C50B07" w:rsidP="00D637AE" w:rsidRDefault="00C50B07" w14:paraId="3C804D04" w14:textId="77777777">
      <w:pPr>
        <w:pStyle w:val="Heading4"/>
      </w:pPr>
      <w:r w:rsidRPr="00FB7B35">
        <w:t>Sub-category 3.1 Australian for-profit organisations</w:t>
      </w:r>
    </w:p>
    <w:p w:rsidRPr="00FB7B35" w:rsidR="00C50B07" w:rsidP="009D347E" w:rsidRDefault="00C50B07" w14:paraId="21175D89" w14:textId="77777777">
      <w:pPr>
        <w:tabs>
          <w:tab w:val="num" w:pos="851"/>
          <w:tab w:val="num" w:pos="1134"/>
        </w:tabs>
        <w:spacing w:after="120"/>
        <w:rPr>
          <w:rFonts w:eastAsia="Times New Roman" w:cs="Arial"/>
        </w:rPr>
      </w:pPr>
      <w:r w:rsidRPr="00FB7B35">
        <w:rPr>
          <w:rFonts w:eastAsia="Times New Roman" w:cs="Arial"/>
        </w:rPr>
        <w:t>This sub-category includes income for R&amp;D from:</w:t>
      </w:r>
    </w:p>
    <w:p w:rsidRPr="00FB7B35" w:rsidR="00C50B07" w:rsidP="00C50B07" w:rsidRDefault="00C50B07" w14:paraId="186C0466" w14:textId="77777777">
      <w:pPr>
        <w:pStyle w:val="ListBullet"/>
      </w:pPr>
      <w:r w:rsidRPr="00FB7B35">
        <w:t>any for-profit business located in Australia including multi-nationals with their head office based in Australia or Australian subsidiaries of multi-national enterprises</w:t>
      </w:r>
    </w:p>
    <w:p w:rsidRPr="00FB7B35" w:rsidR="00C50B07" w:rsidP="00C50B07" w:rsidRDefault="00C50B07" w14:paraId="02F1764E" w14:textId="77777777">
      <w:pPr>
        <w:pStyle w:val="ListBullet"/>
      </w:pPr>
      <w:r w:rsidRPr="00FB7B35">
        <w:t>syndicated R&amp;D arrangements</w:t>
      </w:r>
    </w:p>
    <w:p w:rsidRPr="00FB7B35" w:rsidR="00C50B07" w:rsidP="00C50B07" w:rsidRDefault="00C50B07" w14:paraId="04543920" w14:textId="77777777">
      <w:pPr>
        <w:pStyle w:val="ListBullet"/>
      </w:pPr>
      <w:r w:rsidRPr="00FB7B35">
        <w:t>any for-profit, industry-owned Research and Development Corporation.</w:t>
      </w:r>
    </w:p>
    <w:p w:rsidRPr="00FB7B35" w:rsidR="00C50B07" w:rsidP="009D347E" w:rsidRDefault="00C50B07" w14:paraId="2E20293D" w14:textId="77777777">
      <w:pPr>
        <w:tabs>
          <w:tab w:val="num" w:pos="851"/>
          <w:tab w:val="num" w:pos="1134"/>
        </w:tabs>
        <w:spacing w:after="120"/>
        <w:rPr>
          <w:rFonts w:eastAsia="Times New Roman" w:cs="Arial"/>
          <w:i/>
          <w:iCs/>
        </w:rPr>
      </w:pPr>
      <w:r w:rsidRPr="00FB7B35">
        <w:rPr>
          <w:rFonts w:eastAsia="Times New Roman" w:cs="Arial"/>
        </w:rPr>
        <w:t>The Australian Business Register’s</w:t>
      </w:r>
      <w:r>
        <w:rPr>
          <w:rFonts w:eastAsia="Times New Roman" w:cs="Arial"/>
        </w:rPr>
        <w:t xml:space="preserve"> </w:t>
      </w:r>
      <w:hyperlink w:history="1" r:id="rId44">
        <w:r>
          <w:rPr>
            <w:rStyle w:val="Hyperlink"/>
          </w:rPr>
          <w:t>Australian Business Number (ABN) look-up</w:t>
        </w:r>
      </w:hyperlink>
      <w:r w:rsidRPr="00FB7B35">
        <w:rPr>
          <w:rFonts w:eastAsia="Times New Roman" w:cs="Arial"/>
        </w:rPr>
        <w:t xml:space="preserve"> can be used to help determine if a business is registered in Australia.</w:t>
      </w:r>
    </w:p>
    <w:p w:rsidRPr="00FB7B35" w:rsidR="00C50B07" w:rsidP="00D637AE" w:rsidRDefault="00C50B07" w14:paraId="22DAE4DD" w14:textId="77777777">
      <w:pPr>
        <w:pStyle w:val="Heading4"/>
      </w:pPr>
      <w:r w:rsidRPr="00FB7B35">
        <w:t>Sub-category 3.2 Australian not-for-</w:t>
      </w:r>
      <w:r w:rsidRPr="00210F56">
        <w:t>profit</w:t>
      </w:r>
      <w:r w:rsidRPr="00FB7B35">
        <w:t xml:space="preserve"> organisations</w:t>
      </w:r>
    </w:p>
    <w:p w:rsidRPr="00FB7B35" w:rsidR="00C50B07" w:rsidP="009D347E" w:rsidRDefault="00C50B07" w14:paraId="428AC977" w14:textId="77777777">
      <w:pPr>
        <w:tabs>
          <w:tab w:val="num" w:pos="851"/>
          <w:tab w:val="num" w:pos="1134"/>
        </w:tabs>
        <w:spacing w:after="120"/>
        <w:rPr>
          <w:rFonts w:eastAsia="Times New Roman" w:cs="Arial"/>
        </w:rPr>
      </w:pPr>
      <w:r w:rsidRPr="00FB7B35">
        <w:rPr>
          <w:rFonts w:eastAsia="Times New Roman" w:cs="Arial"/>
        </w:rPr>
        <w:t>This sub-category includes R&amp;D income from any private, not-for-profit organisation based in Australia. This includes income from mutuals, cooperatives, charities and foundations.</w:t>
      </w:r>
    </w:p>
    <w:p w:rsidRPr="00FB7B35" w:rsidR="00C50B07" w:rsidP="009D347E" w:rsidRDefault="00C50B07" w14:paraId="615FADE3" w14:textId="77777777">
      <w:pPr>
        <w:tabs>
          <w:tab w:val="num" w:pos="851"/>
          <w:tab w:val="num" w:pos="1134"/>
        </w:tabs>
        <w:spacing w:after="120"/>
        <w:rPr>
          <w:rFonts w:eastAsia="Times New Roman" w:cs="Arial"/>
          <w:u w:val="single"/>
        </w:rPr>
      </w:pPr>
      <w:r w:rsidRPr="00FB7B35">
        <w:rPr>
          <w:rFonts w:eastAsia="Times New Roman" w:cs="Arial"/>
        </w:rPr>
        <w:t xml:space="preserve">A not-for-profit organisation does not operate for the profit or gain of its individual members, whether these gains would have been direct or indirect. A not-for-profit organisation can take many forms. For further guidance on how to identify not-for-profit organisations, please refer to the </w:t>
      </w:r>
      <w:hyperlink w:history="1" r:id="rId45">
        <w:r w:rsidRPr="007A2B63">
          <w:rPr>
            <w:rStyle w:val="Hyperlink"/>
          </w:rPr>
          <w:t>Australian Tax Office</w:t>
        </w:r>
      </w:hyperlink>
      <w:r w:rsidRPr="00FB7B35">
        <w:rPr>
          <w:rFonts w:eastAsia="Times New Roman" w:cs="Arial"/>
        </w:rPr>
        <w:t xml:space="preserve"> </w:t>
      </w:r>
      <w:r>
        <w:rPr>
          <w:rFonts w:eastAsia="Times New Roman" w:cs="Arial"/>
        </w:rPr>
        <w:t xml:space="preserve">(ATO) </w:t>
      </w:r>
      <w:r w:rsidRPr="00FB7B35">
        <w:rPr>
          <w:rFonts w:eastAsia="Times New Roman" w:cs="Arial"/>
        </w:rPr>
        <w:t xml:space="preserve">or the </w:t>
      </w:r>
      <w:hyperlink w:history="1" r:id="rId46">
        <w:r w:rsidRPr="007A2B63">
          <w:rPr>
            <w:rStyle w:val="Hyperlink"/>
          </w:rPr>
          <w:t>Australian Charities and Not-for-profits Commission</w:t>
        </w:r>
      </w:hyperlink>
      <w:r>
        <w:rPr>
          <w:rFonts w:eastAsia="Times New Roman" w:cs="Arial"/>
        </w:rPr>
        <w:t xml:space="preserve"> (ACNC)</w:t>
      </w:r>
      <w:r w:rsidRPr="00FB7B35">
        <w:rPr>
          <w:rFonts w:eastAsia="Times New Roman" w:cs="Arial"/>
        </w:rPr>
        <w:t xml:space="preserve"> The </w:t>
      </w:r>
      <w:r w:rsidRPr="00FB7B35">
        <w:rPr>
          <w:rFonts w:eastAsia="Times New Roman" w:cs="Arial"/>
        </w:rPr>
        <w:t xml:space="preserve">Australian Business Register </w:t>
      </w:r>
      <w:hyperlink w:history="1" r:id="rId47">
        <w:r w:rsidRPr="007A2B63">
          <w:rPr>
            <w:rStyle w:val="Hyperlink"/>
          </w:rPr>
          <w:t>ABN look-up</w:t>
        </w:r>
      </w:hyperlink>
      <w:r w:rsidRPr="00FB7B35">
        <w:rPr>
          <w:rFonts w:eastAsia="Times New Roman" w:cs="Arial"/>
        </w:rPr>
        <w:t xml:space="preserve"> can be used to help determine if the R&amp;D income is from a not-for profit organisation and/or is registered with ACNC. A HEP may wish to contact the organisation to clarify the organisation’s status.</w:t>
      </w:r>
    </w:p>
    <w:p w:rsidRPr="00B75794" w:rsidR="00C50B07" w:rsidP="00D637AE" w:rsidRDefault="00C50B07" w14:paraId="2E9EC2EB" w14:textId="77777777">
      <w:pPr>
        <w:pStyle w:val="Heading4"/>
      </w:pPr>
      <w:r w:rsidRPr="00B75794">
        <w:t>Sub-category 3.3 Australian philanthropy</w:t>
      </w:r>
    </w:p>
    <w:p w:rsidRPr="00FB7B35" w:rsidR="00C50B07" w:rsidP="009D347E" w:rsidRDefault="00C50B07" w14:paraId="1BA888F7" w14:textId="77777777">
      <w:pPr>
        <w:tabs>
          <w:tab w:val="num" w:pos="1134"/>
        </w:tabs>
        <w:spacing w:after="120"/>
        <w:contextualSpacing/>
        <w:rPr>
          <w:rFonts w:eastAsia="Times New Roman" w:cs="Arial"/>
        </w:rPr>
      </w:pPr>
      <w:r w:rsidRPr="00FB7B35">
        <w:rPr>
          <w:rFonts w:eastAsia="Times New Roman" w:cs="Arial"/>
        </w:rPr>
        <w:t>This sub-category includes donations, bequests, endowments and crowd-funding for the conduct of R&amp;D that have been received from any Australian source, and are defined as follows:</w:t>
      </w:r>
    </w:p>
    <w:p w:rsidRPr="00D637AE" w:rsidR="00C50B07" w:rsidP="00D637AE" w:rsidRDefault="00C50B07" w14:paraId="2B9B2C2C" w14:textId="77777777">
      <w:pPr>
        <w:pStyle w:val="Heading5"/>
      </w:pPr>
      <w:r w:rsidRPr="00D637AE">
        <w:t>Donation</w:t>
      </w:r>
    </w:p>
    <w:p w:rsidRPr="00FB7B35" w:rsidR="00C50B07" w:rsidP="009D347E" w:rsidRDefault="00C50B07" w14:paraId="7AFA4F8D" w14:textId="77777777">
      <w:pPr>
        <w:spacing w:after="120"/>
        <w:rPr>
          <w:rFonts w:eastAsia="Times New Roman" w:cs="Arial"/>
        </w:rPr>
      </w:pPr>
      <w:r w:rsidRPr="00FB7B35">
        <w:rPr>
          <w:rFonts w:eastAsia="Times New Roman" w:cs="Arial"/>
        </w:rPr>
        <w:t>A donation is defined as money given to a HEP by a donor for a broad R&amp;D purpose with no reciprocal expectation of material benefits or advantage such as specific R&amp;D deliverables and reporting except for recognition of the donor and the expenditure of the money in accordance with the donor's wishes.</w:t>
      </w:r>
    </w:p>
    <w:p w:rsidRPr="00FB7B35" w:rsidR="00C50B07" w:rsidP="00D637AE" w:rsidRDefault="00C50B07" w14:paraId="6FCABD92" w14:textId="77777777">
      <w:pPr>
        <w:pStyle w:val="Heading5"/>
      </w:pPr>
      <w:r w:rsidRPr="00FB7B35">
        <w:t>Bequest</w:t>
      </w:r>
    </w:p>
    <w:p w:rsidRPr="00FB7B35" w:rsidR="00C50B07" w:rsidP="009D347E" w:rsidRDefault="00C50B07" w14:paraId="4FD772DD" w14:textId="77777777">
      <w:r w:rsidRPr="00FB7B35">
        <w:t>A bequest has all the elements of a donation except that it is received from the estate of a deceased person.</w:t>
      </w:r>
    </w:p>
    <w:p w:rsidRPr="00FB7B35" w:rsidR="00C50B07" w:rsidP="00D637AE" w:rsidRDefault="00C50B07" w14:paraId="175E669F" w14:textId="77777777">
      <w:pPr>
        <w:pStyle w:val="Heading5"/>
      </w:pPr>
      <w:r w:rsidRPr="00FB7B35">
        <w:t>Endowment</w:t>
      </w:r>
    </w:p>
    <w:p w:rsidRPr="00FB7B35" w:rsidR="00C50B07" w:rsidP="009D347E" w:rsidRDefault="00C50B07" w14:paraId="1B93AF8A" w14:textId="77777777">
      <w:pPr>
        <w:spacing w:after="120"/>
        <w:rPr>
          <w:rFonts w:eastAsia="Times New Roman" w:cs="Arial"/>
        </w:rPr>
      </w:pPr>
      <w:r w:rsidRPr="00FB7B35">
        <w:rPr>
          <w:rFonts w:eastAsia="Times New Roman" w:cs="Arial"/>
        </w:rPr>
        <w:t>An endowment is a transfer of an asset to a HEP for the ongoing support of R&amp;D and may (but not necessarily) be made as part of a donation or bequest. An endowment may be made for the perpetual benefit of the entity in that the transfer is made with a requirement for the principal to be preserved, and only income earned on investment activity to be made available for R&amp;D expenditure.</w:t>
      </w:r>
    </w:p>
    <w:p w:rsidRPr="00FB7B35" w:rsidR="00C50B07" w:rsidP="00D637AE" w:rsidRDefault="00C50B07" w14:paraId="0BC20971" w14:textId="77777777">
      <w:pPr>
        <w:pStyle w:val="Heading5"/>
      </w:pPr>
      <w:r w:rsidRPr="00FB7B35">
        <w:t>Crowd-funding</w:t>
      </w:r>
    </w:p>
    <w:p w:rsidRPr="00FB7B35" w:rsidR="00C50B07" w:rsidP="009D347E" w:rsidRDefault="00C50B07" w14:paraId="2DF0F264" w14:textId="77777777">
      <w:pPr>
        <w:spacing w:after="120"/>
        <w:rPr>
          <w:rFonts w:eastAsia="Times New Roman" w:cs="Arial"/>
        </w:rPr>
      </w:pPr>
      <w:r w:rsidRPr="00FB7B35">
        <w:rPr>
          <w:rFonts w:eastAsia="Times New Roman" w:cs="Arial"/>
        </w:rPr>
        <w:t>Crowd</w:t>
      </w:r>
      <w:r w:rsidRPr="00FB7B35">
        <w:rPr>
          <w:rFonts w:eastAsia="Times New Roman" w:cs="Arial"/>
          <w:i/>
          <w:iCs/>
        </w:rPr>
        <w:t>-</w:t>
      </w:r>
      <w:r w:rsidRPr="00FB7B35">
        <w:rPr>
          <w:rFonts w:eastAsia="Times New Roman" w:cs="Arial"/>
        </w:rPr>
        <w:t>funding is a type of (typically online) fundraising that allows a large number of individuals to make small financial contributions towards an R&amp;D project with little or no expectation of equal value return. To be eligible to report this income, any agreement with individual contributors must be non-reciprocal in nature, have no specific performance obligations and no obligation to licence, option or assign the intellectual property (or other non-financial asset) arising from the agreement back to the individual. All crowd-funding income should be reported in this sub-category, regardless of the proportion of crowd-funding from international donors.</w:t>
      </w:r>
    </w:p>
    <w:p w:rsidRPr="00FB7B35" w:rsidR="00C50B07" w:rsidP="009D347E" w:rsidRDefault="00C50B07" w14:paraId="0F8FC4F7" w14:textId="77777777">
      <w:r w:rsidRPr="00FB7B35">
        <w:t>Where all, or a proportion, of a donation, bequest, endowment, or crowd-funding is invested, then only the income earned from that investment which is available for expenditure on R&amp;D in the reference year should be included in the sub-category unless it is expressly for the purposes of R&amp;D.</w:t>
      </w:r>
    </w:p>
    <w:p w:rsidRPr="00FB7B35" w:rsidR="00C50B07" w:rsidP="006108A9" w:rsidRDefault="00C50B07" w14:paraId="1983FB05" w14:textId="77777777">
      <w:pPr>
        <w:pStyle w:val="Heading3"/>
      </w:pPr>
      <w:bookmarkStart w:name="_Toc81230927" w:id="323"/>
      <w:bookmarkStart w:name="_Toc92461303" w:id="324"/>
      <w:bookmarkStart w:name="_Toc147503838" w:id="325"/>
      <w:bookmarkStart w:name="_Toc222833885" w:id="326"/>
      <w:r w:rsidRPr="00FB7B35">
        <w:t>5.3.2</w:t>
      </w:r>
      <w:r w:rsidRPr="00FB7B35">
        <w:tab/>
      </w:r>
      <w:r w:rsidRPr="00FB7B35">
        <w:t>International private sector</w:t>
      </w:r>
      <w:bookmarkEnd w:id="323"/>
      <w:bookmarkEnd w:id="324"/>
      <w:bookmarkEnd w:id="325"/>
      <w:bookmarkEnd w:id="326"/>
    </w:p>
    <w:p w:rsidRPr="00FB7B35" w:rsidR="00C50B07" w:rsidP="009D347E" w:rsidRDefault="00C50B07" w14:paraId="7741A6A3" w14:textId="447C3A77">
      <w:pPr>
        <w:tabs>
          <w:tab w:val="num" w:pos="1134"/>
        </w:tabs>
        <w:spacing w:after="120"/>
        <w:contextualSpacing/>
        <w:rPr>
          <w:rFonts w:eastAsia="Times New Roman" w:cs="Arial"/>
        </w:rPr>
      </w:pPr>
      <w:r w:rsidRPr="00FB7B35">
        <w:rPr>
          <w:rFonts w:eastAsia="Times New Roman" w:cs="Arial"/>
        </w:rPr>
        <w:t>Income can include any R&amp;D commissioned by the international private sector. Income in this sub-category also includes cash contributions to competitive grants (excluding in</w:t>
      </w:r>
      <w:r>
        <w:rPr>
          <w:rFonts w:eastAsia="Times New Roman" w:cs="Arial"/>
        </w:rPr>
        <w:t>-</w:t>
      </w:r>
      <w:r w:rsidRPr="00FB7B35">
        <w:rPr>
          <w:rFonts w:eastAsia="Times New Roman" w:cs="Arial"/>
        </w:rPr>
        <w:t>kind contributions).</w:t>
      </w:r>
    </w:p>
    <w:p w:rsidRPr="00FB7B35" w:rsidR="00C50B07" w:rsidP="009D347E" w:rsidRDefault="00C50B07" w14:paraId="2CA2A16B" w14:textId="6CDBC26A">
      <w:pPr>
        <w:tabs>
          <w:tab w:val="num" w:pos="1134"/>
        </w:tabs>
        <w:spacing w:after="120"/>
        <w:rPr>
          <w:rFonts w:eastAsia="Times New Roman" w:cs="Arial"/>
        </w:rPr>
      </w:pPr>
      <w:r w:rsidRPr="00FB7B35">
        <w:rPr>
          <w:rFonts w:eastAsia="Times New Roman" w:cs="Arial"/>
        </w:rPr>
        <w:t xml:space="preserve">The international private sector sub-category is divided into R&amp;D income from </w:t>
      </w:r>
      <w:r w:rsidRPr="00FB7B35">
        <w:rPr>
          <w:rFonts w:eastAsia="Times New Roman" w:cs="Arial"/>
          <w:iCs/>
        </w:rPr>
        <w:t>for</w:t>
      </w:r>
      <w:r>
        <w:rPr>
          <w:rFonts w:eastAsia="Times New Roman" w:cs="Arial"/>
          <w:iCs/>
        </w:rPr>
        <w:t>-</w:t>
      </w:r>
      <w:r w:rsidRPr="00FB7B35">
        <w:rPr>
          <w:rFonts w:eastAsia="Times New Roman" w:cs="Arial"/>
          <w:iCs/>
        </w:rPr>
        <w:t>profit</w:t>
      </w:r>
      <w:r w:rsidRPr="00FB7B35">
        <w:rPr>
          <w:rFonts w:eastAsia="Times New Roman" w:cs="Arial"/>
        </w:rPr>
        <w:t xml:space="preserve"> and </w:t>
      </w:r>
      <w:r w:rsidRPr="00FB7B35">
        <w:rPr>
          <w:rFonts w:eastAsia="Times New Roman" w:cs="Arial"/>
          <w:iCs/>
        </w:rPr>
        <w:t>not</w:t>
      </w:r>
      <w:r w:rsidRPr="00FB7B35">
        <w:rPr>
          <w:rFonts w:eastAsia="Times New Roman" w:cs="Arial"/>
          <w:iCs/>
        </w:rPr>
        <w:noBreakHyphen/>
        <w:t>for</w:t>
      </w:r>
      <w:r w:rsidRPr="00FB7B35">
        <w:rPr>
          <w:rFonts w:eastAsia="Times New Roman" w:cs="Arial"/>
          <w:iCs/>
        </w:rPr>
        <w:noBreakHyphen/>
        <w:t>profit</w:t>
      </w:r>
      <w:r w:rsidRPr="00FB7B35">
        <w:rPr>
          <w:rFonts w:eastAsia="Times New Roman" w:cs="Arial"/>
        </w:rPr>
        <w:t xml:space="preserve"> organisations.</w:t>
      </w:r>
    </w:p>
    <w:p w:rsidRPr="00FB7B35" w:rsidR="00C50B07" w:rsidP="00D637AE" w:rsidRDefault="00C50B07" w14:paraId="7617566B" w14:textId="77777777">
      <w:pPr>
        <w:pStyle w:val="Heading4"/>
      </w:pPr>
      <w:r w:rsidRPr="00FB7B35">
        <w:t xml:space="preserve">Sub-category 3.4 </w:t>
      </w:r>
      <w:r>
        <w:t>i</w:t>
      </w:r>
      <w:r w:rsidRPr="00FB7B35">
        <w:t>nternational for-profit organisations</w:t>
      </w:r>
    </w:p>
    <w:p w:rsidRPr="00FB7B35" w:rsidR="00C50B07" w:rsidP="009D347E" w:rsidRDefault="00C50B07" w14:paraId="785B2AD3" w14:textId="77777777">
      <w:pPr>
        <w:tabs>
          <w:tab w:val="left" w:pos="720"/>
        </w:tabs>
        <w:spacing w:after="120"/>
        <w:rPr>
          <w:rFonts w:eastAsia="Times New Roman" w:cs="Arial"/>
        </w:rPr>
      </w:pPr>
      <w:r w:rsidRPr="00FB7B35">
        <w:rPr>
          <w:rFonts w:eastAsia="Times New Roman" w:cs="Arial"/>
        </w:rPr>
        <w:t>This sub-category includes income for R&amp;D from any for-profit business wholly located outside Australia. Do not include R&amp;D income from Australian subsidiaries of multinational enterprises.</w:t>
      </w:r>
    </w:p>
    <w:p w:rsidRPr="00FB7B35" w:rsidR="00C50B07" w:rsidP="00D637AE" w:rsidRDefault="00C50B07" w14:paraId="5C86C67A" w14:textId="77777777">
      <w:pPr>
        <w:pStyle w:val="Heading4"/>
      </w:pPr>
      <w:r w:rsidRPr="00FB7B35">
        <w:t xml:space="preserve">Sub-category 3.5 </w:t>
      </w:r>
      <w:r>
        <w:t>i</w:t>
      </w:r>
      <w:r w:rsidRPr="00FB7B35">
        <w:t>nternational not-for profit organisations</w:t>
      </w:r>
    </w:p>
    <w:p w:rsidRPr="00FB7B35" w:rsidR="00C50B07" w:rsidP="009D347E" w:rsidRDefault="00C50B07" w14:paraId="397930D4" w14:textId="77777777">
      <w:pPr>
        <w:tabs>
          <w:tab w:val="num" w:pos="1134"/>
        </w:tabs>
        <w:spacing w:after="120"/>
        <w:rPr>
          <w:rFonts w:eastAsia="Times New Roman" w:cs="Arial"/>
          <w:iCs/>
        </w:rPr>
      </w:pPr>
      <w:r w:rsidRPr="00FB7B35">
        <w:rPr>
          <w:rFonts w:eastAsia="Times New Roman" w:cs="Arial"/>
        </w:rPr>
        <w:t>This sub-category includes income for R&amp;D from any private not-for-profit organisation located outside Australia. This includes income from mutuals, cooperatives, charities and foundations. This may also include R&amp;D income from international not-for-profit universities.</w:t>
      </w:r>
    </w:p>
    <w:p w:rsidRPr="00FB7B35" w:rsidR="00C50B07" w:rsidP="009D347E" w:rsidRDefault="00C50B07" w14:paraId="79530E2D" w14:textId="77777777">
      <w:pPr>
        <w:tabs>
          <w:tab w:val="num" w:pos="1134"/>
        </w:tabs>
        <w:spacing w:after="120"/>
        <w:rPr>
          <w:rFonts w:eastAsia="Times New Roman" w:cs="Arial"/>
        </w:rPr>
      </w:pPr>
      <w:r w:rsidRPr="00FB7B35">
        <w:rPr>
          <w:rFonts w:eastAsia="Times New Roman" w:cs="Arial"/>
        </w:rPr>
        <w:t xml:space="preserve">This sub-category can include grants from international not-for-profit organisations. </w:t>
      </w:r>
    </w:p>
    <w:p w:rsidRPr="00FB7B35" w:rsidR="00C50B07" w:rsidP="009D347E" w:rsidRDefault="00C50B07" w14:paraId="0253DA66" w14:textId="77777777">
      <w:pPr>
        <w:tabs>
          <w:tab w:val="num" w:pos="1134"/>
        </w:tabs>
        <w:spacing w:after="120"/>
        <w:rPr>
          <w:rFonts w:eastAsia="Times New Roman" w:cs="Arial"/>
        </w:rPr>
      </w:pPr>
      <w:r w:rsidRPr="00FB7B35">
        <w:rPr>
          <w:rFonts w:eastAsia="Times New Roman" w:cs="Arial"/>
        </w:rPr>
        <w:t>If a HEP is unsure of the not-for-profit status of the international organisation, it is recommended that the organisation be contacted. A not-for-profit organisation does not operate for the profit or gain of its individual members, whether these gains would have been direct or indirect. A not</w:t>
      </w:r>
      <w:r w:rsidRPr="00FB7B35">
        <w:rPr>
          <w:rFonts w:eastAsia="Times New Roman" w:cs="Arial"/>
        </w:rPr>
        <w:noBreakHyphen/>
        <w:t>for</w:t>
      </w:r>
      <w:r w:rsidRPr="00FB7B35">
        <w:rPr>
          <w:rFonts w:eastAsia="Times New Roman" w:cs="Arial"/>
        </w:rPr>
        <w:noBreakHyphen/>
        <w:t>profit organisation can take many forms. For further guidance on how to identify not</w:t>
      </w:r>
      <w:r w:rsidRPr="00FB7B35">
        <w:rPr>
          <w:rFonts w:eastAsia="Times New Roman" w:cs="Arial"/>
        </w:rPr>
        <w:noBreakHyphen/>
        <w:t>for</w:t>
      </w:r>
      <w:r w:rsidRPr="00FB7B35">
        <w:rPr>
          <w:rFonts w:eastAsia="Times New Roman" w:cs="Arial"/>
        </w:rPr>
        <w:noBreakHyphen/>
        <w:t xml:space="preserve">profit organisations, please refer to the </w:t>
      </w:r>
      <w:hyperlink w:history="1" r:id="rId48">
        <w:r w:rsidRPr="00572D68">
          <w:rPr>
            <w:rStyle w:val="Hyperlink"/>
          </w:rPr>
          <w:t>ACNC</w:t>
        </w:r>
      </w:hyperlink>
      <w:r w:rsidRPr="00D637AE">
        <w:t xml:space="preserve"> website</w:t>
      </w:r>
      <w:r w:rsidRPr="00FB7B35">
        <w:rPr>
          <w:rFonts w:eastAsia="Times New Roman" w:cs="Arial"/>
        </w:rPr>
        <w:t>.</w:t>
      </w:r>
    </w:p>
    <w:p w:rsidRPr="00FB7B35" w:rsidR="00C50B07" w:rsidP="00D637AE" w:rsidRDefault="00C50B07" w14:paraId="65EE2CE1" w14:textId="77777777">
      <w:pPr>
        <w:pStyle w:val="Heading4"/>
      </w:pPr>
      <w:r w:rsidRPr="00FB7B35">
        <w:t xml:space="preserve">Sub-category 3.6 </w:t>
      </w:r>
      <w:r>
        <w:t>i</w:t>
      </w:r>
      <w:r w:rsidRPr="00FB7B35">
        <w:t xml:space="preserve">nternational philanthropy </w:t>
      </w:r>
    </w:p>
    <w:p w:rsidRPr="00FB7B35" w:rsidR="00C50B07" w:rsidP="009D347E" w:rsidRDefault="00C50B07" w14:paraId="7D3CABEC" w14:textId="77777777">
      <w:pPr>
        <w:tabs>
          <w:tab w:val="num" w:pos="709"/>
          <w:tab w:val="num" w:pos="1134"/>
        </w:tabs>
        <w:spacing w:after="120"/>
        <w:rPr>
          <w:rFonts w:eastAsia="Times New Roman" w:cs="Arial"/>
        </w:rPr>
      </w:pPr>
      <w:r w:rsidRPr="00FB7B35">
        <w:rPr>
          <w:rFonts w:eastAsia="Times New Roman" w:cs="Arial"/>
        </w:rPr>
        <w:t xml:space="preserve">This sub-category includes donations, bequests and endowments for the conduct of R&amp;D that have been received from any international source. Please refer to the definitions and notes for donations, bequests and endowments in </w:t>
      </w:r>
      <w:r w:rsidRPr="00FB7B35">
        <w:rPr>
          <w:rFonts w:eastAsia="Times New Roman" w:cs="Arial"/>
          <w:iCs/>
        </w:rPr>
        <w:t>sub-category 3.3</w:t>
      </w:r>
      <w:r w:rsidRPr="00FB7B35">
        <w:rPr>
          <w:rFonts w:eastAsia="Times New Roman" w:cs="Arial"/>
        </w:rPr>
        <w:t xml:space="preserve"> above.</w:t>
      </w:r>
    </w:p>
    <w:p w:rsidRPr="00FB7B35" w:rsidR="00C50B07" w:rsidP="006108A9" w:rsidRDefault="00C50B07" w14:paraId="1B9C7B11" w14:textId="77777777">
      <w:pPr>
        <w:pStyle w:val="Heading3"/>
      </w:pPr>
      <w:bookmarkStart w:name="_Toc81230928" w:id="327"/>
      <w:bookmarkStart w:name="_Toc92461304" w:id="328"/>
      <w:bookmarkStart w:name="_Toc147503839" w:id="329"/>
      <w:bookmarkStart w:name="_Toc222833886" w:id="330"/>
      <w:r w:rsidRPr="00FB7B35">
        <w:t>5.3.3</w:t>
      </w:r>
      <w:r w:rsidRPr="00FB7B35">
        <w:tab/>
      </w:r>
      <w:r w:rsidRPr="00FB7B35">
        <w:t>International government</w:t>
      </w:r>
      <w:bookmarkEnd w:id="327"/>
      <w:bookmarkEnd w:id="328"/>
      <w:bookmarkEnd w:id="329"/>
      <w:bookmarkEnd w:id="330"/>
      <w:r w:rsidRPr="00FB7B35">
        <w:t xml:space="preserve"> </w:t>
      </w:r>
    </w:p>
    <w:p w:rsidRPr="00FB7B35" w:rsidR="00C50B07" w:rsidP="009D347E" w:rsidRDefault="00C50B07" w14:paraId="5D29F83E" w14:textId="77777777">
      <w:pPr>
        <w:tabs>
          <w:tab w:val="left" w:pos="720"/>
        </w:tabs>
        <w:spacing w:after="120"/>
        <w:rPr>
          <w:rFonts w:eastAsia="Times New Roman" w:cs="Arial"/>
        </w:rPr>
      </w:pPr>
      <w:r w:rsidRPr="00FB7B35">
        <w:rPr>
          <w:rFonts w:eastAsia="Times New Roman" w:cs="Arial"/>
        </w:rPr>
        <w:t>‘Government’, in the international context, can also include supra-national or intergovernmental organisations such as the European Commission, OECD and United Nations. This applies to sub-categories 3.4 and 3.5.</w:t>
      </w:r>
    </w:p>
    <w:p w:rsidRPr="00FB7B35" w:rsidR="00C50B07" w:rsidP="009D347E" w:rsidRDefault="00C50B07" w14:paraId="2E253DCA" w14:textId="77777777">
      <w:pPr>
        <w:tabs>
          <w:tab w:val="left" w:pos="720"/>
        </w:tabs>
        <w:spacing w:after="120"/>
        <w:rPr>
          <w:rFonts w:eastAsia="Times New Roman" w:cs="Arial"/>
        </w:rPr>
      </w:pPr>
      <w:r w:rsidRPr="00FB7B35">
        <w:rPr>
          <w:rFonts w:eastAsia="Times New Roman" w:cs="Arial"/>
        </w:rPr>
        <w:t xml:space="preserve">In allocating the R&amp;D income to a specific sub-category of international government R&amp;D income, a HEP should determine which party is the primary beneficiary from the R&amp;D activity (and associated rights to intellectual property or other non-financial assets) undertaken by the HEP or its subsidiary. HEPs are required to consult the terms and conditions of an agreement, particularly any identified intellectual property clauses to help determine which sub-category to allocate funding to. </w:t>
      </w:r>
    </w:p>
    <w:p w:rsidRPr="00FB7B35" w:rsidR="00C50B07" w:rsidP="009D347E" w:rsidRDefault="00C50B07" w14:paraId="65C02AFF" w14:textId="77777777">
      <w:pPr>
        <w:tabs>
          <w:tab w:val="left" w:pos="720"/>
        </w:tabs>
        <w:spacing w:after="120"/>
        <w:rPr>
          <w:rFonts w:eastAsia="Times New Roman" w:cs="Arial"/>
        </w:rPr>
      </w:pPr>
      <w:r w:rsidRPr="00FB7B35">
        <w:rPr>
          <w:rFonts w:eastAsia="Times New Roman" w:cs="Arial"/>
        </w:rPr>
        <w:t>The department has a strict interpretation that in cases where there is a requirement that the HEP must license or assign any arising intellectual property back to an international government, then such income must be defined as own purpose. This includes cases where there is shared ownership of intellectual property rights.</w:t>
      </w:r>
    </w:p>
    <w:p w:rsidRPr="00D637AE" w:rsidR="00C50B07" w:rsidP="00D637AE" w:rsidRDefault="00C50B07" w14:paraId="183E76D2" w14:textId="77777777">
      <w:pPr>
        <w:pStyle w:val="Heading4"/>
      </w:pPr>
      <w:r w:rsidRPr="00D637AE">
        <w:t>Sub-category 3.7 international government (own purpose)</w:t>
      </w:r>
    </w:p>
    <w:p w:rsidRPr="00FB7B35" w:rsidR="00C50B07" w:rsidP="00C00377" w:rsidRDefault="00C50B07" w14:paraId="2F610545" w14:textId="45BE5EE2">
      <w:pPr>
        <w:tabs>
          <w:tab w:val="left" w:pos="720"/>
        </w:tabs>
        <w:spacing w:after="120"/>
        <w:rPr>
          <w:rFonts w:eastAsia="Times New Roman" w:cs="Arial"/>
        </w:rPr>
      </w:pPr>
      <w:r w:rsidRPr="00FB7B35">
        <w:rPr>
          <w:rFonts w:eastAsia="Times New Roman" w:cs="Arial"/>
        </w:rPr>
        <w:t>This sub-category includes income from government commissioned R&amp;D services covered by a contract or other enforceable agreement. This sub-category can also include cash contributions to Australian competitive grants (excluding in</w:t>
      </w:r>
      <w:r>
        <w:rPr>
          <w:rFonts w:eastAsia="Times New Roman" w:cs="Arial"/>
        </w:rPr>
        <w:t>-</w:t>
      </w:r>
      <w:r w:rsidRPr="00FB7B35">
        <w:rPr>
          <w:rFonts w:eastAsia="Times New Roman" w:cs="Arial"/>
        </w:rPr>
        <w:t>kind contributions). As a general guide, HEPs should report R&amp;D income in the own purpose category where the HEP must licence, option or assign all or part of the intellectual property (or other non-financial asset) arising from the agreement back to the international government customer. In the case of shared ownership of intellectual property rights, HEP income should also be reported as own purpose.</w:t>
      </w:r>
    </w:p>
    <w:p w:rsidRPr="00D637AE" w:rsidR="00C50B07" w:rsidP="00D637AE" w:rsidRDefault="00C50B07" w14:paraId="3813FDA3" w14:textId="77777777">
      <w:pPr>
        <w:pStyle w:val="Heading4"/>
      </w:pPr>
      <w:r w:rsidRPr="00D637AE">
        <w:t>Sub-category 3.8 international government (other)</w:t>
      </w:r>
    </w:p>
    <w:p w:rsidRPr="0039778B" w:rsidR="00C50B07" w:rsidP="00226696" w:rsidRDefault="00C50B07" w14:paraId="71F61A52" w14:textId="77777777">
      <w:pPr>
        <w:tabs>
          <w:tab w:val="left" w:pos="720"/>
        </w:tabs>
        <w:spacing w:after="120"/>
        <w:rPr>
          <w:rFonts w:eastAsia="Times New Roman" w:cs="Arial"/>
        </w:rPr>
      </w:pPr>
      <w:r w:rsidRPr="00FB7B35">
        <w:rPr>
          <w:rFonts w:eastAsia="Times New Roman" w:cs="Arial"/>
        </w:rPr>
        <w:t xml:space="preserve">This sub-category includes all other R&amp;D income from international government agencies and authorities, for example, competitive grants. </w:t>
      </w:r>
      <w:r>
        <w:rPr>
          <w:rFonts w:eastAsia="Times New Roman" w:cs="Arial"/>
        </w:rPr>
        <w:t>A s</w:t>
      </w:r>
      <w:r w:rsidRPr="00FB7B35">
        <w:rPr>
          <w:rFonts w:eastAsia="Times New Roman" w:cs="Arial"/>
        </w:rPr>
        <w:t xml:space="preserve">pecific example </w:t>
      </w:r>
      <w:r>
        <w:rPr>
          <w:rFonts w:eastAsia="Times New Roman" w:cs="Arial"/>
        </w:rPr>
        <w:t>is</w:t>
      </w:r>
      <w:r w:rsidRPr="00FB7B35">
        <w:rPr>
          <w:rFonts w:eastAsia="Times New Roman" w:cs="Arial"/>
        </w:rPr>
        <w:t xml:space="preserve"> research grants from the European Commission’s </w:t>
      </w:r>
      <w:hyperlink w:history="1" r:id="rId49">
        <w:r w:rsidRPr="007A2B63">
          <w:rPr>
            <w:rStyle w:val="Hyperlink"/>
          </w:rPr>
          <w:t>Horizon Europe</w:t>
        </w:r>
      </w:hyperlink>
      <w:r w:rsidRPr="00FB7B35">
        <w:rPr>
          <w:rFonts w:eastAsia="Times New Roman" w:cs="Arial"/>
        </w:rPr>
        <w:t xml:space="preserve"> program.</w:t>
      </w:r>
    </w:p>
    <w:p w:rsidRPr="00AA2A39" w:rsidR="00C50B07" w:rsidP="00AA2A39" w:rsidRDefault="00C50B07" w14:paraId="095CC044" w14:textId="77777777">
      <w:pPr>
        <w:pStyle w:val="Heading2"/>
      </w:pPr>
      <w:bookmarkStart w:name="_Toc491171975" w:id="331"/>
      <w:bookmarkStart w:name="_Toc491172068" w:id="332"/>
      <w:bookmarkStart w:name="_Toc491172355" w:id="333"/>
      <w:bookmarkStart w:name="_Toc491172580" w:id="334"/>
      <w:bookmarkStart w:name="_Toc491172996" w:id="335"/>
      <w:bookmarkStart w:name="_Toc523214689" w:id="336"/>
      <w:bookmarkStart w:name="_Toc27055373" w:id="337"/>
      <w:bookmarkStart w:name="_Toc81230929" w:id="338"/>
      <w:bookmarkStart w:name="_Toc92461305" w:id="339"/>
      <w:bookmarkStart w:name="_Toc147503840" w:id="340"/>
      <w:bookmarkStart w:name="_Toc222833887" w:id="341"/>
      <w:bookmarkEnd w:id="331"/>
      <w:bookmarkEnd w:id="332"/>
      <w:bookmarkEnd w:id="333"/>
      <w:bookmarkEnd w:id="334"/>
      <w:r w:rsidRPr="00AA2A39">
        <w:t>5.4</w:t>
      </w:r>
      <w:r w:rsidRPr="00AA2A39">
        <w:tab/>
      </w:r>
      <w:r w:rsidRPr="00AA2A39">
        <w:t>Category 4: CRC R&amp;D income</w:t>
      </w:r>
      <w:bookmarkEnd w:id="335"/>
      <w:bookmarkEnd w:id="336"/>
      <w:bookmarkEnd w:id="337"/>
      <w:bookmarkEnd w:id="338"/>
      <w:bookmarkEnd w:id="339"/>
      <w:bookmarkEnd w:id="340"/>
      <w:bookmarkEnd w:id="341"/>
    </w:p>
    <w:p w:rsidRPr="00FB7B35" w:rsidR="00C50B07" w:rsidP="009D347E" w:rsidRDefault="00C50B07" w14:paraId="4648A993" w14:textId="77777777">
      <w:pPr>
        <w:spacing w:after="120"/>
        <w:rPr>
          <w:rFonts w:eastAsia="Times New Roman" w:cs="Arial"/>
        </w:rPr>
      </w:pPr>
      <w:bookmarkStart w:name="_8.1_General_requirements" w:id="342"/>
      <w:bookmarkStart w:name="_Toc87171325" w:id="343"/>
      <w:bookmarkEnd w:id="342"/>
      <w:r w:rsidRPr="00FB7B35">
        <w:rPr>
          <w:rFonts w:eastAsia="Times New Roman" w:cs="Arial"/>
        </w:rPr>
        <w:t xml:space="preserve">Under </w:t>
      </w:r>
      <w:r w:rsidRPr="00FB7B35">
        <w:rPr>
          <w:rFonts w:eastAsia="Times New Roman" w:cs="Arial"/>
          <w:iCs/>
        </w:rPr>
        <w:t>Category 4,</w:t>
      </w:r>
      <w:r w:rsidRPr="00FB7B35">
        <w:rPr>
          <w:rFonts w:eastAsia="Times New Roman" w:cs="Arial"/>
        </w:rPr>
        <w:t xml:space="preserve"> HEPs must report the R&amp;D income from a CRC in which they were defined within the Commonwealth Agreement as a ‘Participant’ and are a signatory to the CRC</w:t>
      </w:r>
      <w:r>
        <w:rPr>
          <w:rFonts w:eastAsia="Times New Roman" w:cs="Arial"/>
        </w:rPr>
        <w:t>’</w:t>
      </w:r>
      <w:r w:rsidRPr="00FB7B35">
        <w:rPr>
          <w:rFonts w:eastAsia="Times New Roman" w:cs="Arial"/>
        </w:rPr>
        <w:t>s Commonwealth Agreement or Participant</w:t>
      </w:r>
      <w:r>
        <w:rPr>
          <w:rFonts w:eastAsia="Times New Roman" w:cs="Arial"/>
        </w:rPr>
        <w:t>’</w:t>
      </w:r>
      <w:r w:rsidRPr="00FB7B35">
        <w:rPr>
          <w:rFonts w:eastAsia="Times New Roman" w:cs="Arial"/>
        </w:rPr>
        <w:t xml:space="preserve">s Agreement. </w:t>
      </w:r>
    </w:p>
    <w:p w:rsidRPr="00FB7B35" w:rsidR="00C50B07" w:rsidP="009D347E" w:rsidRDefault="00C50B07" w14:paraId="6C9E4112" w14:textId="5A81B49A">
      <w:pPr>
        <w:spacing w:after="120"/>
        <w:rPr>
          <w:rFonts w:eastAsia="Times New Roman" w:cs="Arial"/>
        </w:rPr>
      </w:pPr>
      <w:r w:rsidRPr="00FB7B35">
        <w:rPr>
          <w:rFonts w:eastAsia="Times New Roman" w:cs="Arial"/>
          <w:iCs/>
        </w:rPr>
        <w:t>Category 4</w:t>
      </w:r>
      <w:r w:rsidRPr="00FB7B35">
        <w:rPr>
          <w:rFonts w:eastAsia="Times New Roman" w:cs="Arial"/>
        </w:rPr>
        <w:t xml:space="preserve"> CRC R&amp;D income includes HEP income received from CRC-P</w:t>
      </w:r>
      <w:r>
        <w:rPr>
          <w:rFonts w:eastAsia="Times New Roman" w:cs="Arial"/>
        </w:rPr>
        <w:t>s</w:t>
      </w:r>
      <w:r w:rsidRPr="00FB7B35">
        <w:rPr>
          <w:rFonts w:eastAsia="Times New Roman" w:cs="Arial"/>
        </w:rPr>
        <w:t xml:space="preserve">, which support short-term collaborative research projects. This must be categorised as </w:t>
      </w:r>
      <w:r w:rsidRPr="00FB7B35">
        <w:rPr>
          <w:rFonts w:eastAsia="Times New Roman" w:cs="Arial"/>
          <w:iCs/>
        </w:rPr>
        <w:t>Category 4</w:t>
      </w:r>
      <w:r w:rsidRPr="00FB7B35">
        <w:rPr>
          <w:rFonts w:eastAsia="Times New Roman" w:cs="Arial"/>
        </w:rPr>
        <w:t xml:space="preserve"> R&amp;D income, even if a HEP determines that the income is awarded on a competitive basis. Please note other references to CRC R&amp;D income in </w:t>
      </w:r>
      <w:r w:rsidRPr="00FB7B35">
        <w:rPr>
          <w:rFonts w:eastAsia="Times New Roman" w:cs="Arial"/>
          <w:b/>
        </w:rPr>
        <w:t>sections 4.1, 4.2, 4.6</w:t>
      </w:r>
      <w:r>
        <w:rPr>
          <w:rFonts w:eastAsia="Times New Roman" w:cs="Arial"/>
          <w:b/>
        </w:rPr>
        <w:t>, 5.1</w:t>
      </w:r>
      <w:r w:rsidRPr="00FB7B35">
        <w:rPr>
          <w:rFonts w:eastAsia="Times New Roman" w:cs="Arial"/>
          <w:b/>
        </w:rPr>
        <w:t xml:space="preserve"> and 5.2</w:t>
      </w:r>
      <w:r w:rsidRPr="003007CA">
        <w:rPr>
          <w:rFonts w:eastAsia="Times New Roman" w:cs="Arial"/>
        </w:rPr>
        <w:t>.</w:t>
      </w:r>
    </w:p>
    <w:p w:rsidRPr="00FB7B35" w:rsidR="00C50B07" w:rsidP="009D347E" w:rsidRDefault="00C50B07" w14:paraId="0E33331F" w14:textId="77777777">
      <w:pPr>
        <w:spacing w:after="120"/>
        <w:rPr>
          <w:rFonts w:cs="Arial"/>
        </w:rPr>
      </w:pPr>
      <w:r w:rsidRPr="00FB7B35">
        <w:rPr>
          <w:rFonts w:cs="Arial"/>
        </w:rPr>
        <w:t>HEPs must consolidate the R&amp;D income from all CRCs in which they were a Participant and enter this into their R&amp;D income return, sub-categorised as appropriate. This data does not need to be split between HEPs and their subsidiaries.</w:t>
      </w:r>
    </w:p>
    <w:p w:rsidRPr="00FB7B35" w:rsidR="00C50B07" w:rsidP="009D347E" w:rsidRDefault="00C50B07" w14:paraId="5D3CEF2C" w14:textId="77777777">
      <w:pPr>
        <w:spacing w:after="120"/>
        <w:rPr>
          <w:rFonts w:cs="Arial"/>
        </w:rPr>
      </w:pPr>
      <w:r w:rsidRPr="00FB7B35">
        <w:rPr>
          <w:rFonts w:cs="Arial"/>
          <w:iCs/>
        </w:rPr>
        <w:t>Category 4</w:t>
      </w:r>
      <w:r w:rsidRPr="00FB7B35">
        <w:rPr>
          <w:rFonts w:cs="Arial"/>
        </w:rPr>
        <w:t xml:space="preserve"> is comprised of the following </w:t>
      </w:r>
      <w:r>
        <w:rPr>
          <w:rFonts w:cs="Arial"/>
        </w:rPr>
        <w:t>3</w:t>
      </w:r>
      <w:r w:rsidRPr="00FB7B35">
        <w:rPr>
          <w:rFonts w:cs="Arial"/>
        </w:rPr>
        <w:t xml:space="preserve"> sub-categories:</w:t>
      </w:r>
    </w:p>
    <w:p w:rsidRPr="00D637AE" w:rsidR="00C50B07" w:rsidP="00D637AE" w:rsidRDefault="00C50B07" w14:paraId="05B04CB2" w14:textId="77777777">
      <w:pPr>
        <w:pStyle w:val="Heading31"/>
      </w:pPr>
      <w:r w:rsidRPr="00D637AE">
        <w:t>Sub-category 4.1 R&amp;D income received from CRCs derived from Australian Government grants to CRCs</w:t>
      </w:r>
    </w:p>
    <w:p w:rsidRPr="00FB7B35" w:rsidR="00C50B07" w:rsidP="009D347E" w:rsidRDefault="00C50B07" w14:paraId="577AF6BE" w14:textId="77777777">
      <w:pPr>
        <w:spacing w:after="120"/>
        <w:rPr>
          <w:rFonts w:eastAsia="Times New Roman" w:cs="Arial"/>
          <w:b/>
          <w:i/>
        </w:rPr>
      </w:pPr>
      <w:r w:rsidRPr="00FB7B35">
        <w:rPr>
          <w:rFonts w:eastAsia="Times New Roman" w:cs="Arial"/>
        </w:rPr>
        <w:t>This sub-category includes income to the HEP derived from Commonwealth CRC program grants.</w:t>
      </w:r>
    </w:p>
    <w:p w:rsidRPr="00D637AE" w:rsidR="00C50B07" w:rsidP="00D637AE" w:rsidRDefault="00C50B07" w14:paraId="2358CC10" w14:textId="77777777">
      <w:pPr>
        <w:pStyle w:val="Heading31"/>
      </w:pPr>
      <w:r w:rsidRPr="00D637AE">
        <w:t>Sub-category 4.2 R&amp;D income received from CRCs derived from private industry participants of CRCs</w:t>
      </w:r>
    </w:p>
    <w:p w:rsidRPr="00FB7B35" w:rsidR="00C50B07" w:rsidP="009D347E" w:rsidRDefault="00C50B07" w14:paraId="20995104" w14:textId="77777777">
      <w:pPr>
        <w:keepNext/>
        <w:keepLines/>
        <w:spacing w:after="120"/>
        <w:rPr>
          <w:rFonts w:eastAsia="Times New Roman" w:cs="Arial"/>
          <w:b/>
          <w:i/>
        </w:rPr>
      </w:pPr>
      <w:r w:rsidRPr="00FB7B35">
        <w:rPr>
          <w:rFonts w:eastAsia="Times New Roman" w:cs="Arial"/>
        </w:rPr>
        <w:t>This sub-category includes income to the HEP from private business CRC participants. This includes both for-profit and not-for profit businesses.</w:t>
      </w:r>
    </w:p>
    <w:p w:rsidRPr="00D637AE" w:rsidR="00C50B07" w:rsidP="00D637AE" w:rsidRDefault="00C50B07" w14:paraId="34C5B9B5" w14:textId="77777777">
      <w:pPr>
        <w:pStyle w:val="Heading31"/>
      </w:pPr>
      <w:r w:rsidRPr="00D637AE">
        <w:t>Sub-category 4.3 R&amp;D income received from CRCs derived from other sources</w:t>
      </w:r>
    </w:p>
    <w:p w:rsidR="00C50B07" w:rsidP="009D347E" w:rsidRDefault="00C50B07" w14:paraId="20721186" w14:textId="77777777">
      <w:pPr>
        <w:spacing w:after="120"/>
        <w:rPr>
          <w:rFonts w:eastAsia="Times New Roman" w:cs="Arial"/>
        </w:rPr>
      </w:pPr>
      <w:r w:rsidRPr="00FB7B35">
        <w:rPr>
          <w:rFonts w:eastAsia="Times New Roman" w:cs="Arial"/>
        </w:rPr>
        <w:t>This sub</w:t>
      </w:r>
      <w:r w:rsidRPr="00FB7B35">
        <w:rPr>
          <w:rFonts w:eastAsia="Times New Roman" w:cs="Arial"/>
        </w:rPr>
        <w:noBreakHyphen/>
        <w:t>category includes income to the HEP from all other CRC funding sources. This may include for example, cash funding from CRC government participants, contract R&amp;D or donations.</w:t>
      </w:r>
    </w:p>
    <w:p w:rsidRPr="00FB7B35" w:rsidR="00C50B07" w:rsidP="006108A9" w:rsidRDefault="00C50B07" w14:paraId="53170111" w14:textId="77777777">
      <w:pPr>
        <w:pStyle w:val="Heading3"/>
      </w:pPr>
      <w:bookmarkStart w:name="_8.2_Arrangements_applying" w:id="344"/>
      <w:bookmarkStart w:name="_Toc168817227" w:id="345"/>
      <w:bookmarkStart w:name="_Toc168824846" w:id="346"/>
      <w:bookmarkStart w:name="_8.3_Eligible_research" w:id="347"/>
      <w:bookmarkStart w:name="_Toc96675251" w:id="348"/>
      <w:bookmarkStart w:name="_Toc115747832" w:id="349"/>
      <w:bookmarkStart w:name="_Toc116183000" w:id="350"/>
      <w:bookmarkStart w:name="_Toc115747833" w:id="351"/>
      <w:bookmarkStart w:name="_Toc116183001" w:id="352"/>
      <w:bookmarkStart w:name="_Toc115747835" w:id="353"/>
      <w:bookmarkStart w:name="_Toc116183003" w:id="354"/>
      <w:bookmarkStart w:name="_8.5_Breakdown_by" w:id="355"/>
      <w:bookmarkStart w:name="_Toc96678069" w:id="356"/>
      <w:bookmarkStart w:name="_Toc112733812" w:id="357"/>
      <w:bookmarkStart w:name="_Toc112734022" w:id="358"/>
      <w:bookmarkStart w:name="_Ref114295790" w:id="359"/>
      <w:bookmarkStart w:name="_Ref114295816" w:id="360"/>
      <w:bookmarkStart w:name="_Toc116183006" w:id="361"/>
      <w:bookmarkStart w:name="_Ref147804798" w:id="362"/>
      <w:bookmarkStart w:name="_Toc251924138" w:id="363"/>
      <w:bookmarkStart w:name="_Toc406668889" w:id="364"/>
      <w:bookmarkStart w:name="_Ref440032416" w:id="365"/>
      <w:bookmarkStart w:name="_Toc81230930" w:id="366"/>
      <w:bookmarkStart w:name="_Toc92461306" w:id="367"/>
      <w:bookmarkStart w:name="_Toc147503841" w:id="368"/>
      <w:bookmarkStart w:name="_Toc222833888" w:id="369"/>
      <w:bookmarkStart w:name="_Toc96678074" w:id="370"/>
      <w:bookmarkStart w:name="_Toc112733816" w:id="371"/>
      <w:bookmarkStart w:name="_Toc112734026" w:id="372"/>
      <w:bookmarkEnd w:id="344"/>
      <w:bookmarkEnd w:id="345"/>
      <w:bookmarkEnd w:id="346"/>
      <w:bookmarkEnd w:id="347"/>
      <w:bookmarkEnd w:id="348"/>
      <w:bookmarkEnd w:id="349"/>
      <w:bookmarkEnd w:id="350"/>
      <w:bookmarkEnd w:id="351"/>
      <w:bookmarkEnd w:id="352"/>
      <w:bookmarkEnd w:id="353"/>
      <w:bookmarkEnd w:id="354"/>
      <w:bookmarkEnd w:id="355"/>
      <w:r w:rsidRPr="00FB7B35">
        <w:t>5.4.1</w:t>
      </w:r>
      <w:r w:rsidRPr="00FB7B35">
        <w:tab/>
      </w:r>
      <w:r w:rsidRPr="00FB7B35">
        <w:t>Breakdown by source category</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rsidR="00C50B07" w:rsidP="009D347E" w:rsidRDefault="00C50B07" w14:paraId="3490DCA4" w14:textId="77777777">
      <w:pPr>
        <w:spacing w:after="120"/>
        <w:rPr>
          <w:rFonts w:cs="Arial"/>
        </w:rPr>
      </w:pPr>
      <w:r w:rsidRPr="00FB7B35">
        <w:rPr>
          <w:rFonts w:cs="Arial"/>
        </w:rPr>
        <w:t xml:space="preserve">In some cases, CRC accounting systems do not readily distinguish between the funds provided to HEPs that are sourced from government grants, and funds sourced from non-HEP participants. If so, the CRC may split the funds between these </w:t>
      </w:r>
      <w:r>
        <w:rPr>
          <w:rFonts w:cs="Arial"/>
        </w:rPr>
        <w:t>2</w:t>
      </w:r>
      <w:r w:rsidRPr="00FB7B35">
        <w:rPr>
          <w:rFonts w:cs="Arial"/>
        </w:rPr>
        <w:t xml:space="preserve"> components in the same proportion as the cash </w:t>
      </w:r>
      <w:r w:rsidRPr="00182797">
        <w:rPr>
          <w:rFonts w:cs="Arial"/>
        </w:rPr>
        <w:t>funding it receives from these sources. If the receipt of funds from external parties cannot be tracked separately, this principle also applies.</w:t>
      </w:r>
    </w:p>
    <w:p w:rsidR="00C50B07" w:rsidP="00F95334" w:rsidRDefault="00C50B07" w14:paraId="346D55E6" w14:textId="77777777">
      <w:pPr>
        <w:pBdr>
          <w:top w:val="single" w:color="00254A" w:themeColor="text2" w:sz="24" w:space="1"/>
          <w:left w:val="single" w:color="00254A" w:themeColor="text2" w:sz="24" w:space="4"/>
          <w:bottom w:val="single" w:color="00254A" w:themeColor="text2" w:sz="24" w:space="1"/>
          <w:right w:val="single" w:color="00254A" w:themeColor="text2" w:sz="24" w:space="4"/>
        </w:pBdr>
        <w:shd w:val="clear" w:color="auto" w:fill="F2F2F2" w:themeFill="background1" w:themeFillShade="F2"/>
        <w:spacing w:after="0"/>
        <w:rPr>
          <w:rFonts w:cs="Arial"/>
          <w:iCs/>
        </w:rPr>
      </w:pPr>
      <w:r w:rsidRPr="00182797">
        <w:rPr>
          <w:rFonts w:cs="Arial"/>
          <w:b/>
          <w:bCs/>
        </w:rPr>
        <w:t xml:space="preserve">Example: </w:t>
      </w:r>
      <w:r w:rsidRPr="00182797">
        <w:rPr>
          <w:rFonts w:cs="Arial"/>
          <w:iCs/>
        </w:rPr>
        <w:t xml:space="preserve">Over the period 1 January 2021 to 31 December 2021 (see </w:t>
      </w:r>
      <w:r w:rsidRPr="00807A64">
        <w:rPr>
          <w:rFonts w:cs="Arial"/>
          <w:b/>
          <w:bCs/>
          <w:iCs/>
        </w:rPr>
        <w:t>section 4.1</w:t>
      </w:r>
      <w:r w:rsidRPr="00182797">
        <w:rPr>
          <w:rFonts w:cs="Arial"/>
          <w:iCs/>
        </w:rPr>
        <w:t>) a CRC receives cash funding into a single account from the following sources:</w:t>
      </w:r>
    </w:p>
    <w:p w:rsidRPr="00182797" w:rsidR="00C50B07" w:rsidP="000B1367" w:rsidRDefault="00C50B07" w14:paraId="6185159F" w14:textId="77777777">
      <w:pPr>
        <w:pStyle w:val="ListBullet"/>
        <w:pBdr>
          <w:top w:val="single" w:color="00254A" w:themeColor="text2" w:sz="24" w:space="1"/>
          <w:left w:val="single" w:color="00254A" w:themeColor="text2" w:sz="24" w:space="4"/>
          <w:bottom w:val="single" w:color="00254A" w:themeColor="text2" w:sz="24" w:space="1"/>
          <w:right w:val="single" w:color="00254A" w:themeColor="text2" w:sz="24" w:space="4"/>
        </w:pBdr>
        <w:shd w:val="clear" w:color="auto" w:fill="F2F2F2" w:themeFill="background1" w:themeFillShade="F2"/>
        <w:spacing w:after="0" w:line="240" w:lineRule="auto"/>
        <w:ind w:left="284" w:hanging="284"/>
        <w:rPr>
          <w:b/>
          <w:bCs/>
        </w:rPr>
      </w:pPr>
      <w:r w:rsidRPr="00182797">
        <w:t>Australian HEP sources: $5 million (25%)</w:t>
      </w:r>
    </w:p>
    <w:p w:rsidRPr="00182797" w:rsidR="00C50B07" w:rsidP="000B1367" w:rsidRDefault="00C50B07" w14:paraId="499B5006" w14:textId="77777777">
      <w:pPr>
        <w:pStyle w:val="ListBullet"/>
        <w:pBdr>
          <w:top w:val="single" w:color="00254A" w:themeColor="text2" w:sz="24" w:space="1"/>
          <w:left w:val="single" w:color="00254A" w:themeColor="text2" w:sz="24" w:space="4"/>
          <w:bottom w:val="single" w:color="00254A" w:themeColor="text2" w:sz="24" w:space="1"/>
          <w:right w:val="single" w:color="00254A" w:themeColor="text2" w:sz="24" w:space="4"/>
        </w:pBdr>
        <w:shd w:val="clear" w:color="auto" w:fill="F2F2F2" w:themeFill="background1" w:themeFillShade="F2"/>
        <w:spacing w:after="0" w:line="240" w:lineRule="auto"/>
        <w:ind w:left="284" w:hanging="284"/>
        <w:rPr>
          <w:b/>
          <w:bCs/>
        </w:rPr>
      </w:pPr>
      <w:r w:rsidRPr="00182797">
        <w:t>Government grant: $3 million (15%)</w:t>
      </w:r>
    </w:p>
    <w:p w:rsidRPr="00182797" w:rsidR="00C50B07" w:rsidP="000B1367" w:rsidRDefault="00C50B07" w14:paraId="6659D928" w14:textId="77777777">
      <w:pPr>
        <w:pStyle w:val="ListBullet"/>
        <w:pBdr>
          <w:top w:val="single" w:color="00254A" w:themeColor="text2" w:sz="24" w:space="1"/>
          <w:left w:val="single" w:color="00254A" w:themeColor="text2" w:sz="24" w:space="4"/>
          <w:bottom w:val="single" w:color="00254A" w:themeColor="text2" w:sz="24" w:space="1"/>
          <w:right w:val="single" w:color="00254A" w:themeColor="text2" w:sz="24" w:space="4"/>
        </w:pBdr>
        <w:shd w:val="clear" w:color="auto" w:fill="F2F2F2" w:themeFill="background1" w:themeFillShade="F2"/>
        <w:spacing w:after="0" w:line="240" w:lineRule="auto"/>
        <w:ind w:left="284" w:hanging="284"/>
        <w:rPr>
          <w:b/>
          <w:bCs/>
        </w:rPr>
      </w:pPr>
      <w:r w:rsidRPr="00182797">
        <w:t>Private industry participants: $7 million (35%)</w:t>
      </w:r>
    </w:p>
    <w:p w:rsidRPr="00182797" w:rsidR="00C50B07" w:rsidP="000B1367" w:rsidRDefault="00C50B07" w14:paraId="1FECD1B6" w14:textId="77777777">
      <w:pPr>
        <w:pStyle w:val="ListBullet"/>
        <w:pBdr>
          <w:top w:val="single" w:color="00254A" w:themeColor="text2" w:sz="24" w:space="1"/>
          <w:left w:val="single" w:color="00254A" w:themeColor="text2" w:sz="24" w:space="4"/>
          <w:bottom w:val="single" w:color="00254A" w:themeColor="text2" w:sz="24" w:space="1"/>
          <w:right w:val="single" w:color="00254A" w:themeColor="text2" w:sz="24" w:space="4"/>
        </w:pBdr>
        <w:shd w:val="clear" w:color="auto" w:fill="F2F2F2" w:themeFill="background1" w:themeFillShade="F2"/>
        <w:spacing w:after="0" w:line="240" w:lineRule="auto"/>
        <w:ind w:left="284" w:hanging="284"/>
        <w:rPr>
          <w:b/>
          <w:bCs/>
        </w:rPr>
      </w:pPr>
      <w:r w:rsidRPr="00182797">
        <w:t>Other sources: $5 million (25%)</w:t>
      </w:r>
    </w:p>
    <w:p w:rsidR="00C50B07" w:rsidP="00F95334" w:rsidRDefault="00C50B07" w14:paraId="5B360876" w14:textId="77777777">
      <w:pPr>
        <w:pBdr>
          <w:top w:val="single" w:color="00254A" w:themeColor="text2" w:sz="24" w:space="1"/>
          <w:left w:val="single" w:color="00254A" w:themeColor="text2" w:sz="24" w:space="4"/>
          <w:bottom w:val="single" w:color="00254A" w:themeColor="text2" w:sz="24" w:space="1"/>
          <w:right w:val="single" w:color="00254A" w:themeColor="text2" w:sz="24" w:space="4"/>
        </w:pBdr>
        <w:shd w:val="clear" w:color="auto" w:fill="F2F2F2" w:themeFill="background1" w:themeFillShade="F2"/>
        <w:spacing w:after="0"/>
        <w:rPr>
          <w:rFonts w:cs="Arial"/>
        </w:rPr>
      </w:pPr>
      <w:r w:rsidRPr="00182797">
        <w:rPr>
          <w:rFonts w:cs="Arial"/>
        </w:rPr>
        <w:t>If the CRC allocates $800,000 of the funds (which is not readily able to</w:t>
      </w:r>
      <w:r>
        <w:rPr>
          <w:rFonts w:cs="Arial"/>
        </w:rPr>
        <w:t xml:space="preserve"> be</w:t>
      </w:r>
      <w:r w:rsidRPr="00182797">
        <w:rPr>
          <w:rFonts w:cs="Arial"/>
        </w:rPr>
        <w:t xml:space="preserve"> attribute</w:t>
      </w:r>
      <w:r>
        <w:rPr>
          <w:rFonts w:cs="Arial"/>
        </w:rPr>
        <w:t>d</w:t>
      </w:r>
      <w:r w:rsidRPr="00182797">
        <w:rPr>
          <w:rFonts w:cs="Arial"/>
        </w:rPr>
        <w:t xml:space="preserve"> to any particular sources) to HEP X for R&amp;D purposes, in its Certified Statement for HEP X, the CRC may attribute:</w:t>
      </w:r>
    </w:p>
    <w:p w:rsidRPr="00182797" w:rsidR="00C50B07" w:rsidP="000B1367" w:rsidRDefault="00C50B07" w14:paraId="42EF6C6F" w14:textId="77777777">
      <w:pPr>
        <w:pStyle w:val="ListBullet"/>
        <w:pBdr>
          <w:top w:val="single" w:color="00254A" w:themeColor="text2" w:sz="24" w:space="1"/>
          <w:left w:val="single" w:color="00254A" w:themeColor="text2" w:sz="24" w:space="4"/>
          <w:bottom w:val="single" w:color="00254A" w:themeColor="text2" w:sz="24" w:space="1"/>
          <w:right w:val="single" w:color="00254A" w:themeColor="text2" w:sz="24" w:space="4"/>
        </w:pBdr>
        <w:shd w:val="clear" w:color="auto" w:fill="F2F2F2" w:themeFill="background1" w:themeFillShade="F2"/>
        <w:spacing w:after="0" w:line="240" w:lineRule="auto"/>
        <w:ind w:left="284" w:hanging="284"/>
        <w:rPr>
          <w:b/>
          <w:bCs/>
        </w:rPr>
      </w:pPr>
      <w:r>
        <w:t>$120,00</w:t>
      </w:r>
      <w:r w:rsidRPr="00182797">
        <w:t xml:space="preserve">0 (15% of the $800,000) to the ‘Allocation of funds from Commonwealth grant’ component </w:t>
      </w:r>
    </w:p>
    <w:p w:rsidRPr="00C91C51" w:rsidR="00C50B07" w:rsidP="000B1367" w:rsidRDefault="00C50B07" w14:paraId="761FC8CB" w14:textId="77777777">
      <w:pPr>
        <w:pStyle w:val="ListBullet"/>
        <w:pBdr>
          <w:top w:val="single" w:color="00254A" w:themeColor="text2" w:sz="24" w:space="1"/>
          <w:left w:val="single" w:color="00254A" w:themeColor="text2" w:sz="24" w:space="4"/>
          <w:bottom w:val="single" w:color="00254A" w:themeColor="text2" w:sz="24" w:space="1"/>
          <w:right w:val="single" w:color="00254A" w:themeColor="text2" w:sz="24" w:space="4"/>
        </w:pBdr>
        <w:shd w:val="clear" w:color="auto" w:fill="F2F2F2" w:themeFill="background1" w:themeFillShade="F2"/>
        <w:spacing w:after="0" w:line="240" w:lineRule="auto"/>
        <w:ind w:left="284" w:hanging="284"/>
        <w:rPr>
          <w:b/>
          <w:bCs/>
        </w:rPr>
      </w:pPr>
      <w:r>
        <w:t>$</w:t>
      </w:r>
      <w:r w:rsidRPr="00182797">
        <w:t>280,000 (35% of the $800,000) to the ‘Allocation of funds from Private industry participants’ component and</w:t>
      </w:r>
    </w:p>
    <w:p w:rsidRPr="00182797" w:rsidR="00C50B07" w:rsidP="000B1367" w:rsidRDefault="00C50B07" w14:paraId="3C671838" w14:textId="77777777">
      <w:pPr>
        <w:pStyle w:val="ListBullet"/>
        <w:pBdr>
          <w:top w:val="single" w:color="00254A" w:themeColor="text2" w:sz="24" w:space="1"/>
          <w:left w:val="single" w:color="00254A" w:themeColor="text2" w:sz="24" w:space="4"/>
          <w:bottom w:val="single" w:color="00254A" w:themeColor="text2" w:sz="24" w:space="1"/>
          <w:right w:val="single" w:color="00254A" w:themeColor="text2" w:sz="24" w:space="4"/>
        </w:pBdr>
        <w:shd w:val="clear" w:color="auto" w:fill="F2F2F2" w:themeFill="background1" w:themeFillShade="F2"/>
        <w:spacing w:after="0" w:line="240" w:lineRule="auto"/>
        <w:ind w:left="284" w:hanging="284"/>
        <w:rPr>
          <w:b/>
          <w:bCs/>
        </w:rPr>
      </w:pPr>
      <w:r>
        <w:t>$</w:t>
      </w:r>
      <w:r w:rsidRPr="00182797">
        <w:t>200,000 (25% of the $800,000) to the ‘Allocation of funds from other sources’ component.</w:t>
      </w:r>
    </w:p>
    <w:p w:rsidRPr="000B1367" w:rsidR="00C50B07" w:rsidP="000B1367" w:rsidRDefault="00C50B07" w14:paraId="1D0D52E8" w14:textId="36407597">
      <w:pPr>
        <w:pBdr>
          <w:top w:val="single" w:color="00254A" w:themeColor="text2" w:sz="24" w:space="1"/>
          <w:left w:val="single" w:color="00254A" w:themeColor="text2" w:sz="24" w:space="4"/>
          <w:bottom w:val="single" w:color="00254A" w:themeColor="text2" w:sz="24" w:space="1"/>
          <w:right w:val="single" w:color="00254A" w:themeColor="text2" w:sz="24" w:space="4"/>
        </w:pBdr>
        <w:shd w:val="clear" w:color="auto" w:fill="F2F2F2" w:themeFill="background1" w:themeFillShade="F2"/>
        <w:spacing w:after="0" w:line="240" w:lineRule="auto"/>
        <w:ind w:left="284" w:hanging="284"/>
        <w:contextualSpacing/>
        <w:rPr>
          <w:rFonts w:cs="Arial"/>
          <w:b/>
          <w:bCs/>
        </w:rPr>
      </w:pPr>
      <w:r w:rsidRPr="00572D68">
        <w:rPr>
          <w:rFonts w:cs="Arial"/>
        </w:rPr>
        <w:t>The 25% share of the $800,000 sourced from Australian HEPs is not able to be counted.</w:t>
      </w:r>
      <w:bookmarkStart w:name="_Toc96678098" w:id="373"/>
      <w:bookmarkStart w:name="_Toc112733840" w:id="374"/>
      <w:bookmarkStart w:name="_Toc112734050" w:id="375"/>
      <w:bookmarkStart w:name="_Toc116183056" w:id="376"/>
      <w:bookmarkStart w:name="_Toc251924151" w:id="377"/>
      <w:bookmarkStart w:name="_Toc406668925" w:id="378"/>
      <w:bookmarkStart w:name="_Toc482284847" w:id="379"/>
      <w:bookmarkStart w:name="_Toc489438094" w:id="380"/>
      <w:bookmarkStart w:name="_Toc489955877" w:id="381"/>
      <w:bookmarkStart w:name="_Toc491172997" w:id="382"/>
      <w:bookmarkStart w:name="_Toc523214690" w:id="383"/>
      <w:bookmarkStart w:name="_Toc27055374" w:id="384"/>
      <w:bookmarkEnd w:id="343"/>
      <w:bookmarkEnd w:id="370"/>
      <w:bookmarkEnd w:id="371"/>
      <w:bookmarkEnd w:id="372"/>
    </w:p>
    <w:p w:rsidRPr="00634374" w:rsidR="00C50B07" w:rsidP="00634374" w:rsidRDefault="00C50B07" w14:paraId="2332511F" w14:textId="77777777">
      <w:pPr>
        <w:pStyle w:val="Heading1"/>
        <w:tabs>
          <w:tab w:val="num" w:pos="397"/>
        </w:tabs>
        <w:spacing w:before="0"/>
        <w:ind w:left="709" w:hanging="709"/>
      </w:pPr>
      <w:bookmarkStart w:name="_Toc81230931" w:id="385"/>
      <w:bookmarkStart w:name="_Toc92461307" w:id="386"/>
      <w:bookmarkStart w:name="_Toc147503842" w:id="387"/>
      <w:bookmarkStart w:name="_Toc222833889" w:id="388"/>
      <w:bookmarkEnd w:id="373"/>
      <w:bookmarkEnd w:id="374"/>
      <w:bookmarkEnd w:id="375"/>
      <w:bookmarkEnd w:id="376"/>
      <w:bookmarkEnd w:id="377"/>
      <w:bookmarkEnd w:id="378"/>
      <w:bookmarkEnd w:id="379"/>
      <w:bookmarkEnd w:id="380"/>
      <w:bookmarkEnd w:id="381"/>
      <w:bookmarkEnd w:id="382"/>
      <w:bookmarkEnd w:id="383"/>
      <w:r w:rsidRPr="00FB7B35">
        <w:t>Acronyms</w:t>
      </w:r>
      <w:bookmarkEnd w:id="384"/>
      <w:bookmarkEnd w:id="385"/>
      <w:bookmarkEnd w:id="386"/>
      <w:bookmarkEnd w:id="387"/>
      <w:bookmarkEnd w:id="388"/>
    </w:p>
    <w:p w:rsidRPr="00FB7B35" w:rsidR="00C50B07" w:rsidP="009D347E" w:rsidRDefault="00C50B07" w14:paraId="5C5EC6A3" w14:textId="77777777">
      <w:pPr>
        <w:tabs>
          <w:tab w:val="left" w:pos="3119"/>
        </w:tabs>
        <w:spacing w:after="120"/>
        <w:ind w:left="3119" w:hanging="3119"/>
        <w:rPr>
          <w:rFonts w:eastAsia="Times New Roman" w:cs="Arial"/>
        </w:rPr>
      </w:pPr>
      <w:r w:rsidRPr="00FB7B35">
        <w:rPr>
          <w:rFonts w:eastAsia="Times New Roman" w:cs="Arial"/>
        </w:rPr>
        <w:t>AASB</w:t>
      </w:r>
      <w:r w:rsidRPr="00FB7B35">
        <w:rPr>
          <w:rFonts w:eastAsia="Times New Roman" w:cs="Arial"/>
        </w:rPr>
        <w:tab/>
      </w:r>
      <w:r w:rsidRPr="00FB7B35">
        <w:rPr>
          <w:rFonts w:eastAsia="Times New Roman" w:cs="Arial"/>
        </w:rPr>
        <w:t>Australian Accounting Standards Board</w:t>
      </w:r>
    </w:p>
    <w:p w:rsidRPr="00FB7B35" w:rsidR="00C50B07" w:rsidP="009D347E" w:rsidRDefault="00C50B07" w14:paraId="3AF733C8" w14:textId="77777777">
      <w:pPr>
        <w:tabs>
          <w:tab w:val="left" w:pos="3119"/>
        </w:tabs>
        <w:spacing w:after="120"/>
        <w:ind w:left="3119" w:hanging="3119"/>
        <w:rPr>
          <w:rFonts w:eastAsia="Times New Roman" w:cs="Arial"/>
        </w:rPr>
      </w:pPr>
      <w:r w:rsidRPr="00FB7B35">
        <w:rPr>
          <w:rFonts w:cs="Arial" w:eastAsiaTheme="majorEastAsia"/>
        </w:rPr>
        <w:t>ACNC</w:t>
      </w:r>
      <w:r w:rsidRPr="00FB7B35">
        <w:rPr>
          <w:rFonts w:cs="Arial" w:eastAsiaTheme="majorEastAsia"/>
        </w:rPr>
        <w:tab/>
      </w:r>
      <w:r w:rsidRPr="00FB7B35">
        <w:rPr>
          <w:rFonts w:cs="Arial" w:eastAsiaTheme="majorEastAsia"/>
        </w:rPr>
        <w:t>Australian Charities and Not-for-profits Commission</w:t>
      </w:r>
    </w:p>
    <w:p w:rsidR="00C50B07" w:rsidP="009D347E" w:rsidRDefault="00C50B07" w14:paraId="388A4DF5" w14:textId="77777777">
      <w:pPr>
        <w:tabs>
          <w:tab w:val="left" w:pos="3119"/>
        </w:tabs>
        <w:spacing w:after="120"/>
        <w:ind w:left="3119" w:hanging="3119"/>
        <w:rPr>
          <w:rFonts w:eastAsia="Times New Roman" w:cs="Arial"/>
        </w:rPr>
      </w:pPr>
      <w:r w:rsidRPr="00FB7B35">
        <w:rPr>
          <w:rFonts w:eastAsia="Times New Roman" w:cs="Arial"/>
        </w:rPr>
        <w:t>ARC</w:t>
      </w:r>
      <w:r w:rsidRPr="00FB7B35">
        <w:rPr>
          <w:rFonts w:eastAsia="Times New Roman" w:cs="Arial"/>
        </w:rPr>
        <w:tab/>
      </w:r>
      <w:r w:rsidRPr="00FB7B35">
        <w:rPr>
          <w:rFonts w:eastAsia="Times New Roman" w:cs="Arial"/>
        </w:rPr>
        <w:t>Australian Research Council</w:t>
      </w:r>
    </w:p>
    <w:p w:rsidRPr="00FB7B35" w:rsidR="00C50B07" w:rsidP="009D347E" w:rsidRDefault="00C50B07" w14:paraId="2CDD82BA" w14:textId="77777777">
      <w:pPr>
        <w:tabs>
          <w:tab w:val="left" w:pos="3119"/>
        </w:tabs>
        <w:spacing w:after="120"/>
        <w:ind w:left="3119" w:hanging="3119"/>
        <w:rPr>
          <w:rFonts w:eastAsia="Times New Roman" w:cs="Arial"/>
        </w:rPr>
      </w:pPr>
      <w:r>
        <w:rPr>
          <w:rFonts w:eastAsia="Times New Roman" w:cs="Arial"/>
        </w:rPr>
        <w:t>ASA</w:t>
      </w:r>
      <w:r>
        <w:rPr>
          <w:rFonts w:eastAsia="Times New Roman" w:cs="Arial"/>
        </w:rPr>
        <w:tab/>
      </w:r>
      <w:r>
        <w:rPr>
          <w:rFonts w:eastAsia="Times New Roman" w:cs="Arial"/>
        </w:rPr>
        <w:t>Australian Auditing Standard</w:t>
      </w:r>
    </w:p>
    <w:p w:rsidRPr="00FB7B35" w:rsidR="00C50B07" w:rsidP="009D347E" w:rsidRDefault="00C50B07" w14:paraId="48ECE16D" w14:textId="77777777">
      <w:pPr>
        <w:tabs>
          <w:tab w:val="left" w:pos="3119"/>
        </w:tabs>
        <w:spacing w:after="120"/>
        <w:ind w:left="3119" w:hanging="3119"/>
        <w:rPr>
          <w:rFonts w:eastAsia="Times New Roman" w:cs="Arial"/>
        </w:rPr>
      </w:pPr>
      <w:r w:rsidRPr="00FB7B35">
        <w:rPr>
          <w:rFonts w:eastAsia="Times New Roman" w:cs="Arial"/>
        </w:rPr>
        <w:t>CRC</w:t>
      </w:r>
      <w:r w:rsidRPr="00FB7B35">
        <w:rPr>
          <w:rFonts w:eastAsia="Times New Roman" w:cs="Arial"/>
        </w:rPr>
        <w:tab/>
      </w:r>
      <w:r w:rsidRPr="00FB7B35">
        <w:rPr>
          <w:rFonts w:eastAsia="Times New Roman" w:cs="Arial"/>
        </w:rPr>
        <w:t>Cooperative Research Centre</w:t>
      </w:r>
    </w:p>
    <w:p w:rsidRPr="00FB7B35" w:rsidR="00C50B07" w:rsidP="009D347E" w:rsidRDefault="00C50B07" w14:paraId="4290F3DB" w14:textId="77777777">
      <w:pPr>
        <w:tabs>
          <w:tab w:val="left" w:pos="3119"/>
        </w:tabs>
        <w:spacing w:after="120"/>
        <w:ind w:left="3119" w:hanging="3119"/>
        <w:rPr>
          <w:rFonts w:eastAsia="Times New Roman" w:cs="Arial"/>
        </w:rPr>
      </w:pPr>
      <w:r w:rsidRPr="00FB7B35">
        <w:rPr>
          <w:rFonts w:eastAsia="Times New Roman" w:cs="Arial"/>
        </w:rPr>
        <w:t>CRC-P</w:t>
      </w:r>
      <w:r w:rsidRPr="00FB7B35">
        <w:rPr>
          <w:rFonts w:eastAsia="Times New Roman" w:cs="Arial"/>
        </w:rPr>
        <w:tab/>
      </w:r>
      <w:r w:rsidRPr="00FB7B35">
        <w:rPr>
          <w:rFonts w:eastAsia="Times New Roman" w:cs="Arial"/>
        </w:rPr>
        <w:t>Cooperative Research Centre Projects</w:t>
      </w:r>
    </w:p>
    <w:p w:rsidRPr="00FB7B35" w:rsidR="00C50B07" w:rsidP="009D347E" w:rsidRDefault="00C50B07" w14:paraId="54F7D3FC" w14:textId="77777777">
      <w:pPr>
        <w:tabs>
          <w:tab w:val="left" w:pos="1780"/>
          <w:tab w:val="left" w:pos="3119"/>
        </w:tabs>
        <w:spacing w:after="120"/>
        <w:ind w:left="3119" w:hanging="3119"/>
        <w:rPr>
          <w:rFonts w:eastAsia="Times New Roman" w:cs="Arial"/>
          <w:i/>
        </w:rPr>
      </w:pPr>
      <w:r w:rsidRPr="00FB7B35">
        <w:rPr>
          <w:rFonts w:eastAsia="Times New Roman" w:cs="Arial"/>
        </w:rPr>
        <w:t>FOI Act</w:t>
      </w:r>
      <w:r w:rsidRPr="00FB7B35">
        <w:rPr>
          <w:rFonts w:eastAsia="Times New Roman" w:cs="Arial"/>
        </w:rPr>
        <w:tab/>
      </w:r>
      <w:r w:rsidRPr="00FB7B35">
        <w:rPr>
          <w:rFonts w:eastAsia="Times New Roman" w:cs="Arial"/>
        </w:rPr>
        <w:tab/>
      </w:r>
      <w:r w:rsidRPr="00FB7B35">
        <w:rPr>
          <w:rFonts w:eastAsia="Times New Roman" w:cs="Arial"/>
          <w:i/>
        </w:rPr>
        <w:t>Freedom of Information Act 1982</w:t>
      </w:r>
    </w:p>
    <w:p w:rsidRPr="00FB7B35" w:rsidR="00C50B07" w:rsidP="009D347E" w:rsidRDefault="00C50B07" w14:paraId="428C5DDD" w14:textId="77777777">
      <w:pPr>
        <w:tabs>
          <w:tab w:val="left" w:pos="3119"/>
        </w:tabs>
        <w:spacing w:after="120"/>
        <w:ind w:left="3119" w:hanging="3119"/>
        <w:rPr>
          <w:rFonts w:eastAsia="Times New Roman" w:cs="Arial"/>
        </w:rPr>
      </w:pPr>
      <w:r w:rsidRPr="00FB7B35">
        <w:rPr>
          <w:rFonts w:eastAsia="Times New Roman" w:cs="Arial"/>
        </w:rPr>
        <w:t>GST</w:t>
      </w:r>
      <w:r w:rsidRPr="00FB7B35">
        <w:rPr>
          <w:rFonts w:eastAsia="Times New Roman" w:cs="Arial"/>
        </w:rPr>
        <w:tab/>
      </w:r>
      <w:r w:rsidRPr="00FB7B35">
        <w:rPr>
          <w:rFonts w:eastAsia="Times New Roman" w:cs="Arial"/>
        </w:rPr>
        <w:t>Goods and Services Tax</w:t>
      </w:r>
    </w:p>
    <w:p w:rsidRPr="00FB7B35" w:rsidR="00C50B07" w:rsidP="009D347E" w:rsidRDefault="00C50B07" w14:paraId="1DF9AFAB" w14:textId="77777777">
      <w:pPr>
        <w:tabs>
          <w:tab w:val="left" w:pos="3119"/>
        </w:tabs>
        <w:spacing w:after="120"/>
        <w:ind w:left="3119" w:hanging="3119"/>
        <w:rPr>
          <w:rFonts w:eastAsia="Times New Roman" w:cs="Arial"/>
        </w:rPr>
      </w:pPr>
      <w:r w:rsidRPr="00FB7B35">
        <w:rPr>
          <w:rFonts w:eastAsia="Times New Roman" w:cs="Arial"/>
        </w:rPr>
        <w:t>HASS</w:t>
      </w:r>
      <w:r w:rsidRPr="00FB7B35">
        <w:rPr>
          <w:rFonts w:eastAsia="Times New Roman" w:cs="Arial"/>
        </w:rPr>
        <w:tab/>
      </w:r>
      <w:r w:rsidRPr="00FB7B35">
        <w:rPr>
          <w:rFonts w:eastAsia="Times New Roman" w:cs="Arial"/>
        </w:rPr>
        <w:t>Humanities and social sciences</w:t>
      </w:r>
    </w:p>
    <w:p w:rsidR="00C50B07" w:rsidP="00D27624" w:rsidRDefault="00C50B07" w14:paraId="0ED4F86F" w14:textId="77777777">
      <w:pPr>
        <w:tabs>
          <w:tab w:val="left" w:pos="3119"/>
        </w:tabs>
        <w:spacing w:after="120"/>
        <w:ind w:left="3119" w:hanging="3119"/>
        <w:rPr>
          <w:rFonts w:eastAsia="Times New Roman" w:cs="Arial"/>
        </w:rPr>
      </w:pPr>
      <w:r w:rsidRPr="00FB7B35">
        <w:rPr>
          <w:rFonts w:eastAsia="Times New Roman" w:cs="Arial"/>
        </w:rPr>
        <w:t>HDR</w:t>
      </w:r>
      <w:r w:rsidRPr="00FB7B35">
        <w:rPr>
          <w:rFonts w:eastAsia="Times New Roman" w:cs="Arial"/>
        </w:rPr>
        <w:tab/>
      </w:r>
      <w:r w:rsidRPr="00FB7B35">
        <w:rPr>
          <w:rFonts w:eastAsia="Times New Roman" w:cs="Arial"/>
        </w:rPr>
        <w:t>Higher degree by research</w:t>
      </w:r>
    </w:p>
    <w:p w:rsidRPr="00FB7B35" w:rsidR="00C50B07" w:rsidP="009D347E" w:rsidRDefault="00C50B07" w14:paraId="1B4B6E7A" w14:textId="77777777">
      <w:pPr>
        <w:tabs>
          <w:tab w:val="left" w:pos="3119"/>
        </w:tabs>
        <w:spacing w:after="120"/>
        <w:ind w:left="3119" w:hanging="3119"/>
        <w:rPr>
          <w:rFonts w:eastAsia="Times New Roman" w:cs="Arial"/>
        </w:rPr>
      </w:pPr>
      <w:r w:rsidRPr="00FB7B35">
        <w:rPr>
          <w:rFonts w:eastAsia="Times New Roman" w:cs="Arial"/>
        </w:rPr>
        <w:t>HEP</w:t>
      </w:r>
      <w:r w:rsidRPr="00FB7B35">
        <w:rPr>
          <w:rFonts w:eastAsia="Times New Roman" w:cs="Arial"/>
        </w:rPr>
        <w:tab/>
      </w:r>
      <w:r w:rsidRPr="00FB7B35">
        <w:rPr>
          <w:rFonts w:eastAsia="Times New Roman" w:cs="Arial"/>
        </w:rPr>
        <w:t>Higher education provider</w:t>
      </w:r>
    </w:p>
    <w:p w:rsidRPr="00FB7B35" w:rsidR="00C50B07" w:rsidP="009D347E" w:rsidRDefault="00C50B07" w14:paraId="37DA01FB" w14:textId="77777777">
      <w:pPr>
        <w:tabs>
          <w:tab w:val="left" w:pos="3119"/>
        </w:tabs>
        <w:spacing w:after="120"/>
        <w:ind w:left="3119" w:hanging="3119"/>
        <w:rPr>
          <w:rFonts w:eastAsia="Times New Roman" w:cs="Arial"/>
        </w:rPr>
      </w:pPr>
      <w:r w:rsidRPr="00FB7B35">
        <w:rPr>
          <w:rFonts w:eastAsia="Times New Roman" w:cs="Arial"/>
        </w:rPr>
        <w:t>HERDC</w:t>
      </w:r>
      <w:r w:rsidRPr="00FB7B35">
        <w:rPr>
          <w:rFonts w:eastAsia="Times New Roman" w:cs="Arial"/>
        </w:rPr>
        <w:tab/>
      </w:r>
      <w:r w:rsidRPr="00FB7B35">
        <w:rPr>
          <w:rFonts w:eastAsia="Times New Roman" w:cs="Arial"/>
        </w:rPr>
        <w:t>Higher Education Research Data Collection</w:t>
      </w:r>
    </w:p>
    <w:p w:rsidRPr="00FB7B35" w:rsidR="00C50B07" w:rsidP="009D347E" w:rsidRDefault="00C50B07" w14:paraId="418AD4D9" w14:textId="77777777">
      <w:pPr>
        <w:tabs>
          <w:tab w:val="left" w:pos="3119"/>
        </w:tabs>
        <w:spacing w:after="120"/>
        <w:ind w:left="3119" w:hanging="3119"/>
        <w:rPr>
          <w:rFonts w:eastAsia="Times New Roman" w:cs="Arial"/>
        </w:rPr>
      </w:pPr>
      <w:r w:rsidRPr="00FB7B35">
        <w:rPr>
          <w:rFonts w:eastAsia="Times New Roman" w:cs="Arial"/>
        </w:rPr>
        <w:t>HESA</w:t>
      </w:r>
      <w:r w:rsidRPr="00FB7B35">
        <w:rPr>
          <w:rFonts w:eastAsia="Times New Roman" w:cs="Arial"/>
        </w:rPr>
        <w:tab/>
      </w:r>
      <w:r w:rsidRPr="00FB7B35">
        <w:rPr>
          <w:rFonts w:eastAsia="Times New Roman" w:cs="Arial"/>
          <w:i/>
        </w:rPr>
        <w:t>Higher Education Support Act 2003</w:t>
      </w:r>
    </w:p>
    <w:p w:rsidR="00C50B07" w:rsidP="009D347E" w:rsidRDefault="00C50B07" w14:paraId="55DE0062" w14:textId="77777777">
      <w:pPr>
        <w:tabs>
          <w:tab w:val="left" w:pos="3119"/>
        </w:tabs>
        <w:spacing w:after="120"/>
        <w:ind w:left="3119" w:hanging="3119"/>
        <w:rPr>
          <w:rFonts w:eastAsia="Times New Roman" w:cs="Arial"/>
        </w:rPr>
      </w:pPr>
      <w:r>
        <w:rPr>
          <w:rFonts w:eastAsia="Times New Roman" w:cs="Arial"/>
        </w:rPr>
        <w:t>IRIISS</w:t>
      </w:r>
      <w:r>
        <w:rPr>
          <w:rFonts w:eastAsia="Times New Roman" w:cs="Arial"/>
        </w:rPr>
        <w:tab/>
      </w:r>
      <w:r w:rsidRPr="009C0ED5">
        <w:rPr>
          <w:rFonts w:eastAsia="Times New Roman" w:cs="Arial"/>
        </w:rPr>
        <w:t>Independent Research Institutes Infrastructure Support Scheme</w:t>
      </w:r>
    </w:p>
    <w:p w:rsidR="00C50B07" w:rsidP="009D347E" w:rsidRDefault="00C50B07" w14:paraId="40C181F3" w14:textId="77777777">
      <w:pPr>
        <w:tabs>
          <w:tab w:val="left" w:pos="3119"/>
        </w:tabs>
        <w:spacing w:after="120"/>
        <w:ind w:left="3119" w:hanging="3119"/>
        <w:rPr>
          <w:rFonts w:eastAsia="Times New Roman" w:cs="Arial"/>
        </w:rPr>
      </w:pPr>
      <w:r>
        <w:rPr>
          <w:rFonts w:eastAsia="Times New Roman" w:cs="Arial"/>
        </w:rPr>
        <w:t>KCA</w:t>
      </w:r>
      <w:r>
        <w:rPr>
          <w:rFonts w:eastAsia="Times New Roman" w:cs="Arial"/>
        </w:rPr>
        <w:tab/>
      </w:r>
      <w:r>
        <w:rPr>
          <w:rFonts w:eastAsia="Times New Roman" w:cs="Arial"/>
        </w:rPr>
        <w:t>Knowledge Commercialisation Australasia</w:t>
      </w:r>
    </w:p>
    <w:p w:rsidRPr="00FB7B35" w:rsidR="00C50B07" w:rsidP="00D27624" w:rsidRDefault="00C50B07" w14:paraId="5AA312A7" w14:textId="77777777">
      <w:pPr>
        <w:tabs>
          <w:tab w:val="left" w:pos="3119"/>
        </w:tabs>
        <w:spacing w:after="120"/>
        <w:ind w:left="3119" w:hanging="3119"/>
        <w:rPr>
          <w:rFonts w:eastAsia="Times New Roman" w:cs="Arial"/>
        </w:rPr>
      </w:pPr>
      <w:r w:rsidRPr="00FB7B35">
        <w:rPr>
          <w:rFonts w:eastAsia="Times New Roman" w:cs="Arial"/>
        </w:rPr>
        <w:t>MRFF</w:t>
      </w:r>
      <w:r w:rsidRPr="00FB7B35">
        <w:rPr>
          <w:rFonts w:eastAsia="Times New Roman" w:cs="Arial"/>
        </w:rPr>
        <w:tab/>
      </w:r>
      <w:r w:rsidRPr="00FB7B35">
        <w:rPr>
          <w:rFonts w:eastAsia="Times New Roman" w:cs="Arial"/>
        </w:rPr>
        <w:t>Medical Research Future Fund</w:t>
      </w:r>
    </w:p>
    <w:p w:rsidRPr="00FB7B35" w:rsidR="00C50B07" w:rsidP="009D347E" w:rsidRDefault="00C50B07" w14:paraId="3D0F8688" w14:textId="77777777">
      <w:pPr>
        <w:tabs>
          <w:tab w:val="left" w:pos="3119"/>
        </w:tabs>
        <w:spacing w:after="120"/>
        <w:ind w:left="3119" w:hanging="3119"/>
        <w:rPr>
          <w:rFonts w:eastAsia="Times New Roman" w:cs="Arial"/>
        </w:rPr>
      </w:pPr>
      <w:r>
        <w:rPr>
          <w:rFonts w:eastAsia="Times New Roman" w:cs="Arial"/>
        </w:rPr>
        <w:t>NCGP</w:t>
      </w:r>
      <w:r>
        <w:rPr>
          <w:rFonts w:eastAsia="Times New Roman" w:cs="Arial"/>
        </w:rPr>
        <w:tab/>
      </w:r>
      <w:r>
        <w:rPr>
          <w:rFonts w:eastAsia="Times New Roman" w:cs="Arial"/>
        </w:rPr>
        <w:t>National Competitive Grants Program</w:t>
      </w:r>
    </w:p>
    <w:p w:rsidRPr="00FB7B35" w:rsidR="00C50B07" w:rsidP="009D347E" w:rsidRDefault="00C50B07" w14:paraId="17A8DE89" w14:textId="77777777">
      <w:pPr>
        <w:tabs>
          <w:tab w:val="left" w:pos="3119"/>
        </w:tabs>
        <w:spacing w:after="120"/>
        <w:ind w:left="3119" w:hanging="3119"/>
        <w:rPr>
          <w:rFonts w:eastAsia="Times New Roman" w:cs="Arial"/>
        </w:rPr>
      </w:pPr>
      <w:r w:rsidRPr="00FB7B35">
        <w:rPr>
          <w:rFonts w:eastAsia="Times New Roman" w:cs="Arial"/>
        </w:rPr>
        <w:t>NHMRC</w:t>
      </w:r>
      <w:r w:rsidRPr="00FB7B35">
        <w:rPr>
          <w:rFonts w:eastAsia="Times New Roman" w:cs="Arial"/>
        </w:rPr>
        <w:tab/>
      </w:r>
      <w:r w:rsidRPr="00FB7B35">
        <w:rPr>
          <w:rFonts w:eastAsia="Times New Roman" w:cs="Arial"/>
        </w:rPr>
        <w:t>National Health and Medical Research Council</w:t>
      </w:r>
    </w:p>
    <w:p w:rsidRPr="00FB7B35" w:rsidR="00C50B07" w:rsidP="009D347E" w:rsidRDefault="00C50B07" w14:paraId="45530BF9" w14:textId="77777777">
      <w:pPr>
        <w:tabs>
          <w:tab w:val="left" w:pos="3119"/>
        </w:tabs>
        <w:spacing w:after="120"/>
        <w:ind w:left="3119" w:hanging="3119"/>
        <w:rPr>
          <w:rFonts w:eastAsia="Times New Roman" w:cs="Arial"/>
        </w:rPr>
      </w:pPr>
      <w:r w:rsidRPr="00FB7B35">
        <w:rPr>
          <w:rFonts w:eastAsia="Times New Roman" w:cs="Arial"/>
        </w:rPr>
        <w:t>OECD</w:t>
      </w:r>
      <w:r w:rsidRPr="00FB7B35">
        <w:rPr>
          <w:rFonts w:eastAsia="Times New Roman" w:cs="Arial"/>
        </w:rPr>
        <w:tab/>
      </w:r>
      <w:r w:rsidRPr="00FB7B35">
        <w:rPr>
          <w:rFonts w:eastAsia="Times New Roman" w:cs="Arial"/>
        </w:rPr>
        <w:t>Organisation for Economic Cooperation and Development</w:t>
      </w:r>
    </w:p>
    <w:p w:rsidRPr="00FB7B35" w:rsidR="00C50B07" w:rsidP="009D347E" w:rsidRDefault="00C50B07" w14:paraId="1DFF34D6" w14:textId="77777777">
      <w:pPr>
        <w:tabs>
          <w:tab w:val="left" w:pos="3119"/>
        </w:tabs>
        <w:spacing w:after="120"/>
        <w:ind w:left="3119" w:hanging="3119"/>
        <w:rPr>
          <w:rFonts w:eastAsia="Times New Roman" w:cs="Arial"/>
        </w:rPr>
      </w:pPr>
      <w:r w:rsidRPr="00FB7B35">
        <w:rPr>
          <w:rFonts w:eastAsia="Times New Roman" w:cs="Arial"/>
        </w:rPr>
        <w:t>R&amp;D</w:t>
      </w:r>
      <w:r w:rsidRPr="00FB7B35">
        <w:rPr>
          <w:rFonts w:eastAsia="Times New Roman" w:cs="Arial"/>
        </w:rPr>
        <w:tab/>
      </w:r>
      <w:r w:rsidRPr="00FB7B35">
        <w:rPr>
          <w:rFonts w:eastAsia="Times New Roman" w:cs="Arial"/>
        </w:rPr>
        <w:t>Research and experimental Development</w:t>
      </w:r>
    </w:p>
    <w:p w:rsidR="00C50B07" w:rsidP="009D347E" w:rsidRDefault="00C50B07" w14:paraId="629AC65D" w14:textId="77777777">
      <w:pPr>
        <w:tabs>
          <w:tab w:val="left" w:pos="3119"/>
        </w:tabs>
        <w:spacing w:after="120"/>
        <w:ind w:left="3119" w:hanging="3119"/>
        <w:rPr>
          <w:rFonts w:eastAsia="Times New Roman" w:cs="Arial"/>
        </w:rPr>
      </w:pPr>
      <w:r w:rsidRPr="00FB7B35">
        <w:rPr>
          <w:rFonts w:eastAsia="Times New Roman" w:cs="Arial"/>
        </w:rPr>
        <w:t>RBG</w:t>
      </w:r>
      <w:r w:rsidRPr="00FB7B35">
        <w:rPr>
          <w:rFonts w:eastAsia="Times New Roman" w:cs="Arial"/>
        </w:rPr>
        <w:tab/>
      </w:r>
      <w:r w:rsidRPr="00FB7B35">
        <w:rPr>
          <w:rFonts w:eastAsia="Times New Roman" w:cs="Arial"/>
        </w:rPr>
        <w:t>Research block grants</w:t>
      </w:r>
    </w:p>
    <w:p w:rsidRPr="00FB7B35" w:rsidR="00C50B07" w:rsidP="009D347E" w:rsidRDefault="00C50B07" w14:paraId="66B8C8B5" w14:textId="77777777">
      <w:pPr>
        <w:tabs>
          <w:tab w:val="left" w:pos="3119"/>
        </w:tabs>
        <w:spacing w:after="120"/>
        <w:ind w:left="3119" w:hanging="3119"/>
        <w:rPr>
          <w:rFonts w:eastAsia="Times New Roman" w:cs="Arial"/>
        </w:rPr>
      </w:pPr>
      <w:r>
        <w:rPr>
          <w:rFonts w:eastAsia="Times New Roman" w:cs="Arial"/>
        </w:rPr>
        <w:t>RMS</w:t>
      </w:r>
      <w:r>
        <w:rPr>
          <w:rFonts w:eastAsia="Times New Roman" w:cs="Arial"/>
        </w:rPr>
        <w:tab/>
      </w:r>
      <w:r w:rsidRPr="00B14A16">
        <w:rPr>
          <w:rFonts w:eastAsia="Times New Roman" w:cs="Arial"/>
        </w:rPr>
        <w:t>Research Management System</w:t>
      </w:r>
    </w:p>
    <w:p w:rsidRPr="00FB7B35" w:rsidR="00C50B07" w:rsidP="009D347E" w:rsidRDefault="00C50B07" w14:paraId="59F8A94F" w14:textId="77777777">
      <w:pPr>
        <w:tabs>
          <w:tab w:val="left" w:pos="3119"/>
        </w:tabs>
        <w:spacing w:after="120"/>
        <w:ind w:left="3119" w:hanging="3119"/>
        <w:rPr>
          <w:rFonts w:eastAsia="Times New Roman" w:cs="Arial"/>
        </w:rPr>
      </w:pPr>
      <w:r w:rsidRPr="00FB7B35">
        <w:rPr>
          <w:rFonts w:eastAsia="Times New Roman" w:cs="Arial"/>
        </w:rPr>
        <w:t>RSP</w:t>
      </w:r>
      <w:r w:rsidRPr="00FB7B35">
        <w:rPr>
          <w:rFonts w:eastAsia="Times New Roman" w:cs="Arial"/>
        </w:rPr>
        <w:tab/>
      </w:r>
      <w:r w:rsidRPr="00FB7B35">
        <w:rPr>
          <w:rFonts w:eastAsia="Times New Roman" w:cs="Arial"/>
        </w:rPr>
        <w:t>Research Support Program</w:t>
      </w:r>
    </w:p>
    <w:p w:rsidR="00C50B07" w:rsidP="009D347E" w:rsidRDefault="00C50B07" w14:paraId="33842892" w14:textId="77777777">
      <w:pPr>
        <w:tabs>
          <w:tab w:val="left" w:pos="3119"/>
        </w:tabs>
        <w:spacing w:after="120"/>
        <w:ind w:left="3119" w:hanging="3119"/>
        <w:rPr>
          <w:rFonts w:eastAsia="Times New Roman" w:cs="Arial"/>
        </w:rPr>
      </w:pPr>
      <w:r w:rsidRPr="00FB7B35">
        <w:rPr>
          <w:rFonts w:eastAsia="Times New Roman" w:cs="Arial"/>
        </w:rPr>
        <w:t>RTP</w:t>
      </w:r>
      <w:r w:rsidRPr="00FB7B35">
        <w:rPr>
          <w:rFonts w:eastAsia="Times New Roman" w:cs="Arial"/>
        </w:rPr>
        <w:tab/>
      </w:r>
      <w:r w:rsidRPr="00FB7B35">
        <w:rPr>
          <w:rFonts w:eastAsia="Times New Roman" w:cs="Arial"/>
        </w:rPr>
        <w:t>Research Training Program</w:t>
      </w:r>
    </w:p>
    <w:p w:rsidR="00C50B07" w:rsidP="009D347E" w:rsidRDefault="00C50B07" w14:paraId="70153FF4" w14:textId="77777777">
      <w:pPr>
        <w:tabs>
          <w:tab w:val="left" w:pos="3119"/>
        </w:tabs>
        <w:spacing w:after="120"/>
        <w:ind w:left="3119" w:hanging="3119"/>
        <w:rPr>
          <w:rFonts w:eastAsia="Times New Roman" w:cs="Arial"/>
        </w:rPr>
      </w:pPr>
      <w:r>
        <w:rPr>
          <w:rFonts w:eastAsia="Times New Roman" w:cs="Arial"/>
        </w:rPr>
        <w:t>SCOPR</w:t>
      </w:r>
      <w:r>
        <w:rPr>
          <w:rFonts w:eastAsia="Times New Roman" w:cs="Arial"/>
        </w:rPr>
        <w:tab/>
      </w:r>
      <w:r>
        <w:rPr>
          <w:rFonts w:eastAsia="Times New Roman" w:cs="Arial"/>
        </w:rPr>
        <w:t>Survey of Commercialisation Outcomes from Public Research</w:t>
      </w:r>
    </w:p>
    <w:p w:rsidRPr="00FB7B35" w:rsidR="00C50B07" w:rsidP="00D27624" w:rsidRDefault="00C50B07" w14:paraId="7A436873" w14:textId="77777777">
      <w:pPr>
        <w:tabs>
          <w:tab w:val="left" w:pos="3119"/>
        </w:tabs>
        <w:spacing w:after="120"/>
        <w:ind w:left="3119" w:hanging="3119"/>
        <w:rPr>
          <w:rFonts w:eastAsia="Times New Roman" w:cs="Arial"/>
        </w:rPr>
      </w:pPr>
      <w:r w:rsidRPr="00FB7B35">
        <w:rPr>
          <w:rFonts w:eastAsia="Times New Roman" w:cs="Arial"/>
        </w:rPr>
        <w:t>The department</w:t>
      </w:r>
      <w:r w:rsidRPr="00FB7B35">
        <w:rPr>
          <w:rFonts w:eastAsia="Times New Roman" w:cs="Arial"/>
        </w:rPr>
        <w:tab/>
      </w:r>
      <w:r>
        <w:rPr>
          <w:rFonts w:eastAsia="Times New Roman" w:cs="Arial"/>
        </w:rPr>
        <w:t xml:space="preserve">Australian Government </w:t>
      </w:r>
      <w:r w:rsidRPr="00FB7B35">
        <w:rPr>
          <w:rFonts w:eastAsia="Times New Roman" w:cs="Arial"/>
        </w:rPr>
        <w:t xml:space="preserve">Department of Education </w:t>
      </w:r>
    </w:p>
    <w:p w:rsidRPr="00FB7B35" w:rsidR="00C50B07" w:rsidP="009D347E" w:rsidRDefault="00C50B07" w14:paraId="4DACFA08" w14:textId="77777777">
      <w:pPr>
        <w:spacing w:after="120"/>
        <w:rPr>
          <w:b/>
        </w:rPr>
      </w:pPr>
      <w:r w:rsidRPr="00FB7B35">
        <w:br w:type="page"/>
      </w:r>
      <w:bookmarkStart w:name="_APPENDIX_A" w:id="389"/>
      <w:bookmarkStart w:name="_APPENDIX_B" w:id="390"/>
      <w:bookmarkStart w:name="_APPENDIX_C" w:id="391"/>
      <w:bookmarkStart w:name="_APPENDIX_D" w:id="392"/>
      <w:bookmarkStart w:name="_APPENDIX_D_-_" w:id="393"/>
      <w:bookmarkStart w:name="_APPENDIX_D_-" w:id="394"/>
      <w:bookmarkEnd w:id="389"/>
      <w:bookmarkEnd w:id="390"/>
      <w:bookmarkEnd w:id="391"/>
      <w:bookmarkEnd w:id="392"/>
      <w:bookmarkEnd w:id="393"/>
      <w:bookmarkEnd w:id="394"/>
    </w:p>
    <w:p w:rsidRPr="00F029BA" w:rsidR="00C50B07" w:rsidP="00634374" w:rsidRDefault="00C50B07" w14:paraId="0000E9C4" w14:textId="77777777">
      <w:pPr>
        <w:pStyle w:val="Heading1"/>
        <w:tabs>
          <w:tab w:val="num" w:pos="397"/>
        </w:tabs>
        <w:spacing w:before="0"/>
        <w:ind w:left="709" w:hanging="709"/>
      </w:pPr>
      <w:bookmarkStart w:name="_Toc523214691" w:id="395"/>
      <w:bookmarkStart w:name="_Toc491172998" w:id="396"/>
      <w:bookmarkStart w:name="_Toc489955878" w:id="397"/>
      <w:bookmarkStart w:name="_Toc489438095" w:id="398"/>
      <w:bookmarkStart w:name="_Toc27055375" w:id="399"/>
      <w:bookmarkStart w:name="_Toc81230932" w:id="400"/>
      <w:bookmarkStart w:name="_Toc92461308" w:id="401"/>
      <w:bookmarkStart w:name="_Toc147503843" w:id="402"/>
      <w:bookmarkStart w:name="_Toc222833890" w:id="403"/>
      <w:r w:rsidRPr="005F4EBB">
        <w:t>List of R&amp;D income sub-categories</w:t>
      </w:r>
      <w:bookmarkEnd w:id="395"/>
      <w:bookmarkEnd w:id="396"/>
      <w:bookmarkEnd w:id="397"/>
      <w:bookmarkEnd w:id="398"/>
      <w:bookmarkEnd w:id="399"/>
      <w:bookmarkEnd w:id="400"/>
      <w:bookmarkEnd w:id="401"/>
      <w:bookmarkEnd w:id="402"/>
      <w:bookmarkEnd w:id="403"/>
    </w:p>
    <w:p w:rsidRPr="00A33F0A" w:rsidR="00C50B07" w:rsidP="00642E54" w:rsidRDefault="00C50B07" w14:paraId="3E14A40C" w14:textId="1A851A84">
      <w:pPr>
        <w:pStyle w:val="Caption"/>
        <w:keepNext/>
        <w:numPr>
          <w:ilvl w:val="0"/>
          <w:numId w:val="20"/>
        </w:numPr>
        <w:spacing w:before="120"/>
        <w:ind w:left="851" w:hanging="851"/>
      </w:pPr>
      <w:r w:rsidRPr="00A33F0A">
        <w:t>Category 1 R&amp;D income sub-categories</w:t>
      </w:r>
    </w:p>
    <w:tbl>
      <w:tblPr>
        <w:tblStyle w:val="GridTable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38"/>
        <w:gridCol w:w="7178"/>
      </w:tblGrid>
      <w:tr w:rsidR="00C50B07" w:rsidTr="00660464" w14:paraId="6A759513"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38" w:type="dxa"/>
            <w:tcBorders>
              <w:top w:val="none" w:color="auto" w:sz="0" w:space="0"/>
              <w:left w:val="none" w:color="auto" w:sz="0" w:space="0"/>
              <w:bottom w:val="none" w:color="auto" w:sz="0" w:space="0"/>
              <w:right w:val="none" w:color="auto" w:sz="0" w:space="0"/>
            </w:tcBorders>
            <w:shd w:val="clear" w:color="auto" w:fill="00254A" w:themeFill="text2"/>
          </w:tcPr>
          <w:p w:rsidRPr="005F4EBB" w:rsidR="00C50B07" w:rsidP="00F029BA" w:rsidRDefault="00C50B07" w14:paraId="38E641C5" w14:textId="77777777">
            <w:pPr>
              <w:spacing w:after="120"/>
            </w:pPr>
            <w:r w:rsidRPr="005F4EBB">
              <w:rPr>
                <w:rFonts w:eastAsia="Times New Roman" w:cs="Arial"/>
              </w:rPr>
              <w:t>Category 1:</w:t>
            </w:r>
          </w:p>
        </w:tc>
        <w:tc>
          <w:tcPr>
            <w:tcW w:w="7178" w:type="dxa"/>
            <w:tcBorders>
              <w:top w:val="none" w:color="auto" w:sz="0" w:space="0"/>
              <w:left w:val="none" w:color="auto" w:sz="0" w:space="0"/>
              <w:bottom w:val="none" w:color="auto" w:sz="0" w:space="0"/>
              <w:right w:val="none" w:color="auto" w:sz="0" w:space="0"/>
            </w:tcBorders>
            <w:shd w:val="clear" w:color="auto" w:fill="00254A" w:themeFill="text2"/>
          </w:tcPr>
          <w:p w:rsidRPr="005F4EBB" w:rsidR="00C50B07" w:rsidP="00F029BA" w:rsidRDefault="00C50B07" w14:paraId="7475E8EC" w14:textId="77777777">
            <w:pPr>
              <w:spacing w:after="120"/>
              <w:cnfStyle w:val="100000000000" w:firstRow="1" w:lastRow="0" w:firstColumn="0" w:lastColumn="0" w:oddVBand="0" w:evenVBand="0" w:oddHBand="0" w:evenHBand="0" w:firstRowFirstColumn="0" w:firstRowLastColumn="0" w:lastRowFirstColumn="0" w:lastRowLastColumn="0"/>
            </w:pPr>
            <w:r w:rsidRPr="005F4EBB">
              <w:rPr>
                <w:rFonts w:eastAsia="Times New Roman" w:cs="Arial"/>
              </w:rPr>
              <w:t>Australian competitive grant R&amp;D income</w:t>
            </w:r>
          </w:p>
        </w:tc>
      </w:tr>
      <w:tr w:rsidR="00C50B07" w:rsidTr="00F029BA" w14:paraId="4F674F7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Merge w:val="restart"/>
            <w:vAlign w:val="center"/>
          </w:tcPr>
          <w:p w:rsidRPr="005F4EBB" w:rsidR="00C50B07" w:rsidP="00F029BA" w:rsidRDefault="00C50B07" w14:paraId="3BE4F71C" w14:textId="77777777">
            <w:pPr>
              <w:spacing w:after="120"/>
            </w:pPr>
            <w:r w:rsidRPr="005F4EBB">
              <w:rPr>
                <w:rFonts w:eastAsia="Times New Roman" w:cs="Arial"/>
              </w:rPr>
              <w:t>Category 1</w:t>
            </w:r>
          </w:p>
        </w:tc>
        <w:tc>
          <w:tcPr>
            <w:tcW w:w="7178" w:type="dxa"/>
          </w:tcPr>
          <w:p w:rsidR="00C50B07" w:rsidP="00F029BA" w:rsidRDefault="00C50B07" w14:paraId="59E8B4A7" w14:textId="77777777">
            <w:pPr>
              <w:spacing w:after="120"/>
              <w:cnfStyle w:val="000000100000" w:firstRow="0" w:lastRow="0" w:firstColumn="0" w:lastColumn="0" w:oddVBand="0" w:evenVBand="0" w:oddHBand="1" w:evenHBand="0" w:firstRowFirstColumn="0" w:firstRowLastColumn="0" w:lastRowFirstColumn="0" w:lastRowLastColumn="0"/>
            </w:pPr>
            <w:r w:rsidRPr="00FB7B35">
              <w:rPr>
                <w:rFonts w:eastAsia="Times New Roman" w:cs="Arial"/>
                <w:iCs/>
              </w:rPr>
              <w:t>Sub-category 1.1</w:t>
            </w:r>
            <w:r>
              <w:rPr>
                <w:rFonts w:eastAsia="Times New Roman" w:cs="Arial"/>
                <w:iCs/>
              </w:rPr>
              <w:t xml:space="preserve"> </w:t>
            </w:r>
            <w:r w:rsidRPr="00FB7B35">
              <w:rPr>
                <w:rFonts w:eastAsia="Times New Roman" w:cs="Arial"/>
                <w:iCs/>
              </w:rPr>
              <w:t>National Health and Medical Research Council (NHMRC)</w:t>
            </w:r>
          </w:p>
        </w:tc>
      </w:tr>
      <w:tr w:rsidR="00C50B07" w:rsidTr="00F029BA" w14:paraId="0162DFBF" w14:textId="77777777">
        <w:tc>
          <w:tcPr>
            <w:cnfStyle w:val="001000000000" w:firstRow="0" w:lastRow="0" w:firstColumn="1" w:lastColumn="0" w:oddVBand="0" w:evenVBand="0" w:oddHBand="0" w:evenHBand="0" w:firstRowFirstColumn="0" w:firstRowLastColumn="0" w:lastRowFirstColumn="0" w:lastRowLastColumn="0"/>
            <w:tcW w:w="1838" w:type="dxa"/>
            <w:vMerge/>
          </w:tcPr>
          <w:p w:rsidR="00C50B07" w:rsidP="00F029BA" w:rsidRDefault="00C50B07" w14:paraId="495FAE04" w14:textId="77777777">
            <w:pPr>
              <w:spacing w:after="120"/>
            </w:pPr>
          </w:p>
        </w:tc>
        <w:tc>
          <w:tcPr>
            <w:tcW w:w="7178" w:type="dxa"/>
          </w:tcPr>
          <w:p w:rsidR="00C50B07" w:rsidP="00F029BA" w:rsidRDefault="00C50B07" w14:paraId="76A3B4FA" w14:textId="77777777">
            <w:pPr>
              <w:spacing w:after="120"/>
              <w:cnfStyle w:val="000000000000" w:firstRow="0" w:lastRow="0" w:firstColumn="0" w:lastColumn="0" w:oddVBand="0" w:evenVBand="0" w:oddHBand="0" w:evenHBand="0" w:firstRowFirstColumn="0" w:firstRowLastColumn="0" w:lastRowFirstColumn="0" w:lastRowLastColumn="0"/>
            </w:pPr>
            <w:r w:rsidRPr="00FB7B35">
              <w:rPr>
                <w:rFonts w:eastAsia="Times New Roman" w:cs="Arial"/>
                <w:iCs/>
              </w:rPr>
              <w:t>Sub-category 1.2</w:t>
            </w:r>
            <w:r>
              <w:rPr>
                <w:rFonts w:eastAsia="Times New Roman" w:cs="Arial"/>
                <w:iCs/>
              </w:rPr>
              <w:t xml:space="preserve"> </w:t>
            </w:r>
            <w:r w:rsidRPr="00FB7B35">
              <w:rPr>
                <w:rFonts w:eastAsia="Times New Roman" w:cs="Arial"/>
                <w:iCs/>
              </w:rPr>
              <w:t>Australian Research Council (ARC)</w:t>
            </w:r>
          </w:p>
        </w:tc>
      </w:tr>
      <w:tr w:rsidR="00C50B07" w:rsidTr="00F029BA" w14:paraId="127ECEB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Merge/>
          </w:tcPr>
          <w:p w:rsidR="00C50B07" w:rsidP="00F029BA" w:rsidRDefault="00C50B07" w14:paraId="492E5EDB" w14:textId="77777777">
            <w:pPr>
              <w:spacing w:after="120"/>
            </w:pPr>
          </w:p>
        </w:tc>
        <w:tc>
          <w:tcPr>
            <w:tcW w:w="7178" w:type="dxa"/>
          </w:tcPr>
          <w:p w:rsidR="00C50B07" w:rsidP="00F029BA" w:rsidRDefault="00C50B07" w14:paraId="12F9C171" w14:textId="77777777">
            <w:pPr>
              <w:spacing w:after="120"/>
              <w:cnfStyle w:val="000000100000" w:firstRow="0" w:lastRow="0" w:firstColumn="0" w:lastColumn="0" w:oddVBand="0" w:evenVBand="0" w:oddHBand="1" w:evenHBand="0" w:firstRowFirstColumn="0" w:firstRowLastColumn="0" w:lastRowFirstColumn="0" w:lastRowLastColumn="0"/>
            </w:pPr>
            <w:r w:rsidRPr="00FB7B35">
              <w:rPr>
                <w:rFonts w:eastAsia="Times New Roman" w:cs="Arial"/>
                <w:iCs/>
              </w:rPr>
              <w:t>Sub-category 1.3</w:t>
            </w:r>
            <w:r>
              <w:rPr>
                <w:rFonts w:eastAsia="Times New Roman" w:cs="Arial"/>
                <w:iCs/>
              </w:rPr>
              <w:t xml:space="preserve"> </w:t>
            </w:r>
            <w:r w:rsidRPr="00FB7B35">
              <w:rPr>
                <w:rFonts w:eastAsia="Times New Roman" w:cs="Arial"/>
                <w:iCs/>
              </w:rPr>
              <w:t>Medical Research Future Fund (MRFF)</w:t>
            </w:r>
          </w:p>
        </w:tc>
      </w:tr>
      <w:tr w:rsidR="00C50B07" w:rsidTr="00F029BA" w14:paraId="06110A67" w14:textId="77777777">
        <w:tc>
          <w:tcPr>
            <w:cnfStyle w:val="001000000000" w:firstRow="0" w:lastRow="0" w:firstColumn="1" w:lastColumn="0" w:oddVBand="0" w:evenVBand="0" w:oddHBand="0" w:evenHBand="0" w:firstRowFirstColumn="0" w:firstRowLastColumn="0" w:lastRowFirstColumn="0" w:lastRowLastColumn="0"/>
            <w:tcW w:w="1838" w:type="dxa"/>
            <w:vMerge/>
          </w:tcPr>
          <w:p w:rsidR="00C50B07" w:rsidP="00F029BA" w:rsidRDefault="00C50B07" w14:paraId="25CDF577" w14:textId="77777777">
            <w:pPr>
              <w:spacing w:after="120"/>
            </w:pPr>
          </w:p>
        </w:tc>
        <w:tc>
          <w:tcPr>
            <w:tcW w:w="7178" w:type="dxa"/>
          </w:tcPr>
          <w:p w:rsidR="00C50B07" w:rsidP="00F029BA" w:rsidRDefault="00C50B07" w14:paraId="694E90AC" w14:textId="77777777">
            <w:pPr>
              <w:spacing w:after="120"/>
              <w:cnfStyle w:val="000000000000" w:firstRow="0" w:lastRow="0" w:firstColumn="0" w:lastColumn="0" w:oddVBand="0" w:evenVBand="0" w:oddHBand="0" w:evenHBand="0" w:firstRowFirstColumn="0" w:firstRowLastColumn="0" w:lastRowFirstColumn="0" w:lastRowLastColumn="0"/>
            </w:pPr>
            <w:r w:rsidRPr="00FB7B35">
              <w:rPr>
                <w:rFonts w:eastAsia="Times New Roman" w:cs="Arial"/>
                <w:iCs/>
              </w:rPr>
              <w:t>Sub-category 1.4</w:t>
            </w:r>
            <w:r>
              <w:rPr>
                <w:rFonts w:eastAsia="Times New Roman" w:cs="Arial"/>
                <w:iCs/>
              </w:rPr>
              <w:t xml:space="preserve"> </w:t>
            </w:r>
            <w:r w:rsidRPr="00FB7B35">
              <w:rPr>
                <w:rFonts w:eastAsia="Times New Roman" w:cs="Arial"/>
                <w:iCs/>
              </w:rPr>
              <w:t>Rural R&amp;D</w:t>
            </w:r>
          </w:p>
        </w:tc>
      </w:tr>
      <w:tr w:rsidR="00C50B07" w:rsidTr="00F029BA" w14:paraId="2468CBC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Merge/>
          </w:tcPr>
          <w:p w:rsidR="00C50B07" w:rsidP="00F029BA" w:rsidRDefault="00C50B07" w14:paraId="56C8C4D1" w14:textId="77777777">
            <w:pPr>
              <w:spacing w:after="120"/>
            </w:pPr>
          </w:p>
        </w:tc>
        <w:tc>
          <w:tcPr>
            <w:tcW w:w="7178" w:type="dxa"/>
          </w:tcPr>
          <w:p w:rsidR="00C50B07" w:rsidP="00F029BA" w:rsidRDefault="00C50B07" w14:paraId="6F3376FD" w14:textId="77777777">
            <w:pPr>
              <w:spacing w:after="120"/>
              <w:cnfStyle w:val="000000100000" w:firstRow="0" w:lastRow="0" w:firstColumn="0" w:lastColumn="0" w:oddVBand="0" w:evenVBand="0" w:oddHBand="1" w:evenHBand="0" w:firstRowFirstColumn="0" w:firstRowLastColumn="0" w:lastRowFirstColumn="0" w:lastRowLastColumn="0"/>
            </w:pPr>
            <w:r w:rsidRPr="00FB7B35">
              <w:rPr>
                <w:rFonts w:eastAsia="Times New Roman" w:cs="Arial"/>
                <w:iCs/>
              </w:rPr>
              <w:t>Sub-category 1.5</w:t>
            </w:r>
            <w:r>
              <w:rPr>
                <w:rFonts w:eastAsia="Times New Roman" w:cs="Arial"/>
                <w:iCs/>
              </w:rPr>
              <w:t xml:space="preserve"> </w:t>
            </w:r>
            <w:r w:rsidRPr="00FB7B35">
              <w:rPr>
                <w:rFonts w:eastAsia="Times New Roman" w:cs="Arial"/>
                <w:iCs/>
              </w:rPr>
              <w:t>Commonwealth other</w:t>
            </w:r>
          </w:p>
        </w:tc>
      </w:tr>
      <w:tr w:rsidR="00C50B07" w:rsidTr="00F029BA" w14:paraId="5612261A" w14:textId="77777777">
        <w:tc>
          <w:tcPr>
            <w:cnfStyle w:val="001000000000" w:firstRow="0" w:lastRow="0" w:firstColumn="1" w:lastColumn="0" w:oddVBand="0" w:evenVBand="0" w:oddHBand="0" w:evenHBand="0" w:firstRowFirstColumn="0" w:firstRowLastColumn="0" w:lastRowFirstColumn="0" w:lastRowLastColumn="0"/>
            <w:tcW w:w="1838" w:type="dxa"/>
            <w:vMerge/>
          </w:tcPr>
          <w:p w:rsidR="00C50B07" w:rsidP="00F029BA" w:rsidRDefault="00C50B07" w14:paraId="635EABDE" w14:textId="77777777">
            <w:pPr>
              <w:spacing w:after="120"/>
            </w:pPr>
          </w:p>
        </w:tc>
        <w:tc>
          <w:tcPr>
            <w:tcW w:w="7178" w:type="dxa"/>
          </w:tcPr>
          <w:p w:rsidR="00C50B07" w:rsidP="00F029BA" w:rsidRDefault="00C50B07" w14:paraId="41F45949" w14:textId="77777777">
            <w:pPr>
              <w:spacing w:after="120"/>
              <w:cnfStyle w:val="000000000000" w:firstRow="0" w:lastRow="0" w:firstColumn="0" w:lastColumn="0" w:oddVBand="0" w:evenVBand="0" w:oddHBand="0" w:evenHBand="0" w:firstRowFirstColumn="0" w:firstRowLastColumn="0" w:lastRowFirstColumn="0" w:lastRowLastColumn="0"/>
            </w:pPr>
            <w:r w:rsidRPr="00FB7B35">
              <w:rPr>
                <w:rFonts w:eastAsia="Times New Roman" w:cs="Arial"/>
                <w:iCs/>
              </w:rPr>
              <w:t>Sub-category 1.6</w:t>
            </w:r>
            <w:r>
              <w:rPr>
                <w:rFonts w:eastAsia="Times New Roman" w:cs="Arial"/>
                <w:iCs/>
              </w:rPr>
              <w:t xml:space="preserve"> </w:t>
            </w:r>
            <w:r w:rsidRPr="00FB7B35">
              <w:rPr>
                <w:rFonts w:eastAsia="Times New Roman" w:cs="Arial"/>
                <w:iCs/>
              </w:rPr>
              <w:t>State/territory government</w:t>
            </w:r>
          </w:p>
        </w:tc>
      </w:tr>
      <w:tr w:rsidR="00C50B07" w:rsidTr="00F029BA" w14:paraId="7EAFEAA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Merge/>
          </w:tcPr>
          <w:p w:rsidR="00C50B07" w:rsidP="00F029BA" w:rsidRDefault="00C50B07" w14:paraId="114C9275" w14:textId="77777777">
            <w:pPr>
              <w:spacing w:after="120"/>
            </w:pPr>
          </w:p>
        </w:tc>
        <w:tc>
          <w:tcPr>
            <w:tcW w:w="7178" w:type="dxa"/>
          </w:tcPr>
          <w:p w:rsidR="00C50B07" w:rsidP="00F029BA" w:rsidRDefault="00C50B07" w14:paraId="419B5245" w14:textId="77777777">
            <w:pPr>
              <w:spacing w:after="120"/>
              <w:cnfStyle w:val="000000100000" w:firstRow="0" w:lastRow="0" w:firstColumn="0" w:lastColumn="0" w:oddVBand="0" w:evenVBand="0" w:oddHBand="1" w:evenHBand="0" w:firstRowFirstColumn="0" w:firstRowLastColumn="0" w:lastRowFirstColumn="0" w:lastRowLastColumn="0"/>
            </w:pPr>
            <w:r w:rsidRPr="00FB7B35">
              <w:rPr>
                <w:rFonts w:eastAsia="Times New Roman" w:cs="Arial"/>
                <w:iCs/>
              </w:rPr>
              <w:t>Sub-category 1.7</w:t>
            </w:r>
            <w:r>
              <w:rPr>
                <w:rFonts w:eastAsia="Times New Roman" w:cs="Arial"/>
                <w:iCs/>
              </w:rPr>
              <w:t xml:space="preserve"> O</w:t>
            </w:r>
            <w:r w:rsidRPr="00FB7B35">
              <w:rPr>
                <w:rFonts w:eastAsia="Times New Roman" w:cs="Arial"/>
                <w:iCs/>
              </w:rPr>
              <w:t>ther</w:t>
            </w:r>
          </w:p>
        </w:tc>
      </w:tr>
    </w:tbl>
    <w:p w:rsidR="00C50B07" w:rsidP="00642E54" w:rsidRDefault="00C50B07" w14:paraId="3DC9A404" w14:textId="7460CDAE">
      <w:pPr>
        <w:pStyle w:val="Caption"/>
        <w:keepNext/>
        <w:numPr>
          <w:ilvl w:val="0"/>
          <w:numId w:val="20"/>
        </w:numPr>
        <w:spacing w:before="120"/>
        <w:ind w:left="851" w:hanging="851"/>
      </w:pPr>
      <w:r>
        <w:t>Category 2 R&amp;D income sub-categories</w:t>
      </w:r>
    </w:p>
    <w:tbl>
      <w:tblPr>
        <w:tblStyle w:val="GridTable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29"/>
        <w:gridCol w:w="7187"/>
      </w:tblGrid>
      <w:tr w:rsidR="00C50B07" w:rsidTr="00660464" w14:paraId="3CE358EC"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29" w:type="dxa"/>
            <w:tcBorders>
              <w:top w:val="none" w:color="auto" w:sz="0" w:space="0"/>
              <w:left w:val="none" w:color="auto" w:sz="0" w:space="0"/>
              <w:bottom w:val="none" w:color="auto" w:sz="0" w:space="0"/>
              <w:right w:val="none" w:color="auto" w:sz="0" w:space="0"/>
            </w:tcBorders>
            <w:shd w:val="clear" w:color="auto" w:fill="00254A" w:themeFill="text2"/>
          </w:tcPr>
          <w:p w:rsidR="00C50B07" w:rsidP="00F029BA" w:rsidRDefault="00C50B07" w14:paraId="7BA612D4" w14:textId="77777777">
            <w:pPr>
              <w:spacing w:after="120"/>
            </w:pPr>
            <w:r w:rsidRPr="00960EEA">
              <w:rPr>
                <w:rFonts w:eastAsia="Times New Roman" w:cs="Arial"/>
              </w:rPr>
              <w:t>Category 2:</w:t>
            </w:r>
          </w:p>
        </w:tc>
        <w:tc>
          <w:tcPr>
            <w:tcW w:w="7187" w:type="dxa"/>
            <w:tcBorders>
              <w:top w:val="none" w:color="auto" w:sz="0" w:space="0"/>
              <w:left w:val="none" w:color="auto" w:sz="0" w:space="0"/>
              <w:bottom w:val="none" w:color="auto" w:sz="0" w:space="0"/>
              <w:right w:val="none" w:color="auto" w:sz="0" w:space="0"/>
            </w:tcBorders>
            <w:shd w:val="clear" w:color="auto" w:fill="00254A" w:themeFill="text2"/>
          </w:tcPr>
          <w:p w:rsidR="00C50B07" w:rsidP="00F029BA" w:rsidRDefault="00C50B07" w14:paraId="2D2D4601" w14:textId="77777777">
            <w:pPr>
              <w:spacing w:after="120"/>
              <w:cnfStyle w:val="100000000000" w:firstRow="1" w:lastRow="0" w:firstColumn="0" w:lastColumn="0" w:oddVBand="0" w:evenVBand="0" w:oddHBand="0" w:evenHBand="0" w:firstRowFirstColumn="0" w:firstRowLastColumn="0" w:lastRowFirstColumn="0" w:lastRowLastColumn="0"/>
            </w:pPr>
            <w:r w:rsidRPr="007074CB">
              <w:rPr>
                <w:rFonts w:eastAsia="Times New Roman" w:cs="Arial"/>
              </w:rPr>
              <w:t>Other public sector R&amp;D income</w:t>
            </w:r>
          </w:p>
        </w:tc>
      </w:tr>
      <w:tr w:rsidR="00C50B07" w:rsidTr="00F029BA" w14:paraId="50EA091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9" w:type="dxa"/>
            <w:vMerge w:val="restart"/>
            <w:vAlign w:val="center"/>
          </w:tcPr>
          <w:p w:rsidRPr="005F4EBB" w:rsidR="00C50B07" w:rsidP="00F029BA" w:rsidRDefault="00C50B07" w14:paraId="78D7374A" w14:textId="77777777">
            <w:pPr>
              <w:spacing w:after="120"/>
            </w:pPr>
            <w:r w:rsidRPr="005F4EBB">
              <w:rPr>
                <w:rFonts w:eastAsia="Times New Roman" w:cs="Arial"/>
              </w:rPr>
              <w:t>Category 2</w:t>
            </w:r>
          </w:p>
        </w:tc>
        <w:tc>
          <w:tcPr>
            <w:tcW w:w="7187" w:type="dxa"/>
          </w:tcPr>
          <w:p w:rsidR="00C50B07" w:rsidP="00F029BA" w:rsidRDefault="00C50B07" w14:paraId="7370FEC0" w14:textId="77777777">
            <w:pPr>
              <w:spacing w:after="120"/>
              <w:cnfStyle w:val="000000100000" w:firstRow="0" w:lastRow="0" w:firstColumn="0" w:lastColumn="0" w:oddVBand="0" w:evenVBand="0" w:oddHBand="1" w:evenHBand="0" w:firstRowFirstColumn="0" w:firstRowLastColumn="0" w:lastRowFirstColumn="0" w:lastRowLastColumn="0"/>
            </w:pPr>
            <w:r w:rsidRPr="00FB7B35">
              <w:rPr>
                <w:rFonts w:eastAsia="Times New Roman" w:cs="Arial"/>
                <w:iCs/>
              </w:rPr>
              <w:t>Sub-category 2.1</w:t>
            </w:r>
            <w:r>
              <w:rPr>
                <w:rFonts w:eastAsia="Times New Roman" w:cs="Arial"/>
                <w:iCs/>
              </w:rPr>
              <w:t xml:space="preserve"> </w:t>
            </w:r>
            <w:r w:rsidRPr="00FB7B35">
              <w:rPr>
                <w:rFonts w:eastAsia="Times New Roman" w:cs="Arial"/>
                <w:iCs/>
              </w:rPr>
              <w:t>Commonwealth (own purpose)</w:t>
            </w:r>
          </w:p>
        </w:tc>
      </w:tr>
      <w:tr w:rsidR="00C50B07" w:rsidTr="00F029BA" w14:paraId="7F24998C" w14:textId="77777777">
        <w:tc>
          <w:tcPr>
            <w:cnfStyle w:val="001000000000" w:firstRow="0" w:lastRow="0" w:firstColumn="1" w:lastColumn="0" w:oddVBand="0" w:evenVBand="0" w:oddHBand="0" w:evenHBand="0" w:firstRowFirstColumn="0" w:firstRowLastColumn="0" w:lastRowFirstColumn="0" w:lastRowLastColumn="0"/>
            <w:tcW w:w="1829" w:type="dxa"/>
            <w:vMerge/>
          </w:tcPr>
          <w:p w:rsidR="00C50B07" w:rsidP="00F029BA" w:rsidRDefault="00C50B07" w14:paraId="3D6C264D" w14:textId="77777777">
            <w:pPr>
              <w:spacing w:after="120"/>
            </w:pPr>
          </w:p>
        </w:tc>
        <w:tc>
          <w:tcPr>
            <w:tcW w:w="7187" w:type="dxa"/>
          </w:tcPr>
          <w:p w:rsidR="00C50B07" w:rsidP="00F029BA" w:rsidRDefault="00C50B07" w14:paraId="79063B79" w14:textId="77777777">
            <w:pPr>
              <w:spacing w:after="120"/>
              <w:cnfStyle w:val="000000000000" w:firstRow="0" w:lastRow="0" w:firstColumn="0" w:lastColumn="0" w:oddVBand="0" w:evenVBand="0" w:oddHBand="0" w:evenHBand="0" w:firstRowFirstColumn="0" w:firstRowLastColumn="0" w:lastRowFirstColumn="0" w:lastRowLastColumn="0"/>
            </w:pPr>
            <w:r w:rsidRPr="00FB7B35">
              <w:rPr>
                <w:rFonts w:eastAsia="Times New Roman" w:cs="Arial"/>
                <w:iCs/>
              </w:rPr>
              <w:t>Sub-category 2.2</w:t>
            </w:r>
            <w:r>
              <w:rPr>
                <w:rFonts w:eastAsia="Times New Roman" w:cs="Arial"/>
                <w:iCs/>
              </w:rPr>
              <w:t xml:space="preserve"> </w:t>
            </w:r>
            <w:r w:rsidRPr="00FB7B35">
              <w:rPr>
                <w:rFonts w:eastAsia="Times New Roman" w:cs="Arial"/>
                <w:iCs/>
              </w:rPr>
              <w:t>Commonwealth (other)</w:t>
            </w:r>
          </w:p>
        </w:tc>
      </w:tr>
      <w:tr w:rsidR="00C50B07" w:rsidTr="00F029BA" w14:paraId="53C379D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9" w:type="dxa"/>
            <w:vMerge/>
          </w:tcPr>
          <w:p w:rsidR="00C50B07" w:rsidP="00F029BA" w:rsidRDefault="00C50B07" w14:paraId="3A239528" w14:textId="77777777">
            <w:pPr>
              <w:spacing w:after="120"/>
            </w:pPr>
          </w:p>
        </w:tc>
        <w:tc>
          <w:tcPr>
            <w:tcW w:w="7187" w:type="dxa"/>
          </w:tcPr>
          <w:p w:rsidR="00C50B07" w:rsidP="00F029BA" w:rsidRDefault="00C50B07" w14:paraId="021DFEC5" w14:textId="77777777">
            <w:pPr>
              <w:spacing w:after="120"/>
              <w:cnfStyle w:val="000000100000" w:firstRow="0" w:lastRow="0" w:firstColumn="0" w:lastColumn="0" w:oddVBand="0" w:evenVBand="0" w:oddHBand="1" w:evenHBand="0" w:firstRowFirstColumn="0" w:firstRowLastColumn="0" w:lastRowFirstColumn="0" w:lastRowLastColumn="0"/>
            </w:pPr>
            <w:r w:rsidRPr="00FB7B35">
              <w:rPr>
                <w:rFonts w:eastAsia="Times New Roman" w:cs="Arial"/>
                <w:iCs/>
              </w:rPr>
              <w:t>Sub-category 2.3</w:t>
            </w:r>
            <w:r>
              <w:rPr>
                <w:rFonts w:eastAsia="Times New Roman" w:cs="Arial"/>
                <w:iCs/>
              </w:rPr>
              <w:t xml:space="preserve"> </w:t>
            </w:r>
            <w:r w:rsidRPr="00FB7B35">
              <w:rPr>
                <w:rFonts w:eastAsia="Times New Roman" w:cs="Arial"/>
                <w:iCs/>
              </w:rPr>
              <w:t>State/territory/local (own purpose)</w:t>
            </w:r>
          </w:p>
        </w:tc>
      </w:tr>
      <w:tr w:rsidR="00C50B07" w:rsidTr="00F029BA" w14:paraId="0E312920" w14:textId="77777777">
        <w:tc>
          <w:tcPr>
            <w:cnfStyle w:val="001000000000" w:firstRow="0" w:lastRow="0" w:firstColumn="1" w:lastColumn="0" w:oddVBand="0" w:evenVBand="0" w:oddHBand="0" w:evenHBand="0" w:firstRowFirstColumn="0" w:firstRowLastColumn="0" w:lastRowFirstColumn="0" w:lastRowLastColumn="0"/>
            <w:tcW w:w="1829" w:type="dxa"/>
            <w:vMerge/>
          </w:tcPr>
          <w:p w:rsidR="00C50B07" w:rsidP="00F029BA" w:rsidRDefault="00C50B07" w14:paraId="0D274399" w14:textId="77777777">
            <w:pPr>
              <w:spacing w:after="120"/>
            </w:pPr>
          </w:p>
        </w:tc>
        <w:tc>
          <w:tcPr>
            <w:tcW w:w="7187" w:type="dxa"/>
          </w:tcPr>
          <w:p w:rsidR="00C50B07" w:rsidP="00F029BA" w:rsidRDefault="00C50B07" w14:paraId="3658F80F" w14:textId="77777777">
            <w:pPr>
              <w:spacing w:after="120"/>
              <w:cnfStyle w:val="000000000000" w:firstRow="0" w:lastRow="0" w:firstColumn="0" w:lastColumn="0" w:oddVBand="0" w:evenVBand="0" w:oddHBand="0" w:evenHBand="0" w:firstRowFirstColumn="0" w:firstRowLastColumn="0" w:lastRowFirstColumn="0" w:lastRowLastColumn="0"/>
            </w:pPr>
            <w:r w:rsidRPr="00FB7B35">
              <w:rPr>
                <w:rFonts w:eastAsia="Times New Roman" w:cs="Arial"/>
                <w:iCs/>
              </w:rPr>
              <w:t>Sub-category 2.4</w:t>
            </w:r>
            <w:r>
              <w:rPr>
                <w:rFonts w:eastAsia="Times New Roman" w:cs="Arial"/>
                <w:iCs/>
              </w:rPr>
              <w:t xml:space="preserve"> </w:t>
            </w:r>
            <w:r w:rsidRPr="00FB7B35">
              <w:rPr>
                <w:rFonts w:eastAsia="Times New Roman" w:cs="Arial"/>
                <w:iCs/>
              </w:rPr>
              <w:t>State/territory/local (other)</w:t>
            </w:r>
          </w:p>
        </w:tc>
      </w:tr>
    </w:tbl>
    <w:p w:rsidR="00C50B07" w:rsidP="00642E54" w:rsidRDefault="00C50B07" w14:paraId="0F0363A8" w14:textId="73F2F5AC">
      <w:pPr>
        <w:pStyle w:val="Caption"/>
        <w:keepNext/>
        <w:numPr>
          <w:ilvl w:val="0"/>
          <w:numId w:val="20"/>
        </w:numPr>
        <w:spacing w:before="120"/>
        <w:ind w:left="851" w:hanging="851"/>
      </w:pPr>
      <w:r>
        <w:t>Category 3 R&amp;D income sub-categories</w:t>
      </w:r>
    </w:p>
    <w:tbl>
      <w:tblPr>
        <w:tblStyle w:val="GridTable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43"/>
        <w:gridCol w:w="7173"/>
      </w:tblGrid>
      <w:tr w:rsidR="00C50B07" w:rsidTr="00660464" w14:paraId="6D169EE4"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43" w:type="dxa"/>
            <w:tcBorders>
              <w:top w:val="none" w:color="auto" w:sz="0" w:space="0"/>
              <w:left w:val="none" w:color="auto" w:sz="0" w:space="0"/>
              <w:bottom w:val="none" w:color="auto" w:sz="0" w:space="0"/>
              <w:right w:val="none" w:color="auto" w:sz="0" w:space="0"/>
            </w:tcBorders>
            <w:shd w:val="clear" w:color="auto" w:fill="00254A" w:themeFill="text2"/>
          </w:tcPr>
          <w:p w:rsidR="00C50B07" w:rsidP="00F029BA" w:rsidRDefault="00C50B07" w14:paraId="1012CBE5" w14:textId="77777777">
            <w:pPr>
              <w:spacing w:after="120"/>
            </w:pPr>
            <w:r w:rsidRPr="00960EEA">
              <w:rPr>
                <w:rFonts w:eastAsia="Times New Roman" w:cs="Arial"/>
              </w:rPr>
              <w:t>Category 3:</w:t>
            </w:r>
          </w:p>
        </w:tc>
        <w:tc>
          <w:tcPr>
            <w:tcW w:w="7173" w:type="dxa"/>
            <w:tcBorders>
              <w:top w:val="none" w:color="auto" w:sz="0" w:space="0"/>
              <w:left w:val="none" w:color="auto" w:sz="0" w:space="0"/>
              <w:bottom w:val="none" w:color="auto" w:sz="0" w:space="0"/>
              <w:right w:val="none" w:color="auto" w:sz="0" w:space="0"/>
            </w:tcBorders>
            <w:shd w:val="clear" w:color="auto" w:fill="00254A" w:themeFill="text2"/>
          </w:tcPr>
          <w:p w:rsidR="00C50B07" w:rsidP="00F029BA" w:rsidRDefault="00C50B07" w14:paraId="3C24DBF2" w14:textId="77777777">
            <w:pPr>
              <w:spacing w:after="120"/>
              <w:cnfStyle w:val="100000000000" w:firstRow="1" w:lastRow="0" w:firstColumn="0" w:lastColumn="0" w:oddVBand="0" w:evenVBand="0" w:oddHBand="0" w:evenHBand="0" w:firstRowFirstColumn="0" w:firstRowLastColumn="0" w:lastRowFirstColumn="0" w:lastRowLastColumn="0"/>
            </w:pPr>
            <w:r w:rsidRPr="007074CB">
              <w:rPr>
                <w:rFonts w:eastAsia="Times New Roman" w:cs="Arial"/>
              </w:rPr>
              <w:t>Industry and other R&amp;D income</w:t>
            </w:r>
          </w:p>
        </w:tc>
      </w:tr>
      <w:tr w:rsidR="00C50B07" w:rsidTr="00F029BA" w14:paraId="3B854DB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vMerge w:val="restart"/>
            <w:vAlign w:val="center"/>
          </w:tcPr>
          <w:p w:rsidR="00C50B07" w:rsidP="00F029BA" w:rsidRDefault="00C50B07" w14:paraId="17DA71B7" w14:textId="77777777">
            <w:pPr>
              <w:spacing w:after="120"/>
            </w:pPr>
            <w:r w:rsidRPr="005E53CE">
              <w:rPr>
                <w:rFonts w:eastAsia="Times New Roman" w:cs="Arial"/>
              </w:rPr>
              <w:t xml:space="preserve">Category </w:t>
            </w:r>
            <w:r>
              <w:rPr>
                <w:rFonts w:eastAsia="Times New Roman" w:cs="Arial"/>
              </w:rPr>
              <w:t>3</w:t>
            </w:r>
          </w:p>
        </w:tc>
        <w:tc>
          <w:tcPr>
            <w:tcW w:w="7173" w:type="dxa"/>
          </w:tcPr>
          <w:p w:rsidR="00C50B07" w:rsidP="00F029BA" w:rsidRDefault="00C50B07" w14:paraId="324927B6" w14:textId="77777777">
            <w:pPr>
              <w:spacing w:after="120"/>
              <w:cnfStyle w:val="000000100000" w:firstRow="0" w:lastRow="0" w:firstColumn="0" w:lastColumn="0" w:oddVBand="0" w:evenVBand="0" w:oddHBand="1" w:evenHBand="0" w:firstRowFirstColumn="0" w:firstRowLastColumn="0" w:lastRowFirstColumn="0" w:lastRowLastColumn="0"/>
            </w:pPr>
            <w:r w:rsidRPr="00FB7B35">
              <w:rPr>
                <w:rFonts w:eastAsia="Times New Roman" w:cs="Arial"/>
              </w:rPr>
              <w:t>Sub-category 3.1</w:t>
            </w:r>
            <w:r>
              <w:rPr>
                <w:rFonts w:eastAsia="Times New Roman" w:cs="Arial"/>
              </w:rPr>
              <w:t xml:space="preserve"> </w:t>
            </w:r>
            <w:r w:rsidRPr="00FB7B35">
              <w:rPr>
                <w:rFonts w:eastAsia="Times New Roman" w:cs="Arial"/>
              </w:rPr>
              <w:t>Australian for-profit organisations</w:t>
            </w:r>
          </w:p>
        </w:tc>
      </w:tr>
      <w:tr w:rsidR="00C50B07" w:rsidTr="00F029BA" w14:paraId="604DB1E3" w14:textId="77777777">
        <w:tc>
          <w:tcPr>
            <w:cnfStyle w:val="001000000000" w:firstRow="0" w:lastRow="0" w:firstColumn="1" w:lastColumn="0" w:oddVBand="0" w:evenVBand="0" w:oddHBand="0" w:evenHBand="0" w:firstRowFirstColumn="0" w:firstRowLastColumn="0" w:lastRowFirstColumn="0" w:lastRowLastColumn="0"/>
            <w:tcW w:w="1843" w:type="dxa"/>
            <w:vMerge/>
          </w:tcPr>
          <w:p w:rsidR="00C50B07" w:rsidP="00F029BA" w:rsidRDefault="00C50B07" w14:paraId="0403C5E5" w14:textId="77777777">
            <w:pPr>
              <w:spacing w:after="120"/>
            </w:pPr>
          </w:p>
        </w:tc>
        <w:tc>
          <w:tcPr>
            <w:tcW w:w="7173" w:type="dxa"/>
          </w:tcPr>
          <w:p w:rsidR="00C50B07" w:rsidP="00F029BA" w:rsidRDefault="00C50B07" w14:paraId="1FCB9632" w14:textId="77777777">
            <w:pPr>
              <w:spacing w:after="120"/>
              <w:cnfStyle w:val="000000000000" w:firstRow="0" w:lastRow="0" w:firstColumn="0" w:lastColumn="0" w:oddVBand="0" w:evenVBand="0" w:oddHBand="0" w:evenHBand="0" w:firstRowFirstColumn="0" w:firstRowLastColumn="0" w:lastRowFirstColumn="0" w:lastRowLastColumn="0"/>
            </w:pPr>
            <w:r w:rsidRPr="00FB7B35">
              <w:rPr>
                <w:rFonts w:eastAsia="Times New Roman" w:cs="Arial"/>
              </w:rPr>
              <w:t>Sub-category 3.2</w:t>
            </w:r>
            <w:r>
              <w:rPr>
                <w:rFonts w:eastAsia="Times New Roman" w:cs="Arial"/>
              </w:rPr>
              <w:t xml:space="preserve"> </w:t>
            </w:r>
            <w:r w:rsidRPr="00FB7B35">
              <w:rPr>
                <w:rFonts w:eastAsia="Times New Roman" w:cs="Arial"/>
              </w:rPr>
              <w:t>Australian not-for profit organisations</w:t>
            </w:r>
          </w:p>
        </w:tc>
      </w:tr>
      <w:tr w:rsidR="00C50B07" w:rsidTr="00F029BA" w14:paraId="40072FE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vMerge/>
          </w:tcPr>
          <w:p w:rsidR="00C50B07" w:rsidP="00F029BA" w:rsidRDefault="00C50B07" w14:paraId="1FAE345F" w14:textId="77777777">
            <w:pPr>
              <w:spacing w:after="120"/>
            </w:pPr>
          </w:p>
        </w:tc>
        <w:tc>
          <w:tcPr>
            <w:tcW w:w="7173" w:type="dxa"/>
          </w:tcPr>
          <w:p w:rsidR="00C50B07" w:rsidP="00F029BA" w:rsidRDefault="00C50B07" w14:paraId="791BF15B" w14:textId="77777777">
            <w:pPr>
              <w:spacing w:after="120"/>
              <w:cnfStyle w:val="000000100000" w:firstRow="0" w:lastRow="0" w:firstColumn="0" w:lastColumn="0" w:oddVBand="0" w:evenVBand="0" w:oddHBand="1" w:evenHBand="0" w:firstRowFirstColumn="0" w:firstRowLastColumn="0" w:lastRowFirstColumn="0" w:lastRowLastColumn="0"/>
            </w:pPr>
            <w:r w:rsidRPr="00FB7B35">
              <w:rPr>
                <w:rFonts w:eastAsia="Times New Roman" w:cs="Arial"/>
              </w:rPr>
              <w:t>Sub-category 3.3</w:t>
            </w:r>
            <w:r>
              <w:rPr>
                <w:rFonts w:eastAsia="Times New Roman" w:cs="Arial"/>
              </w:rPr>
              <w:t xml:space="preserve"> </w:t>
            </w:r>
            <w:r w:rsidRPr="00FB7B35">
              <w:rPr>
                <w:rFonts w:eastAsia="Times New Roman" w:cs="Arial"/>
              </w:rPr>
              <w:t>Australian philanthropy</w:t>
            </w:r>
          </w:p>
        </w:tc>
      </w:tr>
      <w:tr w:rsidR="00C50B07" w:rsidTr="00F029BA" w14:paraId="6B4DC7D3" w14:textId="77777777">
        <w:tc>
          <w:tcPr>
            <w:cnfStyle w:val="001000000000" w:firstRow="0" w:lastRow="0" w:firstColumn="1" w:lastColumn="0" w:oddVBand="0" w:evenVBand="0" w:oddHBand="0" w:evenHBand="0" w:firstRowFirstColumn="0" w:firstRowLastColumn="0" w:lastRowFirstColumn="0" w:lastRowLastColumn="0"/>
            <w:tcW w:w="1843" w:type="dxa"/>
            <w:vMerge/>
          </w:tcPr>
          <w:p w:rsidR="00C50B07" w:rsidP="00F029BA" w:rsidRDefault="00C50B07" w14:paraId="6EC4ECCE" w14:textId="77777777">
            <w:pPr>
              <w:spacing w:after="120"/>
            </w:pPr>
          </w:p>
        </w:tc>
        <w:tc>
          <w:tcPr>
            <w:tcW w:w="7173" w:type="dxa"/>
          </w:tcPr>
          <w:p w:rsidR="00C50B07" w:rsidP="00F029BA" w:rsidRDefault="00C50B07" w14:paraId="13BD96C5" w14:textId="77777777">
            <w:pPr>
              <w:spacing w:after="120"/>
              <w:cnfStyle w:val="000000000000" w:firstRow="0" w:lastRow="0" w:firstColumn="0" w:lastColumn="0" w:oddVBand="0" w:evenVBand="0" w:oddHBand="0" w:evenHBand="0" w:firstRowFirstColumn="0" w:firstRowLastColumn="0" w:lastRowFirstColumn="0" w:lastRowLastColumn="0"/>
            </w:pPr>
            <w:r w:rsidRPr="00FB7B35">
              <w:rPr>
                <w:rFonts w:eastAsia="Times New Roman" w:cs="Arial"/>
              </w:rPr>
              <w:t>Sub-category 3.4</w:t>
            </w:r>
            <w:r>
              <w:rPr>
                <w:rFonts w:eastAsia="Times New Roman" w:cs="Arial"/>
              </w:rPr>
              <w:t xml:space="preserve"> I</w:t>
            </w:r>
            <w:r w:rsidRPr="00FB7B35">
              <w:rPr>
                <w:rFonts w:eastAsia="Times New Roman" w:cs="Arial"/>
              </w:rPr>
              <w:t>nternational for-profit organisations</w:t>
            </w:r>
          </w:p>
        </w:tc>
      </w:tr>
      <w:tr w:rsidR="00C50B07" w:rsidTr="00F029BA" w14:paraId="6A8F53F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vMerge/>
          </w:tcPr>
          <w:p w:rsidR="00C50B07" w:rsidP="00F029BA" w:rsidRDefault="00C50B07" w14:paraId="21F7D5B3" w14:textId="77777777">
            <w:pPr>
              <w:spacing w:after="120"/>
            </w:pPr>
          </w:p>
        </w:tc>
        <w:tc>
          <w:tcPr>
            <w:tcW w:w="7173" w:type="dxa"/>
          </w:tcPr>
          <w:p w:rsidR="00C50B07" w:rsidP="00F029BA" w:rsidRDefault="00C50B07" w14:paraId="3BCE0B2B" w14:textId="77777777">
            <w:pPr>
              <w:spacing w:after="120"/>
              <w:cnfStyle w:val="000000100000" w:firstRow="0" w:lastRow="0" w:firstColumn="0" w:lastColumn="0" w:oddVBand="0" w:evenVBand="0" w:oddHBand="1" w:evenHBand="0" w:firstRowFirstColumn="0" w:firstRowLastColumn="0" w:lastRowFirstColumn="0" w:lastRowLastColumn="0"/>
            </w:pPr>
            <w:r w:rsidRPr="00FB7B35">
              <w:rPr>
                <w:rFonts w:eastAsia="Times New Roman" w:cs="Arial"/>
              </w:rPr>
              <w:t>Sub-category 3.5</w:t>
            </w:r>
            <w:r>
              <w:rPr>
                <w:rFonts w:eastAsia="Times New Roman" w:cs="Arial"/>
              </w:rPr>
              <w:t xml:space="preserve"> I</w:t>
            </w:r>
            <w:r w:rsidRPr="00FB7B35">
              <w:rPr>
                <w:rFonts w:eastAsia="Times New Roman" w:cs="Arial"/>
              </w:rPr>
              <w:t>nternational not-for profit organisations</w:t>
            </w:r>
          </w:p>
        </w:tc>
      </w:tr>
      <w:tr w:rsidR="00C50B07" w:rsidTr="00F029BA" w14:paraId="6743A9A7" w14:textId="77777777">
        <w:tc>
          <w:tcPr>
            <w:cnfStyle w:val="001000000000" w:firstRow="0" w:lastRow="0" w:firstColumn="1" w:lastColumn="0" w:oddVBand="0" w:evenVBand="0" w:oddHBand="0" w:evenHBand="0" w:firstRowFirstColumn="0" w:firstRowLastColumn="0" w:lastRowFirstColumn="0" w:lastRowLastColumn="0"/>
            <w:tcW w:w="1843" w:type="dxa"/>
            <w:vMerge/>
          </w:tcPr>
          <w:p w:rsidR="00C50B07" w:rsidP="00F029BA" w:rsidRDefault="00C50B07" w14:paraId="1795721E" w14:textId="77777777">
            <w:pPr>
              <w:spacing w:after="120"/>
            </w:pPr>
          </w:p>
        </w:tc>
        <w:tc>
          <w:tcPr>
            <w:tcW w:w="7173" w:type="dxa"/>
          </w:tcPr>
          <w:p w:rsidR="00C50B07" w:rsidP="00F029BA" w:rsidRDefault="00C50B07" w14:paraId="5B47A9A3" w14:textId="77777777">
            <w:pPr>
              <w:spacing w:after="120"/>
              <w:cnfStyle w:val="000000000000" w:firstRow="0" w:lastRow="0" w:firstColumn="0" w:lastColumn="0" w:oddVBand="0" w:evenVBand="0" w:oddHBand="0" w:evenHBand="0" w:firstRowFirstColumn="0" w:firstRowLastColumn="0" w:lastRowFirstColumn="0" w:lastRowLastColumn="0"/>
            </w:pPr>
            <w:r w:rsidRPr="00FB7B35">
              <w:rPr>
                <w:rFonts w:eastAsia="Times New Roman" w:cs="Arial"/>
              </w:rPr>
              <w:t>Sub-category 3.6</w:t>
            </w:r>
            <w:r>
              <w:rPr>
                <w:rFonts w:eastAsia="Times New Roman" w:cs="Arial"/>
              </w:rPr>
              <w:t xml:space="preserve"> I</w:t>
            </w:r>
            <w:r w:rsidRPr="00FB7B35">
              <w:rPr>
                <w:rFonts w:eastAsia="Times New Roman" w:cs="Arial"/>
              </w:rPr>
              <w:t>nternational philanthropy</w:t>
            </w:r>
          </w:p>
        </w:tc>
      </w:tr>
      <w:tr w:rsidR="00C50B07" w:rsidTr="00F029BA" w14:paraId="46EA816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vMerge/>
          </w:tcPr>
          <w:p w:rsidR="00C50B07" w:rsidP="00F029BA" w:rsidRDefault="00C50B07" w14:paraId="29D06AE6" w14:textId="77777777">
            <w:pPr>
              <w:spacing w:after="120"/>
            </w:pPr>
          </w:p>
        </w:tc>
        <w:tc>
          <w:tcPr>
            <w:tcW w:w="7173" w:type="dxa"/>
          </w:tcPr>
          <w:p w:rsidR="00C50B07" w:rsidP="00F029BA" w:rsidRDefault="00C50B07" w14:paraId="3BA1BD5E" w14:textId="77777777">
            <w:pPr>
              <w:spacing w:after="120"/>
              <w:cnfStyle w:val="000000100000" w:firstRow="0" w:lastRow="0" w:firstColumn="0" w:lastColumn="0" w:oddVBand="0" w:evenVBand="0" w:oddHBand="1" w:evenHBand="0" w:firstRowFirstColumn="0" w:firstRowLastColumn="0" w:lastRowFirstColumn="0" w:lastRowLastColumn="0"/>
            </w:pPr>
            <w:r w:rsidRPr="00FB7B35">
              <w:rPr>
                <w:rFonts w:eastAsia="Times New Roman" w:cs="Arial"/>
              </w:rPr>
              <w:t>Sub-category 3.7</w:t>
            </w:r>
            <w:r>
              <w:rPr>
                <w:rFonts w:eastAsia="Times New Roman" w:cs="Arial"/>
              </w:rPr>
              <w:t xml:space="preserve"> I</w:t>
            </w:r>
            <w:r w:rsidRPr="00FB7B35">
              <w:rPr>
                <w:rFonts w:eastAsia="Times New Roman" w:cs="Arial"/>
              </w:rPr>
              <w:t>nternational government (own purpose)</w:t>
            </w:r>
          </w:p>
        </w:tc>
      </w:tr>
      <w:tr w:rsidR="00C50B07" w:rsidTr="00F029BA" w14:paraId="65E830AB" w14:textId="77777777">
        <w:trPr>
          <w:trHeight w:val="64"/>
        </w:trPr>
        <w:tc>
          <w:tcPr>
            <w:cnfStyle w:val="001000000000" w:firstRow="0" w:lastRow="0" w:firstColumn="1" w:lastColumn="0" w:oddVBand="0" w:evenVBand="0" w:oddHBand="0" w:evenHBand="0" w:firstRowFirstColumn="0" w:firstRowLastColumn="0" w:lastRowFirstColumn="0" w:lastRowLastColumn="0"/>
            <w:tcW w:w="1843" w:type="dxa"/>
            <w:vMerge/>
          </w:tcPr>
          <w:p w:rsidR="00C50B07" w:rsidP="00F029BA" w:rsidRDefault="00C50B07" w14:paraId="2D727C52" w14:textId="77777777">
            <w:pPr>
              <w:spacing w:after="120"/>
            </w:pPr>
          </w:p>
        </w:tc>
        <w:tc>
          <w:tcPr>
            <w:tcW w:w="7173" w:type="dxa"/>
          </w:tcPr>
          <w:p w:rsidR="00C50B07" w:rsidP="00F029BA" w:rsidRDefault="00C50B07" w14:paraId="1C1828F6" w14:textId="77777777">
            <w:pPr>
              <w:spacing w:after="120"/>
              <w:cnfStyle w:val="000000000000" w:firstRow="0" w:lastRow="0" w:firstColumn="0" w:lastColumn="0" w:oddVBand="0" w:evenVBand="0" w:oddHBand="0" w:evenHBand="0" w:firstRowFirstColumn="0" w:firstRowLastColumn="0" w:lastRowFirstColumn="0" w:lastRowLastColumn="0"/>
            </w:pPr>
            <w:r w:rsidRPr="00FB7B35">
              <w:rPr>
                <w:rFonts w:eastAsia="Times New Roman" w:cs="Arial"/>
              </w:rPr>
              <w:t>Sub-category 3.8</w:t>
            </w:r>
            <w:r>
              <w:rPr>
                <w:rFonts w:eastAsia="Times New Roman" w:cs="Arial"/>
              </w:rPr>
              <w:t xml:space="preserve"> I</w:t>
            </w:r>
            <w:r w:rsidRPr="00FB7B35">
              <w:rPr>
                <w:rFonts w:eastAsia="Times New Roman" w:cs="Arial"/>
              </w:rPr>
              <w:t>nternational government (other)</w:t>
            </w:r>
          </w:p>
        </w:tc>
      </w:tr>
    </w:tbl>
    <w:p w:rsidR="00C50B07" w:rsidP="00642E54" w:rsidRDefault="00C50B07" w14:paraId="179FFF05" w14:textId="677E56C7">
      <w:pPr>
        <w:pStyle w:val="Caption"/>
        <w:keepNext/>
        <w:numPr>
          <w:ilvl w:val="0"/>
          <w:numId w:val="20"/>
        </w:numPr>
        <w:spacing w:before="120"/>
        <w:ind w:left="851" w:hanging="851"/>
      </w:pPr>
      <w:r>
        <w:t>Category 4 R&amp;D income sub-categories</w:t>
      </w:r>
    </w:p>
    <w:tbl>
      <w:tblPr>
        <w:tblStyle w:val="GridTable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43"/>
        <w:gridCol w:w="7173"/>
      </w:tblGrid>
      <w:tr w:rsidR="00C50B07" w:rsidTr="00660464" w14:paraId="379B0688"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43" w:type="dxa"/>
            <w:tcBorders>
              <w:top w:val="none" w:color="auto" w:sz="0" w:space="0"/>
              <w:left w:val="none" w:color="auto" w:sz="0" w:space="0"/>
              <w:bottom w:val="none" w:color="auto" w:sz="0" w:space="0"/>
              <w:right w:val="none" w:color="auto" w:sz="0" w:space="0"/>
            </w:tcBorders>
            <w:shd w:val="clear" w:color="auto" w:fill="00254A" w:themeFill="text2"/>
          </w:tcPr>
          <w:p w:rsidR="00C50B07" w:rsidP="00F029BA" w:rsidRDefault="00C50B07" w14:paraId="70070FB2" w14:textId="77777777">
            <w:pPr>
              <w:spacing w:after="120"/>
            </w:pPr>
            <w:r w:rsidRPr="00960EEA">
              <w:rPr>
                <w:rFonts w:eastAsia="Times New Roman" w:cs="Arial"/>
              </w:rPr>
              <w:t>Category 4:</w:t>
            </w:r>
          </w:p>
        </w:tc>
        <w:tc>
          <w:tcPr>
            <w:tcW w:w="7173" w:type="dxa"/>
            <w:tcBorders>
              <w:top w:val="none" w:color="auto" w:sz="0" w:space="0"/>
              <w:left w:val="none" w:color="auto" w:sz="0" w:space="0"/>
              <w:bottom w:val="none" w:color="auto" w:sz="0" w:space="0"/>
              <w:right w:val="none" w:color="auto" w:sz="0" w:space="0"/>
            </w:tcBorders>
            <w:shd w:val="clear" w:color="auto" w:fill="00254A" w:themeFill="text2"/>
          </w:tcPr>
          <w:p w:rsidR="00C50B07" w:rsidP="00F029BA" w:rsidRDefault="00C50B07" w14:paraId="59F2184C" w14:textId="77777777">
            <w:pPr>
              <w:spacing w:after="120"/>
              <w:cnfStyle w:val="100000000000" w:firstRow="1" w:lastRow="0" w:firstColumn="0" w:lastColumn="0" w:oddVBand="0" w:evenVBand="0" w:oddHBand="0" w:evenHBand="0" w:firstRowFirstColumn="0" w:firstRowLastColumn="0" w:lastRowFirstColumn="0" w:lastRowLastColumn="0"/>
            </w:pPr>
            <w:r w:rsidRPr="007074CB">
              <w:rPr>
                <w:rFonts w:eastAsia="Times New Roman" w:cs="Arial"/>
              </w:rPr>
              <w:t>CRC R&amp;D income</w:t>
            </w:r>
          </w:p>
        </w:tc>
      </w:tr>
      <w:tr w:rsidR="00C50B07" w:rsidTr="00F029BA" w14:paraId="1DB64D1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vMerge w:val="restart"/>
            <w:vAlign w:val="center"/>
          </w:tcPr>
          <w:p w:rsidR="00C50B07" w:rsidP="00F029BA" w:rsidRDefault="00C50B07" w14:paraId="515670F6" w14:textId="77777777">
            <w:pPr>
              <w:spacing w:after="120"/>
            </w:pPr>
            <w:r w:rsidRPr="005E53CE">
              <w:rPr>
                <w:rFonts w:eastAsia="Times New Roman" w:cs="Arial"/>
              </w:rPr>
              <w:t xml:space="preserve">Category </w:t>
            </w:r>
            <w:r>
              <w:rPr>
                <w:rFonts w:eastAsia="Times New Roman" w:cs="Arial"/>
              </w:rPr>
              <w:t>4</w:t>
            </w:r>
          </w:p>
        </w:tc>
        <w:tc>
          <w:tcPr>
            <w:tcW w:w="7173" w:type="dxa"/>
          </w:tcPr>
          <w:p w:rsidR="00C50B07" w:rsidP="00F029BA" w:rsidRDefault="00C50B07" w14:paraId="7C387A3C" w14:textId="77777777">
            <w:pPr>
              <w:spacing w:after="120"/>
              <w:cnfStyle w:val="000000100000" w:firstRow="0" w:lastRow="0" w:firstColumn="0" w:lastColumn="0" w:oddVBand="0" w:evenVBand="0" w:oddHBand="1" w:evenHBand="0" w:firstRowFirstColumn="0" w:firstRowLastColumn="0" w:lastRowFirstColumn="0" w:lastRowLastColumn="0"/>
            </w:pPr>
            <w:r w:rsidRPr="00FB7B35">
              <w:rPr>
                <w:rFonts w:eastAsia="Times New Roman" w:cs="Arial"/>
                <w:iCs/>
              </w:rPr>
              <w:t>Sub-category 4.1</w:t>
            </w:r>
            <w:r>
              <w:rPr>
                <w:rFonts w:eastAsia="Times New Roman" w:cs="Arial"/>
                <w:iCs/>
              </w:rPr>
              <w:t xml:space="preserve"> </w:t>
            </w:r>
            <w:r w:rsidRPr="00FB7B35">
              <w:rPr>
                <w:rFonts w:eastAsia="Times New Roman" w:cs="Arial"/>
                <w:iCs/>
              </w:rPr>
              <w:t>R&amp;D income received from CRCs derived from Australian Government grants to CRCs</w:t>
            </w:r>
          </w:p>
        </w:tc>
      </w:tr>
      <w:tr w:rsidR="00C50B07" w:rsidTr="00F029BA" w14:paraId="489C93D8" w14:textId="77777777">
        <w:tc>
          <w:tcPr>
            <w:cnfStyle w:val="001000000000" w:firstRow="0" w:lastRow="0" w:firstColumn="1" w:lastColumn="0" w:oddVBand="0" w:evenVBand="0" w:oddHBand="0" w:evenHBand="0" w:firstRowFirstColumn="0" w:firstRowLastColumn="0" w:lastRowFirstColumn="0" w:lastRowLastColumn="0"/>
            <w:tcW w:w="1843" w:type="dxa"/>
            <w:vMerge/>
          </w:tcPr>
          <w:p w:rsidR="00C50B07" w:rsidP="00F029BA" w:rsidRDefault="00C50B07" w14:paraId="75B7C6B6" w14:textId="77777777">
            <w:pPr>
              <w:spacing w:after="120"/>
            </w:pPr>
          </w:p>
        </w:tc>
        <w:tc>
          <w:tcPr>
            <w:tcW w:w="7173" w:type="dxa"/>
          </w:tcPr>
          <w:p w:rsidR="00C50B07" w:rsidP="00F029BA" w:rsidRDefault="00C50B07" w14:paraId="264F3B24" w14:textId="77777777">
            <w:pPr>
              <w:spacing w:after="120"/>
              <w:cnfStyle w:val="000000000000" w:firstRow="0" w:lastRow="0" w:firstColumn="0" w:lastColumn="0" w:oddVBand="0" w:evenVBand="0" w:oddHBand="0" w:evenHBand="0" w:firstRowFirstColumn="0" w:firstRowLastColumn="0" w:lastRowFirstColumn="0" w:lastRowLastColumn="0"/>
            </w:pPr>
            <w:r w:rsidRPr="00FB7B35">
              <w:rPr>
                <w:rFonts w:eastAsia="Times New Roman" w:cs="Arial"/>
                <w:iCs/>
              </w:rPr>
              <w:t>Sub-category 4.2</w:t>
            </w:r>
            <w:r>
              <w:rPr>
                <w:rFonts w:eastAsia="Times New Roman" w:cs="Arial"/>
                <w:iCs/>
              </w:rPr>
              <w:t xml:space="preserve"> </w:t>
            </w:r>
            <w:r w:rsidRPr="00FB7B35">
              <w:rPr>
                <w:rFonts w:eastAsia="Times New Roman" w:cs="Arial"/>
                <w:iCs/>
              </w:rPr>
              <w:t>R&amp;D income received from CRCs derived from private industry participants of CRCs</w:t>
            </w:r>
          </w:p>
        </w:tc>
      </w:tr>
      <w:tr w:rsidR="00C50B07" w:rsidTr="00F029BA" w14:paraId="0A1032A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vMerge/>
          </w:tcPr>
          <w:p w:rsidR="00C50B07" w:rsidP="00F029BA" w:rsidRDefault="00C50B07" w14:paraId="39E08F0D" w14:textId="77777777">
            <w:pPr>
              <w:spacing w:after="120"/>
            </w:pPr>
          </w:p>
        </w:tc>
        <w:tc>
          <w:tcPr>
            <w:tcW w:w="7173" w:type="dxa"/>
          </w:tcPr>
          <w:p w:rsidR="00C50B07" w:rsidP="00F029BA" w:rsidRDefault="00C50B07" w14:paraId="76DCA76F" w14:textId="77777777">
            <w:pPr>
              <w:spacing w:after="120"/>
              <w:cnfStyle w:val="000000100000" w:firstRow="0" w:lastRow="0" w:firstColumn="0" w:lastColumn="0" w:oddVBand="0" w:evenVBand="0" w:oddHBand="1" w:evenHBand="0" w:firstRowFirstColumn="0" w:firstRowLastColumn="0" w:lastRowFirstColumn="0" w:lastRowLastColumn="0"/>
            </w:pPr>
            <w:r w:rsidRPr="00FB7B35">
              <w:rPr>
                <w:rFonts w:eastAsia="Times New Roman" w:cs="Arial"/>
                <w:iCs/>
              </w:rPr>
              <w:t>Sub-category 4.3</w:t>
            </w:r>
            <w:r>
              <w:rPr>
                <w:rFonts w:eastAsia="Times New Roman" w:cs="Arial"/>
                <w:iCs/>
              </w:rPr>
              <w:t xml:space="preserve"> </w:t>
            </w:r>
            <w:r w:rsidRPr="00FB7B35">
              <w:rPr>
                <w:rFonts w:eastAsia="Times New Roman" w:cs="Arial"/>
                <w:iCs/>
              </w:rPr>
              <w:t>R&amp;D income received from CRCs derived from other sources</w:t>
            </w:r>
          </w:p>
        </w:tc>
      </w:tr>
    </w:tbl>
    <w:p w:rsidRPr="00C50B07" w:rsidR="00F13E64" w:rsidP="00C50B07" w:rsidRDefault="00F13E64" w14:paraId="16284547" w14:textId="14C2DEE4"/>
    <w:sectPr w:rsidRPr="00C50B07" w:rsidR="00F13E64" w:rsidSect="000B1367">
      <w:footerReference w:type="default" r:id="rId50"/>
      <w:pgSz w:w="11906" w:h="16838" w:orient="portrait"/>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5717" w:rsidP="000A6228" w:rsidRDefault="002C5717" w14:paraId="29138F54" w14:textId="77777777">
      <w:pPr>
        <w:spacing w:after="0" w:line="240" w:lineRule="auto"/>
      </w:pPr>
      <w:r>
        <w:separator/>
      </w:r>
    </w:p>
  </w:endnote>
  <w:endnote w:type="continuationSeparator" w:id="0">
    <w:p w:rsidR="002C5717" w:rsidP="000A6228" w:rsidRDefault="002C5717" w14:paraId="1A6DDCAD" w14:textId="77777777">
      <w:pPr>
        <w:spacing w:after="0" w:line="240" w:lineRule="auto"/>
      </w:pPr>
      <w:r>
        <w:continuationSeparator/>
      </w:r>
    </w:p>
  </w:endnote>
  <w:endnote w:type="continuationNotice" w:id="1">
    <w:p w:rsidR="002C5717" w:rsidRDefault="002C5717" w14:paraId="33EB19B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C50B07" w:rsidP="00C8700E" w:rsidRDefault="00FE222A" w14:paraId="2CFA67DD" w14:textId="74D4009C">
    <w:pPr>
      <w:pStyle w:val="Footer"/>
    </w:pPr>
    <w:r>
      <w:t>Final</w:t>
    </w:r>
    <w:r w:rsidR="00C50B07">
      <w:t xml:space="preserve"> HERDC specifications for the collection of 2025 data| </w:t>
    </w:r>
    <w:r w:rsidRPr="00AF1F18" w:rsidR="00C50B07">
      <w:fldChar w:fldCharType="begin"/>
    </w:r>
    <w:r w:rsidRPr="00AF1F18" w:rsidR="00C50B07">
      <w:instrText xml:space="preserve"> PAGE   \* MERGEFORMAT </w:instrText>
    </w:r>
    <w:r w:rsidRPr="00AF1F18" w:rsidR="00C50B07">
      <w:fldChar w:fldCharType="separate"/>
    </w:r>
    <w:r w:rsidR="00C50B07">
      <w:t>21</w:t>
    </w:r>
    <w:r w:rsidRPr="00AF1F18" w:rsidR="00C50B07">
      <w:fldChar w:fldCharType="end"/>
    </w:r>
    <w:r w:rsidR="00C50B07">
      <w:rPr>
        <w:noProof/>
      </w:rPr>
      <w:drawing>
        <wp:anchor distT="0" distB="0" distL="114300" distR="114300" simplePos="0" relativeHeight="251658241" behindDoc="1" locked="1" layoutInCell="1" allowOverlap="1" wp14:anchorId="7ED5010D" wp14:editId="4C963E9E">
          <wp:simplePos x="0" y="0"/>
          <wp:positionH relativeFrom="page">
            <wp:align>right</wp:align>
          </wp:positionH>
          <wp:positionV relativeFrom="page">
            <wp:align>bottom</wp:align>
          </wp:positionV>
          <wp:extent cx="1220400" cy="651600"/>
          <wp:effectExtent l="0" t="0" r="0" b="0"/>
          <wp:wrapNone/>
          <wp:docPr id="1051733704" name="Picture 10517337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20400" cy="651600"/>
                  </a:xfrm>
                  <a:prstGeom prst="rect">
                    <a:avLst/>
                  </a:prstGeom>
                </pic:spPr>
              </pic:pic>
            </a:graphicData>
          </a:graphic>
          <wp14:sizeRelH relativeFrom="margin">
            <wp14:pctWidth>0</wp14:pctWidth>
          </wp14:sizeRelH>
          <wp14:sizeRelV relativeFrom="margin">
            <wp14:pctHeight>0</wp14:pctHeight>
          </wp14:sizeRelV>
        </wp:anchor>
      </w:drawing>
    </w:r>
  </w:p>
  <w:p w:rsidR="00C50B07" w:rsidRDefault="00C50B07" w14:paraId="1D6F52A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16cid w16 w16cex w16sdtdh w16sdtfl w16du wp14">
  <w:p w:rsidR="00C50B07" w:rsidRDefault="00C50B07" w14:paraId="0902E731" w14:textId="77777777">
    <w:pPr>
      <w:pStyle w:val="Footer"/>
    </w:pPr>
  </w:p>
  <w:p w:rsidR="00C50B07" w:rsidRDefault="00C50B07" w14:paraId="4F6BEA4A" w14:textId="695960DC">
    <w:pPr>
      <w:pStyle w:val="Footer"/>
    </w:pPr>
    <w:r>
      <w:rPr>
        <w:noProof/>
      </w:rPr>
      <mc:AlternateContent>
        <mc:Choice Requires="wps">
          <w:drawing>
            <wp:anchor distT="0" distB="0" distL="114300" distR="114300" simplePos="0" relativeHeight="251658242" behindDoc="0" locked="0" layoutInCell="1" allowOverlap="1" wp14:anchorId="1C62271E" wp14:editId="7C83629E">
              <wp:simplePos x="0" y="0"/>
              <wp:positionH relativeFrom="page">
                <wp:posOffset>-3810</wp:posOffset>
              </wp:positionH>
              <wp:positionV relativeFrom="paragraph">
                <wp:posOffset>435448</wp:posOffset>
              </wp:positionV>
              <wp:extent cx="10696353" cy="186365"/>
              <wp:effectExtent l="0" t="0" r="0" b="4445"/>
              <wp:wrapNone/>
              <wp:docPr id="1268843769" name="Rectangle 126884376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696353" cy="186365"/>
                      </a:xfrm>
                      <a:prstGeom prst="rect">
                        <a:avLst/>
                      </a:prstGeom>
                      <a:solidFill>
                        <a:srgbClr val="002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323214A5">
            <v:rect id="Rectangle 1268843769" style="position:absolute;margin-left:-.3pt;margin-top:34.3pt;width:842.25pt;height:14.6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lt="&quot;&quot;" o:spid="_x0000_s1026" fillcolor="#002d3f" stroked="f" strokeweight="1pt" w14:anchorId="012E34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">
              <w10:wrap anchorx="page"/>
            </v:rect>
          </w:pict>
        </mc:Fallback>
      </mc:AlternateContent>
    </w:r>
    <w:r>
      <w:t>Draft HERDC s</w:t>
    </w:r>
    <w:r w:rsidRPr="006411D0">
      <w:t xml:space="preserve">pecifications for the collection of </w:t>
    </w:r>
    <w:r>
      <w:t>2025</w:t>
    </w:r>
    <w:r w:rsidRPr="006411D0">
      <w:t xml:space="preserve"> data</w:t>
    </w:r>
    <w:r>
      <w:t xml:space="preserve">| </w:t>
    </w:r>
    <w:sdt>
      <w:sdtPr>
        <w:id w:val="-87823571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6</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221D8F" w:rsidRDefault="00376368" w14:paraId="624CB1FF" w14:textId="035BA44D">
    <w:pPr>
      <w:pStyle w:val="Footer"/>
    </w:pPr>
    <w:r>
      <w:t>Draft</w:t>
    </w:r>
    <w:r w:rsidR="00927A2E">
      <w:t xml:space="preserve"> </w:t>
    </w:r>
    <w:r w:rsidR="009D347E">
      <w:t xml:space="preserve">HERDC specifications for the collection of </w:t>
    </w:r>
    <w:r w:rsidR="00752E5A">
      <w:t>2025</w:t>
    </w:r>
    <w:r w:rsidR="00CF284E">
      <w:t xml:space="preserve"> </w:t>
    </w:r>
    <w:r w:rsidR="009D347E">
      <w:t>data</w:t>
    </w:r>
    <w:r w:rsidR="00221D8F">
      <w:t xml:space="preserve">| </w:t>
    </w:r>
    <w:r w:rsidRPr="00AF1F18" w:rsidR="00221D8F">
      <w:fldChar w:fldCharType="begin"/>
    </w:r>
    <w:r w:rsidRPr="00AF1F18" w:rsidR="00221D8F">
      <w:instrText xml:space="preserve"> PAGE   \* MERGEFORMAT </w:instrText>
    </w:r>
    <w:r w:rsidRPr="00AF1F18" w:rsidR="00221D8F">
      <w:fldChar w:fldCharType="separate"/>
    </w:r>
    <w:r w:rsidRPr="00AF1F18" w:rsidR="00221D8F">
      <w:t>1</w:t>
    </w:r>
    <w:r w:rsidRPr="00AF1F18" w:rsidR="00221D8F">
      <w:fldChar w:fldCharType="end"/>
    </w:r>
    <w:r w:rsidR="00221D8F">
      <w:rPr>
        <w:noProof/>
      </w:rPr>
      <w:drawing>
        <wp:anchor distT="0" distB="0" distL="114300" distR="114300" simplePos="0" relativeHeight="251658240" behindDoc="1" locked="1" layoutInCell="1" allowOverlap="1" wp14:anchorId="5B404273" wp14:editId="738FF0AD">
          <wp:simplePos x="0" y="0"/>
          <wp:positionH relativeFrom="page">
            <wp:align>right</wp:align>
          </wp:positionH>
          <wp:positionV relativeFrom="page">
            <wp:align>bottom</wp:align>
          </wp:positionV>
          <wp:extent cx="1220400" cy="651600"/>
          <wp:effectExtent l="0" t="0" r="0" b="0"/>
          <wp:wrapNone/>
          <wp:docPr id="1954741381" name="Picture 19547413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20400" cy="651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5717" w:rsidP="000A6228" w:rsidRDefault="002C5717" w14:paraId="43B48B41" w14:textId="77777777">
      <w:pPr>
        <w:spacing w:after="0" w:line="240" w:lineRule="auto"/>
      </w:pPr>
      <w:r>
        <w:separator/>
      </w:r>
    </w:p>
  </w:footnote>
  <w:footnote w:type="continuationSeparator" w:id="0">
    <w:p w:rsidR="002C5717" w:rsidP="000A6228" w:rsidRDefault="002C5717" w14:paraId="736E0535" w14:textId="77777777">
      <w:pPr>
        <w:spacing w:after="0" w:line="240" w:lineRule="auto"/>
      </w:pPr>
      <w:r>
        <w:continuationSeparator/>
      </w:r>
    </w:p>
  </w:footnote>
  <w:footnote w:type="continuationNotice" w:id="1">
    <w:p w:rsidR="002C5717" w:rsidRDefault="002C5717" w14:paraId="24285BEA" w14:textId="77777777">
      <w:pPr>
        <w:spacing w:after="0" w:line="240" w:lineRule="auto"/>
      </w:pPr>
    </w:p>
  </w:footnote>
  <w:footnote w:id="2">
    <w:p w:rsidRPr="00410CED" w:rsidR="00C50B07" w:rsidP="004148C4" w:rsidRDefault="00C50B07" w14:paraId="61A4251A" w14:textId="77777777">
      <w:pPr>
        <w:pStyle w:val="FootnoteText"/>
        <w:rPr>
          <w:rFonts w:asciiTheme="minorHAnsi" w:hAnsiTheme="minorHAnsi" w:cstheme="minorHAnsi"/>
        </w:rPr>
      </w:pPr>
      <w:r w:rsidRPr="00410CED">
        <w:rPr>
          <w:rStyle w:val="FootnoteReference"/>
          <w:rFonts w:asciiTheme="minorHAnsi" w:hAnsiTheme="minorHAnsi" w:eastAsiaTheme="majorEastAsia" w:cstheme="minorHAnsi"/>
        </w:rPr>
        <w:footnoteRef/>
      </w:r>
      <w:r w:rsidRPr="00410CED">
        <w:rPr>
          <w:rFonts w:asciiTheme="minorHAnsi" w:hAnsiTheme="minorHAnsi" w:cstheme="minorHAnsi"/>
        </w:rPr>
        <w:t xml:space="preserve"> </w:t>
      </w:r>
      <w:r w:rsidRPr="00410CED">
        <w:rPr>
          <w:rFonts w:asciiTheme="minorHAnsi" w:hAnsiTheme="minorHAnsi" w:cstheme="minorHAnsi"/>
          <w:sz w:val="18"/>
          <w:szCs w:val="18"/>
        </w:rPr>
        <w:t>Eligible HEP means a HEP as specified in section 16-15 (Table A Providers) and section 16-20 (Table B Providers) of</w:t>
      </w:r>
      <w:r w:rsidRPr="00564A2B">
        <w:rPr>
          <w:rFonts w:asciiTheme="minorHAnsi" w:hAnsiTheme="minorHAnsi" w:cstheme="minorHAnsi"/>
          <w:sz w:val="18"/>
          <w:szCs w:val="18"/>
        </w:rPr>
        <w:t xml:space="preserve"> HESA</w:t>
      </w:r>
      <w:r w:rsidRPr="00410CED">
        <w:rPr>
          <w:rFonts w:asciiTheme="minorHAnsi" w:hAnsiTheme="minorHAnsi" w:cstheme="minorHAnsi"/>
          <w:sz w:val="18"/>
          <w:szCs w:val="18"/>
        </w:rPr>
        <w:t>.</w:t>
      </w:r>
      <w:r>
        <w:rPr>
          <w:rFonts w:asciiTheme="minorHAnsi" w:hAnsiTheme="minorHAnsi" w:cstheme="minorHAnsi"/>
          <w:sz w:val="18"/>
          <w:szCs w:val="18"/>
        </w:rPr>
        <w:t xml:space="preserve"> </w:t>
      </w:r>
    </w:p>
  </w:footnote>
  <w:footnote w:id="3">
    <w:p w:rsidRPr="000F3979" w:rsidR="00C50B07" w:rsidP="009D347E" w:rsidRDefault="00C50B07" w14:paraId="71303933" w14:textId="77777777">
      <w:pPr>
        <w:pStyle w:val="FootnoteText"/>
        <w:rPr>
          <w:i/>
          <w:iCs/>
          <w:sz w:val="18"/>
          <w:szCs w:val="18"/>
        </w:rPr>
      </w:pPr>
      <w:r w:rsidRPr="000F3979">
        <w:rPr>
          <w:rStyle w:val="FootnoteReference"/>
          <w:rFonts w:asciiTheme="minorHAnsi" w:hAnsiTheme="minorHAnsi" w:cstheme="minorHAnsi"/>
          <w:sz w:val="18"/>
          <w:szCs w:val="18"/>
        </w:rPr>
        <w:footnoteRef/>
      </w:r>
      <w:r w:rsidRPr="000F3979">
        <w:rPr>
          <w:rFonts w:asciiTheme="minorHAnsi" w:hAnsiTheme="minorHAnsi" w:cstheme="minorHAnsi"/>
          <w:sz w:val="18"/>
          <w:szCs w:val="18"/>
        </w:rPr>
        <w:t xml:space="preserve"> </w:t>
      </w:r>
      <w:r>
        <w:rPr>
          <w:rFonts w:asciiTheme="minorHAnsi" w:hAnsiTheme="minorHAnsi" w:cstheme="minorHAnsi"/>
          <w:sz w:val="18"/>
          <w:szCs w:val="18"/>
        </w:rPr>
        <w:t>HESA</w:t>
      </w:r>
      <w:r w:rsidRPr="000F3979">
        <w:rPr>
          <w:rFonts w:asciiTheme="minorHAnsi" w:hAnsiTheme="minorHAnsi" w:cstheme="minorHAnsi"/>
          <w:sz w:val="18"/>
          <w:szCs w:val="18"/>
        </w:rPr>
        <w:t xml:space="preserve">, subsection 41-10(1), items 7 </w:t>
      </w:r>
      <w:r>
        <w:rPr>
          <w:rFonts w:asciiTheme="minorHAnsi" w:hAnsiTheme="minorHAnsi" w:cstheme="minorHAnsi"/>
          <w:sz w:val="18"/>
          <w:szCs w:val="18"/>
        </w:rPr>
        <w:t>and</w:t>
      </w:r>
      <w:r w:rsidRPr="000F3979">
        <w:rPr>
          <w:rFonts w:asciiTheme="minorHAnsi" w:hAnsiTheme="minorHAnsi" w:cstheme="minorHAnsi"/>
          <w:sz w:val="18"/>
          <w:szCs w:val="18"/>
        </w:rPr>
        <w:t xml:space="preserve"> 8.</w:t>
      </w:r>
      <w:r w:rsidRPr="000F3979">
        <w:rPr>
          <w:i/>
          <w:iCs/>
          <w:sz w:val="18"/>
          <w:szCs w:val="18"/>
        </w:rPr>
        <w:t xml:space="preserve"> </w:t>
      </w:r>
    </w:p>
  </w:footnote>
  <w:footnote w:id="4">
    <w:p w:rsidRPr="00410CED" w:rsidR="00C50B07" w:rsidP="008B4DCE" w:rsidRDefault="00C50B07" w14:paraId="620F42CD" w14:textId="77777777">
      <w:pPr>
        <w:pStyle w:val="FootnoteText"/>
        <w:rPr>
          <w:rFonts w:asciiTheme="minorHAnsi" w:hAnsiTheme="minorHAnsi" w:cstheme="minorHAnsi"/>
        </w:rPr>
      </w:pPr>
      <w:r w:rsidRPr="00410CED">
        <w:rPr>
          <w:rStyle w:val="FootnoteReference"/>
          <w:rFonts w:asciiTheme="minorHAnsi" w:hAnsiTheme="minorHAnsi" w:eastAsiaTheme="majorEastAsia" w:cstheme="minorHAnsi"/>
        </w:rPr>
        <w:footnoteRef/>
      </w:r>
      <w:r w:rsidRPr="00410CED">
        <w:rPr>
          <w:rFonts w:asciiTheme="minorHAnsi" w:hAnsiTheme="minorHAnsi" w:cstheme="minorHAnsi"/>
        </w:rPr>
        <w:t xml:space="preserve"> </w:t>
      </w:r>
      <w:r w:rsidRPr="00410CED">
        <w:rPr>
          <w:rFonts w:asciiTheme="minorHAnsi" w:hAnsiTheme="minorHAnsi" w:cstheme="minorHAnsi"/>
          <w:sz w:val="18"/>
          <w:szCs w:val="18"/>
          <w:lang w:eastAsia="en-AU"/>
        </w:rPr>
        <w:t xml:space="preserve">Organisation for Economic Cooperation and Development (OECD) </w:t>
      </w:r>
      <w:r w:rsidRPr="00410CED">
        <w:rPr>
          <w:rFonts w:asciiTheme="minorHAnsi" w:hAnsiTheme="minorHAnsi" w:cstheme="minorHAnsi"/>
          <w:i/>
          <w:iCs/>
          <w:sz w:val="18"/>
          <w:szCs w:val="18"/>
          <w:lang w:eastAsia="en-AU"/>
        </w:rPr>
        <w:t>Frascati Manual 2015: Guidelines for Collecting and Reporting Data on Research and Experimental Development</w:t>
      </w:r>
      <w:r w:rsidRPr="00410CED">
        <w:rPr>
          <w:rFonts w:asciiTheme="minorHAnsi" w:hAnsiTheme="minorHAnsi" w:cstheme="minorHAnsi"/>
          <w:sz w:val="18"/>
          <w:szCs w:val="18"/>
          <w:lang w:eastAsia="en-AU"/>
        </w:rPr>
        <w:t>, The Measurement of Scientific, Technological and Innovation Activities, OECD Publishing, Paris, 2015, p 44.</w:t>
      </w:r>
    </w:p>
  </w:footnote>
  <w:footnote w:id="5">
    <w:p w:rsidRPr="00410CED" w:rsidR="00C50B07" w:rsidP="009D347E" w:rsidRDefault="00C50B07" w14:paraId="7E829440" w14:textId="77777777">
      <w:pPr>
        <w:pStyle w:val="FootnoteText"/>
        <w:rPr>
          <w:rFonts w:asciiTheme="minorHAnsi" w:hAnsiTheme="minorHAnsi" w:cstheme="minorHAnsi"/>
          <w:sz w:val="18"/>
          <w:szCs w:val="18"/>
        </w:rPr>
      </w:pPr>
      <w:r w:rsidRPr="00410CED">
        <w:rPr>
          <w:rStyle w:val="FootnoteReference"/>
          <w:rFonts w:asciiTheme="minorHAnsi" w:hAnsiTheme="minorHAnsi" w:eastAsiaTheme="majorEastAsia" w:cstheme="minorHAnsi"/>
          <w:sz w:val="18"/>
          <w:szCs w:val="18"/>
        </w:rPr>
        <w:footnoteRef/>
      </w:r>
      <w:r w:rsidRPr="00410CED">
        <w:rPr>
          <w:rFonts w:asciiTheme="minorHAnsi" w:hAnsiTheme="minorHAnsi" w:cstheme="minorHAnsi"/>
          <w:sz w:val="18"/>
          <w:szCs w:val="18"/>
        </w:rPr>
        <w:t xml:space="preserve"> </w:t>
      </w:r>
      <w:r w:rsidRPr="00410CED">
        <w:rPr>
          <w:rFonts w:asciiTheme="minorHAnsi" w:hAnsiTheme="minorHAnsi" w:cstheme="minorHAnsi"/>
          <w:sz w:val="18"/>
          <w:szCs w:val="18"/>
          <w:lang w:val="en-US"/>
        </w:rPr>
        <w:t xml:space="preserve">Any use of available knowledge that does not entail an attempt to expand the state of knowledge (for example, adaptation or </w:t>
      </w:r>
      <w:proofErr w:type="spellStart"/>
      <w:r w:rsidRPr="00410CED">
        <w:rPr>
          <w:rFonts w:asciiTheme="minorHAnsi" w:hAnsiTheme="minorHAnsi" w:cstheme="minorHAnsi"/>
          <w:sz w:val="18"/>
          <w:szCs w:val="18"/>
          <w:lang w:val="en-US"/>
        </w:rPr>
        <w:t>customisation</w:t>
      </w:r>
      <w:proofErr w:type="spellEnd"/>
      <w:r w:rsidRPr="00410CED">
        <w:rPr>
          <w:rFonts w:asciiTheme="minorHAnsi" w:hAnsiTheme="minorHAnsi" w:cstheme="minorHAnsi"/>
          <w:sz w:val="18"/>
          <w:szCs w:val="18"/>
          <w:lang w:val="en-US"/>
        </w:rPr>
        <w:t>) should be excluded.</w:t>
      </w:r>
    </w:p>
  </w:footnote>
  <w:footnote w:id="6">
    <w:p w:rsidRPr="000F3979" w:rsidR="00C50B07" w:rsidP="009D347E" w:rsidRDefault="00C50B07" w14:paraId="727E5D06" w14:textId="77777777">
      <w:pPr>
        <w:pStyle w:val="FootnoteText"/>
        <w:rPr>
          <w:rFonts w:asciiTheme="minorHAnsi" w:hAnsiTheme="minorHAnsi" w:cstheme="minorHAnsi"/>
        </w:rPr>
      </w:pPr>
      <w:r w:rsidRPr="00410CED">
        <w:rPr>
          <w:rStyle w:val="FootnoteReference"/>
          <w:rFonts w:asciiTheme="minorHAnsi" w:hAnsiTheme="minorHAnsi" w:eastAsiaTheme="majorEastAsia" w:cstheme="minorHAnsi"/>
        </w:rPr>
        <w:footnoteRef/>
      </w:r>
      <w:r w:rsidRPr="00410CED">
        <w:rPr>
          <w:rFonts w:asciiTheme="minorHAnsi" w:hAnsiTheme="minorHAnsi" w:cstheme="minorHAnsi"/>
        </w:rPr>
        <w:t xml:space="preserve"> </w:t>
      </w:r>
      <w:r w:rsidRPr="00410CED">
        <w:rPr>
          <w:rFonts w:asciiTheme="minorHAnsi" w:hAnsiTheme="minorHAnsi" w:cstheme="minorHAnsi"/>
          <w:iCs/>
          <w:sz w:val="18"/>
          <w:szCs w:val="18"/>
          <w:lang w:eastAsia="en-AU"/>
        </w:rPr>
        <w:t>OECD</w:t>
      </w:r>
      <w:r w:rsidRPr="00410CED">
        <w:rPr>
          <w:rFonts w:asciiTheme="minorHAnsi" w:hAnsiTheme="minorHAnsi" w:cstheme="minorHAnsi"/>
          <w:sz w:val="18"/>
          <w:szCs w:val="18"/>
          <w:lang w:eastAsia="en-AU"/>
        </w:rPr>
        <w:t xml:space="preserve">, </w:t>
      </w:r>
      <w:r w:rsidRPr="00410CED">
        <w:rPr>
          <w:rFonts w:asciiTheme="minorHAnsi" w:hAnsiTheme="minorHAnsi" w:cstheme="minorHAnsi"/>
          <w:i/>
          <w:iCs/>
          <w:sz w:val="18"/>
          <w:szCs w:val="18"/>
          <w:lang w:eastAsia="en-AU"/>
        </w:rPr>
        <w:t>Frascati Manual</w:t>
      </w:r>
      <w:r w:rsidRPr="00410CED">
        <w:rPr>
          <w:rFonts w:asciiTheme="minorHAnsi" w:hAnsiTheme="minorHAnsi" w:cstheme="minorHAnsi"/>
          <w:sz w:val="18"/>
          <w:szCs w:val="18"/>
          <w:lang w:eastAsia="en-AU"/>
        </w:rPr>
        <w:t>, pp 46-48.</w:t>
      </w:r>
    </w:p>
  </w:footnote>
  <w:footnote w:id="7">
    <w:p w:rsidRPr="000F3979" w:rsidR="00C50B07" w:rsidP="009D347E" w:rsidRDefault="00C50B07" w14:paraId="74C3A018" w14:textId="77777777">
      <w:pPr>
        <w:pStyle w:val="FootnoteText"/>
        <w:rPr>
          <w:rFonts w:asciiTheme="minorHAnsi" w:hAnsiTheme="minorHAnsi" w:cstheme="minorHAnsi"/>
        </w:rPr>
      </w:pPr>
      <w:r w:rsidRPr="000F3979">
        <w:rPr>
          <w:rStyle w:val="FootnoteReference"/>
          <w:rFonts w:asciiTheme="minorHAnsi" w:hAnsiTheme="minorHAnsi" w:cstheme="minorHAnsi"/>
        </w:rPr>
        <w:footnoteRef/>
      </w:r>
      <w:r w:rsidRPr="000F3979">
        <w:rPr>
          <w:rFonts w:asciiTheme="minorHAnsi" w:hAnsiTheme="minorHAnsi" w:cstheme="minorHAnsi"/>
        </w:rPr>
        <w:t xml:space="preserve"> </w:t>
      </w:r>
      <w:r w:rsidRPr="00410CED">
        <w:rPr>
          <w:rFonts w:asciiTheme="minorHAnsi" w:hAnsiTheme="minorHAnsi" w:cstheme="minorHAnsi"/>
          <w:iCs/>
          <w:sz w:val="18"/>
          <w:szCs w:val="18"/>
          <w:lang w:eastAsia="en-AU"/>
        </w:rPr>
        <w:t>OECD</w:t>
      </w:r>
      <w:r w:rsidRPr="00410CED">
        <w:rPr>
          <w:rFonts w:asciiTheme="minorHAnsi" w:hAnsiTheme="minorHAnsi" w:cstheme="minorHAnsi"/>
          <w:sz w:val="18"/>
          <w:szCs w:val="18"/>
          <w:lang w:eastAsia="en-AU"/>
        </w:rPr>
        <w:t xml:space="preserve">, </w:t>
      </w:r>
      <w:r w:rsidRPr="00410CED">
        <w:rPr>
          <w:rFonts w:asciiTheme="minorHAnsi" w:hAnsiTheme="minorHAnsi" w:cstheme="minorHAnsi"/>
          <w:i/>
          <w:iCs/>
          <w:sz w:val="18"/>
          <w:szCs w:val="18"/>
          <w:lang w:eastAsia="en-AU"/>
        </w:rPr>
        <w:t>Frascati Manual</w:t>
      </w:r>
      <w:r w:rsidRPr="00410CED">
        <w:rPr>
          <w:rFonts w:asciiTheme="minorHAnsi" w:hAnsiTheme="minorHAnsi" w:cstheme="minorHAnsi"/>
          <w:sz w:val="18"/>
          <w:szCs w:val="18"/>
          <w:lang w:eastAsia="en-AU"/>
        </w:rPr>
        <w:t>, p 45.</w:t>
      </w:r>
    </w:p>
  </w:footnote>
  <w:footnote w:id="8">
    <w:p w:rsidRPr="000F3979" w:rsidR="00C50B07" w:rsidP="009D347E" w:rsidRDefault="00C50B07" w14:paraId="0FE1AEBC" w14:textId="77777777">
      <w:pPr>
        <w:pStyle w:val="FootnoteText"/>
        <w:rPr>
          <w:rFonts w:asciiTheme="minorHAnsi" w:hAnsiTheme="minorHAnsi" w:cstheme="minorHAnsi"/>
        </w:rPr>
      </w:pPr>
      <w:r w:rsidRPr="000F3979">
        <w:rPr>
          <w:rStyle w:val="FootnoteReference"/>
          <w:rFonts w:asciiTheme="minorHAnsi" w:hAnsiTheme="minorHAnsi" w:cstheme="minorHAnsi"/>
        </w:rPr>
        <w:footnoteRef/>
      </w:r>
      <w:r w:rsidRPr="000F3979">
        <w:rPr>
          <w:rFonts w:asciiTheme="minorHAnsi" w:hAnsiTheme="minorHAnsi" w:cstheme="minorHAnsi"/>
        </w:rPr>
        <w:t xml:space="preserve"> </w:t>
      </w:r>
      <w:r w:rsidRPr="00410CED">
        <w:rPr>
          <w:rFonts w:asciiTheme="minorHAnsi" w:hAnsiTheme="minorHAnsi" w:cstheme="minorHAnsi"/>
          <w:iCs/>
          <w:sz w:val="18"/>
          <w:szCs w:val="18"/>
          <w:lang w:eastAsia="en-AU"/>
        </w:rPr>
        <w:t>OECD</w:t>
      </w:r>
      <w:r w:rsidRPr="00410CED">
        <w:rPr>
          <w:rFonts w:asciiTheme="minorHAnsi" w:hAnsiTheme="minorHAnsi" w:cstheme="minorHAnsi"/>
          <w:sz w:val="18"/>
          <w:szCs w:val="18"/>
          <w:lang w:eastAsia="en-AU"/>
        </w:rPr>
        <w:t xml:space="preserve">, </w:t>
      </w:r>
      <w:r w:rsidRPr="00410CED">
        <w:rPr>
          <w:rFonts w:asciiTheme="minorHAnsi" w:hAnsiTheme="minorHAnsi" w:cstheme="minorHAnsi"/>
          <w:i/>
          <w:iCs/>
          <w:sz w:val="18"/>
          <w:szCs w:val="18"/>
          <w:lang w:eastAsia="en-AU"/>
        </w:rPr>
        <w:t>Frascati Manual</w:t>
      </w:r>
      <w:r w:rsidRPr="00410CED">
        <w:rPr>
          <w:rFonts w:asciiTheme="minorHAnsi" w:hAnsiTheme="minorHAnsi" w:cstheme="minorHAnsi"/>
          <w:sz w:val="18"/>
          <w:szCs w:val="18"/>
          <w:lang w:eastAsia="en-AU"/>
        </w:rPr>
        <w:t>, p 50.</w:t>
      </w:r>
    </w:p>
  </w:footnote>
  <w:footnote w:id="9">
    <w:p w:rsidRPr="000F3979" w:rsidR="00C50B07" w:rsidP="009D347E" w:rsidRDefault="00C50B07" w14:paraId="5FF91911" w14:textId="77777777">
      <w:pPr>
        <w:pStyle w:val="FootnoteText"/>
        <w:rPr>
          <w:rFonts w:asciiTheme="minorHAnsi" w:hAnsiTheme="minorHAnsi" w:cstheme="minorHAnsi"/>
        </w:rPr>
      </w:pPr>
      <w:r w:rsidRPr="000F3979">
        <w:rPr>
          <w:rStyle w:val="FootnoteReference"/>
          <w:rFonts w:asciiTheme="minorHAnsi" w:hAnsiTheme="minorHAnsi" w:cstheme="minorHAnsi"/>
        </w:rPr>
        <w:footnoteRef/>
      </w:r>
      <w:r w:rsidRPr="000F3979">
        <w:rPr>
          <w:rFonts w:asciiTheme="minorHAnsi" w:hAnsiTheme="minorHAnsi" w:cstheme="minorHAnsi"/>
        </w:rPr>
        <w:t xml:space="preserve"> </w:t>
      </w:r>
      <w:r w:rsidRPr="00410CED">
        <w:rPr>
          <w:rFonts w:asciiTheme="minorHAnsi" w:hAnsiTheme="minorHAnsi" w:cstheme="minorHAnsi"/>
          <w:iCs/>
          <w:sz w:val="18"/>
          <w:szCs w:val="18"/>
          <w:lang w:eastAsia="en-AU"/>
        </w:rPr>
        <w:t>OECD</w:t>
      </w:r>
      <w:r w:rsidRPr="00410CED">
        <w:rPr>
          <w:rFonts w:asciiTheme="minorHAnsi" w:hAnsiTheme="minorHAnsi" w:cstheme="minorHAnsi"/>
          <w:sz w:val="18"/>
          <w:szCs w:val="18"/>
          <w:lang w:eastAsia="en-AU"/>
        </w:rPr>
        <w:t xml:space="preserve">, </w:t>
      </w:r>
      <w:r w:rsidRPr="00410CED">
        <w:rPr>
          <w:rFonts w:asciiTheme="minorHAnsi" w:hAnsiTheme="minorHAnsi" w:cstheme="minorHAnsi"/>
          <w:i/>
          <w:iCs/>
          <w:sz w:val="18"/>
          <w:szCs w:val="18"/>
          <w:lang w:eastAsia="en-AU"/>
        </w:rPr>
        <w:t>Frascati Manual</w:t>
      </w:r>
      <w:r w:rsidRPr="00410CED">
        <w:rPr>
          <w:rFonts w:asciiTheme="minorHAnsi" w:hAnsiTheme="minorHAnsi" w:cstheme="minorHAnsi"/>
          <w:sz w:val="18"/>
          <w:szCs w:val="18"/>
          <w:lang w:eastAsia="en-AU"/>
        </w:rPr>
        <w:t>, p 51.</w:t>
      </w:r>
    </w:p>
  </w:footnote>
  <w:footnote w:id="10">
    <w:p w:rsidRPr="000F3979" w:rsidR="00C50B07" w:rsidP="009D347E" w:rsidRDefault="00C50B07" w14:paraId="724398E9" w14:textId="77777777">
      <w:pPr>
        <w:pStyle w:val="FootnoteText"/>
        <w:rPr>
          <w:rFonts w:asciiTheme="minorHAnsi" w:hAnsiTheme="minorHAnsi" w:cstheme="minorHAnsi"/>
        </w:rPr>
      </w:pPr>
      <w:r w:rsidRPr="000F3979">
        <w:rPr>
          <w:rStyle w:val="FootnoteReference"/>
          <w:rFonts w:asciiTheme="minorHAnsi" w:hAnsiTheme="minorHAnsi" w:cstheme="minorHAnsi"/>
        </w:rPr>
        <w:footnoteRef/>
      </w:r>
      <w:r w:rsidRPr="000F3979">
        <w:rPr>
          <w:rFonts w:asciiTheme="minorHAnsi" w:hAnsiTheme="minorHAnsi" w:cstheme="minorHAnsi"/>
        </w:rPr>
        <w:t xml:space="preserve"> </w:t>
      </w:r>
      <w:bookmarkStart w:name="_Hlk92375323" w:id="80"/>
      <w:r w:rsidRPr="00410CED">
        <w:rPr>
          <w:rFonts w:asciiTheme="minorHAnsi" w:hAnsiTheme="minorHAnsi" w:cstheme="minorHAnsi"/>
          <w:iCs/>
          <w:sz w:val="18"/>
          <w:szCs w:val="18"/>
          <w:lang w:eastAsia="en-AU"/>
        </w:rPr>
        <w:t>OECD</w:t>
      </w:r>
      <w:r w:rsidRPr="00410CED">
        <w:rPr>
          <w:rFonts w:asciiTheme="minorHAnsi" w:hAnsiTheme="minorHAnsi" w:cstheme="minorHAnsi"/>
          <w:sz w:val="18"/>
          <w:szCs w:val="18"/>
          <w:lang w:eastAsia="en-AU"/>
        </w:rPr>
        <w:t xml:space="preserve">, </w:t>
      </w:r>
      <w:r w:rsidRPr="00410CED">
        <w:rPr>
          <w:rFonts w:asciiTheme="minorHAnsi" w:hAnsiTheme="minorHAnsi" w:cstheme="minorHAnsi"/>
          <w:i/>
          <w:iCs/>
          <w:sz w:val="18"/>
          <w:szCs w:val="18"/>
          <w:lang w:eastAsia="en-AU"/>
        </w:rPr>
        <w:t>Frascati Manual</w:t>
      </w:r>
      <w:r w:rsidRPr="00410CED">
        <w:rPr>
          <w:rFonts w:asciiTheme="minorHAnsi" w:hAnsiTheme="minorHAnsi" w:cstheme="minorHAnsi"/>
          <w:sz w:val="18"/>
          <w:szCs w:val="18"/>
          <w:lang w:eastAsia="en-AU"/>
        </w:rPr>
        <w:t>, p 51</w:t>
      </w:r>
      <w:bookmarkEnd w:id="80"/>
      <w:r w:rsidRPr="00410CED">
        <w:rPr>
          <w:rFonts w:asciiTheme="minorHAnsi" w:hAnsiTheme="minorHAnsi" w:cstheme="minorHAnsi"/>
          <w:sz w:val="18"/>
          <w:szCs w:val="18"/>
          <w:lang w:eastAsia="en-AU"/>
        </w:rPr>
        <w:t>.</w:t>
      </w:r>
    </w:p>
  </w:footnote>
  <w:footnote w:id="11">
    <w:p w:rsidR="00C50B07" w:rsidP="009D347E" w:rsidRDefault="00C50B07" w14:paraId="264E0687" w14:textId="77777777">
      <w:pPr>
        <w:pStyle w:val="FootnoteText"/>
      </w:pPr>
      <w:r w:rsidRPr="000F3979">
        <w:rPr>
          <w:rStyle w:val="FootnoteReference"/>
          <w:rFonts w:asciiTheme="minorHAnsi" w:hAnsiTheme="minorHAnsi" w:cstheme="minorHAnsi"/>
        </w:rPr>
        <w:footnoteRef/>
      </w:r>
      <w:r w:rsidRPr="000F3979">
        <w:rPr>
          <w:rFonts w:asciiTheme="minorHAnsi" w:hAnsiTheme="minorHAnsi" w:cstheme="minorHAnsi"/>
        </w:rPr>
        <w:t xml:space="preserve"> </w:t>
      </w:r>
      <w:r w:rsidRPr="00410CED">
        <w:rPr>
          <w:rFonts w:asciiTheme="minorHAnsi" w:hAnsiTheme="minorHAnsi" w:cstheme="minorHAnsi"/>
          <w:iCs/>
          <w:sz w:val="18"/>
          <w:szCs w:val="18"/>
          <w:lang w:eastAsia="en-AU"/>
        </w:rPr>
        <w:t>OECD</w:t>
      </w:r>
      <w:r w:rsidRPr="00410CED">
        <w:rPr>
          <w:rFonts w:asciiTheme="minorHAnsi" w:hAnsiTheme="minorHAnsi" w:cstheme="minorHAnsi"/>
          <w:sz w:val="18"/>
          <w:szCs w:val="18"/>
          <w:lang w:eastAsia="en-AU"/>
        </w:rPr>
        <w:t xml:space="preserve">, </w:t>
      </w:r>
      <w:r w:rsidRPr="00410CED">
        <w:rPr>
          <w:rFonts w:asciiTheme="minorHAnsi" w:hAnsiTheme="minorHAnsi" w:cstheme="minorHAnsi"/>
          <w:i/>
          <w:iCs/>
          <w:sz w:val="18"/>
          <w:szCs w:val="18"/>
          <w:lang w:eastAsia="en-AU"/>
        </w:rPr>
        <w:t>Frascati Manual</w:t>
      </w:r>
      <w:r w:rsidRPr="00410CED">
        <w:rPr>
          <w:rFonts w:asciiTheme="minorHAnsi" w:hAnsiTheme="minorHAnsi" w:cstheme="minorHAnsi"/>
          <w:sz w:val="18"/>
          <w:szCs w:val="18"/>
          <w:lang w:eastAsia="en-AU"/>
        </w:rPr>
        <w:t>, p 51.</w:t>
      </w:r>
    </w:p>
  </w:footnote>
  <w:footnote w:id="12">
    <w:p w:rsidRPr="000F3979" w:rsidR="00C50B07" w:rsidP="009D347E" w:rsidRDefault="00C50B07" w14:paraId="1A5D2177" w14:textId="77777777">
      <w:pPr>
        <w:pStyle w:val="FootnoteText"/>
        <w:rPr>
          <w:rFonts w:asciiTheme="minorHAnsi" w:hAnsiTheme="minorHAnsi" w:cstheme="minorHAnsi"/>
        </w:rPr>
      </w:pPr>
      <w:r w:rsidRPr="000F3979">
        <w:rPr>
          <w:rStyle w:val="FootnoteReference"/>
          <w:rFonts w:asciiTheme="minorHAnsi" w:hAnsiTheme="minorHAnsi" w:eastAsiaTheme="majorEastAsia" w:cstheme="minorHAnsi"/>
        </w:rPr>
        <w:footnoteRef/>
      </w:r>
      <w:r w:rsidRPr="000F3979">
        <w:rPr>
          <w:rFonts w:asciiTheme="minorHAnsi" w:hAnsiTheme="minorHAnsi" w:cstheme="minorHAnsi"/>
        </w:rPr>
        <w:t xml:space="preserve"> </w:t>
      </w:r>
      <w:r w:rsidRPr="000F3979">
        <w:rPr>
          <w:rFonts w:asciiTheme="minorHAnsi" w:hAnsiTheme="minorHAnsi" w:cstheme="minorHAnsi"/>
          <w:sz w:val="18"/>
          <w:szCs w:val="18"/>
        </w:rPr>
        <w:t xml:space="preserve">HDR training is training undertaken by students to achieve a research doctorate or research </w:t>
      </w:r>
      <w:proofErr w:type="spellStart"/>
      <w:proofErr w:type="gramStart"/>
      <w:r w:rsidRPr="000F3979">
        <w:rPr>
          <w:rFonts w:asciiTheme="minorHAnsi" w:hAnsiTheme="minorHAnsi" w:cstheme="minorHAnsi"/>
          <w:sz w:val="18"/>
          <w:szCs w:val="18"/>
        </w:rPr>
        <w:t>masters</w:t>
      </w:r>
      <w:proofErr w:type="spellEnd"/>
      <w:proofErr w:type="gramEnd"/>
      <w:r w:rsidRPr="000F3979">
        <w:rPr>
          <w:rFonts w:asciiTheme="minorHAnsi" w:hAnsiTheme="minorHAnsi" w:cstheme="minorHAnsi"/>
          <w:sz w:val="18"/>
          <w:szCs w:val="18"/>
        </w:rPr>
        <w:t xml:space="preserve"> degree. A research doctorate means a Level 10 Doctoral Degree (Research) qualification as described in the Australian Qualifications Framework (AQF)</w:t>
      </w:r>
      <w:r>
        <w:rPr>
          <w:rFonts w:asciiTheme="minorHAnsi" w:hAnsiTheme="minorHAnsi" w:cstheme="minorHAnsi"/>
          <w:sz w:val="18"/>
          <w:szCs w:val="18"/>
        </w:rPr>
        <w:t xml:space="preserve"> </w:t>
      </w:r>
      <w:r w:rsidRPr="000F3979">
        <w:rPr>
          <w:rFonts w:asciiTheme="minorHAnsi" w:hAnsiTheme="minorHAnsi" w:cstheme="minorHAnsi"/>
          <w:sz w:val="18"/>
          <w:szCs w:val="18"/>
        </w:rPr>
        <w:t xml:space="preserve">and a research masters means a Level 9 </w:t>
      </w:r>
      <w:proofErr w:type="spellStart"/>
      <w:proofErr w:type="gramStart"/>
      <w:r w:rsidRPr="000F3979">
        <w:rPr>
          <w:rFonts w:asciiTheme="minorHAnsi" w:hAnsiTheme="minorHAnsi" w:cstheme="minorHAnsi"/>
          <w:sz w:val="18"/>
          <w:szCs w:val="18"/>
        </w:rPr>
        <w:t>Masters</w:t>
      </w:r>
      <w:proofErr w:type="spellEnd"/>
      <w:r w:rsidRPr="000F3979">
        <w:rPr>
          <w:rFonts w:asciiTheme="minorHAnsi" w:hAnsiTheme="minorHAnsi" w:cstheme="minorHAnsi"/>
          <w:sz w:val="18"/>
          <w:szCs w:val="18"/>
        </w:rPr>
        <w:t xml:space="preserve"> Degree</w:t>
      </w:r>
      <w:proofErr w:type="gramEnd"/>
      <w:r w:rsidRPr="000F3979">
        <w:rPr>
          <w:rFonts w:asciiTheme="minorHAnsi" w:hAnsiTheme="minorHAnsi" w:cstheme="minorHAnsi"/>
          <w:sz w:val="18"/>
          <w:szCs w:val="18"/>
        </w:rPr>
        <w:t xml:space="preserve"> (Research) qualification as described in the AQF. Professional doctorates may be included but only where at least two-thirds of the qualification is research.</w:t>
      </w:r>
    </w:p>
  </w:footnote>
  <w:footnote w:id="13">
    <w:p w:rsidRPr="000F3979" w:rsidR="00C50B07" w:rsidP="009D347E" w:rsidRDefault="00C50B07" w14:paraId="01D9A375" w14:textId="77777777">
      <w:pPr>
        <w:autoSpaceDE w:val="0"/>
        <w:autoSpaceDN w:val="0"/>
        <w:adjustRightInd w:val="0"/>
        <w:spacing w:after="0" w:line="240" w:lineRule="auto"/>
        <w:rPr>
          <w:rFonts w:cstheme="minorHAnsi"/>
        </w:rPr>
      </w:pPr>
      <w:r w:rsidRPr="0031498C">
        <w:rPr>
          <w:rStyle w:val="FootnoteReference"/>
          <w:rFonts w:asciiTheme="minorHAnsi" w:hAnsiTheme="minorHAnsi" w:eastAsiaTheme="majorEastAsia" w:cstheme="minorHAnsi"/>
          <w:sz w:val="20"/>
          <w:szCs w:val="20"/>
        </w:rPr>
        <w:footnoteRef/>
      </w:r>
      <w:r w:rsidRPr="000F3979">
        <w:rPr>
          <w:rFonts w:cstheme="minorHAnsi"/>
        </w:rPr>
        <w:t xml:space="preserve"> </w:t>
      </w:r>
      <w:r w:rsidRPr="00410CED">
        <w:rPr>
          <w:rFonts w:cstheme="minorHAnsi"/>
          <w:iCs/>
          <w:sz w:val="18"/>
          <w:szCs w:val="18"/>
          <w:lang w:eastAsia="en-AU"/>
        </w:rPr>
        <w:t>OECD</w:t>
      </w:r>
      <w:r w:rsidRPr="00410CED">
        <w:rPr>
          <w:rFonts w:cstheme="minorHAnsi"/>
          <w:sz w:val="18"/>
          <w:szCs w:val="18"/>
          <w:lang w:eastAsia="en-AU"/>
        </w:rPr>
        <w:t xml:space="preserve">, </w:t>
      </w:r>
      <w:r w:rsidRPr="00410CED">
        <w:rPr>
          <w:rFonts w:cstheme="minorHAnsi"/>
          <w:i/>
          <w:iCs/>
          <w:sz w:val="18"/>
          <w:szCs w:val="18"/>
          <w:lang w:eastAsia="en-AU"/>
        </w:rPr>
        <w:t>Frascati Manual</w:t>
      </w:r>
      <w:r w:rsidRPr="00410CED">
        <w:rPr>
          <w:rFonts w:cstheme="minorHAnsi"/>
          <w:sz w:val="18"/>
          <w:szCs w:val="18"/>
          <w:lang w:eastAsia="en-AU"/>
        </w:rPr>
        <w:t xml:space="preserve">, </w:t>
      </w:r>
      <w:r w:rsidRPr="000F3979">
        <w:rPr>
          <w:rFonts w:cstheme="minorHAnsi"/>
          <w:sz w:val="18"/>
          <w:szCs w:val="18"/>
          <w:lang w:eastAsia="en-AU"/>
        </w:rPr>
        <w:t>pp 53-54</w:t>
      </w:r>
      <w:r>
        <w:rPr>
          <w:rFonts w:cstheme="minorHAnsi"/>
          <w:sz w:val="18"/>
          <w:szCs w:val="18"/>
          <w:lang w:eastAsia="en-AU"/>
        </w:rPr>
        <w:t>.</w:t>
      </w:r>
    </w:p>
  </w:footnote>
  <w:footnote w:id="14">
    <w:p w:rsidRPr="00410CED" w:rsidR="00C50B07" w:rsidP="009D347E" w:rsidRDefault="00C50B07" w14:paraId="15606F16" w14:textId="77777777">
      <w:pPr>
        <w:pStyle w:val="FootnoteText"/>
      </w:pPr>
      <w:r w:rsidRPr="000F3979">
        <w:rPr>
          <w:rStyle w:val="FootnoteReference"/>
          <w:rFonts w:asciiTheme="minorHAnsi" w:hAnsiTheme="minorHAnsi" w:eastAsiaTheme="majorEastAsia" w:cstheme="minorHAnsi"/>
        </w:rPr>
        <w:footnoteRef/>
      </w:r>
      <w:r w:rsidRPr="0031498C">
        <w:rPr>
          <w:rStyle w:val="FootnoteReference"/>
          <w:rFonts w:asciiTheme="minorHAnsi" w:hAnsiTheme="minorHAnsi" w:eastAsiaTheme="majorEastAsia" w:cstheme="minorHAnsi"/>
        </w:rPr>
        <w:t xml:space="preserve"> </w:t>
      </w:r>
      <w:r w:rsidRPr="00410CED">
        <w:rPr>
          <w:rFonts w:asciiTheme="minorHAnsi" w:hAnsiTheme="minorHAnsi" w:cstheme="minorHAnsi"/>
          <w:iCs/>
          <w:sz w:val="18"/>
          <w:szCs w:val="18"/>
          <w:lang w:eastAsia="en-AU"/>
        </w:rPr>
        <w:t>OECD</w:t>
      </w:r>
      <w:r w:rsidRPr="00410CED">
        <w:rPr>
          <w:rFonts w:asciiTheme="minorHAnsi" w:hAnsiTheme="minorHAnsi" w:cstheme="minorHAnsi"/>
          <w:sz w:val="18"/>
          <w:szCs w:val="18"/>
          <w:lang w:eastAsia="en-AU"/>
        </w:rPr>
        <w:t xml:space="preserve">, </w:t>
      </w:r>
      <w:r w:rsidRPr="00410CED">
        <w:rPr>
          <w:rFonts w:asciiTheme="minorHAnsi" w:hAnsiTheme="minorHAnsi" w:cstheme="minorHAnsi"/>
          <w:i/>
          <w:iCs/>
          <w:sz w:val="18"/>
          <w:szCs w:val="18"/>
          <w:lang w:eastAsia="en-AU"/>
        </w:rPr>
        <w:t>Frascati Manual</w:t>
      </w:r>
      <w:r w:rsidRPr="00410CED">
        <w:rPr>
          <w:rFonts w:asciiTheme="minorHAnsi" w:hAnsiTheme="minorHAnsi" w:cstheme="minorHAnsi"/>
          <w:sz w:val="18"/>
          <w:szCs w:val="18"/>
          <w:lang w:eastAsia="en-AU"/>
        </w:rPr>
        <w:t xml:space="preserve">, </w:t>
      </w:r>
      <w:r w:rsidRPr="000F3979">
        <w:rPr>
          <w:rFonts w:asciiTheme="minorHAnsi" w:hAnsiTheme="minorHAnsi" w:cstheme="minorHAnsi"/>
          <w:sz w:val="18"/>
          <w:szCs w:val="18"/>
          <w:lang w:eastAsia="en-AU"/>
        </w:rPr>
        <w:t>p 52.</w:t>
      </w:r>
    </w:p>
  </w:footnote>
  <w:footnote w:id="15">
    <w:p w:rsidRPr="0031498C" w:rsidR="00C50B07" w:rsidP="009D347E" w:rsidRDefault="00C50B07" w14:paraId="2F925F96" w14:textId="77777777">
      <w:pPr>
        <w:pStyle w:val="FootnoteText"/>
        <w:rPr>
          <w:rFonts w:asciiTheme="minorHAnsi" w:hAnsiTheme="minorHAnsi" w:cstheme="minorHAnsi"/>
        </w:rPr>
      </w:pPr>
      <w:r w:rsidRPr="0031498C">
        <w:rPr>
          <w:rStyle w:val="FootnoteReference"/>
          <w:rFonts w:asciiTheme="minorHAnsi" w:hAnsiTheme="minorHAnsi" w:eastAsiaTheme="majorEastAsia" w:cstheme="minorHAnsi"/>
        </w:rPr>
        <w:footnoteRef/>
      </w:r>
      <w:r w:rsidRPr="00920A19">
        <w:t xml:space="preserve"> </w:t>
      </w:r>
      <w:r w:rsidRPr="0031498C">
        <w:rPr>
          <w:rFonts w:asciiTheme="minorHAnsi" w:hAnsiTheme="minorHAnsi" w:cstheme="minorHAnsi"/>
          <w:sz w:val="18"/>
          <w:szCs w:val="18"/>
        </w:rPr>
        <w:t>Capital grants are those grants provided to a HEP to purchase an asset of a durable nature, even if the asset is for the purpose of conducting R&amp;D. Capital grants include grants for the construction and/or upgrade or refurbishment of buildings, centres or facilities, as well as purchase of properties or land. Capital grants are distinct from grants for R&amp;D infrastructure. Grants for R&amp;D infrastructure are considered to include grants for specific and specialised equipment which are used in the conduct of R&amp;D.</w:t>
      </w:r>
    </w:p>
  </w:footnote>
  <w:footnote w:id="16">
    <w:p w:rsidR="007F09BA" w:rsidRDefault="007F09BA" w14:paraId="1F071E56" w14:textId="64438C12">
      <w:pPr>
        <w:pStyle w:val="FootnoteText"/>
      </w:pPr>
      <w:r>
        <w:rPr>
          <w:rStyle w:val="FootnoteReference"/>
        </w:rPr>
        <w:footnoteRef/>
      </w:r>
      <w:r>
        <w:t xml:space="preserve"> </w:t>
      </w:r>
      <w:r w:rsidRPr="002672AC" w:rsidR="002672AC">
        <w:rPr>
          <w:rFonts w:asciiTheme="minorHAnsi" w:hAnsiTheme="minorHAnsi" w:cstheme="minorHAnsi"/>
          <w:sz w:val="18"/>
          <w:szCs w:val="18"/>
        </w:rPr>
        <w:t>S</w:t>
      </w:r>
      <w:r w:rsidRPr="002672AC">
        <w:rPr>
          <w:rFonts w:asciiTheme="minorHAnsi" w:hAnsiTheme="minorHAnsi" w:cstheme="minorHAnsi"/>
          <w:sz w:val="18"/>
          <w:szCs w:val="18"/>
        </w:rPr>
        <w:t xml:space="preserve">ection </w:t>
      </w:r>
      <w:r>
        <w:rPr>
          <w:rFonts w:asciiTheme="minorHAnsi" w:hAnsiTheme="minorHAnsi" w:cstheme="minorHAnsi"/>
          <w:sz w:val="18"/>
          <w:szCs w:val="18"/>
        </w:rPr>
        <w:t>4</w:t>
      </w:r>
      <w:r w:rsidRPr="002672AC">
        <w:rPr>
          <w:rFonts w:asciiTheme="minorHAnsi" w:hAnsiTheme="minorHAnsi" w:cstheme="minorHAnsi"/>
          <w:sz w:val="18"/>
          <w:szCs w:val="18"/>
        </w:rPr>
        <w:t xml:space="preserve"> of the </w:t>
      </w:r>
      <w:hyperlink w:history="1" r:id="rId1">
        <w:r>
          <w:rPr>
            <w:rStyle w:val="Hyperlink"/>
            <w:rFonts w:asciiTheme="minorHAnsi" w:hAnsiTheme="minorHAnsi" w:cstheme="minorHAnsi"/>
            <w:sz w:val="18"/>
            <w:szCs w:val="18"/>
          </w:rPr>
          <w:t>CSG</w:t>
        </w:r>
      </w:hyperlink>
      <w:r w:rsidRPr="002672AC">
        <w:rPr>
          <w:rFonts w:asciiTheme="minorHAnsi" w:hAnsiTheme="minorHAnsi" w:cstheme="minorHAns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0B07" w:rsidRDefault="00C50B07" w14:paraId="3AED06A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37FB9" w:rsidR="00C50B07" w:rsidRDefault="00C50B07" w14:paraId="4608946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0B07" w:rsidRDefault="00C50B07" w14:paraId="5305A007"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0B07" w:rsidRDefault="00C50B07" w14:paraId="3549D59D"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B7B35" w:rsidR="00C50B07" w:rsidRDefault="00C50B07" w14:paraId="1D919195"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0B07" w:rsidRDefault="00C50B07" w14:paraId="576B347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394291E"/>
    <w:lvl w:ilvl="0">
      <w:start w:val="1"/>
      <w:numFmt w:val="bullet"/>
      <w:lvlText w:val=""/>
      <w:lvlJc w:val="left"/>
      <w:pPr>
        <w:tabs>
          <w:tab w:val="num" w:pos="360"/>
        </w:tabs>
        <w:ind w:left="360" w:hanging="360"/>
      </w:pPr>
      <w:rPr>
        <w:rFonts w:hint="default" w:ascii="Symbol" w:hAnsi="Symbol"/>
      </w:rPr>
    </w:lvl>
  </w:abstractNum>
  <w:abstractNum w:abstractNumId="1"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hint="default" w:ascii="Calibri" w:hAnsi="Calibri" w:cs="Times New Roman"/>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hint="default" w:ascii="Wingdings" w:hAnsi="Wingdings"/>
      </w:rPr>
    </w:lvl>
    <w:lvl w:ilvl="1" w:tplc="0C090003" w:tentative="1">
      <w:start w:val="1"/>
      <w:numFmt w:val="bullet"/>
      <w:lvlText w:val="o"/>
      <w:lvlJc w:val="left"/>
      <w:pPr>
        <w:ind w:left="2574" w:hanging="360"/>
      </w:pPr>
      <w:rPr>
        <w:rFonts w:hint="default" w:ascii="Courier New" w:hAnsi="Courier New" w:cs="Courier New"/>
      </w:rPr>
    </w:lvl>
    <w:lvl w:ilvl="2" w:tplc="0C090005" w:tentative="1">
      <w:start w:val="1"/>
      <w:numFmt w:val="bullet"/>
      <w:lvlText w:val=""/>
      <w:lvlJc w:val="left"/>
      <w:pPr>
        <w:ind w:left="3294" w:hanging="360"/>
      </w:pPr>
      <w:rPr>
        <w:rFonts w:hint="default" w:ascii="Wingdings" w:hAnsi="Wingdings"/>
      </w:rPr>
    </w:lvl>
    <w:lvl w:ilvl="3" w:tplc="0C090001" w:tentative="1">
      <w:start w:val="1"/>
      <w:numFmt w:val="bullet"/>
      <w:lvlText w:val=""/>
      <w:lvlJc w:val="left"/>
      <w:pPr>
        <w:ind w:left="4014" w:hanging="360"/>
      </w:pPr>
      <w:rPr>
        <w:rFonts w:hint="default" w:ascii="Symbol" w:hAnsi="Symbol"/>
      </w:rPr>
    </w:lvl>
    <w:lvl w:ilvl="4" w:tplc="0C090003" w:tentative="1">
      <w:start w:val="1"/>
      <w:numFmt w:val="bullet"/>
      <w:lvlText w:val="o"/>
      <w:lvlJc w:val="left"/>
      <w:pPr>
        <w:ind w:left="4734" w:hanging="360"/>
      </w:pPr>
      <w:rPr>
        <w:rFonts w:hint="default" w:ascii="Courier New" w:hAnsi="Courier New" w:cs="Courier New"/>
      </w:rPr>
    </w:lvl>
    <w:lvl w:ilvl="5" w:tplc="0C090005" w:tentative="1">
      <w:start w:val="1"/>
      <w:numFmt w:val="bullet"/>
      <w:lvlText w:val=""/>
      <w:lvlJc w:val="left"/>
      <w:pPr>
        <w:ind w:left="5454" w:hanging="360"/>
      </w:pPr>
      <w:rPr>
        <w:rFonts w:hint="default" w:ascii="Wingdings" w:hAnsi="Wingdings"/>
      </w:rPr>
    </w:lvl>
    <w:lvl w:ilvl="6" w:tplc="0C090001" w:tentative="1">
      <w:start w:val="1"/>
      <w:numFmt w:val="bullet"/>
      <w:lvlText w:val=""/>
      <w:lvlJc w:val="left"/>
      <w:pPr>
        <w:ind w:left="6174" w:hanging="360"/>
      </w:pPr>
      <w:rPr>
        <w:rFonts w:hint="default" w:ascii="Symbol" w:hAnsi="Symbol"/>
      </w:rPr>
    </w:lvl>
    <w:lvl w:ilvl="7" w:tplc="0C090003" w:tentative="1">
      <w:start w:val="1"/>
      <w:numFmt w:val="bullet"/>
      <w:lvlText w:val="o"/>
      <w:lvlJc w:val="left"/>
      <w:pPr>
        <w:ind w:left="6894" w:hanging="360"/>
      </w:pPr>
      <w:rPr>
        <w:rFonts w:hint="default" w:ascii="Courier New" w:hAnsi="Courier New" w:cs="Courier New"/>
      </w:rPr>
    </w:lvl>
    <w:lvl w:ilvl="8" w:tplc="0C090005" w:tentative="1">
      <w:start w:val="1"/>
      <w:numFmt w:val="bullet"/>
      <w:lvlText w:val=""/>
      <w:lvlJc w:val="left"/>
      <w:pPr>
        <w:ind w:left="7614" w:hanging="360"/>
      </w:pPr>
      <w:rPr>
        <w:rFonts w:hint="default" w:ascii="Wingdings" w:hAnsi="Wingdings"/>
      </w:rPr>
    </w:lvl>
  </w:abstractNum>
  <w:abstractNum w:abstractNumId="3" w15:restartNumberingAfterBreak="0">
    <w:nsid w:val="127F5884"/>
    <w:multiLevelType w:val="hybridMultilevel"/>
    <w:tmpl w:val="FF6434BE"/>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hint="default" w:ascii="Calibri" w:hAnsi="Calibri" w:cs="Times New Roman"/>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5" w15:restartNumberingAfterBreak="0">
    <w:nsid w:val="18FF1AB7"/>
    <w:multiLevelType w:val="multilevel"/>
    <w:tmpl w:val="46A81520"/>
    <w:name w:val="EDU - Bullet List"/>
    <w:lvl w:ilvl="0">
      <w:start w:val="1"/>
      <w:numFmt w:val="bullet"/>
      <w:pStyle w:val="ListBullet"/>
      <w:lvlText w:val=""/>
      <w:lvlJc w:val="left"/>
      <w:pPr>
        <w:ind w:left="9448" w:hanging="360"/>
      </w:pPr>
      <w:rPr>
        <w:rFonts w:hint="default" w:ascii="Symbol" w:hAnsi="Symbol"/>
      </w:rPr>
    </w:lvl>
    <w:lvl w:ilvl="1">
      <w:start w:val="1"/>
      <w:numFmt w:val="none"/>
      <w:pStyle w:val="ListBullet2"/>
      <w:lvlText w:val="%2–"/>
      <w:lvlJc w:val="left"/>
      <w:pPr>
        <w:ind w:left="9372" w:firstLine="283"/>
      </w:pPr>
      <w:rPr>
        <w:rFonts w:hint="default"/>
      </w:rPr>
    </w:lvl>
    <w:lvl w:ilvl="2">
      <w:start w:val="1"/>
      <w:numFmt w:val="none"/>
      <w:lvlText w:val="%3o"/>
      <w:lvlJc w:val="right"/>
      <w:pPr>
        <w:ind w:left="9655" w:firstLine="284"/>
      </w:pPr>
      <w:rPr>
        <w:rFonts w:hint="default"/>
      </w:rPr>
    </w:lvl>
    <w:lvl w:ilvl="3">
      <w:start w:val="1"/>
      <w:numFmt w:val="none"/>
      <w:lvlText w:val="%4"/>
      <w:lvlJc w:val="left"/>
      <w:pPr>
        <w:ind w:left="9939" w:firstLine="283"/>
      </w:pPr>
      <w:rPr>
        <w:rFonts w:hint="default"/>
      </w:rPr>
    </w:lvl>
    <w:lvl w:ilvl="4">
      <w:start w:val="1"/>
      <w:numFmt w:val="lowerLetter"/>
      <w:lvlText w:val="%5."/>
      <w:lvlJc w:val="left"/>
      <w:pPr>
        <w:ind w:left="12688" w:hanging="360"/>
      </w:pPr>
      <w:rPr>
        <w:rFonts w:hint="default"/>
      </w:rPr>
    </w:lvl>
    <w:lvl w:ilvl="5">
      <w:start w:val="1"/>
      <w:numFmt w:val="lowerRoman"/>
      <w:lvlText w:val="%6."/>
      <w:lvlJc w:val="right"/>
      <w:pPr>
        <w:ind w:left="13408" w:hanging="180"/>
      </w:pPr>
      <w:rPr>
        <w:rFonts w:hint="default"/>
      </w:rPr>
    </w:lvl>
    <w:lvl w:ilvl="6">
      <w:start w:val="1"/>
      <w:numFmt w:val="decimal"/>
      <w:lvlText w:val="%7."/>
      <w:lvlJc w:val="left"/>
      <w:pPr>
        <w:ind w:left="14128" w:hanging="360"/>
      </w:pPr>
      <w:rPr>
        <w:rFonts w:hint="default"/>
      </w:rPr>
    </w:lvl>
    <w:lvl w:ilvl="7">
      <w:start w:val="1"/>
      <w:numFmt w:val="lowerLetter"/>
      <w:lvlText w:val="%8."/>
      <w:lvlJc w:val="left"/>
      <w:pPr>
        <w:ind w:left="14848" w:hanging="360"/>
      </w:pPr>
      <w:rPr>
        <w:rFonts w:hint="default"/>
      </w:rPr>
    </w:lvl>
    <w:lvl w:ilvl="8">
      <w:start w:val="1"/>
      <w:numFmt w:val="lowerRoman"/>
      <w:lvlText w:val="%9."/>
      <w:lvlJc w:val="right"/>
      <w:pPr>
        <w:ind w:left="15568" w:hanging="180"/>
      </w:pPr>
      <w:rPr>
        <w:rFonts w:hint="default"/>
      </w:rPr>
    </w:lvl>
  </w:abstractNum>
  <w:abstractNum w:abstractNumId="6" w15:restartNumberingAfterBreak="0">
    <w:nsid w:val="21416382"/>
    <w:multiLevelType w:val="hybridMultilevel"/>
    <w:tmpl w:val="F83A4C3C"/>
    <w:lvl w:ilvl="0" w:tplc="24AC5854">
      <w:start w:val="1"/>
      <w:numFmt w:val="decimal"/>
      <w:lvlText w:val="Table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E646829"/>
    <w:multiLevelType w:val="multilevel"/>
    <w:tmpl w:val="74B00926"/>
    <w:name w:val="EDU - List Number"/>
    <w:lvl w:ilvl="0">
      <w:start w:val="1"/>
      <w:numFmt w:val="decimal"/>
      <w:pStyle w:val="ListNumber"/>
      <w:lvlText w:val="%1."/>
      <w:lvlJc w:val="left"/>
      <w:pPr>
        <w:ind w:left="794" w:hanging="397"/>
      </w:pPr>
      <w:rPr>
        <w:rFonts w:hint="default"/>
      </w:rPr>
    </w:lvl>
    <w:lvl w:ilvl="1">
      <w:start w:val="1"/>
      <w:numFmt w:val="decimal"/>
      <w:pStyle w:val="ListNumber2"/>
      <w:lvlText w:val="%1.%2"/>
      <w:lvlJc w:val="left"/>
      <w:pPr>
        <w:ind w:left="1361" w:hanging="567"/>
      </w:pPr>
      <w:rPr>
        <w:rFonts w:hint="default"/>
      </w:rPr>
    </w:lvl>
    <w:lvl w:ilvl="2">
      <w:start w:val="1"/>
      <w:numFmt w:val="decimal"/>
      <w:pStyle w:val="ListNumber3"/>
      <w:lvlText w:val="%1.%2.%3."/>
      <w:lvlJc w:val="left"/>
      <w:pPr>
        <w:ind w:left="2211" w:hanging="850"/>
      </w:pPr>
      <w:rPr>
        <w:rFonts w:hint="default"/>
      </w:rPr>
    </w:lvl>
    <w:lvl w:ilvl="3">
      <w:start w:val="1"/>
      <w:numFmt w:val="decimal"/>
      <w:pStyle w:val="ListNumber4"/>
      <w:lvlText w:val="%1.%2.%3.%4."/>
      <w:lvlJc w:val="left"/>
      <w:pPr>
        <w:ind w:left="3289" w:hanging="1078"/>
      </w:pPr>
      <w:rPr>
        <w:rFonts w:hint="default"/>
      </w:rPr>
    </w:lvl>
    <w:lvl w:ilvl="4">
      <w:start w:val="1"/>
      <w:numFmt w:val="lowerLetter"/>
      <w:lvlText w:val="(%5)"/>
      <w:lvlJc w:val="left"/>
      <w:pPr>
        <w:ind w:left="2197" w:hanging="360"/>
      </w:pPr>
      <w:rPr>
        <w:rFonts w:hint="default"/>
      </w:rPr>
    </w:lvl>
    <w:lvl w:ilvl="5">
      <w:start w:val="1"/>
      <w:numFmt w:val="lowerRoman"/>
      <w:lvlText w:val="(%6)"/>
      <w:lvlJc w:val="left"/>
      <w:pPr>
        <w:ind w:left="2557" w:hanging="360"/>
      </w:pPr>
      <w:rPr>
        <w:rFonts w:hint="default"/>
      </w:rPr>
    </w:lvl>
    <w:lvl w:ilvl="6">
      <w:start w:val="1"/>
      <w:numFmt w:val="decimal"/>
      <w:lvlText w:val="%7."/>
      <w:lvlJc w:val="left"/>
      <w:pPr>
        <w:ind w:left="2917" w:hanging="360"/>
      </w:pPr>
      <w:rPr>
        <w:rFonts w:hint="default"/>
      </w:rPr>
    </w:lvl>
    <w:lvl w:ilvl="7">
      <w:start w:val="1"/>
      <w:numFmt w:val="lowerLetter"/>
      <w:lvlText w:val="%8."/>
      <w:lvlJc w:val="left"/>
      <w:pPr>
        <w:ind w:left="3277" w:hanging="360"/>
      </w:pPr>
      <w:rPr>
        <w:rFonts w:hint="default"/>
      </w:rPr>
    </w:lvl>
    <w:lvl w:ilvl="8">
      <w:start w:val="1"/>
      <w:numFmt w:val="lowerRoman"/>
      <w:lvlText w:val="%9."/>
      <w:lvlJc w:val="left"/>
      <w:pPr>
        <w:ind w:left="3637" w:hanging="360"/>
      </w:pPr>
      <w:rPr>
        <w:rFonts w:hint="default"/>
      </w:rPr>
    </w:lvl>
  </w:abstractNum>
  <w:abstractNum w:abstractNumId="8"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hint="default" w:ascii="Calibri" w:hAnsi="Calibri" w:cs="Times New Roman"/>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1DC1D39"/>
    <w:multiLevelType w:val="hybridMultilevel"/>
    <w:tmpl w:val="979CC28E"/>
    <w:lvl w:ilvl="0" w:tplc="67A0FFF8">
      <w:start w:val="1"/>
      <w:numFmt w:val="decimal"/>
      <w:lvlText w:val="Figure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2B5242A"/>
    <w:multiLevelType w:val="hybridMultilevel"/>
    <w:tmpl w:val="F47849EE"/>
    <w:lvl w:ilvl="0" w:tplc="0E46FE46">
      <w:start w:val="1"/>
      <w:numFmt w:val="decimal"/>
      <w:pStyle w:val="ECPoint"/>
      <w:lvlText w:val="%1."/>
      <w:lvlJc w:val="left"/>
      <w:pPr>
        <w:ind w:left="-207" w:hanging="360"/>
      </w:pPr>
      <w:rPr>
        <w:rFonts w:cs="Times New Roman"/>
        <w:b w:val="0"/>
        <w:bCs/>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4CE6A342">
      <w:start w:val="1"/>
      <w:numFmt w:val="lowerLetter"/>
      <w:lvlText w:val="%2."/>
      <w:lvlJc w:val="left"/>
      <w:pPr>
        <w:ind w:left="513" w:hanging="360"/>
      </w:pPr>
    </w:lvl>
    <w:lvl w:ilvl="2" w:tplc="B114E340" w:tentative="1">
      <w:start w:val="1"/>
      <w:numFmt w:val="lowerRoman"/>
      <w:lvlText w:val="%3."/>
      <w:lvlJc w:val="right"/>
      <w:pPr>
        <w:ind w:left="1233" w:hanging="180"/>
      </w:pPr>
    </w:lvl>
    <w:lvl w:ilvl="3" w:tplc="A6629A78" w:tentative="1">
      <w:start w:val="1"/>
      <w:numFmt w:val="decimal"/>
      <w:lvlText w:val="%4."/>
      <w:lvlJc w:val="left"/>
      <w:pPr>
        <w:ind w:left="1953" w:hanging="360"/>
      </w:pPr>
    </w:lvl>
    <w:lvl w:ilvl="4" w:tplc="7AF23802" w:tentative="1">
      <w:start w:val="1"/>
      <w:numFmt w:val="lowerLetter"/>
      <w:lvlText w:val="%5."/>
      <w:lvlJc w:val="left"/>
      <w:pPr>
        <w:ind w:left="2673" w:hanging="360"/>
      </w:pPr>
    </w:lvl>
    <w:lvl w:ilvl="5" w:tplc="F8F46522" w:tentative="1">
      <w:start w:val="1"/>
      <w:numFmt w:val="lowerRoman"/>
      <w:lvlText w:val="%6."/>
      <w:lvlJc w:val="right"/>
      <w:pPr>
        <w:ind w:left="3393" w:hanging="180"/>
      </w:pPr>
    </w:lvl>
    <w:lvl w:ilvl="6" w:tplc="4E360526" w:tentative="1">
      <w:start w:val="1"/>
      <w:numFmt w:val="decimal"/>
      <w:lvlText w:val="%7."/>
      <w:lvlJc w:val="left"/>
      <w:pPr>
        <w:ind w:left="4113" w:hanging="360"/>
      </w:pPr>
    </w:lvl>
    <w:lvl w:ilvl="7" w:tplc="C55ABC40" w:tentative="1">
      <w:start w:val="1"/>
      <w:numFmt w:val="lowerLetter"/>
      <w:lvlText w:val="%8."/>
      <w:lvlJc w:val="left"/>
      <w:pPr>
        <w:ind w:left="4833" w:hanging="360"/>
      </w:pPr>
    </w:lvl>
    <w:lvl w:ilvl="8" w:tplc="975C41E2" w:tentative="1">
      <w:start w:val="1"/>
      <w:numFmt w:val="lowerRoman"/>
      <w:lvlText w:val="%9."/>
      <w:lvlJc w:val="right"/>
      <w:pPr>
        <w:ind w:left="5553" w:hanging="180"/>
      </w:pPr>
    </w:lvl>
  </w:abstractNum>
  <w:abstractNum w:abstractNumId="11"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hint="default" w:ascii="Calibri" w:hAnsi="Calibri"/>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00B2F23"/>
    <w:multiLevelType w:val="hybridMultilevel"/>
    <w:tmpl w:val="9E4A25F0"/>
    <w:lvl w:ilvl="0" w:tplc="F39EA63E">
      <w:start w:val="1"/>
      <w:numFmt w:val="decimal"/>
      <w:pStyle w:val="Heading1"/>
      <w:lvlText w:val="%1"/>
      <w:lvlJc w:val="left"/>
      <w:pPr>
        <w:ind w:left="2028" w:hanging="360"/>
      </w:pPr>
      <w:rPr>
        <w:rFonts w:hint="default"/>
      </w:rPr>
    </w:lvl>
    <w:lvl w:ilvl="1" w:tplc="0C090019" w:tentative="1">
      <w:start w:val="1"/>
      <w:numFmt w:val="lowerLetter"/>
      <w:lvlText w:val="%2."/>
      <w:lvlJc w:val="left"/>
      <w:pPr>
        <w:ind w:left="2748" w:hanging="360"/>
      </w:pPr>
    </w:lvl>
    <w:lvl w:ilvl="2" w:tplc="0C09001B" w:tentative="1">
      <w:start w:val="1"/>
      <w:numFmt w:val="lowerRoman"/>
      <w:lvlText w:val="%3."/>
      <w:lvlJc w:val="right"/>
      <w:pPr>
        <w:ind w:left="3468" w:hanging="180"/>
      </w:pPr>
    </w:lvl>
    <w:lvl w:ilvl="3" w:tplc="0C09000F" w:tentative="1">
      <w:start w:val="1"/>
      <w:numFmt w:val="decimal"/>
      <w:lvlText w:val="%4."/>
      <w:lvlJc w:val="left"/>
      <w:pPr>
        <w:ind w:left="4188" w:hanging="360"/>
      </w:pPr>
    </w:lvl>
    <w:lvl w:ilvl="4" w:tplc="0C090019" w:tentative="1">
      <w:start w:val="1"/>
      <w:numFmt w:val="lowerLetter"/>
      <w:lvlText w:val="%5."/>
      <w:lvlJc w:val="left"/>
      <w:pPr>
        <w:ind w:left="4908" w:hanging="360"/>
      </w:pPr>
    </w:lvl>
    <w:lvl w:ilvl="5" w:tplc="0C09001B" w:tentative="1">
      <w:start w:val="1"/>
      <w:numFmt w:val="lowerRoman"/>
      <w:lvlText w:val="%6."/>
      <w:lvlJc w:val="right"/>
      <w:pPr>
        <w:ind w:left="5628" w:hanging="180"/>
      </w:pPr>
    </w:lvl>
    <w:lvl w:ilvl="6" w:tplc="0C09000F" w:tentative="1">
      <w:start w:val="1"/>
      <w:numFmt w:val="decimal"/>
      <w:lvlText w:val="%7."/>
      <w:lvlJc w:val="left"/>
      <w:pPr>
        <w:ind w:left="6348" w:hanging="360"/>
      </w:pPr>
    </w:lvl>
    <w:lvl w:ilvl="7" w:tplc="0C090019" w:tentative="1">
      <w:start w:val="1"/>
      <w:numFmt w:val="lowerLetter"/>
      <w:lvlText w:val="%8."/>
      <w:lvlJc w:val="left"/>
      <w:pPr>
        <w:ind w:left="7068" w:hanging="360"/>
      </w:pPr>
    </w:lvl>
    <w:lvl w:ilvl="8" w:tplc="0C09001B" w:tentative="1">
      <w:start w:val="1"/>
      <w:numFmt w:val="lowerRoman"/>
      <w:lvlText w:val="%9."/>
      <w:lvlJc w:val="right"/>
      <w:pPr>
        <w:ind w:left="7788" w:hanging="180"/>
      </w:pPr>
    </w:lvl>
  </w:abstractNum>
  <w:abstractNum w:abstractNumId="13" w15:restartNumberingAfterBreak="0">
    <w:nsid w:val="73A3173E"/>
    <w:multiLevelType w:val="hybridMultilevel"/>
    <w:tmpl w:val="A5E4CC6E"/>
    <w:name w:val="EDU - Bullet List22"/>
    <w:lvl w:ilvl="0" w:tplc="F260E872">
      <w:start w:val="1"/>
      <w:numFmt w:val="bullet"/>
      <w:pStyle w:val="ListBullet3"/>
      <w:lvlText w:val="o"/>
      <w:lvlJc w:val="left"/>
      <w:pPr>
        <w:ind w:left="1602" w:hanging="360"/>
      </w:pPr>
      <w:rPr>
        <w:rFonts w:hint="default" w:ascii="Courier New" w:hAnsi="Courier New" w:cs="Courier New"/>
      </w:rPr>
    </w:lvl>
    <w:lvl w:ilvl="1" w:tplc="0C090003" w:tentative="1">
      <w:start w:val="1"/>
      <w:numFmt w:val="bullet"/>
      <w:lvlText w:val="o"/>
      <w:lvlJc w:val="left"/>
      <w:pPr>
        <w:ind w:left="2322" w:hanging="360"/>
      </w:pPr>
      <w:rPr>
        <w:rFonts w:hint="default" w:ascii="Courier New" w:hAnsi="Courier New" w:cs="Courier New"/>
      </w:rPr>
    </w:lvl>
    <w:lvl w:ilvl="2" w:tplc="0C090005" w:tentative="1">
      <w:start w:val="1"/>
      <w:numFmt w:val="bullet"/>
      <w:lvlText w:val=""/>
      <w:lvlJc w:val="left"/>
      <w:pPr>
        <w:ind w:left="3042" w:hanging="360"/>
      </w:pPr>
      <w:rPr>
        <w:rFonts w:hint="default" w:ascii="Wingdings" w:hAnsi="Wingdings"/>
      </w:rPr>
    </w:lvl>
    <w:lvl w:ilvl="3" w:tplc="0C090001" w:tentative="1">
      <w:start w:val="1"/>
      <w:numFmt w:val="bullet"/>
      <w:lvlText w:val=""/>
      <w:lvlJc w:val="left"/>
      <w:pPr>
        <w:ind w:left="3762" w:hanging="360"/>
      </w:pPr>
      <w:rPr>
        <w:rFonts w:hint="default" w:ascii="Symbol" w:hAnsi="Symbol"/>
      </w:rPr>
    </w:lvl>
    <w:lvl w:ilvl="4" w:tplc="0C090003" w:tentative="1">
      <w:start w:val="1"/>
      <w:numFmt w:val="bullet"/>
      <w:lvlText w:val="o"/>
      <w:lvlJc w:val="left"/>
      <w:pPr>
        <w:ind w:left="4482" w:hanging="360"/>
      </w:pPr>
      <w:rPr>
        <w:rFonts w:hint="default" w:ascii="Courier New" w:hAnsi="Courier New" w:cs="Courier New"/>
      </w:rPr>
    </w:lvl>
    <w:lvl w:ilvl="5" w:tplc="0C090005" w:tentative="1">
      <w:start w:val="1"/>
      <w:numFmt w:val="bullet"/>
      <w:lvlText w:val=""/>
      <w:lvlJc w:val="left"/>
      <w:pPr>
        <w:ind w:left="5202" w:hanging="360"/>
      </w:pPr>
      <w:rPr>
        <w:rFonts w:hint="default" w:ascii="Wingdings" w:hAnsi="Wingdings"/>
      </w:rPr>
    </w:lvl>
    <w:lvl w:ilvl="6" w:tplc="0C090001" w:tentative="1">
      <w:start w:val="1"/>
      <w:numFmt w:val="bullet"/>
      <w:lvlText w:val=""/>
      <w:lvlJc w:val="left"/>
      <w:pPr>
        <w:ind w:left="5922" w:hanging="360"/>
      </w:pPr>
      <w:rPr>
        <w:rFonts w:hint="default" w:ascii="Symbol" w:hAnsi="Symbol"/>
      </w:rPr>
    </w:lvl>
    <w:lvl w:ilvl="7" w:tplc="0C090003" w:tentative="1">
      <w:start w:val="1"/>
      <w:numFmt w:val="bullet"/>
      <w:lvlText w:val="o"/>
      <w:lvlJc w:val="left"/>
      <w:pPr>
        <w:ind w:left="6642" w:hanging="360"/>
      </w:pPr>
      <w:rPr>
        <w:rFonts w:hint="default" w:ascii="Courier New" w:hAnsi="Courier New" w:cs="Courier New"/>
      </w:rPr>
    </w:lvl>
    <w:lvl w:ilvl="8" w:tplc="0C090005" w:tentative="1">
      <w:start w:val="1"/>
      <w:numFmt w:val="bullet"/>
      <w:lvlText w:val=""/>
      <w:lvlJc w:val="left"/>
      <w:pPr>
        <w:ind w:left="7362" w:hanging="360"/>
      </w:pPr>
      <w:rPr>
        <w:rFonts w:hint="default" w:ascii="Wingdings" w:hAnsi="Wingdings"/>
      </w:rPr>
    </w:lvl>
  </w:abstractNum>
  <w:num w:numId="1" w16cid:durableId="1760524279">
    <w:abstractNumId w:val="5"/>
  </w:num>
  <w:num w:numId="2" w16cid:durableId="75978829">
    <w:abstractNumId w:val="7"/>
  </w:num>
  <w:num w:numId="3" w16cid:durableId="486242624">
    <w:abstractNumId w:val="2"/>
  </w:num>
  <w:num w:numId="4" w16cid:durableId="807010820">
    <w:abstractNumId w:val="13"/>
  </w:num>
  <w:num w:numId="5" w16cid:durableId="476995438">
    <w:abstractNumId w:val="11"/>
  </w:num>
  <w:num w:numId="6" w16cid:durableId="5007788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55700439">
    <w:abstractNumId w:val="12"/>
  </w:num>
  <w:num w:numId="8" w16cid:durableId="11841300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263211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375973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9339729">
    <w:abstractNumId w:val="4"/>
  </w:num>
  <w:num w:numId="12" w16cid:durableId="15175714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53149459">
    <w:abstractNumId w:val="0"/>
  </w:num>
  <w:num w:numId="14" w16cid:durableId="935867061">
    <w:abstractNumId w:val="11"/>
  </w:num>
  <w:num w:numId="15" w16cid:durableId="1139156034">
    <w:abstractNumId w:val="11"/>
  </w:num>
  <w:num w:numId="16" w16cid:durableId="547030646">
    <w:abstractNumId w:val="11"/>
  </w:num>
  <w:num w:numId="17" w16cid:durableId="1070732413">
    <w:abstractNumId w:val="11"/>
  </w:num>
  <w:num w:numId="18" w16cid:durableId="440032080">
    <w:abstractNumId w:val="10"/>
  </w:num>
  <w:num w:numId="19" w16cid:durableId="2108188740">
    <w:abstractNumId w:val="3"/>
  </w:num>
  <w:num w:numId="20" w16cid:durableId="1901136136">
    <w:abstractNumId w:val="6"/>
  </w:num>
  <w:num w:numId="21" w16cid:durableId="1106999052">
    <w:abstractNumId w:val="9"/>
  </w:num>
  <w:num w:numId="22" w16cid:durableId="1727608685">
    <w:abstractNumId w:val="12"/>
  </w:num>
  <w:num w:numId="23" w16cid:durableId="1191188011">
    <w:abstractNumId w:val="12"/>
  </w:num>
  <w:num w:numId="24" w16cid:durableId="1550528946">
    <w:abstractNumId w:val="12"/>
  </w:num>
  <w:num w:numId="25" w16cid:durableId="952517653">
    <w:abstractNumId w:val="12"/>
  </w:num>
  <w:num w:numId="26" w16cid:durableId="1515606043">
    <w:abstractNumId w:val="12"/>
  </w:num>
  <w:num w:numId="27" w16cid:durableId="1226840837">
    <w:abstractNumId w:val="12"/>
  </w:num>
  <w:numIdMacAtCleanup w:val="1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writeProtection w:recommended="1"/>
  <w:zoom w:percent="170"/>
  <w:hideSpellingErrors/>
  <w:hideGrammaticalErrors/>
  <w:proofState w:spelling="clean" w:grammar="dirty"/>
  <w:trackRevisions w:val="false"/>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840E588-0A41-4CB4-BE32-70ED718E7ECE}"/>
    <w:docVar w:name="dgnword-eventsink" w:val="2922799382736"/>
  </w:docVars>
  <w:rsids>
    <w:rsidRoot w:val="000A6228"/>
    <w:rsid w:val="000008C9"/>
    <w:rsid w:val="00001BFF"/>
    <w:rsid w:val="00005C89"/>
    <w:rsid w:val="00007651"/>
    <w:rsid w:val="00007AC4"/>
    <w:rsid w:val="00010DAE"/>
    <w:rsid w:val="0001111B"/>
    <w:rsid w:val="000120A9"/>
    <w:rsid w:val="00012366"/>
    <w:rsid w:val="00014209"/>
    <w:rsid w:val="0001719E"/>
    <w:rsid w:val="00017AD5"/>
    <w:rsid w:val="00017F51"/>
    <w:rsid w:val="00021FBE"/>
    <w:rsid w:val="000231D9"/>
    <w:rsid w:val="00027280"/>
    <w:rsid w:val="00030A2B"/>
    <w:rsid w:val="00032C39"/>
    <w:rsid w:val="00033C18"/>
    <w:rsid w:val="0004205A"/>
    <w:rsid w:val="00043266"/>
    <w:rsid w:val="00045650"/>
    <w:rsid w:val="000477C0"/>
    <w:rsid w:val="000500D5"/>
    <w:rsid w:val="000521D7"/>
    <w:rsid w:val="00060012"/>
    <w:rsid w:val="00060B92"/>
    <w:rsid w:val="00061B80"/>
    <w:rsid w:val="00063E7C"/>
    <w:rsid w:val="00066A28"/>
    <w:rsid w:val="00066D87"/>
    <w:rsid w:val="00071303"/>
    <w:rsid w:val="00075D35"/>
    <w:rsid w:val="00083E3B"/>
    <w:rsid w:val="00085C61"/>
    <w:rsid w:val="00087C47"/>
    <w:rsid w:val="00094209"/>
    <w:rsid w:val="00094841"/>
    <w:rsid w:val="00096D8C"/>
    <w:rsid w:val="000A0B58"/>
    <w:rsid w:val="000A218A"/>
    <w:rsid w:val="000A3B57"/>
    <w:rsid w:val="000A6228"/>
    <w:rsid w:val="000A6A7B"/>
    <w:rsid w:val="000A7995"/>
    <w:rsid w:val="000B07D4"/>
    <w:rsid w:val="000B0C06"/>
    <w:rsid w:val="000B1367"/>
    <w:rsid w:val="000B1B73"/>
    <w:rsid w:val="000B524E"/>
    <w:rsid w:val="000B5D40"/>
    <w:rsid w:val="000B69A6"/>
    <w:rsid w:val="000B7EC6"/>
    <w:rsid w:val="000C0710"/>
    <w:rsid w:val="000C37FD"/>
    <w:rsid w:val="000C7BFA"/>
    <w:rsid w:val="000D36AA"/>
    <w:rsid w:val="000D397B"/>
    <w:rsid w:val="000D3BB2"/>
    <w:rsid w:val="000D5DA1"/>
    <w:rsid w:val="000E2156"/>
    <w:rsid w:val="000E4B80"/>
    <w:rsid w:val="000E5217"/>
    <w:rsid w:val="000E5A68"/>
    <w:rsid w:val="000E5AC7"/>
    <w:rsid w:val="000E7C65"/>
    <w:rsid w:val="000F45D8"/>
    <w:rsid w:val="00106F59"/>
    <w:rsid w:val="001076FE"/>
    <w:rsid w:val="00107D3A"/>
    <w:rsid w:val="00107D87"/>
    <w:rsid w:val="00107DD5"/>
    <w:rsid w:val="001109EF"/>
    <w:rsid w:val="00111C36"/>
    <w:rsid w:val="00114D85"/>
    <w:rsid w:val="001159F0"/>
    <w:rsid w:val="00115A7D"/>
    <w:rsid w:val="00116ADB"/>
    <w:rsid w:val="001204FD"/>
    <w:rsid w:val="001230EE"/>
    <w:rsid w:val="0012343A"/>
    <w:rsid w:val="00133B8D"/>
    <w:rsid w:val="00134665"/>
    <w:rsid w:val="0013611E"/>
    <w:rsid w:val="001437AD"/>
    <w:rsid w:val="00143DFE"/>
    <w:rsid w:val="0014595A"/>
    <w:rsid w:val="00146206"/>
    <w:rsid w:val="00146DD6"/>
    <w:rsid w:val="00146E24"/>
    <w:rsid w:val="00147C86"/>
    <w:rsid w:val="00147EAF"/>
    <w:rsid w:val="001515BF"/>
    <w:rsid w:val="001554DD"/>
    <w:rsid w:val="001573BB"/>
    <w:rsid w:val="00161A00"/>
    <w:rsid w:val="00161D1A"/>
    <w:rsid w:val="00164109"/>
    <w:rsid w:val="00165633"/>
    <w:rsid w:val="00165FE4"/>
    <w:rsid w:val="00170342"/>
    <w:rsid w:val="0017134D"/>
    <w:rsid w:val="0017207E"/>
    <w:rsid w:val="00173A74"/>
    <w:rsid w:val="0017404D"/>
    <w:rsid w:val="00174ED7"/>
    <w:rsid w:val="0017564F"/>
    <w:rsid w:val="00176AEA"/>
    <w:rsid w:val="00176F2E"/>
    <w:rsid w:val="001773CD"/>
    <w:rsid w:val="001802C7"/>
    <w:rsid w:val="00182797"/>
    <w:rsid w:val="00182BD7"/>
    <w:rsid w:val="00185535"/>
    <w:rsid w:val="001870E0"/>
    <w:rsid w:val="0018787F"/>
    <w:rsid w:val="00190CC4"/>
    <w:rsid w:val="00191B7C"/>
    <w:rsid w:val="00192297"/>
    <w:rsid w:val="00197111"/>
    <w:rsid w:val="00197E62"/>
    <w:rsid w:val="001A1662"/>
    <w:rsid w:val="001A244B"/>
    <w:rsid w:val="001A3CE6"/>
    <w:rsid w:val="001B1129"/>
    <w:rsid w:val="001B11FA"/>
    <w:rsid w:val="001B248A"/>
    <w:rsid w:val="001B37AE"/>
    <w:rsid w:val="001B52A3"/>
    <w:rsid w:val="001B6178"/>
    <w:rsid w:val="001B6242"/>
    <w:rsid w:val="001B7161"/>
    <w:rsid w:val="001C1523"/>
    <w:rsid w:val="001C25FA"/>
    <w:rsid w:val="001C54DB"/>
    <w:rsid w:val="001C61B8"/>
    <w:rsid w:val="001C6308"/>
    <w:rsid w:val="001C6353"/>
    <w:rsid w:val="001C7F74"/>
    <w:rsid w:val="001D1981"/>
    <w:rsid w:val="001D4199"/>
    <w:rsid w:val="001D77CC"/>
    <w:rsid w:val="001E092F"/>
    <w:rsid w:val="001E48AC"/>
    <w:rsid w:val="001E717E"/>
    <w:rsid w:val="001E780C"/>
    <w:rsid w:val="001F19D0"/>
    <w:rsid w:val="001F1C81"/>
    <w:rsid w:val="001F264C"/>
    <w:rsid w:val="001F3415"/>
    <w:rsid w:val="001F37EC"/>
    <w:rsid w:val="001F3D79"/>
    <w:rsid w:val="001F50CF"/>
    <w:rsid w:val="00200073"/>
    <w:rsid w:val="00200492"/>
    <w:rsid w:val="0020061D"/>
    <w:rsid w:val="00200814"/>
    <w:rsid w:val="00201464"/>
    <w:rsid w:val="00203D05"/>
    <w:rsid w:val="002061C3"/>
    <w:rsid w:val="00206655"/>
    <w:rsid w:val="0020756A"/>
    <w:rsid w:val="00210939"/>
    <w:rsid w:val="00210F56"/>
    <w:rsid w:val="0021539A"/>
    <w:rsid w:val="00217C47"/>
    <w:rsid w:val="00220668"/>
    <w:rsid w:val="002219F1"/>
    <w:rsid w:val="00221D8F"/>
    <w:rsid w:val="002228BF"/>
    <w:rsid w:val="00224C2C"/>
    <w:rsid w:val="00226696"/>
    <w:rsid w:val="002272DB"/>
    <w:rsid w:val="0022762D"/>
    <w:rsid w:val="00231D0C"/>
    <w:rsid w:val="0023553C"/>
    <w:rsid w:val="00242DF4"/>
    <w:rsid w:val="002430B1"/>
    <w:rsid w:val="00244563"/>
    <w:rsid w:val="00246436"/>
    <w:rsid w:val="002464AE"/>
    <w:rsid w:val="002465DB"/>
    <w:rsid w:val="00247159"/>
    <w:rsid w:val="00247642"/>
    <w:rsid w:val="00252BFA"/>
    <w:rsid w:val="00254AA2"/>
    <w:rsid w:val="00257932"/>
    <w:rsid w:val="00260A54"/>
    <w:rsid w:val="002624DF"/>
    <w:rsid w:val="002649DC"/>
    <w:rsid w:val="002672AC"/>
    <w:rsid w:val="002711D3"/>
    <w:rsid w:val="00273246"/>
    <w:rsid w:val="00275D9A"/>
    <w:rsid w:val="00276047"/>
    <w:rsid w:val="002764B3"/>
    <w:rsid w:val="00277624"/>
    <w:rsid w:val="00280764"/>
    <w:rsid w:val="00280FC7"/>
    <w:rsid w:val="002874FA"/>
    <w:rsid w:val="00287BF0"/>
    <w:rsid w:val="002909F1"/>
    <w:rsid w:val="00291B40"/>
    <w:rsid w:val="00292F78"/>
    <w:rsid w:val="00296653"/>
    <w:rsid w:val="00296BD0"/>
    <w:rsid w:val="002A08BC"/>
    <w:rsid w:val="002A2670"/>
    <w:rsid w:val="002A35F8"/>
    <w:rsid w:val="002A4458"/>
    <w:rsid w:val="002A5886"/>
    <w:rsid w:val="002A6FFB"/>
    <w:rsid w:val="002B03F0"/>
    <w:rsid w:val="002B0F6E"/>
    <w:rsid w:val="002B2329"/>
    <w:rsid w:val="002B3093"/>
    <w:rsid w:val="002B3CF4"/>
    <w:rsid w:val="002B78AE"/>
    <w:rsid w:val="002C1ADE"/>
    <w:rsid w:val="002C2D56"/>
    <w:rsid w:val="002C5717"/>
    <w:rsid w:val="002C6EB6"/>
    <w:rsid w:val="002D589A"/>
    <w:rsid w:val="002E4B13"/>
    <w:rsid w:val="002E52C4"/>
    <w:rsid w:val="002E5B69"/>
    <w:rsid w:val="002E72B4"/>
    <w:rsid w:val="002F33E7"/>
    <w:rsid w:val="002F3894"/>
    <w:rsid w:val="002F56AA"/>
    <w:rsid w:val="002F5BFF"/>
    <w:rsid w:val="003007CA"/>
    <w:rsid w:val="00304C54"/>
    <w:rsid w:val="003055CD"/>
    <w:rsid w:val="00310550"/>
    <w:rsid w:val="00314129"/>
    <w:rsid w:val="003148FF"/>
    <w:rsid w:val="0031498C"/>
    <w:rsid w:val="0031615C"/>
    <w:rsid w:val="00320304"/>
    <w:rsid w:val="00321CC9"/>
    <w:rsid w:val="00321DA8"/>
    <w:rsid w:val="00325383"/>
    <w:rsid w:val="0032566C"/>
    <w:rsid w:val="00330C67"/>
    <w:rsid w:val="00334EAD"/>
    <w:rsid w:val="0034177E"/>
    <w:rsid w:val="003417B2"/>
    <w:rsid w:val="003442AF"/>
    <w:rsid w:val="00345958"/>
    <w:rsid w:val="0034684B"/>
    <w:rsid w:val="003471DE"/>
    <w:rsid w:val="00351184"/>
    <w:rsid w:val="00351B87"/>
    <w:rsid w:val="003528F0"/>
    <w:rsid w:val="003529C4"/>
    <w:rsid w:val="003564A1"/>
    <w:rsid w:val="003616C5"/>
    <w:rsid w:val="00361DF8"/>
    <w:rsid w:val="00362AB0"/>
    <w:rsid w:val="00362D8F"/>
    <w:rsid w:val="00363E40"/>
    <w:rsid w:val="00364A7D"/>
    <w:rsid w:val="00372816"/>
    <w:rsid w:val="00374911"/>
    <w:rsid w:val="00376368"/>
    <w:rsid w:val="003771B7"/>
    <w:rsid w:val="00377296"/>
    <w:rsid w:val="00377945"/>
    <w:rsid w:val="00380B0C"/>
    <w:rsid w:val="00382064"/>
    <w:rsid w:val="0038554A"/>
    <w:rsid w:val="003855DF"/>
    <w:rsid w:val="00393F35"/>
    <w:rsid w:val="00396343"/>
    <w:rsid w:val="0039778B"/>
    <w:rsid w:val="003A1176"/>
    <w:rsid w:val="003A1C5C"/>
    <w:rsid w:val="003A1E07"/>
    <w:rsid w:val="003A1E39"/>
    <w:rsid w:val="003A54BB"/>
    <w:rsid w:val="003A566C"/>
    <w:rsid w:val="003B090E"/>
    <w:rsid w:val="003B2DA6"/>
    <w:rsid w:val="003B2FDC"/>
    <w:rsid w:val="003B4363"/>
    <w:rsid w:val="003B4C71"/>
    <w:rsid w:val="003B4D16"/>
    <w:rsid w:val="003B616C"/>
    <w:rsid w:val="003B6C11"/>
    <w:rsid w:val="003B7312"/>
    <w:rsid w:val="003C149D"/>
    <w:rsid w:val="003C247D"/>
    <w:rsid w:val="003C7993"/>
    <w:rsid w:val="003D0301"/>
    <w:rsid w:val="003D434B"/>
    <w:rsid w:val="003D4F78"/>
    <w:rsid w:val="003D64DE"/>
    <w:rsid w:val="003D684E"/>
    <w:rsid w:val="003E1D4E"/>
    <w:rsid w:val="003E30ED"/>
    <w:rsid w:val="003E3AE9"/>
    <w:rsid w:val="003F1DC7"/>
    <w:rsid w:val="003F20AF"/>
    <w:rsid w:val="003F4048"/>
    <w:rsid w:val="003F40B4"/>
    <w:rsid w:val="003F4BF8"/>
    <w:rsid w:val="003F70F7"/>
    <w:rsid w:val="004003C3"/>
    <w:rsid w:val="00401237"/>
    <w:rsid w:val="0040155D"/>
    <w:rsid w:val="00401597"/>
    <w:rsid w:val="004059B3"/>
    <w:rsid w:val="0040617E"/>
    <w:rsid w:val="0041227B"/>
    <w:rsid w:val="00412921"/>
    <w:rsid w:val="00412EF1"/>
    <w:rsid w:val="00413AF5"/>
    <w:rsid w:val="004148C4"/>
    <w:rsid w:val="00415515"/>
    <w:rsid w:val="004163C4"/>
    <w:rsid w:val="00417068"/>
    <w:rsid w:val="0041713E"/>
    <w:rsid w:val="00421D3F"/>
    <w:rsid w:val="00421E4D"/>
    <w:rsid w:val="00423427"/>
    <w:rsid w:val="004236F2"/>
    <w:rsid w:val="00423785"/>
    <w:rsid w:val="00427438"/>
    <w:rsid w:val="00430028"/>
    <w:rsid w:val="00430313"/>
    <w:rsid w:val="004322AB"/>
    <w:rsid w:val="00440C52"/>
    <w:rsid w:val="00440F6A"/>
    <w:rsid w:val="00444106"/>
    <w:rsid w:val="004446CB"/>
    <w:rsid w:val="004460E4"/>
    <w:rsid w:val="00452D26"/>
    <w:rsid w:val="004544C8"/>
    <w:rsid w:val="004547A6"/>
    <w:rsid w:val="004568EE"/>
    <w:rsid w:val="00461513"/>
    <w:rsid w:val="00465494"/>
    <w:rsid w:val="00467347"/>
    <w:rsid w:val="00472475"/>
    <w:rsid w:val="00472676"/>
    <w:rsid w:val="004735CB"/>
    <w:rsid w:val="00476886"/>
    <w:rsid w:val="00476FB9"/>
    <w:rsid w:val="0048191A"/>
    <w:rsid w:val="00484F70"/>
    <w:rsid w:val="004867A9"/>
    <w:rsid w:val="00487D08"/>
    <w:rsid w:val="00491AC2"/>
    <w:rsid w:val="00493F43"/>
    <w:rsid w:val="00495B2B"/>
    <w:rsid w:val="004A06CD"/>
    <w:rsid w:val="004A2D83"/>
    <w:rsid w:val="004A4B6F"/>
    <w:rsid w:val="004A4CDA"/>
    <w:rsid w:val="004A4CF9"/>
    <w:rsid w:val="004A5AC8"/>
    <w:rsid w:val="004B074B"/>
    <w:rsid w:val="004B1468"/>
    <w:rsid w:val="004B22D0"/>
    <w:rsid w:val="004B3134"/>
    <w:rsid w:val="004B4A3B"/>
    <w:rsid w:val="004B6283"/>
    <w:rsid w:val="004C0CBA"/>
    <w:rsid w:val="004C0DAD"/>
    <w:rsid w:val="004C1779"/>
    <w:rsid w:val="004C4F48"/>
    <w:rsid w:val="004C647F"/>
    <w:rsid w:val="004D09EE"/>
    <w:rsid w:val="004D1709"/>
    <w:rsid w:val="004D2965"/>
    <w:rsid w:val="004D3B67"/>
    <w:rsid w:val="004E05D0"/>
    <w:rsid w:val="004E0701"/>
    <w:rsid w:val="004E082A"/>
    <w:rsid w:val="004E532C"/>
    <w:rsid w:val="004E5D48"/>
    <w:rsid w:val="004E6D0E"/>
    <w:rsid w:val="004F0BB1"/>
    <w:rsid w:val="004F0D77"/>
    <w:rsid w:val="004F4864"/>
    <w:rsid w:val="004F6784"/>
    <w:rsid w:val="004F6D00"/>
    <w:rsid w:val="00500174"/>
    <w:rsid w:val="00500364"/>
    <w:rsid w:val="005009AE"/>
    <w:rsid w:val="00503847"/>
    <w:rsid w:val="005045B7"/>
    <w:rsid w:val="005067A2"/>
    <w:rsid w:val="005078C3"/>
    <w:rsid w:val="005105DF"/>
    <w:rsid w:val="00511528"/>
    <w:rsid w:val="00511FD9"/>
    <w:rsid w:val="00512470"/>
    <w:rsid w:val="00513FC7"/>
    <w:rsid w:val="00515294"/>
    <w:rsid w:val="005160EC"/>
    <w:rsid w:val="00516705"/>
    <w:rsid w:val="00520073"/>
    <w:rsid w:val="00521A71"/>
    <w:rsid w:val="00523BDB"/>
    <w:rsid w:val="00523C58"/>
    <w:rsid w:val="00524EC3"/>
    <w:rsid w:val="0052525F"/>
    <w:rsid w:val="00526F8E"/>
    <w:rsid w:val="00530164"/>
    <w:rsid w:val="0053079F"/>
    <w:rsid w:val="005319DF"/>
    <w:rsid w:val="005344BB"/>
    <w:rsid w:val="00535513"/>
    <w:rsid w:val="00535546"/>
    <w:rsid w:val="005376E7"/>
    <w:rsid w:val="005377A3"/>
    <w:rsid w:val="00543C3A"/>
    <w:rsid w:val="00544A9B"/>
    <w:rsid w:val="00544ED8"/>
    <w:rsid w:val="005478D1"/>
    <w:rsid w:val="00551259"/>
    <w:rsid w:val="005525C6"/>
    <w:rsid w:val="005535A1"/>
    <w:rsid w:val="005547CC"/>
    <w:rsid w:val="0055639E"/>
    <w:rsid w:val="005576CB"/>
    <w:rsid w:val="005607D8"/>
    <w:rsid w:val="00564496"/>
    <w:rsid w:val="00564A2B"/>
    <w:rsid w:val="00564BE4"/>
    <w:rsid w:val="0056627C"/>
    <w:rsid w:val="005704F0"/>
    <w:rsid w:val="00570631"/>
    <w:rsid w:val="00570B8A"/>
    <w:rsid w:val="00572F32"/>
    <w:rsid w:val="00573E64"/>
    <w:rsid w:val="00574024"/>
    <w:rsid w:val="0058075A"/>
    <w:rsid w:val="005813CC"/>
    <w:rsid w:val="00584B05"/>
    <w:rsid w:val="0058566D"/>
    <w:rsid w:val="0058683F"/>
    <w:rsid w:val="00586CE4"/>
    <w:rsid w:val="00590640"/>
    <w:rsid w:val="0059089D"/>
    <w:rsid w:val="00591FCB"/>
    <w:rsid w:val="005947D1"/>
    <w:rsid w:val="005958F1"/>
    <w:rsid w:val="005959DB"/>
    <w:rsid w:val="00595C87"/>
    <w:rsid w:val="00596371"/>
    <w:rsid w:val="005A1567"/>
    <w:rsid w:val="005A6B82"/>
    <w:rsid w:val="005A75C9"/>
    <w:rsid w:val="005B0325"/>
    <w:rsid w:val="005B187D"/>
    <w:rsid w:val="005B4161"/>
    <w:rsid w:val="005B61D8"/>
    <w:rsid w:val="005C0319"/>
    <w:rsid w:val="005C0937"/>
    <w:rsid w:val="005C28B3"/>
    <w:rsid w:val="005C461C"/>
    <w:rsid w:val="005C4ED1"/>
    <w:rsid w:val="005C5064"/>
    <w:rsid w:val="005C5250"/>
    <w:rsid w:val="005C5742"/>
    <w:rsid w:val="005C6474"/>
    <w:rsid w:val="005D0923"/>
    <w:rsid w:val="005D2726"/>
    <w:rsid w:val="005D5EFD"/>
    <w:rsid w:val="005D672A"/>
    <w:rsid w:val="005E2153"/>
    <w:rsid w:val="005E421B"/>
    <w:rsid w:val="005E53CE"/>
    <w:rsid w:val="005E5B5C"/>
    <w:rsid w:val="005F3100"/>
    <w:rsid w:val="005F383E"/>
    <w:rsid w:val="005F4EBB"/>
    <w:rsid w:val="006010F6"/>
    <w:rsid w:val="006027B1"/>
    <w:rsid w:val="00603299"/>
    <w:rsid w:val="00605593"/>
    <w:rsid w:val="006064EA"/>
    <w:rsid w:val="00606832"/>
    <w:rsid w:val="00610173"/>
    <w:rsid w:val="00610682"/>
    <w:rsid w:val="006108A9"/>
    <w:rsid w:val="00610E6C"/>
    <w:rsid w:val="00611947"/>
    <w:rsid w:val="00616B57"/>
    <w:rsid w:val="00622AAF"/>
    <w:rsid w:val="006232DC"/>
    <w:rsid w:val="00626642"/>
    <w:rsid w:val="00627B98"/>
    <w:rsid w:val="0063094F"/>
    <w:rsid w:val="00632BE5"/>
    <w:rsid w:val="00634374"/>
    <w:rsid w:val="00636A20"/>
    <w:rsid w:val="0064039E"/>
    <w:rsid w:val="00641D23"/>
    <w:rsid w:val="00642585"/>
    <w:rsid w:val="00642E54"/>
    <w:rsid w:val="006471C5"/>
    <w:rsid w:val="00650646"/>
    <w:rsid w:val="00653D68"/>
    <w:rsid w:val="00653E32"/>
    <w:rsid w:val="006572BF"/>
    <w:rsid w:val="00660464"/>
    <w:rsid w:val="00661942"/>
    <w:rsid w:val="00662A77"/>
    <w:rsid w:val="0066421C"/>
    <w:rsid w:val="006649F4"/>
    <w:rsid w:val="00665D1D"/>
    <w:rsid w:val="0066624E"/>
    <w:rsid w:val="00667047"/>
    <w:rsid w:val="00667953"/>
    <w:rsid w:val="00667D82"/>
    <w:rsid w:val="0067242C"/>
    <w:rsid w:val="00673BF7"/>
    <w:rsid w:val="00674362"/>
    <w:rsid w:val="00674898"/>
    <w:rsid w:val="00677238"/>
    <w:rsid w:val="00680799"/>
    <w:rsid w:val="0068258A"/>
    <w:rsid w:val="006828B6"/>
    <w:rsid w:val="00684EA9"/>
    <w:rsid w:val="00685084"/>
    <w:rsid w:val="00685A96"/>
    <w:rsid w:val="00686297"/>
    <w:rsid w:val="006869A1"/>
    <w:rsid w:val="006917E0"/>
    <w:rsid w:val="0069481A"/>
    <w:rsid w:val="0069544C"/>
    <w:rsid w:val="0069559C"/>
    <w:rsid w:val="006A1704"/>
    <w:rsid w:val="006A3661"/>
    <w:rsid w:val="006A3855"/>
    <w:rsid w:val="006A3A47"/>
    <w:rsid w:val="006A532D"/>
    <w:rsid w:val="006A5B4C"/>
    <w:rsid w:val="006A6E1B"/>
    <w:rsid w:val="006B0ED4"/>
    <w:rsid w:val="006B1202"/>
    <w:rsid w:val="006B2FDA"/>
    <w:rsid w:val="006B36A6"/>
    <w:rsid w:val="006B40E2"/>
    <w:rsid w:val="006B5C32"/>
    <w:rsid w:val="006B7E4C"/>
    <w:rsid w:val="006C231E"/>
    <w:rsid w:val="006C26B9"/>
    <w:rsid w:val="006C2C08"/>
    <w:rsid w:val="006C4222"/>
    <w:rsid w:val="006C6D1D"/>
    <w:rsid w:val="006D0B7D"/>
    <w:rsid w:val="006D2959"/>
    <w:rsid w:val="006D3DC7"/>
    <w:rsid w:val="006D407F"/>
    <w:rsid w:val="006D67A0"/>
    <w:rsid w:val="006D67F3"/>
    <w:rsid w:val="006D75B6"/>
    <w:rsid w:val="006E2234"/>
    <w:rsid w:val="006E3137"/>
    <w:rsid w:val="006E509C"/>
    <w:rsid w:val="006E7E7A"/>
    <w:rsid w:val="006F028B"/>
    <w:rsid w:val="006F1FFF"/>
    <w:rsid w:val="006F20D1"/>
    <w:rsid w:val="006F24B5"/>
    <w:rsid w:val="006F2550"/>
    <w:rsid w:val="006F4ED0"/>
    <w:rsid w:val="006F634A"/>
    <w:rsid w:val="006F6D10"/>
    <w:rsid w:val="0070550B"/>
    <w:rsid w:val="00706BB0"/>
    <w:rsid w:val="007074CB"/>
    <w:rsid w:val="007115B8"/>
    <w:rsid w:val="00712B94"/>
    <w:rsid w:val="007167C5"/>
    <w:rsid w:val="00720DEE"/>
    <w:rsid w:val="00722449"/>
    <w:rsid w:val="0072525B"/>
    <w:rsid w:val="00726699"/>
    <w:rsid w:val="007279E2"/>
    <w:rsid w:val="00732493"/>
    <w:rsid w:val="0073267D"/>
    <w:rsid w:val="00732D55"/>
    <w:rsid w:val="007433B2"/>
    <w:rsid w:val="00743A6C"/>
    <w:rsid w:val="00744A64"/>
    <w:rsid w:val="00744CE1"/>
    <w:rsid w:val="00746041"/>
    <w:rsid w:val="0074743D"/>
    <w:rsid w:val="00751798"/>
    <w:rsid w:val="00752E5A"/>
    <w:rsid w:val="00754BC7"/>
    <w:rsid w:val="00754C60"/>
    <w:rsid w:val="007552C8"/>
    <w:rsid w:val="00757D17"/>
    <w:rsid w:val="00761AAC"/>
    <w:rsid w:val="0076214A"/>
    <w:rsid w:val="00763A1A"/>
    <w:rsid w:val="00763CBD"/>
    <w:rsid w:val="00766AD7"/>
    <w:rsid w:val="00767247"/>
    <w:rsid w:val="00770D3C"/>
    <w:rsid w:val="00771752"/>
    <w:rsid w:val="00774532"/>
    <w:rsid w:val="00776687"/>
    <w:rsid w:val="0077672E"/>
    <w:rsid w:val="00780E8A"/>
    <w:rsid w:val="00783635"/>
    <w:rsid w:val="00784A4E"/>
    <w:rsid w:val="00793BC7"/>
    <w:rsid w:val="00796639"/>
    <w:rsid w:val="00796DC6"/>
    <w:rsid w:val="007973FC"/>
    <w:rsid w:val="007977B3"/>
    <w:rsid w:val="007A1927"/>
    <w:rsid w:val="007A300A"/>
    <w:rsid w:val="007A5344"/>
    <w:rsid w:val="007A634F"/>
    <w:rsid w:val="007A66A6"/>
    <w:rsid w:val="007A7217"/>
    <w:rsid w:val="007A7E0C"/>
    <w:rsid w:val="007B0994"/>
    <w:rsid w:val="007B2CA1"/>
    <w:rsid w:val="007B5B8F"/>
    <w:rsid w:val="007B5E45"/>
    <w:rsid w:val="007B6045"/>
    <w:rsid w:val="007B7A5B"/>
    <w:rsid w:val="007C0273"/>
    <w:rsid w:val="007C24EA"/>
    <w:rsid w:val="007C31A3"/>
    <w:rsid w:val="007C5459"/>
    <w:rsid w:val="007D0ABC"/>
    <w:rsid w:val="007D220E"/>
    <w:rsid w:val="007D5679"/>
    <w:rsid w:val="007D66F8"/>
    <w:rsid w:val="007E03EC"/>
    <w:rsid w:val="007E09B6"/>
    <w:rsid w:val="007F09BA"/>
    <w:rsid w:val="007F4EF1"/>
    <w:rsid w:val="007F6D54"/>
    <w:rsid w:val="007F6F7B"/>
    <w:rsid w:val="007F7E5F"/>
    <w:rsid w:val="008042F5"/>
    <w:rsid w:val="008048D7"/>
    <w:rsid w:val="008059DC"/>
    <w:rsid w:val="00807A64"/>
    <w:rsid w:val="0081202D"/>
    <w:rsid w:val="00813135"/>
    <w:rsid w:val="00822A85"/>
    <w:rsid w:val="00823B50"/>
    <w:rsid w:val="00824715"/>
    <w:rsid w:val="008248E9"/>
    <w:rsid w:val="00824DED"/>
    <w:rsid w:val="00825033"/>
    <w:rsid w:val="008302C8"/>
    <w:rsid w:val="008316B4"/>
    <w:rsid w:val="00836A8C"/>
    <w:rsid w:val="008376BC"/>
    <w:rsid w:val="00837B68"/>
    <w:rsid w:val="00841719"/>
    <w:rsid w:val="008436D7"/>
    <w:rsid w:val="008445A4"/>
    <w:rsid w:val="0084520D"/>
    <w:rsid w:val="0085058D"/>
    <w:rsid w:val="00856409"/>
    <w:rsid w:val="00856493"/>
    <w:rsid w:val="008571FB"/>
    <w:rsid w:val="00860F6A"/>
    <w:rsid w:val="00864F76"/>
    <w:rsid w:val="008658D7"/>
    <w:rsid w:val="00865AE8"/>
    <w:rsid w:val="0086629D"/>
    <w:rsid w:val="00870281"/>
    <w:rsid w:val="00870C80"/>
    <w:rsid w:val="00871572"/>
    <w:rsid w:val="00871AAE"/>
    <w:rsid w:val="008729F7"/>
    <w:rsid w:val="00875691"/>
    <w:rsid w:val="00880999"/>
    <w:rsid w:val="0088196F"/>
    <w:rsid w:val="00882D00"/>
    <w:rsid w:val="00885377"/>
    <w:rsid w:val="00885FD5"/>
    <w:rsid w:val="00886959"/>
    <w:rsid w:val="00887361"/>
    <w:rsid w:val="00887E0F"/>
    <w:rsid w:val="008902C1"/>
    <w:rsid w:val="0089045B"/>
    <w:rsid w:val="00890D66"/>
    <w:rsid w:val="00894708"/>
    <w:rsid w:val="0089594D"/>
    <w:rsid w:val="008974A8"/>
    <w:rsid w:val="008A2328"/>
    <w:rsid w:val="008A24C2"/>
    <w:rsid w:val="008A2C88"/>
    <w:rsid w:val="008A2FC8"/>
    <w:rsid w:val="008A36E1"/>
    <w:rsid w:val="008A37A7"/>
    <w:rsid w:val="008A3DCA"/>
    <w:rsid w:val="008A467D"/>
    <w:rsid w:val="008A715F"/>
    <w:rsid w:val="008A7BE1"/>
    <w:rsid w:val="008B0736"/>
    <w:rsid w:val="008B0819"/>
    <w:rsid w:val="008B1FDB"/>
    <w:rsid w:val="008B2243"/>
    <w:rsid w:val="008B31F9"/>
    <w:rsid w:val="008B3B76"/>
    <w:rsid w:val="008B419F"/>
    <w:rsid w:val="008B4DCE"/>
    <w:rsid w:val="008B6153"/>
    <w:rsid w:val="008C0B04"/>
    <w:rsid w:val="008C2B68"/>
    <w:rsid w:val="008C30EA"/>
    <w:rsid w:val="008C4D91"/>
    <w:rsid w:val="008D4318"/>
    <w:rsid w:val="008D4B40"/>
    <w:rsid w:val="008D4F2F"/>
    <w:rsid w:val="008D587E"/>
    <w:rsid w:val="008E0559"/>
    <w:rsid w:val="008E2D7C"/>
    <w:rsid w:val="008E5927"/>
    <w:rsid w:val="008E6FBF"/>
    <w:rsid w:val="008F0E5A"/>
    <w:rsid w:val="008F11AD"/>
    <w:rsid w:val="008F3D4B"/>
    <w:rsid w:val="008F473D"/>
    <w:rsid w:val="008F4883"/>
    <w:rsid w:val="008F5216"/>
    <w:rsid w:val="00901411"/>
    <w:rsid w:val="00901B2F"/>
    <w:rsid w:val="00902C2B"/>
    <w:rsid w:val="009032EA"/>
    <w:rsid w:val="0090636D"/>
    <w:rsid w:val="00907B20"/>
    <w:rsid w:val="009116FE"/>
    <w:rsid w:val="0091421D"/>
    <w:rsid w:val="009148BF"/>
    <w:rsid w:val="0091666C"/>
    <w:rsid w:val="00917F70"/>
    <w:rsid w:val="00920458"/>
    <w:rsid w:val="0092351F"/>
    <w:rsid w:val="00923CDC"/>
    <w:rsid w:val="00923CE0"/>
    <w:rsid w:val="00925D62"/>
    <w:rsid w:val="0092726B"/>
    <w:rsid w:val="00927A2E"/>
    <w:rsid w:val="009310D1"/>
    <w:rsid w:val="00932472"/>
    <w:rsid w:val="009344B7"/>
    <w:rsid w:val="00934C2B"/>
    <w:rsid w:val="00935338"/>
    <w:rsid w:val="0093723B"/>
    <w:rsid w:val="009372AA"/>
    <w:rsid w:val="00937C7D"/>
    <w:rsid w:val="00942082"/>
    <w:rsid w:val="009421F5"/>
    <w:rsid w:val="00942B4F"/>
    <w:rsid w:val="00943DE7"/>
    <w:rsid w:val="00946817"/>
    <w:rsid w:val="00950B06"/>
    <w:rsid w:val="009527FB"/>
    <w:rsid w:val="0095361B"/>
    <w:rsid w:val="00955684"/>
    <w:rsid w:val="0095656A"/>
    <w:rsid w:val="00957304"/>
    <w:rsid w:val="00960BF9"/>
    <w:rsid w:val="009629EA"/>
    <w:rsid w:val="00970069"/>
    <w:rsid w:val="0097022B"/>
    <w:rsid w:val="00971D41"/>
    <w:rsid w:val="00971E7B"/>
    <w:rsid w:val="009721EB"/>
    <w:rsid w:val="009731FF"/>
    <w:rsid w:val="00973C23"/>
    <w:rsid w:val="00981B45"/>
    <w:rsid w:val="009823B4"/>
    <w:rsid w:val="00982999"/>
    <w:rsid w:val="00982BB4"/>
    <w:rsid w:val="009841E3"/>
    <w:rsid w:val="00984899"/>
    <w:rsid w:val="00986E38"/>
    <w:rsid w:val="009969B3"/>
    <w:rsid w:val="00996CAC"/>
    <w:rsid w:val="00996D89"/>
    <w:rsid w:val="009A31FE"/>
    <w:rsid w:val="009A71C3"/>
    <w:rsid w:val="009B1767"/>
    <w:rsid w:val="009B195A"/>
    <w:rsid w:val="009B4B07"/>
    <w:rsid w:val="009B4F2A"/>
    <w:rsid w:val="009B706E"/>
    <w:rsid w:val="009C14E5"/>
    <w:rsid w:val="009C184A"/>
    <w:rsid w:val="009C20E7"/>
    <w:rsid w:val="009C22CF"/>
    <w:rsid w:val="009C423A"/>
    <w:rsid w:val="009D347E"/>
    <w:rsid w:val="009E03A2"/>
    <w:rsid w:val="009E07D1"/>
    <w:rsid w:val="009E0AD8"/>
    <w:rsid w:val="009E0F3F"/>
    <w:rsid w:val="009E4762"/>
    <w:rsid w:val="009E6E4F"/>
    <w:rsid w:val="009E703B"/>
    <w:rsid w:val="009E79ED"/>
    <w:rsid w:val="009E7F95"/>
    <w:rsid w:val="009F6255"/>
    <w:rsid w:val="009F6613"/>
    <w:rsid w:val="009F6A3E"/>
    <w:rsid w:val="009F7D41"/>
    <w:rsid w:val="00A0102D"/>
    <w:rsid w:val="00A0461A"/>
    <w:rsid w:val="00A04C59"/>
    <w:rsid w:val="00A05195"/>
    <w:rsid w:val="00A05525"/>
    <w:rsid w:val="00A061DD"/>
    <w:rsid w:val="00A07596"/>
    <w:rsid w:val="00A07960"/>
    <w:rsid w:val="00A11CE6"/>
    <w:rsid w:val="00A1311D"/>
    <w:rsid w:val="00A13D09"/>
    <w:rsid w:val="00A13D7A"/>
    <w:rsid w:val="00A14DE0"/>
    <w:rsid w:val="00A17A08"/>
    <w:rsid w:val="00A2163A"/>
    <w:rsid w:val="00A21AEA"/>
    <w:rsid w:val="00A21D05"/>
    <w:rsid w:val="00A22DB0"/>
    <w:rsid w:val="00A2384E"/>
    <w:rsid w:val="00A250EF"/>
    <w:rsid w:val="00A25B79"/>
    <w:rsid w:val="00A26C42"/>
    <w:rsid w:val="00A3003B"/>
    <w:rsid w:val="00A32799"/>
    <w:rsid w:val="00A32BEE"/>
    <w:rsid w:val="00A33547"/>
    <w:rsid w:val="00A33F0A"/>
    <w:rsid w:val="00A3425D"/>
    <w:rsid w:val="00A35F7E"/>
    <w:rsid w:val="00A419D6"/>
    <w:rsid w:val="00A46132"/>
    <w:rsid w:val="00A467AF"/>
    <w:rsid w:val="00A50A7E"/>
    <w:rsid w:val="00A50AEF"/>
    <w:rsid w:val="00A51E88"/>
    <w:rsid w:val="00A533F7"/>
    <w:rsid w:val="00A57AC0"/>
    <w:rsid w:val="00A60673"/>
    <w:rsid w:val="00A61BCE"/>
    <w:rsid w:val="00A62805"/>
    <w:rsid w:val="00A656D8"/>
    <w:rsid w:val="00A67BB7"/>
    <w:rsid w:val="00A7294C"/>
    <w:rsid w:val="00A72A5E"/>
    <w:rsid w:val="00A72D60"/>
    <w:rsid w:val="00A7408F"/>
    <w:rsid w:val="00A740BF"/>
    <w:rsid w:val="00A74211"/>
    <w:rsid w:val="00A74390"/>
    <w:rsid w:val="00A80A4D"/>
    <w:rsid w:val="00A866F9"/>
    <w:rsid w:val="00A86ECB"/>
    <w:rsid w:val="00A87A3B"/>
    <w:rsid w:val="00A9185D"/>
    <w:rsid w:val="00A91D24"/>
    <w:rsid w:val="00A91F31"/>
    <w:rsid w:val="00A927A4"/>
    <w:rsid w:val="00A93889"/>
    <w:rsid w:val="00A9422A"/>
    <w:rsid w:val="00AA2A39"/>
    <w:rsid w:val="00AA68E9"/>
    <w:rsid w:val="00AA6BA1"/>
    <w:rsid w:val="00AA6CF6"/>
    <w:rsid w:val="00AB1CDF"/>
    <w:rsid w:val="00AB3038"/>
    <w:rsid w:val="00AB31F6"/>
    <w:rsid w:val="00AB34D2"/>
    <w:rsid w:val="00AB69EA"/>
    <w:rsid w:val="00AB7A2C"/>
    <w:rsid w:val="00AB7D47"/>
    <w:rsid w:val="00AC0D16"/>
    <w:rsid w:val="00AC1872"/>
    <w:rsid w:val="00AC327F"/>
    <w:rsid w:val="00AC4FBF"/>
    <w:rsid w:val="00AC5762"/>
    <w:rsid w:val="00AC5DCB"/>
    <w:rsid w:val="00AD176C"/>
    <w:rsid w:val="00AD28AD"/>
    <w:rsid w:val="00AD2925"/>
    <w:rsid w:val="00AD5FB0"/>
    <w:rsid w:val="00AD631F"/>
    <w:rsid w:val="00AE02F5"/>
    <w:rsid w:val="00AE1248"/>
    <w:rsid w:val="00AE159D"/>
    <w:rsid w:val="00AE21FF"/>
    <w:rsid w:val="00AE2C76"/>
    <w:rsid w:val="00AE5C81"/>
    <w:rsid w:val="00AF0DCF"/>
    <w:rsid w:val="00AF140A"/>
    <w:rsid w:val="00AF154F"/>
    <w:rsid w:val="00AF1F18"/>
    <w:rsid w:val="00AF3228"/>
    <w:rsid w:val="00AF6912"/>
    <w:rsid w:val="00B006AC"/>
    <w:rsid w:val="00B0080F"/>
    <w:rsid w:val="00B04576"/>
    <w:rsid w:val="00B04AEE"/>
    <w:rsid w:val="00B04DA3"/>
    <w:rsid w:val="00B04F88"/>
    <w:rsid w:val="00B0726E"/>
    <w:rsid w:val="00B1161B"/>
    <w:rsid w:val="00B13099"/>
    <w:rsid w:val="00B14A16"/>
    <w:rsid w:val="00B17BB4"/>
    <w:rsid w:val="00B219D1"/>
    <w:rsid w:val="00B26C25"/>
    <w:rsid w:val="00B37038"/>
    <w:rsid w:val="00B40D3D"/>
    <w:rsid w:val="00B4283C"/>
    <w:rsid w:val="00B441CF"/>
    <w:rsid w:val="00B444A7"/>
    <w:rsid w:val="00B459D4"/>
    <w:rsid w:val="00B51D01"/>
    <w:rsid w:val="00B52F00"/>
    <w:rsid w:val="00B54F2C"/>
    <w:rsid w:val="00B56416"/>
    <w:rsid w:val="00B618D3"/>
    <w:rsid w:val="00B63CE5"/>
    <w:rsid w:val="00B640E2"/>
    <w:rsid w:val="00B65BE1"/>
    <w:rsid w:val="00B65F66"/>
    <w:rsid w:val="00B66AAE"/>
    <w:rsid w:val="00B67C4C"/>
    <w:rsid w:val="00B73A84"/>
    <w:rsid w:val="00B75794"/>
    <w:rsid w:val="00B7604E"/>
    <w:rsid w:val="00B80E3F"/>
    <w:rsid w:val="00B81B97"/>
    <w:rsid w:val="00B81FA4"/>
    <w:rsid w:val="00B872DA"/>
    <w:rsid w:val="00B8794C"/>
    <w:rsid w:val="00B90C25"/>
    <w:rsid w:val="00B91B81"/>
    <w:rsid w:val="00B91C31"/>
    <w:rsid w:val="00B93CDF"/>
    <w:rsid w:val="00B9597D"/>
    <w:rsid w:val="00B95EF4"/>
    <w:rsid w:val="00B95F58"/>
    <w:rsid w:val="00BA045E"/>
    <w:rsid w:val="00BA0DEF"/>
    <w:rsid w:val="00BA1A9E"/>
    <w:rsid w:val="00BA4E4B"/>
    <w:rsid w:val="00BA7F5F"/>
    <w:rsid w:val="00BB3647"/>
    <w:rsid w:val="00BB6509"/>
    <w:rsid w:val="00BC0E6A"/>
    <w:rsid w:val="00BC1D79"/>
    <w:rsid w:val="00BC23AA"/>
    <w:rsid w:val="00BC248C"/>
    <w:rsid w:val="00BC6BF0"/>
    <w:rsid w:val="00BC6FC6"/>
    <w:rsid w:val="00BC799F"/>
    <w:rsid w:val="00BD1DD2"/>
    <w:rsid w:val="00BD4CB3"/>
    <w:rsid w:val="00BD5DE8"/>
    <w:rsid w:val="00BE290D"/>
    <w:rsid w:val="00BE2EF8"/>
    <w:rsid w:val="00BE6C39"/>
    <w:rsid w:val="00BF00E8"/>
    <w:rsid w:val="00BF39D7"/>
    <w:rsid w:val="00BF4492"/>
    <w:rsid w:val="00BF48C6"/>
    <w:rsid w:val="00C002BD"/>
    <w:rsid w:val="00C00377"/>
    <w:rsid w:val="00C01866"/>
    <w:rsid w:val="00C01EC0"/>
    <w:rsid w:val="00C02166"/>
    <w:rsid w:val="00C0558A"/>
    <w:rsid w:val="00C069CD"/>
    <w:rsid w:val="00C06CA9"/>
    <w:rsid w:val="00C07153"/>
    <w:rsid w:val="00C10272"/>
    <w:rsid w:val="00C10420"/>
    <w:rsid w:val="00C10731"/>
    <w:rsid w:val="00C14554"/>
    <w:rsid w:val="00C154DF"/>
    <w:rsid w:val="00C1596C"/>
    <w:rsid w:val="00C15A38"/>
    <w:rsid w:val="00C1791E"/>
    <w:rsid w:val="00C202DB"/>
    <w:rsid w:val="00C2034A"/>
    <w:rsid w:val="00C208EF"/>
    <w:rsid w:val="00C244EE"/>
    <w:rsid w:val="00C24B73"/>
    <w:rsid w:val="00C31485"/>
    <w:rsid w:val="00C33D0B"/>
    <w:rsid w:val="00C34BC1"/>
    <w:rsid w:val="00C41395"/>
    <w:rsid w:val="00C45641"/>
    <w:rsid w:val="00C46623"/>
    <w:rsid w:val="00C50B07"/>
    <w:rsid w:val="00C51B8B"/>
    <w:rsid w:val="00C554B2"/>
    <w:rsid w:val="00C60C85"/>
    <w:rsid w:val="00C62921"/>
    <w:rsid w:val="00C64210"/>
    <w:rsid w:val="00C657B8"/>
    <w:rsid w:val="00C67DB1"/>
    <w:rsid w:val="00C71DB1"/>
    <w:rsid w:val="00C72224"/>
    <w:rsid w:val="00C75706"/>
    <w:rsid w:val="00C7622A"/>
    <w:rsid w:val="00C81FDE"/>
    <w:rsid w:val="00C84117"/>
    <w:rsid w:val="00C84BE0"/>
    <w:rsid w:val="00C85B4C"/>
    <w:rsid w:val="00C862CE"/>
    <w:rsid w:val="00C8700E"/>
    <w:rsid w:val="00C9114E"/>
    <w:rsid w:val="00C91C51"/>
    <w:rsid w:val="00C91DD8"/>
    <w:rsid w:val="00C9331E"/>
    <w:rsid w:val="00C93593"/>
    <w:rsid w:val="00C9375D"/>
    <w:rsid w:val="00C9685B"/>
    <w:rsid w:val="00C9717E"/>
    <w:rsid w:val="00C973C8"/>
    <w:rsid w:val="00C97522"/>
    <w:rsid w:val="00CA0FA2"/>
    <w:rsid w:val="00CA200B"/>
    <w:rsid w:val="00CA4815"/>
    <w:rsid w:val="00CA51CD"/>
    <w:rsid w:val="00CA722D"/>
    <w:rsid w:val="00CB051A"/>
    <w:rsid w:val="00CB6E16"/>
    <w:rsid w:val="00CC0B1C"/>
    <w:rsid w:val="00CC0F23"/>
    <w:rsid w:val="00CC3CE5"/>
    <w:rsid w:val="00CC6E6F"/>
    <w:rsid w:val="00CC7BDA"/>
    <w:rsid w:val="00CC7E5E"/>
    <w:rsid w:val="00CD4B58"/>
    <w:rsid w:val="00CD53D1"/>
    <w:rsid w:val="00CD6227"/>
    <w:rsid w:val="00CD7C87"/>
    <w:rsid w:val="00CD7EAA"/>
    <w:rsid w:val="00CD7FBC"/>
    <w:rsid w:val="00CE03DE"/>
    <w:rsid w:val="00CE29D6"/>
    <w:rsid w:val="00CE44B3"/>
    <w:rsid w:val="00CE4C92"/>
    <w:rsid w:val="00CE7254"/>
    <w:rsid w:val="00CE7B23"/>
    <w:rsid w:val="00CF284E"/>
    <w:rsid w:val="00CF45E1"/>
    <w:rsid w:val="00CF5A2E"/>
    <w:rsid w:val="00CF6562"/>
    <w:rsid w:val="00CF7946"/>
    <w:rsid w:val="00CF7A5A"/>
    <w:rsid w:val="00D135BA"/>
    <w:rsid w:val="00D14D4E"/>
    <w:rsid w:val="00D170A3"/>
    <w:rsid w:val="00D20CA4"/>
    <w:rsid w:val="00D22576"/>
    <w:rsid w:val="00D227EC"/>
    <w:rsid w:val="00D2309C"/>
    <w:rsid w:val="00D24CA5"/>
    <w:rsid w:val="00D26590"/>
    <w:rsid w:val="00D27624"/>
    <w:rsid w:val="00D31CD6"/>
    <w:rsid w:val="00D33387"/>
    <w:rsid w:val="00D337E5"/>
    <w:rsid w:val="00D37E16"/>
    <w:rsid w:val="00D41BB3"/>
    <w:rsid w:val="00D41F29"/>
    <w:rsid w:val="00D428F8"/>
    <w:rsid w:val="00D42EBE"/>
    <w:rsid w:val="00D4416F"/>
    <w:rsid w:val="00D44709"/>
    <w:rsid w:val="00D44A0A"/>
    <w:rsid w:val="00D44D7E"/>
    <w:rsid w:val="00D4695B"/>
    <w:rsid w:val="00D47D44"/>
    <w:rsid w:val="00D500A6"/>
    <w:rsid w:val="00D506E9"/>
    <w:rsid w:val="00D50C58"/>
    <w:rsid w:val="00D50D50"/>
    <w:rsid w:val="00D54C53"/>
    <w:rsid w:val="00D5688A"/>
    <w:rsid w:val="00D57165"/>
    <w:rsid w:val="00D57869"/>
    <w:rsid w:val="00D607B0"/>
    <w:rsid w:val="00D61861"/>
    <w:rsid w:val="00D637AE"/>
    <w:rsid w:val="00D6654A"/>
    <w:rsid w:val="00D70E70"/>
    <w:rsid w:val="00D7234F"/>
    <w:rsid w:val="00D75896"/>
    <w:rsid w:val="00D766D7"/>
    <w:rsid w:val="00D84043"/>
    <w:rsid w:val="00D84C94"/>
    <w:rsid w:val="00D85895"/>
    <w:rsid w:val="00D8610E"/>
    <w:rsid w:val="00D928FA"/>
    <w:rsid w:val="00D96739"/>
    <w:rsid w:val="00D96A35"/>
    <w:rsid w:val="00D96F7A"/>
    <w:rsid w:val="00DA039B"/>
    <w:rsid w:val="00DA0D03"/>
    <w:rsid w:val="00DA18EE"/>
    <w:rsid w:val="00DA1EC0"/>
    <w:rsid w:val="00DA355A"/>
    <w:rsid w:val="00DA415A"/>
    <w:rsid w:val="00DA4BC0"/>
    <w:rsid w:val="00DA4E2D"/>
    <w:rsid w:val="00DA52FA"/>
    <w:rsid w:val="00DA782F"/>
    <w:rsid w:val="00DB10D0"/>
    <w:rsid w:val="00DB3679"/>
    <w:rsid w:val="00DB6081"/>
    <w:rsid w:val="00DB7053"/>
    <w:rsid w:val="00DB753C"/>
    <w:rsid w:val="00DC0153"/>
    <w:rsid w:val="00DC0E5E"/>
    <w:rsid w:val="00DC1696"/>
    <w:rsid w:val="00DC30FA"/>
    <w:rsid w:val="00DC5980"/>
    <w:rsid w:val="00DC5A84"/>
    <w:rsid w:val="00DD0378"/>
    <w:rsid w:val="00DD20A3"/>
    <w:rsid w:val="00DD2B46"/>
    <w:rsid w:val="00DD7A8A"/>
    <w:rsid w:val="00DE02E3"/>
    <w:rsid w:val="00DE0ADE"/>
    <w:rsid w:val="00DE2278"/>
    <w:rsid w:val="00DE276A"/>
    <w:rsid w:val="00DE2B1B"/>
    <w:rsid w:val="00DE4DB9"/>
    <w:rsid w:val="00DE6297"/>
    <w:rsid w:val="00DF03CD"/>
    <w:rsid w:val="00DF0E7D"/>
    <w:rsid w:val="00DF22EA"/>
    <w:rsid w:val="00DF38E5"/>
    <w:rsid w:val="00E010D7"/>
    <w:rsid w:val="00E01FCC"/>
    <w:rsid w:val="00E03FD4"/>
    <w:rsid w:val="00E0425D"/>
    <w:rsid w:val="00E05098"/>
    <w:rsid w:val="00E05C97"/>
    <w:rsid w:val="00E136D5"/>
    <w:rsid w:val="00E14736"/>
    <w:rsid w:val="00E14F3A"/>
    <w:rsid w:val="00E161B5"/>
    <w:rsid w:val="00E162C5"/>
    <w:rsid w:val="00E163E2"/>
    <w:rsid w:val="00E2185F"/>
    <w:rsid w:val="00E23637"/>
    <w:rsid w:val="00E24203"/>
    <w:rsid w:val="00E267DE"/>
    <w:rsid w:val="00E27A16"/>
    <w:rsid w:val="00E27A85"/>
    <w:rsid w:val="00E30B14"/>
    <w:rsid w:val="00E32FAA"/>
    <w:rsid w:val="00E34C1D"/>
    <w:rsid w:val="00E408BB"/>
    <w:rsid w:val="00E4467C"/>
    <w:rsid w:val="00E4480A"/>
    <w:rsid w:val="00E50391"/>
    <w:rsid w:val="00E50566"/>
    <w:rsid w:val="00E505B3"/>
    <w:rsid w:val="00E50ADD"/>
    <w:rsid w:val="00E513FF"/>
    <w:rsid w:val="00E52809"/>
    <w:rsid w:val="00E52851"/>
    <w:rsid w:val="00E529E5"/>
    <w:rsid w:val="00E52EA5"/>
    <w:rsid w:val="00E57B1A"/>
    <w:rsid w:val="00E627D5"/>
    <w:rsid w:val="00E63175"/>
    <w:rsid w:val="00E645E5"/>
    <w:rsid w:val="00E6652F"/>
    <w:rsid w:val="00E70AAA"/>
    <w:rsid w:val="00E72D87"/>
    <w:rsid w:val="00E74FDE"/>
    <w:rsid w:val="00E754E5"/>
    <w:rsid w:val="00E83495"/>
    <w:rsid w:val="00E86C2B"/>
    <w:rsid w:val="00E919CB"/>
    <w:rsid w:val="00E922BB"/>
    <w:rsid w:val="00E9421A"/>
    <w:rsid w:val="00EA356F"/>
    <w:rsid w:val="00EA5AD5"/>
    <w:rsid w:val="00EB336D"/>
    <w:rsid w:val="00EB4C2F"/>
    <w:rsid w:val="00EC1BF7"/>
    <w:rsid w:val="00EC3777"/>
    <w:rsid w:val="00EC51B5"/>
    <w:rsid w:val="00ED0DDF"/>
    <w:rsid w:val="00ED122E"/>
    <w:rsid w:val="00ED30A0"/>
    <w:rsid w:val="00ED4216"/>
    <w:rsid w:val="00ED4BF6"/>
    <w:rsid w:val="00ED62DD"/>
    <w:rsid w:val="00EE27DC"/>
    <w:rsid w:val="00EE29D9"/>
    <w:rsid w:val="00EE345B"/>
    <w:rsid w:val="00EE3D94"/>
    <w:rsid w:val="00EE53E4"/>
    <w:rsid w:val="00EE5A01"/>
    <w:rsid w:val="00EE5D43"/>
    <w:rsid w:val="00EE6478"/>
    <w:rsid w:val="00EE6B0C"/>
    <w:rsid w:val="00EF4DCF"/>
    <w:rsid w:val="00EF664F"/>
    <w:rsid w:val="00EF6D4A"/>
    <w:rsid w:val="00EF747D"/>
    <w:rsid w:val="00EF76AD"/>
    <w:rsid w:val="00EF7E48"/>
    <w:rsid w:val="00F02748"/>
    <w:rsid w:val="00F029BA"/>
    <w:rsid w:val="00F02E6F"/>
    <w:rsid w:val="00F02FCD"/>
    <w:rsid w:val="00F03621"/>
    <w:rsid w:val="00F04EEA"/>
    <w:rsid w:val="00F061CD"/>
    <w:rsid w:val="00F06AF2"/>
    <w:rsid w:val="00F06B8F"/>
    <w:rsid w:val="00F074A8"/>
    <w:rsid w:val="00F1000D"/>
    <w:rsid w:val="00F1021C"/>
    <w:rsid w:val="00F10BA4"/>
    <w:rsid w:val="00F11CC8"/>
    <w:rsid w:val="00F11E0A"/>
    <w:rsid w:val="00F13E64"/>
    <w:rsid w:val="00F21326"/>
    <w:rsid w:val="00F23AB3"/>
    <w:rsid w:val="00F23B8A"/>
    <w:rsid w:val="00F24A44"/>
    <w:rsid w:val="00F25D21"/>
    <w:rsid w:val="00F311A4"/>
    <w:rsid w:val="00F31706"/>
    <w:rsid w:val="00F32C6A"/>
    <w:rsid w:val="00F33F18"/>
    <w:rsid w:val="00F34947"/>
    <w:rsid w:val="00F35BFF"/>
    <w:rsid w:val="00F36551"/>
    <w:rsid w:val="00F36B18"/>
    <w:rsid w:val="00F373A9"/>
    <w:rsid w:val="00F46CFF"/>
    <w:rsid w:val="00F55710"/>
    <w:rsid w:val="00F57BB2"/>
    <w:rsid w:val="00F61751"/>
    <w:rsid w:val="00F66CB7"/>
    <w:rsid w:val="00F7127D"/>
    <w:rsid w:val="00F738AB"/>
    <w:rsid w:val="00F7454A"/>
    <w:rsid w:val="00F773D8"/>
    <w:rsid w:val="00F80D24"/>
    <w:rsid w:val="00F82C2C"/>
    <w:rsid w:val="00F84048"/>
    <w:rsid w:val="00F8519B"/>
    <w:rsid w:val="00F85913"/>
    <w:rsid w:val="00F85E34"/>
    <w:rsid w:val="00F90FC8"/>
    <w:rsid w:val="00F9196F"/>
    <w:rsid w:val="00F91977"/>
    <w:rsid w:val="00F92AA5"/>
    <w:rsid w:val="00F93C7D"/>
    <w:rsid w:val="00F943AC"/>
    <w:rsid w:val="00F9518B"/>
    <w:rsid w:val="00F95334"/>
    <w:rsid w:val="00F95C9A"/>
    <w:rsid w:val="00F96C80"/>
    <w:rsid w:val="00FA0487"/>
    <w:rsid w:val="00FA0B96"/>
    <w:rsid w:val="00FA19CA"/>
    <w:rsid w:val="00FA28ED"/>
    <w:rsid w:val="00FA3B0F"/>
    <w:rsid w:val="00FA3BA7"/>
    <w:rsid w:val="00FA4872"/>
    <w:rsid w:val="00FA5019"/>
    <w:rsid w:val="00FA5215"/>
    <w:rsid w:val="00FA5916"/>
    <w:rsid w:val="00FA754B"/>
    <w:rsid w:val="00FA7ED4"/>
    <w:rsid w:val="00FB0980"/>
    <w:rsid w:val="00FB2379"/>
    <w:rsid w:val="00FB6AE0"/>
    <w:rsid w:val="00FB7495"/>
    <w:rsid w:val="00FC04DD"/>
    <w:rsid w:val="00FC3E42"/>
    <w:rsid w:val="00FD1109"/>
    <w:rsid w:val="00FD4D6E"/>
    <w:rsid w:val="00FD7A07"/>
    <w:rsid w:val="00FD7E6C"/>
    <w:rsid w:val="00FE1A48"/>
    <w:rsid w:val="00FE222A"/>
    <w:rsid w:val="00FE6F69"/>
    <w:rsid w:val="00FF002E"/>
    <w:rsid w:val="00FF11E2"/>
    <w:rsid w:val="00FF23B5"/>
    <w:rsid w:val="00FF5BC8"/>
    <w:rsid w:val="00FF5E14"/>
    <w:rsid w:val="00FF6702"/>
    <w:rsid w:val="00FF7DB9"/>
    <w:rsid w:val="01B6B731"/>
    <w:rsid w:val="02764AB6"/>
    <w:rsid w:val="05B54D13"/>
    <w:rsid w:val="0DF25ACF"/>
    <w:rsid w:val="121D572D"/>
    <w:rsid w:val="19B71940"/>
    <w:rsid w:val="1E287052"/>
    <w:rsid w:val="1F8A2410"/>
    <w:rsid w:val="2A68F492"/>
    <w:rsid w:val="2AE45A1B"/>
    <w:rsid w:val="2BEB1BB0"/>
    <w:rsid w:val="2EF621DC"/>
    <w:rsid w:val="300DF253"/>
    <w:rsid w:val="341BC360"/>
    <w:rsid w:val="3A174658"/>
    <w:rsid w:val="3C9D7A2E"/>
    <w:rsid w:val="3CD37FEA"/>
    <w:rsid w:val="4159CD9B"/>
    <w:rsid w:val="4C976F0C"/>
    <w:rsid w:val="550B070E"/>
    <w:rsid w:val="5C7A4301"/>
    <w:rsid w:val="615CDE9E"/>
    <w:rsid w:val="61943D71"/>
    <w:rsid w:val="6536EA57"/>
    <w:rsid w:val="6A1D9CFB"/>
    <w:rsid w:val="79AF71E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15:docId w15:val="{F0CBDD4B-07F1-4009-9AAA-93D64DB482A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qFormat="1"/>
    <w:lsdException w:name="heading 9" w:uiPriority="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16"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uiPriority="0"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uiPriority="7" w:semiHidden="1"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qFormat="1"/>
    <w:lsdException w:name="Quote" w:uiPriority="29" w:qFormat="1"/>
    <w:lsdException w:name="Intense Quote" w:uiPriority="3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85377"/>
    <w:pPr>
      <w:spacing w:after="240"/>
    </w:pPr>
  </w:style>
  <w:style w:type="paragraph" w:styleId="Heading1">
    <w:name w:val="heading 1"/>
    <w:basedOn w:val="Normal"/>
    <w:next w:val="Normal"/>
    <w:link w:val="Heading1Char"/>
    <w:uiPriority w:val="9"/>
    <w:qFormat/>
    <w:rsid w:val="009D347E"/>
    <w:pPr>
      <w:keepNext/>
      <w:keepLines/>
      <w:numPr>
        <w:numId w:val="7"/>
      </w:numPr>
      <w:spacing w:before="1320" w:after="0" w:line="940" w:lineRule="exact"/>
      <w:outlineLvl w:val="0"/>
    </w:pPr>
    <w:rPr>
      <w:rFonts w:ascii="Calibri" w:hAnsi="Calibri" w:eastAsiaTheme="majorEastAsia" w:cstheme="majorBidi"/>
      <w:b/>
      <w:sz w:val="32"/>
      <w:szCs w:val="32"/>
    </w:rPr>
  </w:style>
  <w:style w:type="paragraph" w:styleId="Heading2">
    <w:name w:val="heading 2"/>
    <w:basedOn w:val="Normal"/>
    <w:next w:val="Normal"/>
    <w:link w:val="Heading2Char"/>
    <w:uiPriority w:val="9"/>
    <w:unhideWhenUsed/>
    <w:qFormat/>
    <w:rsid w:val="006108A9"/>
    <w:pPr>
      <w:keepNext/>
      <w:keepLines/>
      <w:spacing w:before="240" w:after="0"/>
      <w:outlineLvl w:val="1"/>
    </w:pPr>
    <w:rPr>
      <w:rFonts w:eastAsiaTheme="majorEastAsia" w:cstheme="minorHAnsi"/>
      <w:b/>
      <w:color w:val="55437E" w:themeColor="accent2"/>
      <w:sz w:val="30"/>
      <w:szCs w:val="30"/>
    </w:rPr>
  </w:style>
  <w:style w:type="paragraph" w:styleId="Heading3">
    <w:name w:val="heading 3"/>
    <w:basedOn w:val="Normal"/>
    <w:next w:val="Normal"/>
    <w:link w:val="Heading3Char"/>
    <w:uiPriority w:val="9"/>
    <w:unhideWhenUsed/>
    <w:qFormat/>
    <w:rsid w:val="006108A9"/>
    <w:pPr>
      <w:keepNext/>
      <w:keepLines/>
      <w:spacing w:before="240" w:after="0"/>
      <w:outlineLvl w:val="2"/>
    </w:pPr>
    <w:rPr>
      <w:rFonts w:asciiTheme="majorHAnsi" w:hAnsiTheme="majorHAnsi" w:eastAsiaTheme="majorEastAsia" w:cstheme="majorBidi"/>
      <w:b/>
      <w:color w:val="008599" w:themeColor="accent1"/>
      <w:sz w:val="30"/>
      <w:szCs w:val="30"/>
    </w:rPr>
  </w:style>
  <w:style w:type="paragraph" w:styleId="Heading4">
    <w:name w:val="heading 4"/>
    <w:basedOn w:val="Heading31"/>
    <w:next w:val="Normal"/>
    <w:link w:val="Heading4Char"/>
    <w:uiPriority w:val="9"/>
    <w:unhideWhenUsed/>
    <w:qFormat/>
    <w:rsid w:val="00D637AE"/>
    <w:pPr>
      <w:outlineLvl w:val="3"/>
    </w:pPr>
  </w:style>
  <w:style w:type="paragraph" w:styleId="Heading5">
    <w:name w:val="heading 5"/>
    <w:basedOn w:val="Normal"/>
    <w:next w:val="Normal"/>
    <w:link w:val="Heading5Char"/>
    <w:uiPriority w:val="9"/>
    <w:unhideWhenUsed/>
    <w:qFormat/>
    <w:rsid w:val="00D637AE"/>
    <w:pPr>
      <w:keepNext/>
      <w:keepLines/>
      <w:spacing w:before="40" w:after="0"/>
      <w:outlineLvl w:val="4"/>
    </w:pPr>
    <w:rPr>
      <w:rFonts w:eastAsiaTheme="majorEastAsia" w:cstheme="minorHAnsi"/>
      <w:b/>
      <w:color w:val="595959" w:themeColor="text1" w:themeTint="A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hAnsiTheme="majorHAnsi" w:eastAsiaTheme="majorEastAsia"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styleId="HeaderChar" w:customStyle="1">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styleId="FooterChar" w:customStyle="1">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9D347E"/>
    <w:rPr>
      <w:rFonts w:ascii="Calibri" w:hAnsi="Calibri" w:eastAsiaTheme="majorEastAsia" w:cstheme="majorBidi"/>
      <w:b/>
      <w:sz w:val="32"/>
      <w:szCs w:val="32"/>
    </w:rPr>
  </w:style>
  <w:style w:type="character" w:styleId="Heading2Char" w:customStyle="1">
    <w:name w:val="Heading 2 Char"/>
    <w:basedOn w:val="DefaultParagraphFont"/>
    <w:link w:val="Heading2"/>
    <w:uiPriority w:val="9"/>
    <w:rsid w:val="006108A9"/>
    <w:rPr>
      <w:rFonts w:eastAsiaTheme="majorEastAsia" w:cstheme="minorHAnsi"/>
      <w:b/>
      <w:color w:val="55437E" w:themeColor="accent2"/>
      <w:sz w:val="30"/>
      <w:szCs w:val="30"/>
    </w:rPr>
  </w:style>
  <w:style w:type="character" w:styleId="Heading3Char" w:customStyle="1">
    <w:name w:val="Heading 3 Char"/>
    <w:basedOn w:val="DefaultParagraphFont"/>
    <w:link w:val="Heading3"/>
    <w:uiPriority w:val="9"/>
    <w:rsid w:val="006108A9"/>
    <w:rPr>
      <w:rFonts w:asciiTheme="majorHAnsi" w:hAnsiTheme="majorHAnsi" w:eastAsiaTheme="majorEastAsia" w:cstheme="majorBidi"/>
      <w:b/>
      <w:color w:val="008599" w:themeColor="accent1"/>
      <w:sz w:val="30"/>
      <w:szCs w:val="30"/>
    </w:rPr>
  </w:style>
  <w:style w:type="character" w:styleId="Heading4Char" w:customStyle="1">
    <w:name w:val="Heading 4 Char"/>
    <w:basedOn w:val="DefaultParagraphFont"/>
    <w:link w:val="Heading4"/>
    <w:uiPriority w:val="9"/>
    <w:rsid w:val="00D637AE"/>
    <w:rPr>
      <w:rFonts w:asciiTheme="majorHAnsi" w:hAnsiTheme="majorHAnsi" w:eastAsiaTheme="majorEastAsia" w:cstheme="majorBidi"/>
      <w:b/>
      <w:color w:val="004C6C" w:themeColor="background2"/>
      <w:sz w:val="28"/>
      <w:szCs w:val="30"/>
    </w:rPr>
  </w:style>
  <w:style w:type="character" w:styleId="Heading5Char" w:customStyle="1">
    <w:name w:val="Heading 5 Char"/>
    <w:basedOn w:val="DefaultParagraphFont"/>
    <w:link w:val="Heading5"/>
    <w:uiPriority w:val="9"/>
    <w:rsid w:val="00D637AE"/>
    <w:rPr>
      <w:rFonts w:eastAsiaTheme="majorEastAsia" w:cstheme="minorHAnsi"/>
      <w:b/>
      <w:color w:val="595959" w:themeColor="text1" w:themeTint="A6"/>
    </w:rPr>
  </w:style>
  <w:style w:type="character" w:styleId="Heading6Char" w:customStyle="1">
    <w:name w:val="Heading 6 Char"/>
    <w:basedOn w:val="DefaultParagraphFont"/>
    <w:link w:val="Heading6"/>
    <w:uiPriority w:val="9"/>
    <w:rsid w:val="00AD631F"/>
    <w:rPr>
      <w:rFonts w:asciiTheme="majorHAnsi" w:hAnsiTheme="majorHAnsi" w:eastAsiaTheme="majorEastAsia" w:cstheme="majorBidi"/>
      <w:b/>
      <w:color w:val="5F636A"/>
    </w:rPr>
  </w:style>
  <w:style w:type="paragraph" w:styleId="Caption">
    <w:name w:val="caption"/>
    <w:basedOn w:val="Normal"/>
    <w:next w:val="Normal"/>
    <w:link w:val="CaptionChar"/>
    <w:uiPriority w:val="16"/>
    <w:qFormat/>
    <w:rsid w:val="00EB4C2F"/>
    <w:pPr>
      <w:spacing w:after="120" w:line="240" w:lineRule="auto"/>
    </w:pPr>
    <w:rPr>
      <w:b/>
      <w:iCs/>
      <w:color w:val="00254A" w:themeColor="text2"/>
      <w:szCs w:val="18"/>
    </w:rPr>
  </w:style>
  <w:style w:type="paragraph" w:styleId="Source" w:customStyle="1">
    <w:name w:val="Source"/>
    <w:basedOn w:val="Normal"/>
    <w:uiPriority w:val="17"/>
    <w:qFormat/>
    <w:rsid w:val="00EB4C2F"/>
    <w:pPr>
      <w:spacing w:before="120"/>
    </w:pPr>
    <w:rPr>
      <w:sz w:val="18"/>
    </w:rPr>
  </w:style>
  <w:style w:type="character" w:styleId="Heading7Char" w:customStyle="1">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8"/>
    <w:qFormat/>
    <w:rsid w:val="00221D8F"/>
    <w:pPr>
      <w:numPr>
        <w:ilvl w:val="1"/>
      </w:numPr>
      <w:spacing w:before="160" w:after="140"/>
    </w:pPr>
    <w:rPr>
      <w:rFonts w:eastAsiaTheme="minorEastAsia"/>
      <w:color w:val="47BFAF" w:themeColor="accent4"/>
      <w:spacing w:val="15"/>
      <w:sz w:val="40"/>
    </w:rPr>
  </w:style>
  <w:style w:type="character" w:styleId="SubtitleChar" w:customStyle="1">
    <w:name w:val="Subtitle Char"/>
    <w:basedOn w:val="DefaultParagraphFont"/>
    <w:link w:val="Subtitle"/>
    <w:uiPriority w:val="8"/>
    <w:rsid w:val="00221D8F"/>
    <w:rPr>
      <w:rFonts w:eastAsiaTheme="minorEastAsia"/>
      <w:color w:val="47BFAF" w:themeColor="accent4"/>
      <w:spacing w:val="15"/>
      <w:sz w:val="40"/>
    </w:rPr>
  </w:style>
  <w:style w:type="paragraph" w:styleId="List">
    <w:name w:val="List"/>
    <w:basedOn w:val="Normal"/>
    <w:uiPriority w:val="99"/>
    <w:qFormat/>
    <w:rsid w:val="00886959"/>
    <w:pPr>
      <w:numPr>
        <w:numId w:val="5"/>
      </w:numPr>
      <w:spacing w:after="200"/>
      <w:contextualSpacing/>
    </w:pPr>
  </w:style>
  <w:style w:type="paragraph" w:styleId="List2">
    <w:name w:val="List 2"/>
    <w:basedOn w:val="Normal"/>
    <w:uiPriority w:val="99"/>
    <w:qFormat/>
    <w:rsid w:val="00F85913"/>
    <w:pPr>
      <w:numPr>
        <w:ilvl w:val="1"/>
        <w:numId w:val="5"/>
      </w:numPr>
      <w:spacing w:after="200"/>
      <w:contextualSpacing/>
    </w:pPr>
  </w:style>
  <w:style w:type="paragraph" w:styleId="List3">
    <w:name w:val="List 3"/>
    <w:basedOn w:val="Normal"/>
    <w:uiPriority w:val="98"/>
    <w:qFormat/>
    <w:rsid w:val="00BC248C"/>
    <w:pPr>
      <w:numPr>
        <w:ilvl w:val="2"/>
        <w:numId w:val="5"/>
      </w:numPr>
      <w:spacing w:after="200"/>
      <w:contextualSpacing/>
    </w:pPr>
  </w:style>
  <w:style w:type="paragraph" w:styleId="List4">
    <w:name w:val="List 4"/>
    <w:basedOn w:val="Normal"/>
    <w:uiPriority w:val="98"/>
    <w:qFormat/>
    <w:rsid w:val="00BC248C"/>
    <w:pPr>
      <w:numPr>
        <w:ilvl w:val="3"/>
        <w:numId w:val="5"/>
      </w:numPr>
      <w:spacing w:after="200"/>
      <w:contextualSpacing/>
    </w:pPr>
  </w:style>
  <w:style w:type="paragraph" w:styleId="ListNumber">
    <w:name w:val="List Number"/>
    <w:basedOn w:val="Normal"/>
    <w:uiPriority w:val="99"/>
    <w:qFormat/>
    <w:rsid w:val="00276047"/>
    <w:pPr>
      <w:numPr>
        <w:numId w:val="2"/>
      </w:numPr>
      <w:spacing w:after="200"/>
      <w:contextualSpacing/>
    </w:pPr>
  </w:style>
  <w:style w:type="paragraph" w:styleId="ListNumber2">
    <w:name w:val="List Number 2"/>
    <w:basedOn w:val="Normal"/>
    <w:uiPriority w:val="98"/>
    <w:qFormat/>
    <w:rsid w:val="00276047"/>
    <w:pPr>
      <w:numPr>
        <w:ilvl w:val="1"/>
        <w:numId w:val="2"/>
      </w:numPr>
      <w:spacing w:after="200"/>
      <w:contextualSpacing/>
    </w:pPr>
  </w:style>
  <w:style w:type="paragraph" w:styleId="ListBullet3">
    <w:name w:val="List Bullet 3"/>
    <w:basedOn w:val="Normal"/>
    <w:uiPriority w:val="98"/>
    <w:qFormat/>
    <w:rsid w:val="00D70E70"/>
    <w:pPr>
      <w:numPr>
        <w:numId w:val="4"/>
      </w:numPr>
      <w:spacing w:after="200"/>
      <w:ind w:left="1191" w:hanging="397"/>
      <w:contextualSpacing/>
    </w:pPr>
  </w:style>
  <w:style w:type="paragraph" w:styleId="ListNumber3">
    <w:name w:val="List Number 3"/>
    <w:basedOn w:val="Normal"/>
    <w:uiPriority w:val="98"/>
    <w:qFormat/>
    <w:rsid w:val="00950B06"/>
    <w:pPr>
      <w:numPr>
        <w:ilvl w:val="2"/>
        <w:numId w:val="2"/>
      </w:numPr>
      <w:spacing w:after="200"/>
      <w:contextualSpacing/>
    </w:pPr>
  </w:style>
  <w:style w:type="paragraph" w:styleId="ListNumber4">
    <w:name w:val="List Number 4"/>
    <w:basedOn w:val="Normal"/>
    <w:uiPriority w:val="98"/>
    <w:qFormat/>
    <w:rsid w:val="0012343A"/>
    <w:pPr>
      <w:numPr>
        <w:ilvl w:val="3"/>
        <w:numId w:val="2"/>
      </w:numPr>
      <w:spacing w:after="200"/>
      <w:contextualSpacing/>
    </w:pPr>
  </w:style>
  <w:style w:type="paragraph" w:styleId="ListBullet">
    <w:name w:val="List Bullet"/>
    <w:basedOn w:val="Normal"/>
    <w:qFormat/>
    <w:rsid w:val="006027B1"/>
    <w:pPr>
      <w:numPr>
        <w:numId w:val="1"/>
      </w:numPr>
      <w:spacing w:after="200" w:line="276" w:lineRule="auto"/>
      <w:ind w:left="714" w:hanging="357"/>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3"/>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styleId="QuoteChar" w:customStyle="1">
    <w:name w:val="Quote Char"/>
    <w:basedOn w:val="DefaultParagraphFont"/>
    <w:link w:val="Quote"/>
    <w:uiPriority w:val="29"/>
    <w:rsid w:val="00950B06"/>
    <w:rPr>
      <w:iCs/>
      <w:color w:val="5F6369"/>
    </w:rPr>
  </w:style>
  <w:style w:type="table" w:styleId="EDU-Basic" w:customStyle="1">
    <w:name w:val="EDU - Basic"/>
    <w:basedOn w:val="TableNormal"/>
    <w:uiPriority w:val="99"/>
    <w:rsid w:val="00B219D1"/>
    <w:pPr>
      <w:spacing w:before="100" w:beforeAutospacing="1" w:after="100" w:afterAutospacing="1"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left"/>
      </w:p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FA7ED4"/>
    <w:pPr>
      <w:tabs>
        <w:tab w:val="left" w:pos="660"/>
        <w:tab w:val="right" w:leader="dot" w:pos="9016"/>
      </w:tabs>
      <w:spacing w:after="100"/>
    </w:pPr>
  </w:style>
  <w:style w:type="paragraph" w:styleId="TOC3">
    <w:name w:val="toc 3"/>
    <w:basedOn w:val="Normal"/>
    <w:next w:val="Normal"/>
    <w:autoRedefine/>
    <w:uiPriority w:val="39"/>
    <w:unhideWhenUsed/>
    <w:rsid w:val="00AF1F18"/>
    <w:pPr>
      <w:spacing w:after="100"/>
      <w:ind w:left="440"/>
    </w:pPr>
  </w:style>
  <w:style w:type="paragraph" w:styleId="TOCHeading">
    <w:name w:val="TOC Heading"/>
    <w:basedOn w:val="Heading1"/>
    <w:next w:val="Normal"/>
    <w:uiPriority w:val="39"/>
    <w:unhideWhenUsed/>
    <w:qFormat/>
    <w:rsid w:val="00AF1F18"/>
    <w:pPr>
      <w:spacing w:before="0" w:after="240" w:line="259" w:lineRule="auto"/>
      <w:outlineLvl w:val="9"/>
    </w:pPr>
    <w:rPr>
      <w:rFonts w:asciiTheme="majorHAnsi" w:hAnsiTheme="majorHAnsi"/>
      <w:color w:val="55437E" w:themeColor="accent2"/>
      <w:sz w:val="44"/>
      <w:lang w:val="en-US"/>
    </w:rPr>
  </w:style>
  <w:style w:type="paragraph" w:styleId="Title">
    <w:name w:val="Title"/>
    <w:basedOn w:val="Normal"/>
    <w:next w:val="Normal"/>
    <w:link w:val="TitleChar"/>
    <w:uiPriority w:val="7"/>
    <w:qFormat/>
    <w:rsid w:val="009D347E"/>
    <w:pPr>
      <w:spacing w:before="720" w:after="0" w:line="276" w:lineRule="auto"/>
    </w:pPr>
    <w:rPr>
      <w:rFonts w:ascii="Calibri" w:hAnsi="Calibri" w:eastAsiaTheme="majorEastAsia" w:cstheme="majorBidi"/>
      <w:b/>
      <w:color w:val="FFFFFF" w:themeColor="background1"/>
      <w:spacing w:val="-10"/>
      <w:kern w:val="28"/>
      <w:sz w:val="60"/>
      <w:szCs w:val="56"/>
    </w:rPr>
  </w:style>
  <w:style w:type="character" w:styleId="TitleChar" w:customStyle="1">
    <w:name w:val="Title Char"/>
    <w:basedOn w:val="DefaultParagraphFont"/>
    <w:link w:val="Title"/>
    <w:uiPriority w:val="7"/>
    <w:rsid w:val="009D347E"/>
    <w:rPr>
      <w:rFonts w:ascii="Calibri" w:hAnsi="Calibri" w:eastAsiaTheme="majorEastAsia" w:cstheme="majorBidi"/>
      <w:b/>
      <w:color w:val="FFFFFF" w:themeColor="background1"/>
      <w:spacing w:val="-10"/>
      <w:kern w:val="28"/>
      <w:sz w:val="60"/>
      <w:szCs w:val="56"/>
    </w:rPr>
  </w:style>
  <w:style w:type="character" w:styleId="UnresolvedMention1" w:customStyle="1">
    <w:name w:val="Unresolved Mention1"/>
    <w:basedOn w:val="DefaultParagraphFont"/>
    <w:uiPriority w:val="99"/>
    <w:semiHidden/>
    <w:unhideWhenUsed/>
    <w:rsid w:val="009D347E"/>
    <w:rPr>
      <w:color w:val="605E5C"/>
      <w:shd w:val="clear" w:color="auto" w:fill="E1DFDD"/>
    </w:rPr>
  </w:style>
  <w:style w:type="table" w:styleId="DESE" w:customStyle="1">
    <w:name w:val="DESE"/>
    <w:basedOn w:val="TableNormal"/>
    <w:uiPriority w:val="99"/>
    <w:rsid w:val="009D347E"/>
    <w:pPr>
      <w:spacing w:before="100" w:beforeAutospacing="1" w:after="100" w:afterAutospacing="1"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Mar>
        <w:top w:w="85" w:type="dxa"/>
        <w:bottom w:w="85" w:type="dxa"/>
      </w:tcMar>
      <w:vAlign w:val="center"/>
    </w:tcPr>
    <w:tblStylePr w:type="firstRow">
      <w:rPr>
        <w:rFonts w:ascii="Calibri" w:hAnsi="Calibri"/>
        <w:color w:val="FFFFFF" w:themeColor="background1"/>
      </w:rPr>
      <w:tblPr/>
      <w:tcPr>
        <w:shd w:val="clear" w:color="auto" w:fill="31343D"/>
      </w:tcPr>
    </w:tblStylePr>
    <w:tblStylePr w:type="firstCol">
      <w:rPr>
        <w:b w:val="0"/>
      </w:rPr>
    </w:tblStylePr>
    <w:tblStylePr w:type="nwCell">
      <w:rPr>
        <w:b w:val="0"/>
      </w:rPr>
    </w:tblStylePr>
  </w:style>
  <w:style w:type="paragraph" w:styleId="ListParagraph">
    <w:name w:val="List Paragraph"/>
    <w:basedOn w:val="Normal"/>
    <w:uiPriority w:val="34"/>
    <w:qFormat/>
    <w:rsid w:val="009D347E"/>
    <w:pPr>
      <w:spacing w:after="200" w:line="360" w:lineRule="auto"/>
      <w:ind w:left="720"/>
      <w:contextualSpacing/>
    </w:pPr>
  </w:style>
  <w:style w:type="paragraph" w:styleId="BalloonText">
    <w:name w:val="Balloon Text"/>
    <w:basedOn w:val="Normal"/>
    <w:link w:val="BalloonTextChar"/>
    <w:uiPriority w:val="99"/>
    <w:semiHidden/>
    <w:unhideWhenUsed/>
    <w:rsid w:val="009D347E"/>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D347E"/>
    <w:rPr>
      <w:rFonts w:ascii="Segoe UI" w:hAnsi="Segoe UI" w:cs="Segoe UI"/>
      <w:sz w:val="18"/>
      <w:szCs w:val="18"/>
    </w:rPr>
  </w:style>
  <w:style w:type="paragraph" w:styleId="numberedpara" w:customStyle="1">
    <w:name w:val="numbered para"/>
    <w:basedOn w:val="Normal"/>
    <w:rsid w:val="009D347E"/>
    <w:pPr>
      <w:numPr>
        <w:numId w:val="6"/>
      </w:numPr>
      <w:spacing w:before="120" w:after="0" w:line="240" w:lineRule="auto"/>
    </w:pPr>
    <w:rPr>
      <w:rFonts w:ascii="Calibri" w:hAnsi="Calibri" w:cs="Calibri"/>
      <w:lang w:eastAsia="en-AU"/>
    </w:rPr>
  </w:style>
  <w:style w:type="character" w:styleId="FollowedHyperlink">
    <w:name w:val="FollowedHyperlink"/>
    <w:basedOn w:val="DefaultParagraphFont"/>
    <w:uiPriority w:val="99"/>
    <w:semiHidden/>
    <w:unhideWhenUsed/>
    <w:rsid w:val="009D347E"/>
    <w:rPr>
      <w:color w:val="CE372F" w:themeColor="followedHyperlink"/>
      <w:u w:val="single"/>
    </w:rPr>
  </w:style>
  <w:style w:type="character" w:styleId="CommentReference">
    <w:name w:val="annotation reference"/>
    <w:basedOn w:val="DefaultParagraphFont"/>
    <w:uiPriority w:val="99"/>
    <w:semiHidden/>
    <w:unhideWhenUsed/>
    <w:rsid w:val="009D347E"/>
    <w:rPr>
      <w:sz w:val="16"/>
      <w:szCs w:val="16"/>
    </w:rPr>
  </w:style>
  <w:style w:type="paragraph" w:styleId="CommentText">
    <w:name w:val="annotation text"/>
    <w:basedOn w:val="Normal"/>
    <w:link w:val="CommentTextChar"/>
    <w:uiPriority w:val="99"/>
    <w:unhideWhenUsed/>
    <w:rsid w:val="009D347E"/>
    <w:pPr>
      <w:spacing w:after="200" w:line="240" w:lineRule="auto"/>
    </w:pPr>
    <w:rPr>
      <w:sz w:val="20"/>
      <w:szCs w:val="20"/>
    </w:rPr>
  </w:style>
  <w:style w:type="character" w:styleId="CommentTextChar" w:customStyle="1">
    <w:name w:val="Comment Text Char"/>
    <w:basedOn w:val="DefaultParagraphFont"/>
    <w:link w:val="CommentText"/>
    <w:uiPriority w:val="99"/>
    <w:rsid w:val="009D347E"/>
    <w:rPr>
      <w:sz w:val="20"/>
      <w:szCs w:val="20"/>
    </w:rPr>
  </w:style>
  <w:style w:type="paragraph" w:styleId="CommentSubject">
    <w:name w:val="annotation subject"/>
    <w:basedOn w:val="CommentText"/>
    <w:next w:val="CommentText"/>
    <w:link w:val="CommentSubjectChar"/>
    <w:uiPriority w:val="99"/>
    <w:semiHidden/>
    <w:unhideWhenUsed/>
    <w:rsid w:val="009D347E"/>
    <w:rPr>
      <w:b/>
      <w:bCs/>
    </w:rPr>
  </w:style>
  <w:style w:type="character" w:styleId="CommentSubjectChar" w:customStyle="1">
    <w:name w:val="Comment Subject Char"/>
    <w:basedOn w:val="CommentTextChar"/>
    <w:link w:val="CommentSubject"/>
    <w:uiPriority w:val="99"/>
    <w:semiHidden/>
    <w:rsid w:val="009D347E"/>
    <w:rPr>
      <w:b/>
      <w:bCs/>
      <w:sz w:val="20"/>
      <w:szCs w:val="20"/>
    </w:rPr>
  </w:style>
  <w:style w:type="paragraph" w:styleId="FootnoteText">
    <w:name w:val="footnote text"/>
    <w:basedOn w:val="Normal"/>
    <w:link w:val="FootnoteTextChar"/>
    <w:semiHidden/>
    <w:unhideWhenUsed/>
    <w:rsid w:val="009D347E"/>
    <w:pPr>
      <w:spacing w:after="0" w:line="240" w:lineRule="auto"/>
    </w:pPr>
    <w:rPr>
      <w:rFonts w:ascii="Arial" w:hAnsi="Arial" w:eastAsia="Times New Roman" w:cs="Arial"/>
      <w:sz w:val="20"/>
      <w:szCs w:val="20"/>
    </w:rPr>
  </w:style>
  <w:style w:type="character" w:styleId="FootnoteTextChar" w:customStyle="1">
    <w:name w:val="Footnote Text Char"/>
    <w:basedOn w:val="DefaultParagraphFont"/>
    <w:link w:val="FootnoteText"/>
    <w:semiHidden/>
    <w:rsid w:val="009D347E"/>
    <w:rPr>
      <w:rFonts w:ascii="Arial" w:hAnsi="Arial" w:eastAsia="Times New Roman" w:cs="Arial"/>
      <w:sz w:val="20"/>
      <w:szCs w:val="20"/>
    </w:rPr>
  </w:style>
  <w:style w:type="character" w:styleId="FootnoteReference">
    <w:name w:val="footnote reference"/>
    <w:semiHidden/>
    <w:unhideWhenUsed/>
    <w:rsid w:val="009D347E"/>
    <w:rPr>
      <w:rFonts w:hint="default" w:ascii="Times New Roman" w:hAnsi="Times New Roman" w:cs="Times New Roman"/>
      <w:vertAlign w:val="superscript"/>
    </w:rPr>
  </w:style>
  <w:style w:type="paragraph" w:styleId="ListBullet1" w:customStyle="1">
    <w:name w:val="List Bullet1"/>
    <w:basedOn w:val="ListBullet"/>
    <w:rsid w:val="009D347E"/>
    <w:pPr>
      <w:numPr>
        <w:numId w:val="0"/>
      </w:numPr>
      <w:tabs>
        <w:tab w:val="num" w:pos="1209"/>
      </w:tabs>
      <w:spacing w:after="240" w:line="240" w:lineRule="auto"/>
      <w:ind w:left="1209" w:hanging="360"/>
    </w:pPr>
    <w:rPr>
      <w:rFonts w:ascii="Arial" w:hAnsi="Arial" w:eastAsia="Times New Roman" w:cs="Arial"/>
      <w:sz w:val="21"/>
      <w:szCs w:val="21"/>
    </w:rPr>
  </w:style>
  <w:style w:type="table" w:styleId="TableGrid1" w:customStyle="1">
    <w:name w:val="Table Grid1"/>
    <w:basedOn w:val="TableNormal"/>
    <w:next w:val="TableGrid"/>
    <w:uiPriority w:val="39"/>
    <w:rsid w:val="009D347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stTable1Light-Accent2">
    <w:name w:val="List Table 1 Light Accent 2"/>
    <w:basedOn w:val="TableNormal"/>
    <w:uiPriority w:val="46"/>
    <w:rsid w:val="009D347E"/>
    <w:pPr>
      <w:spacing w:after="0" w:line="240" w:lineRule="auto"/>
    </w:pPr>
    <w:tblPr>
      <w:tblStyleRowBandSize w:val="1"/>
      <w:tblStyleColBandSize w:val="1"/>
    </w:tblPr>
    <w:tblStylePr w:type="firstRow">
      <w:rPr>
        <w:b/>
        <w:bCs/>
      </w:rPr>
      <w:tblPr/>
      <w:tcPr>
        <w:tcBorders>
          <w:bottom w:val="single" w:color="9482BD" w:themeColor="accent2" w:themeTint="99" w:sz="4" w:space="0"/>
        </w:tcBorders>
      </w:tcPr>
    </w:tblStylePr>
    <w:tblStylePr w:type="lastRow">
      <w:rPr>
        <w:b/>
        <w:bCs/>
      </w:rPr>
      <w:tblPr/>
      <w:tcPr>
        <w:tcBorders>
          <w:top w:val="single" w:color="9482BD" w:themeColor="accent2" w:themeTint="99" w:sz="4" w:space="0"/>
        </w:tcBorders>
      </w:tcPr>
    </w:tblStylePr>
    <w:tblStylePr w:type="firstCol">
      <w:rPr>
        <w:b/>
        <w:bCs/>
      </w:rPr>
    </w:tblStylePr>
    <w:tblStylePr w:type="lastCol">
      <w:rPr>
        <w:b/>
        <w:bCs/>
      </w:rPr>
    </w:tblStylePr>
    <w:tblStylePr w:type="band1Vert">
      <w:tblPr/>
      <w:tcPr>
        <w:shd w:val="clear" w:color="auto" w:fill="DBD5E9" w:themeFill="accent2" w:themeFillTint="33"/>
      </w:tcPr>
    </w:tblStylePr>
    <w:tblStylePr w:type="band1Horz">
      <w:tblPr/>
      <w:tcPr>
        <w:shd w:val="clear" w:color="auto" w:fill="DBD5E9" w:themeFill="accent2" w:themeFillTint="33"/>
      </w:tcPr>
    </w:tblStylePr>
  </w:style>
  <w:style w:type="table" w:styleId="PlainTable4">
    <w:name w:val="Plain Table 4"/>
    <w:basedOn w:val="TableNormal"/>
    <w:uiPriority w:val="44"/>
    <w:rsid w:val="009D347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9D347E"/>
    <w:pPr>
      <w:spacing w:after="0" w:line="240" w:lineRule="auto"/>
    </w:pPr>
  </w:style>
  <w:style w:type="paragraph" w:styleId="Heading2-NoTOC" w:customStyle="1">
    <w:name w:val="Heading 2 - No TOC"/>
    <w:basedOn w:val="Heading2"/>
    <w:link w:val="Heading2-NoTOCChar"/>
    <w:qFormat/>
    <w:rsid w:val="00535546"/>
    <w:rPr>
      <w:color w:val="595959" w:themeColor="text1" w:themeTint="A6"/>
      <w:sz w:val="22"/>
      <w:szCs w:val="22"/>
    </w:rPr>
  </w:style>
  <w:style w:type="character" w:styleId="Heading2-NoTOCChar" w:customStyle="1">
    <w:name w:val="Heading 2 - No TOC Char"/>
    <w:basedOn w:val="Heading2Char"/>
    <w:link w:val="Heading2-NoTOC"/>
    <w:rsid w:val="00535546"/>
    <w:rPr>
      <w:rFonts w:eastAsiaTheme="majorEastAsia" w:cstheme="minorHAnsi"/>
      <w:b/>
      <w:color w:val="595959" w:themeColor="text1" w:themeTint="A6"/>
      <w:sz w:val="30"/>
      <w:szCs w:val="30"/>
    </w:rPr>
  </w:style>
  <w:style w:type="paragraph" w:styleId="TOC2">
    <w:name w:val="toc 2"/>
    <w:basedOn w:val="Normal"/>
    <w:next w:val="Normal"/>
    <w:autoRedefine/>
    <w:uiPriority w:val="39"/>
    <w:unhideWhenUsed/>
    <w:rsid w:val="00535546"/>
    <w:pPr>
      <w:spacing w:after="100"/>
      <w:ind w:left="220"/>
    </w:pPr>
  </w:style>
  <w:style w:type="paragraph" w:styleId="Heading4NoTOC" w:customStyle="1">
    <w:name w:val="Heading 4 (No TOC)"/>
    <w:basedOn w:val="Heading2-NoTOC"/>
    <w:link w:val="Heading4NoTOCChar"/>
    <w:qFormat/>
    <w:rsid w:val="00FA7ED4"/>
    <w:rPr>
      <w:rFonts w:eastAsia="Times New Roman"/>
    </w:rPr>
  </w:style>
  <w:style w:type="character" w:styleId="Heading4NoTOCChar" w:customStyle="1">
    <w:name w:val="Heading 4 (No TOC) Char"/>
    <w:basedOn w:val="Heading2-NoTOCChar"/>
    <w:link w:val="Heading4NoTOC"/>
    <w:rsid w:val="00FA7ED4"/>
    <w:rPr>
      <w:rFonts w:eastAsia="Times New Roman" w:cstheme="minorHAnsi"/>
      <w:b/>
      <w:color w:val="595959" w:themeColor="text1" w:themeTint="A6"/>
      <w:sz w:val="30"/>
      <w:szCs w:val="30"/>
    </w:rPr>
  </w:style>
  <w:style w:type="paragraph" w:styleId="TOC4">
    <w:name w:val="toc 4"/>
    <w:basedOn w:val="Normal"/>
    <w:next w:val="Normal"/>
    <w:autoRedefine/>
    <w:uiPriority w:val="39"/>
    <w:unhideWhenUsed/>
    <w:rsid w:val="00FA7ED4"/>
    <w:pPr>
      <w:spacing w:after="100"/>
      <w:ind w:left="660"/>
    </w:pPr>
  </w:style>
  <w:style w:type="paragraph" w:styleId="TOC5">
    <w:name w:val="toc 5"/>
    <w:basedOn w:val="Normal"/>
    <w:next w:val="Normal"/>
    <w:autoRedefine/>
    <w:uiPriority w:val="39"/>
    <w:unhideWhenUsed/>
    <w:rsid w:val="00FA7ED4"/>
    <w:pPr>
      <w:spacing w:after="100"/>
      <w:ind w:left="880"/>
    </w:pPr>
  </w:style>
  <w:style w:type="paragraph" w:styleId="Heading31" w:customStyle="1">
    <w:name w:val="Heading 3.1"/>
    <w:basedOn w:val="Heading3"/>
    <w:link w:val="Heading31Char"/>
    <w:qFormat/>
    <w:rsid w:val="00D637AE"/>
    <w:rPr>
      <w:color w:val="004C6C" w:themeColor="background2"/>
      <w:sz w:val="28"/>
    </w:rPr>
  </w:style>
  <w:style w:type="character" w:styleId="Heading31Char" w:customStyle="1">
    <w:name w:val="Heading 3.1 Char"/>
    <w:basedOn w:val="Heading3Char"/>
    <w:link w:val="Heading31"/>
    <w:rsid w:val="00D637AE"/>
    <w:rPr>
      <w:rFonts w:asciiTheme="majorHAnsi" w:hAnsiTheme="majorHAnsi" w:eastAsiaTheme="majorEastAsia" w:cstheme="majorBidi"/>
      <w:b/>
      <w:color w:val="004C6C" w:themeColor="background2"/>
      <w:sz w:val="28"/>
      <w:szCs w:val="30"/>
    </w:rPr>
  </w:style>
  <w:style w:type="table" w:styleId="GridTable4">
    <w:name w:val="Grid Table 4"/>
    <w:basedOn w:val="TableNormal"/>
    <w:uiPriority w:val="49"/>
    <w:rsid w:val="005F4EBB"/>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aption1Tree" w:customStyle="1">
    <w:name w:val="Caption 1 Tree"/>
    <w:basedOn w:val="Caption"/>
    <w:link w:val="Caption1TreeChar"/>
    <w:qFormat/>
    <w:rsid w:val="00BF4492"/>
  </w:style>
  <w:style w:type="character" w:styleId="CaptionChar" w:customStyle="1">
    <w:name w:val="Caption Char"/>
    <w:basedOn w:val="DefaultParagraphFont"/>
    <w:link w:val="Caption"/>
    <w:uiPriority w:val="16"/>
    <w:rsid w:val="00BF4492"/>
    <w:rPr>
      <w:b/>
      <w:iCs/>
      <w:color w:val="00254A" w:themeColor="text2"/>
      <w:szCs w:val="18"/>
    </w:rPr>
  </w:style>
  <w:style w:type="character" w:styleId="Caption1TreeChar" w:customStyle="1">
    <w:name w:val="Caption 1 Tree Char"/>
    <w:basedOn w:val="CaptionChar"/>
    <w:link w:val="Caption1Tree"/>
    <w:rsid w:val="00BF4492"/>
    <w:rPr>
      <w:b/>
      <w:iCs/>
      <w:color w:val="00254A" w:themeColor="text2"/>
      <w:szCs w:val="18"/>
    </w:rPr>
  </w:style>
  <w:style w:type="paragraph" w:styleId="ECPoint" w:customStyle="1">
    <w:name w:val="EC Point"/>
    <w:qFormat/>
    <w:rsid w:val="00C50B07"/>
    <w:pPr>
      <w:numPr>
        <w:numId w:val="18"/>
      </w:numPr>
      <w:spacing w:after="120" w:line="240" w:lineRule="auto"/>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5858986">
      <w:bodyDiv w:val="1"/>
      <w:marLeft w:val="0"/>
      <w:marRight w:val="0"/>
      <w:marTop w:val="0"/>
      <w:marBottom w:val="0"/>
      <w:divBdr>
        <w:top w:val="none" w:sz="0" w:space="0" w:color="auto"/>
        <w:left w:val="none" w:sz="0" w:space="0" w:color="auto"/>
        <w:bottom w:val="none" w:sz="0" w:space="0" w:color="auto"/>
        <w:right w:val="none" w:sz="0" w:space="0" w:color="auto"/>
      </w:divBdr>
    </w:div>
    <w:div w:id="187749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3.svg" Id="rId13" /><Relationship Type="http://schemas.openxmlformats.org/officeDocument/2006/relationships/hyperlink" Target="https://www.legislation.gov.au/C2004A01234/latest/versions" TargetMode="External" Id="rId18" /><Relationship Type="http://schemas.openxmlformats.org/officeDocument/2006/relationships/hyperlink" Target="https://techtransfer.org.au/metrics-data/" TargetMode="External" Id="rId26" /><Relationship Type="http://schemas.openxmlformats.org/officeDocument/2006/relationships/header" Target="header4.xml" Id="rId39" /><Relationship Type="http://schemas.openxmlformats.org/officeDocument/2006/relationships/hyperlink" Target="https://www.legislation.gov.au/F2025L01474/asmade/text" TargetMode="External" Id="rId21" /><Relationship Type="http://schemas.openxmlformats.org/officeDocument/2006/relationships/hyperlink" Target="https://www.legislation.gov.au/F2025L01474/asmade/text" TargetMode="External" Id="rId34" /><Relationship Type="http://schemas.openxmlformats.org/officeDocument/2006/relationships/header" Target="header6.xml" Id="rId42" /><Relationship Type="http://schemas.openxmlformats.org/officeDocument/2006/relationships/hyperlink" Target="http://www.abr.business.gov.au/" TargetMode="External" Id="rId47" /><Relationship Type="http://schemas.openxmlformats.org/officeDocument/2006/relationships/footer" Target="footer3.xml" Id="rId50"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creativecommons.org/licenses/by/4.0/" TargetMode="External" Id="rId16" /><Relationship Type="http://schemas.openxmlformats.org/officeDocument/2006/relationships/hyperlink" Target="https://www.arc.gov.au/rms-and-seer-multi-factor-authentication-mfa-guide" TargetMode="External" Id="rId29" /><Relationship Type="http://schemas.openxmlformats.org/officeDocument/2006/relationships/image" Target="media/image1.jpeg" Id="rId11" /><Relationship Type="http://schemas.openxmlformats.org/officeDocument/2006/relationships/hyperlink" Target="https://www.education.gov.au/research-block-grants" TargetMode="External" Id="rId24" /><Relationship Type="http://schemas.openxmlformats.org/officeDocument/2006/relationships/hyperlink" Target="mailto:RBGrants@education.gov.au" TargetMode="External" Id="rId32" /><Relationship Type="http://schemas.openxmlformats.org/officeDocument/2006/relationships/header" Target="header3.xml" Id="rId37" /><Relationship Type="http://schemas.openxmlformats.org/officeDocument/2006/relationships/header" Target="header5.xml" Id="rId40" /><Relationship Type="http://schemas.openxmlformats.org/officeDocument/2006/relationships/hyperlink" Target="https://www.ato.gov.au/" TargetMode="External" Id="rId45" /><Relationship Type="http://schemas.openxmlformats.org/officeDocument/2006/relationships/theme" Target="theme/theme1.xml" Id="rId53"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hyperlink" Target="https://www.legislation.gov.au/F2025L01474/asmade/text" TargetMode="External" Id="rId19" /><Relationship Type="http://schemas.openxmlformats.org/officeDocument/2006/relationships/hyperlink" Target="mailto:FOI@dese.gov.au" TargetMode="External" Id="rId31" /><Relationship Type="http://schemas.openxmlformats.org/officeDocument/2006/relationships/hyperlink" Target="http://www.abr.business.gov.au/" TargetMode="External" Id="rId44" /><Relationship Type="http://schemas.openxmlformats.org/officeDocument/2006/relationships/glossaryDocument" Target="glossary/document.xml" Id="rId52"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https://www.legislation.gov.au/F2025L01474/asmade/text" TargetMode="External" Id="rId22" /><Relationship Type="http://schemas.openxmlformats.org/officeDocument/2006/relationships/hyperlink" Target="https://seer.arc.gov.au/SEER/ActionCentre/Account/Login?ReturnUrl=%2fSEER%2fActionCentre" TargetMode="External" Id="rId27" /><Relationship Type="http://schemas.openxmlformats.org/officeDocument/2006/relationships/hyperlink" Target="https://www.legislation.gov.au/C2004A02562/latest/versions" TargetMode="External" Id="rId30" /><Relationship Type="http://schemas.openxmlformats.org/officeDocument/2006/relationships/header" Target="header1.xml" Id="rId35" /><Relationship Type="http://schemas.openxmlformats.org/officeDocument/2006/relationships/hyperlink" Target="https://www.legislation.gov.au/C2015A00116/latest/text" TargetMode="External" Id="rId43" /><Relationship Type="http://schemas.openxmlformats.org/officeDocument/2006/relationships/hyperlink" Target="http://www.acnc.gov.au" TargetMode="External" Id="rId48" /><Relationship Type="http://schemas.openxmlformats.org/officeDocument/2006/relationships/webSettings" Target="webSettings.xml" Id="rId8" /><Relationship Type="http://schemas.openxmlformats.org/officeDocument/2006/relationships/fontTable" Target="fontTable.xml" Id="rId51" /><Relationship Type="http://schemas.openxmlformats.org/officeDocument/2006/relationships/customXml" Target="../customXml/item3.xml" Id="rId3" /><Relationship Type="http://schemas.openxmlformats.org/officeDocument/2006/relationships/image" Target="media/image2.png" Id="rId12" /><Relationship Type="http://schemas.openxmlformats.org/officeDocument/2006/relationships/hyperlink" Target="https://creativecommons.org/licenses/by/4.0/legalcode" TargetMode="External" Id="rId17" /><Relationship Type="http://schemas.openxmlformats.org/officeDocument/2006/relationships/hyperlink" Target="https://www.education.gov.au/research-block-grants/higher-education-research-data-collection" TargetMode="External" Id="rId25" /><Relationship Type="http://schemas.openxmlformats.org/officeDocument/2006/relationships/hyperlink" Target="https://www.oecd.org/publications/frascati-manual-2015-9789264239012-en.htm" TargetMode="External" Id="rId33" /><Relationship Type="http://schemas.openxmlformats.org/officeDocument/2006/relationships/image" Target="media/image6.png" Id="rId38" /><Relationship Type="http://schemas.openxmlformats.org/officeDocument/2006/relationships/hyperlink" Target="http://www.acnc.gov.au" TargetMode="External" Id="rId46" /><Relationship Type="http://schemas.openxmlformats.org/officeDocument/2006/relationships/hyperlink" Target="https://www.arc.gov.au/about-arc/corporate-information/privacy-policy" TargetMode="External" Id="rId20" /><Relationship Type="http://schemas.openxmlformats.org/officeDocument/2006/relationships/footer" Target="footer2.xm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5.jpeg" Id="rId15" /><Relationship Type="http://schemas.openxmlformats.org/officeDocument/2006/relationships/hyperlink" Target="https://www.legislation.gov.au/F2016L01603/latest/text" TargetMode="External" Id="rId23" /><Relationship Type="http://schemas.openxmlformats.org/officeDocument/2006/relationships/hyperlink" Target="https://auasb.gov.au/standards-guidance/auasb-standards/auditing-standards/" TargetMode="External" Id="rId28" /><Relationship Type="http://schemas.openxmlformats.org/officeDocument/2006/relationships/header" Target="header2.xml" Id="rId36" /><Relationship Type="http://schemas.openxmlformats.org/officeDocument/2006/relationships/hyperlink" Target="https://ec.europa.eu/info/research-and-innovation/funding/funding-opportunities/funding-programmes-and-open-calls/horizon-europe_en" TargetMode="External" Id="rId49" /></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footnotes.xml.rels><?xml version="1.0" encoding="UTF-8" standalone="yes"?>
<Relationships xmlns="http://schemas.openxmlformats.org/package/2006/relationships"><Relationship Id="rId1" Type="http://schemas.openxmlformats.org/officeDocument/2006/relationships/hyperlink" Target="https://www.legislation.gov.au/F2025L01474/asmade/tex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F5AF4E7728444DA326D3D2BBCB9A22"/>
        <w:category>
          <w:name w:val="General"/>
          <w:gallery w:val="placeholder"/>
        </w:category>
        <w:types>
          <w:type w:val="bbPlcHdr"/>
        </w:types>
        <w:behaviors>
          <w:behavior w:val="content"/>
        </w:behaviors>
        <w:guid w:val="{BA33C2F0-9D2E-4F4B-A043-C6B73EB79B24}"/>
      </w:docPartPr>
      <w:docPartBody>
        <w:p xmlns:wp14="http://schemas.microsoft.com/office/word/2010/wordml" w:rsidR="00C862CE" w:rsidP="00C862CE" w:rsidRDefault="00C862CE" w14:paraId="72EE8D63" wp14:textId="77777777">
          <w:pPr>
            <w:pStyle w:val="08F5AF4E7728444DA326D3D2BBCB9A22"/>
          </w:pPr>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01719E"/>
    <w:rsid w:val="00052E38"/>
    <w:rsid w:val="0006024C"/>
    <w:rsid w:val="00075FF8"/>
    <w:rsid w:val="00094EDE"/>
    <w:rsid w:val="00096D8C"/>
    <w:rsid w:val="000B07D4"/>
    <w:rsid w:val="000B094C"/>
    <w:rsid w:val="000C05FF"/>
    <w:rsid w:val="000C2D6C"/>
    <w:rsid w:val="000D5DA1"/>
    <w:rsid w:val="000E5217"/>
    <w:rsid w:val="000F1D75"/>
    <w:rsid w:val="00102E11"/>
    <w:rsid w:val="00143DFE"/>
    <w:rsid w:val="0014595A"/>
    <w:rsid w:val="00161A00"/>
    <w:rsid w:val="00161D1A"/>
    <w:rsid w:val="00173A74"/>
    <w:rsid w:val="00174ED7"/>
    <w:rsid w:val="001B248A"/>
    <w:rsid w:val="001C25FA"/>
    <w:rsid w:val="001D1981"/>
    <w:rsid w:val="001F19D0"/>
    <w:rsid w:val="001F37EC"/>
    <w:rsid w:val="002061C3"/>
    <w:rsid w:val="002711D3"/>
    <w:rsid w:val="00277624"/>
    <w:rsid w:val="00280764"/>
    <w:rsid w:val="00296653"/>
    <w:rsid w:val="00296BD0"/>
    <w:rsid w:val="002A7921"/>
    <w:rsid w:val="002B03F0"/>
    <w:rsid w:val="002B058F"/>
    <w:rsid w:val="002B3ACA"/>
    <w:rsid w:val="002D7287"/>
    <w:rsid w:val="002E4B13"/>
    <w:rsid w:val="002E72B4"/>
    <w:rsid w:val="00310550"/>
    <w:rsid w:val="00321DA8"/>
    <w:rsid w:val="0032620B"/>
    <w:rsid w:val="003417B2"/>
    <w:rsid w:val="003471DE"/>
    <w:rsid w:val="003509BF"/>
    <w:rsid w:val="003564A1"/>
    <w:rsid w:val="003707D0"/>
    <w:rsid w:val="0037121A"/>
    <w:rsid w:val="003A0773"/>
    <w:rsid w:val="003A1C5C"/>
    <w:rsid w:val="003A44C6"/>
    <w:rsid w:val="003B4C71"/>
    <w:rsid w:val="003B6C11"/>
    <w:rsid w:val="003C149D"/>
    <w:rsid w:val="003F70F7"/>
    <w:rsid w:val="00430850"/>
    <w:rsid w:val="0045410A"/>
    <w:rsid w:val="00465494"/>
    <w:rsid w:val="00472FF5"/>
    <w:rsid w:val="00495B2B"/>
    <w:rsid w:val="004A0E30"/>
    <w:rsid w:val="004A5AC8"/>
    <w:rsid w:val="004B3134"/>
    <w:rsid w:val="004C3897"/>
    <w:rsid w:val="004C7069"/>
    <w:rsid w:val="004D22DF"/>
    <w:rsid w:val="004D78C8"/>
    <w:rsid w:val="005105DF"/>
    <w:rsid w:val="00511EAE"/>
    <w:rsid w:val="00512470"/>
    <w:rsid w:val="00550261"/>
    <w:rsid w:val="0055428B"/>
    <w:rsid w:val="005704F0"/>
    <w:rsid w:val="00570B8A"/>
    <w:rsid w:val="0058075A"/>
    <w:rsid w:val="00592581"/>
    <w:rsid w:val="005947C2"/>
    <w:rsid w:val="005A5BCD"/>
    <w:rsid w:val="005A5BEA"/>
    <w:rsid w:val="005B07E1"/>
    <w:rsid w:val="005F21BA"/>
    <w:rsid w:val="006010F6"/>
    <w:rsid w:val="00610173"/>
    <w:rsid w:val="00636A20"/>
    <w:rsid w:val="00641D23"/>
    <w:rsid w:val="006437F1"/>
    <w:rsid w:val="00653D68"/>
    <w:rsid w:val="00667D82"/>
    <w:rsid w:val="00681775"/>
    <w:rsid w:val="0069559C"/>
    <w:rsid w:val="00696C72"/>
    <w:rsid w:val="006A5B4C"/>
    <w:rsid w:val="006A7997"/>
    <w:rsid w:val="006D3DC7"/>
    <w:rsid w:val="006D5196"/>
    <w:rsid w:val="006F4ED0"/>
    <w:rsid w:val="0072525B"/>
    <w:rsid w:val="0073142F"/>
    <w:rsid w:val="00743B56"/>
    <w:rsid w:val="00746041"/>
    <w:rsid w:val="00763E04"/>
    <w:rsid w:val="007729B4"/>
    <w:rsid w:val="00774532"/>
    <w:rsid w:val="00785B1E"/>
    <w:rsid w:val="00796DC6"/>
    <w:rsid w:val="007A1DD1"/>
    <w:rsid w:val="007C56F8"/>
    <w:rsid w:val="007D4250"/>
    <w:rsid w:val="007E41BB"/>
    <w:rsid w:val="007F5D7C"/>
    <w:rsid w:val="008302C8"/>
    <w:rsid w:val="00865AE8"/>
    <w:rsid w:val="00871AAE"/>
    <w:rsid w:val="00884690"/>
    <w:rsid w:val="00887E0F"/>
    <w:rsid w:val="00890D66"/>
    <w:rsid w:val="008D662E"/>
    <w:rsid w:val="008F5216"/>
    <w:rsid w:val="00901411"/>
    <w:rsid w:val="00904F3E"/>
    <w:rsid w:val="00971D41"/>
    <w:rsid w:val="009A1998"/>
    <w:rsid w:val="009A31FE"/>
    <w:rsid w:val="009A6275"/>
    <w:rsid w:val="009C14E5"/>
    <w:rsid w:val="009C184A"/>
    <w:rsid w:val="009D3685"/>
    <w:rsid w:val="009F7D41"/>
    <w:rsid w:val="00A0461A"/>
    <w:rsid w:val="00A34D50"/>
    <w:rsid w:val="00A35F7E"/>
    <w:rsid w:val="00A63AEC"/>
    <w:rsid w:val="00A7408F"/>
    <w:rsid w:val="00A9185D"/>
    <w:rsid w:val="00A91F31"/>
    <w:rsid w:val="00AB31F6"/>
    <w:rsid w:val="00AC5B42"/>
    <w:rsid w:val="00AD176C"/>
    <w:rsid w:val="00AF2424"/>
    <w:rsid w:val="00B441CF"/>
    <w:rsid w:val="00B57E3C"/>
    <w:rsid w:val="00B710FB"/>
    <w:rsid w:val="00B726C4"/>
    <w:rsid w:val="00B73A84"/>
    <w:rsid w:val="00B772DB"/>
    <w:rsid w:val="00B91B81"/>
    <w:rsid w:val="00BC1D79"/>
    <w:rsid w:val="00BC23AA"/>
    <w:rsid w:val="00BF48C6"/>
    <w:rsid w:val="00C10457"/>
    <w:rsid w:val="00C1596C"/>
    <w:rsid w:val="00C62921"/>
    <w:rsid w:val="00C80662"/>
    <w:rsid w:val="00C862CE"/>
    <w:rsid w:val="00C91DD8"/>
    <w:rsid w:val="00C97522"/>
    <w:rsid w:val="00CA722D"/>
    <w:rsid w:val="00CB7DDA"/>
    <w:rsid w:val="00CC01C4"/>
    <w:rsid w:val="00CC0F23"/>
    <w:rsid w:val="00CF0386"/>
    <w:rsid w:val="00CF45E1"/>
    <w:rsid w:val="00CF5A2E"/>
    <w:rsid w:val="00D01170"/>
    <w:rsid w:val="00D14D4E"/>
    <w:rsid w:val="00D42EBE"/>
    <w:rsid w:val="00D4695B"/>
    <w:rsid w:val="00D500A6"/>
    <w:rsid w:val="00D50C58"/>
    <w:rsid w:val="00D7234F"/>
    <w:rsid w:val="00D81809"/>
    <w:rsid w:val="00DA355A"/>
    <w:rsid w:val="00DA4E2D"/>
    <w:rsid w:val="00DA52FA"/>
    <w:rsid w:val="00DD20A3"/>
    <w:rsid w:val="00DE276A"/>
    <w:rsid w:val="00DE58D3"/>
    <w:rsid w:val="00DF03CD"/>
    <w:rsid w:val="00DF22EA"/>
    <w:rsid w:val="00E010D7"/>
    <w:rsid w:val="00E117CB"/>
    <w:rsid w:val="00E3295B"/>
    <w:rsid w:val="00E47AE3"/>
    <w:rsid w:val="00E52809"/>
    <w:rsid w:val="00E53A52"/>
    <w:rsid w:val="00E57DA2"/>
    <w:rsid w:val="00E627D5"/>
    <w:rsid w:val="00E72D87"/>
    <w:rsid w:val="00E754E5"/>
    <w:rsid w:val="00EC6DD6"/>
    <w:rsid w:val="00ED4082"/>
    <w:rsid w:val="00EE53E4"/>
    <w:rsid w:val="00EF6D4A"/>
    <w:rsid w:val="00F62203"/>
    <w:rsid w:val="00F70CE1"/>
    <w:rsid w:val="00FA3BA7"/>
    <w:rsid w:val="00FC6F25"/>
    <w:rsid w:val="00FE0AEE"/>
    <w:rsid w:val="00FF23B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62CE"/>
    <w:rPr>
      <w:color w:val="808080"/>
    </w:rPr>
  </w:style>
  <w:style w:type="paragraph" w:customStyle="1" w:styleId="08F5AF4E7728444DA326D3D2BBCB9A22">
    <w:name w:val="08F5AF4E7728444DA326D3D2BBCB9A22"/>
    <w:rsid w:val="00C862C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HEP xmlns="a3870de7-628d-4f96-ad09-9338c4ed9354" xsi:nil="true"/>
    <TaxCatchAll xmlns="afd363e9-35fc-44f3-a206-b83cf12c84c7" xsi:nil="true"/>
    <lcf76f155ced4ddcb4097134ff3c332f xmlns="a3870de7-628d-4f96-ad09-9338c4ed9354">
      <Terms xmlns="http://schemas.microsoft.com/office/infopath/2007/PartnerControls"/>
    </lcf76f155ced4ddcb4097134ff3c332f>
    <Topic xmlns="a3870de7-628d-4f96-ad09-9338c4ed935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B53B5196E2F5640AA1500E82A7BF106" ma:contentTypeVersion="18" ma:contentTypeDescription="Create a new document." ma:contentTypeScope="" ma:versionID="0dd486bc36d27b8deba66a6fb27b75e3">
  <xsd:schema xmlns:xsd="http://www.w3.org/2001/XMLSchema" xmlns:xs="http://www.w3.org/2001/XMLSchema" xmlns:p="http://schemas.microsoft.com/office/2006/metadata/properties" xmlns:ns2="a3870de7-628d-4f96-ad09-9338c4ed9354" xmlns:ns3="afd363e9-35fc-44f3-a206-b83cf12c84c7" targetNamespace="http://schemas.microsoft.com/office/2006/metadata/properties" ma:root="true" ma:fieldsID="c43289c50b174cbbaa0a88ad2bf95db8" ns2:_="" ns3:_="">
    <xsd:import namespace="a3870de7-628d-4f96-ad09-9338c4ed9354"/>
    <xsd:import namespace="afd363e9-35fc-44f3-a206-b83cf12c84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lcf76f155ced4ddcb4097134ff3c332f" minOccurs="0"/>
                <xsd:element ref="ns3:TaxCatchAll" minOccurs="0"/>
                <xsd:element ref="ns2:HEP" minOccurs="0"/>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70de7-628d-4f96-ad09-9338c4ed93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HEP" ma:index="24" nillable="true" ma:displayName="Organisation" ma:format="Dropdown" ma:internalName="HEP">
      <xsd:simpleType>
        <xsd:union memberTypes="dms:Text">
          <xsd:simpleType>
            <xsd:restriction base="dms:Choice">
              <xsd:enumeration value="Adelaide University"/>
              <xsd:enumeration value="Alphacrucis University College"/>
              <xsd:enumeration value="Australian Catholic University"/>
              <xsd:enumeration value="Avondale University"/>
              <xsd:enumeration value="Australian University of Theology"/>
              <xsd:enumeration value="Batchelor Institute of Indigenous Tertiary Education"/>
              <xsd:enumeration value="Bond University"/>
              <xsd:enumeration value="Central Queensland University"/>
              <xsd:enumeration value="Charles Darwin University"/>
              <xsd:enumeration value="Charles Sturt University"/>
              <xsd:enumeration value="Curtin University"/>
              <xsd:enumeration value="Deakin University"/>
              <xsd:enumeration value="Edith Cowan University"/>
              <xsd:enumeration value="Federation University Australia"/>
              <xsd:enumeration value="Flinders University"/>
              <xsd:enumeration value="Griffith University"/>
              <xsd:enumeration value="James Cook University"/>
              <xsd:enumeration value="La Trobe University"/>
              <xsd:enumeration value="Macquarie University"/>
              <xsd:enumeration value="Monash University"/>
              <xsd:enumeration value="Murdoch University"/>
              <xsd:enumeration value="Queensland University of Technology"/>
              <xsd:enumeration value="RMIT University"/>
              <xsd:enumeration value="Southern Cross University"/>
              <xsd:enumeration value="Swinburne University of Technology"/>
              <xsd:enumeration value="The Australian National University"/>
              <xsd:enumeration value="The University of Adelaide"/>
              <xsd:enumeration value="The University of Melbourne"/>
              <xsd:enumeration value="The University of Notre Dame Australia"/>
              <xsd:enumeration value="The University of Queensland"/>
              <xsd:enumeration value="The University of Sydney"/>
              <xsd:enumeration value="The University of Western Australia"/>
              <xsd:enumeration value="Torrens University Australia"/>
              <xsd:enumeration value="University of Canberra"/>
              <xsd:enumeration value="University of Divinity"/>
              <xsd:enumeration value="University of New England"/>
              <xsd:enumeration value="University of New South Wales"/>
              <xsd:enumeration value="University of Newcastle"/>
              <xsd:enumeration value="University of South Australia"/>
              <xsd:enumeration value="University of Southern Queensland"/>
              <xsd:enumeration value="University of Tasmania"/>
              <xsd:enumeration value="University of Technology Sydney"/>
              <xsd:enumeration value="University of the Sunshine Coast"/>
              <xsd:enumeration value="University of Wollongong"/>
              <xsd:enumeration value="Victoria University"/>
              <xsd:enumeration value="Western Sydney University"/>
              <xsd:enumeration value="ACGR"/>
              <xsd:enumeration value="CAPA"/>
              <xsd:enumeration value="DISR"/>
              <xsd:enumeration value="NATSIPA"/>
              <xsd:enumeration value="Universities Australia"/>
              <xsd:enumeration value="Group of Eight"/>
              <xsd:enumeration value="DFAT"/>
              <xsd:enumeration value="DSS"/>
              <xsd:enumeration value="ARC"/>
            </xsd:restriction>
          </xsd:simpleType>
        </xsd:union>
      </xsd:simpleType>
    </xsd:element>
    <xsd:element name="Topic" ma:index="25" nillable="true" ma:displayName="Topic" ma:format="Dropdown" ma:internalName="Topic">
      <xsd:simpleType>
        <xsd:restriction base="dms:Choice">
          <xsd:enumeration value="HERDC"/>
          <xsd:enumeration value="TCSI"/>
          <xsd:enumeration value="EFS"/>
          <xsd:enumeration value="Legal advice"/>
          <xsd:enumeration value="Decision"/>
          <xsd:enumeration value="Acquittals"/>
        </xsd:restriction>
      </xsd:simpleType>
    </xsd:element>
  </xsd:schema>
  <xsd:schema xmlns:xsd="http://www.w3.org/2001/XMLSchema" xmlns:xs="http://www.w3.org/2001/XMLSchema" xmlns:dms="http://schemas.microsoft.com/office/2006/documentManagement/types" xmlns:pc="http://schemas.microsoft.com/office/infopath/2007/PartnerControls" targetNamespace="afd363e9-35fc-44f3-a206-b83cf12c84c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da27db-3e83-4b62-a0e2-3fa8f29756a1}" ma:internalName="TaxCatchAll" ma:showField="CatchAllData" ma:web="afd363e9-35fc-44f3-a206-b83cf12c84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2.xml><?xml version="1.0" encoding="utf-8"?>
<ds:datastoreItem xmlns:ds="http://schemas.openxmlformats.org/officeDocument/2006/customXml" ds:itemID="{1C7E74EC-F0D7-4D79-BCF8-A441AD43D098}">
  <ds:schemaRefs>
    <ds:schemaRef ds:uri="http://schemas.microsoft.com/office/2006/metadata/properties"/>
    <ds:schemaRef ds:uri="http://schemas.microsoft.com/office/infopath/2007/PartnerControls"/>
    <ds:schemaRef ds:uri="a3870de7-628d-4f96-ad09-9338c4ed9354"/>
    <ds:schemaRef ds:uri="afd363e9-35fc-44f3-a206-b83cf12c84c7"/>
  </ds:schemaRefs>
</ds:datastoreItem>
</file>

<file path=customXml/itemProps3.xml><?xml version="1.0" encoding="utf-8"?>
<ds:datastoreItem xmlns:ds="http://schemas.openxmlformats.org/officeDocument/2006/customXml" ds:itemID="{8CBBB6F5-7FFB-4D8D-BC32-70C2E055AD07}">
  <ds:schemaRefs>
    <ds:schemaRef ds:uri="http://schemas.microsoft.com/sharepoint/v3/contenttype/forms"/>
  </ds:schemaRefs>
</ds:datastoreItem>
</file>

<file path=customXml/itemProps4.xml><?xml version="1.0" encoding="utf-8"?>
<ds:datastoreItem xmlns:ds="http://schemas.openxmlformats.org/officeDocument/2006/customXml" ds:itemID="{002DF62D-56F6-4A25-87C0-98BA5B563B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870de7-628d-4f96-ad09-9338c4ed9354"/>
    <ds:schemaRef ds:uri="afd363e9-35fc-44f3-a206-b83cf12c84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Final Higher Education Research Data Collection specifications for the collection of 2025 data</dc:title>
  <dc:subject/>
  <dc:creator>ASHTON,Michael</dc:creator>
  <keywords/>
  <dc:description/>
  <lastModifiedBy>WALKER,Andrew</lastModifiedBy>
  <revision>26</revision>
  <lastPrinted>2026-02-25T00:52:00.0000000Z</lastPrinted>
  <dcterms:created xsi:type="dcterms:W3CDTF">2026-02-23T23:42:00.0000000Z</dcterms:created>
  <dcterms:modified xsi:type="dcterms:W3CDTF">2026-02-25T01:41:40.2447837Z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0x0101007B53B5196E2F5640AA1500E82A7BF106</vt:lpwstr>
  </property>
  <property fmtid="{D5CDD505-2E9C-101B-9397-08002B2CF9AE}" pid="11" name="IntranetKeywords">
    <vt:lpwstr/>
  </property>
  <property fmtid="{D5CDD505-2E9C-101B-9397-08002B2CF9AE}" pid="12" name="DocumentType">
    <vt:lpwstr/>
  </property>
  <property fmtid="{D5CDD505-2E9C-101B-9397-08002B2CF9AE}" pid="13" name="Stream">
    <vt:lpwstr>4;#Communication and media|a829aae0-f6fe-4929-b33d-dad77c6e3f71</vt:lpwstr>
  </property>
</Properties>
</file>