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70CE2" w:rsidP="00EA1DA7" w:rsidRDefault="00070CE2" w14:paraId="4C1D5563" w14:textId="77777777">
      <w:pPr>
        <w:pStyle w:val="Heading1"/>
        <w:jc w:val="center"/>
        <w:rPr>
          <w:rFonts w:ascii="Calibri" w:hAnsi="Calibri" w:cs="Calibri"/>
          <w:b/>
          <w:bCs/>
          <w:color w:val="000000" w:themeColor="text1"/>
          <w:sz w:val="44"/>
          <w:szCs w:val="44"/>
        </w:rPr>
      </w:pPr>
    </w:p>
    <w:p w:rsidRPr="0076106B" w:rsidR="004B6426" w:rsidP="00F14A02" w:rsidRDefault="000D7D59" w14:paraId="2B884D11" w14:textId="0E15871C">
      <w:pPr>
        <w:pStyle w:val="Heading1"/>
        <w:spacing w:before="280"/>
        <w:jc w:val="center"/>
        <w:rPr>
          <w:rFonts w:ascii="Calibri" w:hAnsi="Calibri" w:cs="Calibri"/>
          <w:b/>
          <w:bCs/>
          <w:color w:val="000000" w:themeColor="text1"/>
          <w:sz w:val="44"/>
          <w:szCs w:val="44"/>
        </w:rPr>
      </w:pPr>
      <w:r w:rsidRPr="0076106B">
        <w:rPr>
          <w:rFonts w:ascii="Calibri" w:hAnsi="Calibri" w:cs="Calibri"/>
          <w:b/>
          <w:bCs/>
          <w:color w:val="000000" w:themeColor="text1"/>
          <w:sz w:val="44"/>
          <w:szCs w:val="44"/>
        </w:rPr>
        <w:t>International</w:t>
      </w:r>
      <w:r w:rsidRPr="0076106B" w:rsidR="001E3D6A">
        <w:rPr>
          <w:rFonts w:ascii="Calibri" w:hAnsi="Calibri" w:cs="Calibri"/>
          <w:b/>
          <w:bCs/>
          <w:color w:val="000000" w:themeColor="text1"/>
          <w:sz w:val="44"/>
          <w:szCs w:val="44"/>
        </w:rPr>
        <w:t xml:space="preserve"> </w:t>
      </w:r>
      <w:r w:rsidR="00F43850">
        <w:rPr>
          <w:rFonts w:ascii="Calibri" w:hAnsi="Calibri" w:cs="Calibri"/>
          <w:b/>
          <w:bCs/>
          <w:color w:val="000000" w:themeColor="text1"/>
          <w:sz w:val="44"/>
          <w:szCs w:val="44"/>
        </w:rPr>
        <w:t>TPS</w:t>
      </w:r>
      <w:r w:rsidRPr="0076106B" w:rsidR="004B6426">
        <w:rPr>
          <w:rFonts w:ascii="Calibri" w:hAnsi="Calibri" w:cs="Calibri"/>
          <w:b/>
          <w:bCs/>
          <w:color w:val="000000" w:themeColor="text1"/>
          <w:sz w:val="44"/>
          <w:szCs w:val="44"/>
        </w:rPr>
        <w:t xml:space="preserve"> </w:t>
      </w:r>
      <w:r w:rsidRPr="0076106B" w:rsidR="00F56D5C">
        <w:rPr>
          <w:rFonts w:ascii="Calibri" w:hAnsi="Calibri" w:cs="Calibri"/>
          <w:b/>
          <w:bCs/>
          <w:color w:val="000000" w:themeColor="text1"/>
          <w:sz w:val="44"/>
          <w:szCs w:val="44"/>
        </w:rPr>
        <w:t>Levy</w:t>
      </w:r>
    </w:p>
    <w:p w:rsidRPr="0076106B" w:rsidR="004B6426" w:rsidP="00C44945" w:rsidRDefault="00A54C94" w14:paraId="270156ED" w14:textId="7AFA335A">
      <w:pPr>
        <w:pStyle w:val="Subtitle"/>
        <w:spacing w:after="360"/>
        <w:jc w:val="center"/>
        <w:rPr>
          <w:rFonts w:cs="Calibri" w:eastAsiaTheme="minorHAnsi"/>
          <w:spacing w:val="0"/>
          <w:sz w:val="32"/>
          <w:szCs w:val="32"/>
        </w:rPr>
      </w:pPr>
      <w:r>
        <w:rPr>
          <w:rFonts w:cs="Calibri" w:eastAsiaTheme="minorHAnsi"/>
          <w:spacing w:val="0"/>
          <w:sz w:val="32"/>
          <w:szCs w:val="32"/>
        </w:rPr>
        <w:t>Calculation Guidelines</w:t>
      </w:r>
    </w:p>
    <w:p w:rsidRPr="0076106B" w:rsidR="003F0A96" w:rsidP="003F0A96" w:rsidRDefault="00F8058E" w14:paraId="40FB9FA2" w14:textId="55E96948">
      <w:pPr>
        <w:pStyle w:val="Heading2"/>
      </w:pPr>
      <w:r w:rsidRPr="0076106B">
        <w:rPr>
          <w:i/>
          <w:iCs/>
          <w:noProof/>
        </w:rPr>
        <mc:AlternateContent>
          <mc:Choice Requires="wps">
            <w:drawing>
              <wp:anchor distT="45720" distB="45720" distL="114300" distR="114300" simplePos="0" relativeHeight="251658241" behindDoc="0" locked="0" layoutInCell="1" allowOverlap="1" wp14:anchorId="311302AD" wp14:editId="7678C9AB">
                <wp:simplePos x="0" y="0"/>
                <wp:positionH relativeFrom="margin">
                  <wp:align>center</wp:align>
                </wp:positionH>
                <wp:positionV relativeFrom="paragraph">
                  <wp:posOffset>405765</wp:posOffset>
                </wp:positionV>
                <wp:extent cx="2876550" cy="3333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33375"/>
                        </a:xfrm>
                        <a:prstGeom prst="rect">
                          <a:avLst/>
                        </a:prstGeom>
                        <a:solidFill>
                          <a:srgbClr val="D8EBEE"/>
                        </a:solidFill>
                        <a:ln w="9525">
                          <a:solidFill>
                            <a:srgbClr val="000000"/>
                          </a:solidFill>
                          <a:miter lim="800000"/>
                          <a:headEnd/>
                          <a:tailEnd/>
                        </a:ln>
                      </wps:spPr>
                      <wps:txbx>
                        <w:txbxContent>
                          <w:p w:rsidR="002D4649" w:rsidP="00EF00FF" w:rsidRDefault="0060524A" w14:paraId="42B15F26" w14:textId="0B46A1FA">
                            <w:pPr>
                              <w:spacing w:after="0" w:line="240" w:lineRule="auto"/>
                              <w:jc w:val="center"/>
                            </w:pPr>
                            <w:r>
                              <w:t xml:space="preserve">International </w:t>
                            </w:r>
                            <w:r w:rsidR="005D6505">
                              <w:t>TPS</w:t>
                            </w:r>
                            <w:r>
                              <w:t xml:space="preserve"> Levy</w:t>
                            </w:r>
                            <w:r w:rsidRPr="006A0254" w:rsidR="006A0254">
                              <w:t xml:space="preserve"> = A +</w:t>
                            </w:r>
                            <w:r>
                              <w:t xml:space="preserve"> B + </w:t>
                            </w:r>
                            <w:r w:rsidRPr="006A0254" w:rsidR="006A0254">
                              <w:t>R + S</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w14:anchorId="4EA3B5B7">
              <v:shapetype id="_x0000_t202" coordsize="21600,21600" o:spt="202" path="m,l,21600r21600,l21600,xe" w14:anchorId="311302AD">
                <v:stroke joinstyle="miter"/>
                <v:path gradientshapeok="t" o:connecttype="rect"/>
              </v:shapetype>
              <v:shape id="Text Box 2" style="position:absolute;margin-left:0;margin-top:31.95pt;width:226.5pt;height:26.2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spid="_x0000_s1026" fillcolor="#d8ebe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">
                <v:textbox inset=",0,,0">
                  <w:txbxContent>
                    <w:p w:rsidR="002D4649" w:rsidP="00EF00FF" w:rsidRDefault="0060524A" w14:paraId="430CB549" w14:textId="0B46A1FA">
                      <w:pPr>
                        <w:spacing w:after="0" w:line="240" w:lineRule="auto"/>
                        <w:jc w:val="center"/>
                      </w:pPr>
                      <w:r>
                        <w:t xml:space="preserve">International </w:t>
                      </w:r>
                      <w:r w:rsidR="005D6505">
                        <w:t>TPS</w:t>
                      </w:r>
                      <w:r>
                        <w:t xml:space="preserve"> Levy</w:t>
                      </w:r>
                      <w:r w:rsidRPr="006A0254" w:rsidR="006A0254">
                        <w:t xml:space="preserve"> = A +</w:t>
                      </w:r>
                      <w:r>
                        <w:t xml:space="preserve"> B + </w:t>
                      </w:r>
                      <w:r w:rsidRPr="006A0254" w:rsidR="006A0254">
                        <w:t>R + S</w:t>
                      </w:r>
                    </w:p>
                  </w:txbxContent>
                </v:textbox>
                <w10:wrap type="topAndBottom" anchorx="margin"/>
              </v:shape>
            </w:pict>
          </mc:Fallback>
        </mc:AlternateContent>
      </w:r>
      <w:r w:rsidRPr="0076106B" w:rsidR="003F0A96">
        <w:t>The International</w:t>
      </w:r>
      <w:r w:rsidR="003F0A96">
        <w:t xml:space="preserve"> TPS</w:t>
      </w:r>
      <w:r w:rsidRPr="0076106B" w:rsidR="003F0A96">
        <w:t xml:space="preserve"> Levy is comprised of </w:t>
      </w:r>
      <w:r w:rsidR="003F0A96">
        <w:t xml:space="preserve">four </w:t>
      </w:r>
      <w:r w:rsidRPr="0076106B" w:rsidR="003F0A96">
        <w:t>parts:</w:t>
      </w:r>
    </w:p>
    <w:p w:rsidRPr="0076106B" w:rsidR="003F0A96" w:rsidP="003F0A96" w:rsidRDefault="003F0A96" w14:paraId="60624E82" w14:textId="0E64E626">
      <w:pPr>
        <w:tabs>
          <w:tab w:val="left" w:pos="3825"/>
        </w:tabs>
        <w:rPr>
          <w:rFonts w:cs="Calibri"/>
          <w:i/>
          <w:iCs/>
        </w:rPr>
      </w:pPr>
      <w:r w:rsidRPr="0076106B">
        <w:rPr>
          <w:rFonts w:cs="Calibri"/>
          <w:i/>
          <w:iCs/>
        </w:rPr>
        <w:t>where:</w:t>
      </w:r>
    </w:p>
    <w:p w:rsidRPr="0076106B" w:rsidR="003F0A96" w:rsidP="003F0A96" w:rsidRDefault="003F0A96" w14:paraId="366AC55E" w14:textId="77777777">
      <w:pPr>
        <w:spacing w:after="0"/>
        <w:ind w:firstLine="720"/>
        <w:rPr>
          <w:rFonts w:cs="Calibri"/>
        </w:rPr>
      </w:pPr>
      <w:r w:rsidRPr="0076106B">
        <w:rPr>
          <w:rFonts w:cs="Calibri"/>
        </w:rPr>
        <w:t>A = the Administrative Fee component;</w:t>
      </w:r>
    </w:p>
    <w:p w:rsidRPr="0076106B" w:rsidR="003F0A96" w:rsidP="003F0A96" w:rsidRDefault="003F0A96" w14:paraId="39226F74" w14:textId="77777777">
      <w:pPr>
        <w:spacing w:after="0"/>
        <w:ind w:firstLine="720"/>
        <w:rPr>
          <w:rFonts w:cs="Calibri"/>
        </w:rPr>
      </w:pPr>
      <w:r w:rsidRPr="0076106B">
        <w:rPr>
          <w:rFonts w:cs="Calibri"/>
        </w:rPr>
        <w:t xml:space="preserve">B = the </w:t>
      </w:r>
      <w:r>
        <w:rPr>
          <w:rFonts w:cs="Calibri"/>
        </w:rPr>
        <w:t>B</w:t>
      </w:r>
      <w:r w:rsidRPr="0076106B">
        <w:rPr>
          <w:rFonts w:cs="Calibri"/>
        </w:rPr>
        <w:t xml:space="preserve">ase </w:t>
      </w:r>
      <w:r>
        <w:rPr>
          <w:rFonts w:cs="Calibri"/>
        </w:rPr>
        <w:t>F</w:t>
      </w:r>
      <w:r w:rsidRPr="0076106B">
        <w:rPr>
          <w:rFonts w:cs="Calibri"/>
        </w:rPr>
        <w:t>ee component;</w:t>
      </w:r>
    </w:p>
    <w:p w:rsidRPr="0076106B" w:rsidR="003F0A96" w:rsidP="003F0A96" w:rsidRDefault="003F0A96" w14:paraId="791A99D7" w14:textId="77777777">
      <w:pPr>
        <w:spacing w:after="0"/>
        <w:ind w:firstLine="720"/>
        <w:rPr>
          <w:rFonts w:cs="Calibri"/>
        </w:rPr>
      </w:pPr>
      <w:r w:rsidRPr="0076106B">
        <w:rPr>
          <w:rFonts w:cs="Calibri"/>
        </w:rPr>
        <w:t>R = the Risk</w:t>
      </w:r>
      <w:r>
        <w:rPr>
          <w:rFonts w:cs="Calibri"/>
        </w:rPr>
        <w:t xml:space="preserve"> </w:t>
      </w:r>
      <w:r w:rsidRPr="0076106B">
        <w:rPr>
          <w:rFonts w:cs="Calibri"/>
        </w:rPr>
        <w:t xml:space="preserve">Rated Premium component; and </w:t>
      </w:r>
    </w:p>
    <w:p w:rsidRPr="0076106B" w:rsidR="003F0A96" w:rsidP="003F0A96" w:rsidRDefault="003F0A96" w14:paraId="0C8CD21B" w14:textId="2B199A85">
      <w:pPr>
        <w:ind w:firstLine="720"/>
        <w:rPr>
          <w:rFonts w:cs="Calibri"/>
        </w:rPr>
      </w:pPr>
      <w:r w:rsidRPr="0076106B">
        <w:rPr>
          <w:rFonts w:cs="Calibri"/>
        </w:rPr>
        <w:t>S = the Special Tuition Protection component.</w:t>
      </w:r>
    </w:p>
    <w:p w:rsidR="003F0A96" w:rsidP="00B81F36" w:rsidRDefault="003F0A96" w14:paraId="22751A38" w14:textId="77777777">
      <w:pPr>
        <w:spacing w:after="0"/>
        <w:rPr>
          <w:rFonts w:cs="Calibri"/>
        </w:rPr>
      </w:pPr>
    </w:p>
    <w:p w:rsidR="00407926" w:rsidP="00B81F36" w:rsidRDefault="00E64035" w14:paraId="5AB8BEE2" w14:textId="41EB4EA4">
      <w:pPr>
        <w:spacing w:after="0"/>
        <w:rPr>
          <w:rFonts w:cs="Calibri"/>
        </w:rPr>
      </w:pPr>
      <w:r w:rsidRPr="0076106B">
        <w:rPr>
          <w:rFonts w:cs="Calibri"/>
        </w:rPr>
        <w:t xml:space="preserve">Legislative authority to collect the </w:t>
      </w:r>
      <w:r w:rsidRPr="001817F9" w:rsidR="008A5729">
        <w:rPr>
          <w:rFonts w:cs="Calibri"/>
          <w:b/>
          <w:bCs/>
        </w:rPr>
        <w:t>I</w:t>
      </w:r>
      <w:r w:rsidRPr="0076106B" w:rsidR="008A5729">
        <w:rPr>
          <w:rFonts w:cs="Calibri"/>
          <w:b/>
          <w:bCs/>
        </w:rPr>
        <w:t xml:space="preserve">nternational </w:t>
      </w:r>
      <w:r w:rsidR="00591016">
        <w:rPr>
          <w:rFonts w:cs="Calibri"/>
          <w:b/>
          <w:bCs/>
        </w:rPr>
        <w:t xml:space="preserve">TPS </w:t>
      </w:r>
      <w:r w:rsidRPr="0076106B" w:rsidR="008A5729">
        <w:rPr>
          <w:rFonts w:cs="Calibri"/>
          <w:b/>
          <w:bCs/>
        </w:rPr>
        <w:t>Levy</w:t>
      </w:r>
      <w:r w:rsidRPr="0076106B">
        <w:rPr>
          <w:rFonts w:cs="Calibri"/>
        </w:rPr>
        <w:t xml:space="preserve"> is outlined in the</w:t>
      </w:r>
      <w:r w:rsidR="00611415">
        <w:rPr>
          <w:rFonts w:cs="Calibri"/>
        </w:rPr>
        <w:t xml:space="preserve"> </w:t>
      </w:r>
      <w:hyperlink w:history="1" r:id="rId11">
        <w:r w:rsidRPr="006D777C" w:rsidR="00611415">
          <w:rPr>
            <w:rStyle w:val="Hyperlink"/>
            <w:rFonts w:cs="Calibri"/>
            <w:i/>
            <w:iCs/>
          </w:rPr>
          <w:t>Education Services for Overseas Students (TPS Levies) Act 2012</w:t>
        </w:r>
      </w:hyperlink>
      <w:r w:rsidR="00074885">
        <w:t>.</w:t>
      </w:r>
      <w:r w:rsidRPr="00FC47F8" w:rsidR="00611415">
        <w:rPr>
          <w:rStyle w:val="FootnoteReference"/>
        </w:rPr>
        <w:footnoteReference w:id="2"/>
      </w:r>
    </w:p>
    <w:p w:rsidR="00BF32A0" w:rsidP="00B81F36" w:rsidRDefault="00BF32A0" w14:paraId="7132A436" w14:textId="77777777">
      <w:pPr>
        <w:spacing w:after="0"/>
        <w:rPr>
          <w:rFonts w:cs="Calibri"/>
        </w:rPr>
      </w:pPr>
    </w:p>
    <w:p w:rsidRPr="0076106B" w:rsidR="00BF32A0" w:rsidP="00B81F36" w:rsidRDefault="00B2095C" w14:paraId="53C114F8" w14:textId="15FB401A">
      <w:pPr>
        <w:spacing w:after="0"/>
        <w:rPr>
          <w:rFonts w:cs="Calibri"/>
        </w:rPr>
      </w:pPr>
      <w:r w:rsidRPr="6B34F37B">
        <w:rPr>
          <w:rFonts w:cs="Calibri"/>
        </w:rPr>
        <w:t>All CRICOS registered providers</w:t>
      </w:r>
      <w:r w:rsidRPr="6B34F37B" w:rsidR="4F41E1B2">
        <w:rPr>
          <w:rFonts w:cs="Calibri"/>
        </w:rPr>
        <w:t xml:space="preserve"> at 1</w:t>
      </w:r>
      <w:r w:rsidRPr="6B34F37B" w:rsidR="4F41E1B2">
        <w:rPr>
          <w:rFonts w:cs="Calibri"/>
          <w:vertAlign w:val="superscript"/>
        </w:rPr>
        <w:t xml:space="preserve"> </w:t>
      </w:r>
      <w:r w:rsidRPr="6B34F37B" w:rsidR="4F41E1B2">
        <w:rPr>
          <w:rFonts w:cs="Calibri"/>
        </w:rPr>
        <w:t>January of the levy year</w:t>
      </w:r>
      <w:r w:rsidRPr="6B34F37B">
        <w:rPr>
          <w:rFonts w:cs="Calibri"/>
        </w:rPr>
        <w:t xml:space="preserve"> are required to pay the annual International TPS Levy.</w:t>
      </w:r>
      <w:r w:rsidRPr="6B34F37B" w:rsidR="00C31835">
        <w:rPr>
          <w:rFonts w:cs="Calibri"/>
        </w:rPr>
        <w:t xml:space="preserve"> The </w:t>
      </w:r>
      <w:r w:rsidR="00313BBE">
        <w:rPr>
          <w:rFonts w:cs="Calibri"/>
        </w:rPr>
        <w:t>l</w:t>
      </w:r>
      <w:r w:rsidRPr="6B34F37B" w:rsidR="00C31835">
        <w:rPr>
          <w:rFonts w:cs="Calibri"/>
        </w:rPr>
        <w:t xml:space="preserve">evy funds the student placement and refund activities of the TPS in the event of an international provider default, as well as TPS operational costs. </w:t>
      </w:r>
      <w:r w:rsidRPr="6B34F37B" w:rsidR="00844844">
        <w:rPr>
          <w:rFonts w:cs="Calibri"/>
        </w:rPr>
        <w:t xml:space="preserve">The </w:t>
      </w:r>
      <w:r w:rsidR="00313BBE">
        <w:rPr>
          <w:rFonts w:cs="Calibri"/>
        </w:rPr>
        <w:t>l</w:t>
      </w:r>
      <w:r w:rsidRPr="6B34F37B" w:rsidR="00844844">
        <w:rPr>
          <w:rFonts w:cs="Calibri"/>
        </w:rPr>
        <w:t xml:space="preserve">evy is paid into the Overseas Students Tuition Fund (OSTF), which is managed by the TPS Director. </w:t>
      </w:r>
    </w:p>
    <w:p w:rsidRPr="0076106B" w:rsidR="004B6426" w:rsidP="00D07121" w:rsidRDefault="004B6426" w14:paraId="7744EB92" w14:textId="0A66B7DA">
      <w:pPr>
        <w:pStyle w:val="Heading3"/>
        <w:spacing w:before="240"/>
      </w:pPr>
      <w:r w:rsidRPr="0076106B">
        <w:t xml:space="preserve">Administrative </w:t>
      </w:r>
      <w:r w:rsidRPr="0076106B" w:rsidR="004B7C56">
        <w:t>F</w:t>
      </w:r>
      <w:r w:rsidRPr="0076106B">
        <w:t>ee component</w:t>
      </w:r>
    </w:p>
    <w:p w:rsidR="000B6CBC" w:rsidP="003B1486" w:rsidRDefault="00373EC4" w14:paraId="7F2E4028" w14:textId="0DE955AA">
      <w:pPr>
        <w:rPr>
          <w:rFonts w:cs="Calibri"/>
        </w:rPr>
      </w:pPr>
      <w:r w:rsidRPr="6B34F37B">
        <w:rPr>
          <w:rFonts w:cs="Calibri"/>
        </w:rPr>
        <w:t xml:space="preserve">The Administrative Fee component is intended to contribute to the ongoing administration costs of the international tuition protection arrangements. </w:t>
      </w:r>
      <w:r w:rsidRPr="6B34F37B" w:rsidR="00C117BA">
        <w:rPr>
          <w:rFonts w:cs="Calibri"/>
        </w:rPr>
        <w:t xml:space="preserve">The </w:t>
      </w:r>
      <w:r w:rsidRPr="6B34F37B" w:rsidR="00E42A4E">
        <w:rPr>
          <w:rFonts w:cs="Calibri"/>
        </w:rPr>
        <w:t xml:space="preserve">two amounts </w:t>
      </w:r>
      <w:r w:rsidRPr="6B34F37B" w:rsidR="00851E3E">
        <w:rPr>
          <w:rFonts w:cs="Calibri"/>
        </w:rPr>
        <w:t>for</w:t>
      </w:r>
      <w:r w:rsidRPr="6B34F37B" w:rsidR="00E42A4E">
        <w:rPr>
          <w:rFonts w:cs="Calibri"/>
        </w:rPr>
        <w:t xml:space="preserve"> the </w:t>
      </w:r>
      <w:r w:rsidRPr="6B34F37B" w:rsidR="00C117BA">
        <w:rPr>
          <w:rFonts w:cs="Calibri"/>
        </w:rPr>
        <w:t xml:space="preserve">Administrative Fee component </w:t>
      </w:r>
      <w:r w:rsidRPr="6B34F37B" w:rsidR="00E42A4E">
        <w:rPr>
          <w:rFonts w:cs="Calibri"/>
        </w:rPr>
        <w:t>are</w:t>
      </w:r>
      <w:r w:rsidRPr="6B34F37B" w:rsidR="00C117BA">
        <w:rPr>
          <w:rFonts w:cs="Calibri"/>
        </w:rPr>
        <w:t xml:space="preserve"> </w:t>
      </w:r>
      <w:r w:rsidRPr="6B34F37B" w:rsidR="003B1486">
        <w:rPr>
          <w:rFonts w:cs="Calibri"/>
        </w:rPr>
        <w:t>determined</w:t>
      </w:r>
      <w:r w:rsidRPr="6B34F37B" w:rsidR="00C117BA">
        <w:rPr>
          <w:rFonts w:cs="Calibri"/>
        </w:rPr>
        <w:t xml:space="preserve"> by the Minister for Education through a legislative instrument </w:t>
      </w:r>
      <w:r w:rsidRPr="6B34F37B" w:rsidR="5A62B95F">
        <w:rPr>
          <w:rFonts w:cs="Calibri"/>
        </w:rPr>
        <w:t>(</w:t>
      </w:r>
      <w:r w:rsidRPr="6B34F37B" w:rsidR="00C117BA">
        <w:rPr>
          <w:rFonts w:cs="Calibri"/>
        </w:rPr>
        <w:t xml:space="preserve">or indexed annually if the Minister chooses not to make a </w:t>
      </w:r>
      <w:r w:rsidRPr="6B34F37B" w:rsidR="204AE33F">
        <w:rPr>
          <w:rFonts w:cs="Calibri"/>
        </w:rPr>
        <w:t xml:space="preserve">new </w:t>
      </w:r>
      <w:r w:rsidRPr="6B34F37B" w:rsidR="00C117BA">
        <w:rPr>
          <w:rFonts w:cs="Calibri"/>
        </w:rPr>
        <w:t>legislative instrument for a particular year</w:t>
      </w:r>
      <w:r w:rsidRPr="6B34F37B" w:rsidR="0DEF8B9B">
        <w:rPr>
          <w:rFonts w:cs="Calibri"/>
        </w:rPr>
        <w:t>)</w:t>
      </w:r>
      <w:r w:rsidRPr="6B34F37B" w:rsidR="00C117BA">
        <w:rPr>
          <w:rFonts w:cs="Calibri"/>
        </w:rPr>
        <w:t>.</w:t>
      </w:r>
    </w:p>
    <w:p w:rsidR="00C117BA" w:rsidP="005D708A" w:rsidRDefault="00C117BA" w14:paraId="5B32D70A" w14:textId="0F7F513B">
      <w:pPr>
        <w:rPr>
          <w:rFonts w:cs="Calibri"/>
        </w:rPr>
      </w:pPr>
      <w:r w:rsidRPr="6B34F37B">
        <w:rPr>
          <w:rFonts w:cs="Calibri"/>
        </w:rPr>
        <w:t xml:space="preserve">The </w:t>
      </w:r>
      <w:r w:rsidRPr="6B34F37B" w:rsidR="00E42A4E">
        <w:rPr>
          <w:rFonts w:cs="Calibri"/>
        </w:rPr>
        <w:t>two amounts f</w:t>
      </w:r>
      <w:r w:rsidRPr="6B34F37B" w:rsidR="00851E3E">
        <w:rPr>
          <w:rFonts w:cs="Calibri"/>
        </w:rPr>
        <w:t>or</w:t>
      </w:r>
      <w:r w:rsidRPr="6B34F37B" w:rsidR="00E42A4E">
        <w:rPr>
          <w:rFonts w:cs="Calibri"/>
        </w:rPr>
        <w:t xml:space="preserve"> </w:t>
      </w:r>
      <w:r w:rsidRPr="00AE5CC4" w:rsidR="00E42A4E">
        <w:rPr>
          <w:rFonts w:cs="Calibri"/>
        </w:rPr>
        <w:t xml:space="preserve">the </w:t>
      </w:r>
      <w:r w:rsidRPr="00AE5CC4" w:rsidR="004A4B8E">
        <w:rPr>
          <w:rFonts w:cs="Calibri"/>
        </w:rPr>
        <w:t>Administrative Fee component</w:t>
      </w:r>
      <w:r w:rsidRPr="00AE5CC4" w:rsidR="00DC7450">
        <w:rPr>
          <w:rFonts w:cs="Calibri"/>
        </w:rPr>
        <w:t xml:space="preserve"> for 202</w:t>
      </w:r>
      <w:r w:rsidR="00B60CE4">
        <w:rPr>
          <w:rFonts w:cs="Calibri"/>
        </w:rPr>
        <w:t>6</w:t>
      </w:r>
      <w:r w:rsidRPr="00AE5CC4" w:rsidR="00DC7450">
        <w:rPr>
          <w:rFonts w:cs="Calibri"/>
        </w:rPr>
        <w:t xml:space="preserve"> </w:t>
      </w:r>
      <w:r w:rsidRPr="00AE5CC4" w:rsidR="00E42A4E">
        <w:rPr>
          <w:rFonts w:cs="Calibri"/>
        </w:rPr>
        <w:t>are $1</w:t>
      </w:r>
      <w:r w:rsidR="005E683B">
        <w:rPr>
          <w:rFonts w:cs="Calibri"/>
        </w:rPr>
        <w:t>10</w:t>
      </w:r>
      <w:r w:rsidRPr="00AE5CC4" w:rsidR="003E7B86">
        <w:rPr>
          <w:rFonts w:cs="Calibri"/>
        </w:rPr>
        <w:t xml:space="preserve"> </w:t>
      </w:r>
      <w:r w:rsidRPr="00AE5CC4" w:rsidR="5705F1DA">
        <w:rPr>
          <w:rFonts w:cs="Calibri"/>
        </w:rPr>
        <w:t>(</w:t>
      </w:r>
      <w:r w:rsidRPr="00AE5CC4" w:rsidR="003E7B86">
        <w:rPr>
          <w:rFonts w:cs="Calibri"/>
        </w:rPr>
        <w:t xml:space="preserve">per provider </w:t>
      </w:r>
      <w:r w:rsidRPr="00026F66" w:rsidR="003E7B86">
        <w:rPr>
          <w:rFonts w:cs="Calibri"/>
        </w:rPr>
        <w:t>charge</w:t>
      </w:r>
      <w:r w:rsidRPr="00AE5CC4" w:rsidR="02C7701A">
        <w:rPr>
          <w:rFonts w:cs="Calibri"/>
        </w:rPr>
        <w:t>)</w:t>
      </w:r>
      <w:r w:rsidRPr="00AE5CC4" w:rsidR="00E42A4E">
        <w:rPr>
          <w:rFonts w:cs="Calibri"/>
        </w:rPr>
        <w:t xml:space="preserve"> and $0.5</w:t>
      </w:r>
      <w:r w:rsidR="005E683B">
        <w:rPr>
          <w:rFonts w:cs="Calibri"/>
        </w:rPr>
        <w:t>8</w:t>
      </w:r>
      <w:r w:rsidRPr="00AE5CC4" w:rsidR="003E7B86">
        <w:rPr>
          <w:rFonts w:cs="Calibri"/>
        </w:rPr>
        <w:t xml:space="preserve"> </w:t>
      </w:r>
      <w:r w:rsidRPr="00AE5CC4" w:rsidR="47652DD0">
        <w:rPr>
          <w:rFonts w:cs="Calibri"/>
        </w:rPr>
        <w:t>(</w:t>
      </w:r>
      <w:r w:rsidRPr="00AE5CC4" w:rsidR="003E7B86">
        <w:rPr>
          <w:rFonts w:cs="Calibri"/>
        </w:rPr>
        <w:t xml:space="preserve">per student </w:t>
      </w:r>
      <w:r w:rsidRPr="00026F66" w:rsidR="003E7B86">
        <w:rPr>
          <w:rFonts w:cs="Calibri"/>
        </w:rPr>
        <w:t>charge</w:t>
      </w:r>
      <w:r w:rsidRPr="00026F66" w:rsidR="253A4FD4">
        <w:rPr>
          <w:rFonts w:cs="Calibri"/>
        </w:rPr>
        <w:t>)</w:t>
      </w:r>
      <w:r w:rsidRPr="00AE5CC4" w:rsidR="00E42A4E">
        <w:rPr>
          <w:rFonts w:cs="Calibri"/>
        </w:rPr>
        <w:t>.</w:t>
      </w:r>
      <w:r w:rsidRPr="6B34F37B" w:rsidR="00E42A4E">
        <w:rPr>
          <w:rFonts w:cs="Calibri"/>
        </w:rPr>
        <w:t xml:space="preserve"> </w:t>
      </w:r>
    </w:p>
    <w:p w:rsidRPr="0076106B" w:rsidR="004B6426" w:rsidP="003B1486" w:rsidRDefault="00A11261" w14:paraId="2A0E390D" w14:textId="225BF7E9">
      <w:pPr>
        <w:rPr>
          <w:rFonts w:cs="Calibri"/>
        </w:rPr>
      </w:pPr>
      <w:r w:rsidRPr="0076106B">
        <w:rPr>
          <w:rFonts w:cs="Calibri"/>
          <w:noProof/>
        </w:rPr>
        <mc:AlternateContent>
          <mc:Choice Requires="wps">
            <w:drawing>
              <wp:anchor distT="0" distB="0" distL="114300" distR="114300" simplePos="0" relativeHeight="251658240" behindDoc="1" locked="0" layoutInCell="1" allowOverlap="1" wp14:anchorId="54775C19" wp14:editId="0CBC5261">
                <wp:simplePos x="0" y="0"/>
                <wp:positionH relativeFrom="column">
                  <wp:posOffset>1405603</wp:posOffset>
                </wp:positionH>
                <wp:positionV relativeFrom="paragraph">
                  <wp:posOffset>260350</wp:posOffset>
                </wp:positionV>
                <wp:extent cx="2950234" cy="293298"/>
                <wp:effectExtent l="0" t="0" r="0" b="0"/>
                <wp:wrapNone/>
                <wp:docPr id="1791686707" name="Rectangle 1"/>
                <wp:cNvGraphicFramePr/>
                <a:graphic xmlns:a="http://schemas.openxmlformats.org/drawingml/2006/main">
                  <a:graphicData uri="http://schemas.microsoft.com/office/word/2010/wordprocessingShape">
                    <wps:wsp>
                      <wps:cNvSpPr/>
                      <wps:spPr>
                        <a:xfrm>
                          <a:off x="0" y="0"/>
                          <a:ext cx="2950234" cy="29329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xmlns:a14="http://schemas.microsoft.com/office/drawing/2010/main" xmlns:pic="http://schemas.openxmlformats.org/drawingml/2006/picture">
            <w:pict w14:anchorId="66ED038D">
              <v:rect id="Rectangle 1" style="position:absolute;margin-left:110.7pt;margin-top:20.5pt;width:232.3pt;height:23.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d="f" strokeweight="1pt" w14:anchorId="6B4D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"/>
            </w:pict>
          </mc:Fallback>
        </mc:AlternateContent>
      </w:r>
      <w:r w:rsidRPr="0076106B" w:rsidR="004B6426">
        <w:rPr>
          <w:rFonts w:cs="Calibri"/>
        </w:rPr>
        <w:t xml:space="preserve">The Administrative </w:t>
      </w:r>
      <w:r w:rsidRPr="0076106B" w:rsidR="00414A33">
        <w:rPr>
          <w:rFonts w:cs="Calibri"/>
        </w:rPr>
        <w:t>F</w:t>
      </w:r>
      <w:r w:rsidRPr="0076106B" w:rsidR="004B6426">
        <w:rPr>
          <w:rFonts w:cs="Calibri"/>
        </w:rPr>
        <w:t>ee component</w:t>
      </w:r>
      <w:r w:rsidRPr="0076106B" w:rsidR="001F509A">
        <w:rPr>
          <w:rFonts w:cs="Calibri"/>
        </w:rPr>
        <w:t xml:space="preserve"> (A)</w:t>
      </w:r>
      <w:r w:rsidRPr="0076106B" w:rsidR="004B6426">
        <w:rPr>
          <w:rFonts w:cs="Calibri"/>
        </w:rPr>
        <w:t xml:space="preserve"> is calculated as: </w:t>
      </w:r>
    </w:p>
    <w:p w:rsidRPr="005D708A" w:rsidR="00091B37" w:rsidP="00DD5A6E" w:rsidRDefault="000126DA" w14:paraId="2F1FB7E1" w14:textId="38488E26">
      <w:pPr>
        <w:spacing w:before="160"/>
        <w:rPr>
          <w:rFonts w:cs="Calibri" w:eastAsiaTheme="minorEastAsia"/>
        </w:rPr>
      </w:pPr>
      <m:oMathPara>
        <m:oMath>
          <m:r>
            <m:rPr>
              <m:sty m:val="p"/>
            </m:rPr>
            <w:rPr>
              <w:rFonts w:ascii="Cambria Math" w:hAnsi="Cambria Math" w:cs="Calibri"/>
            </w:rPr>
            <m:t>A=$110+</m:t>
          </m:r>
          <m:d>
            <m:dPr>
              <m:ctrlPr>
                <w:rPr>
                  <w:rFonts w:ascii="Cambria Math" w:hAnsi="Cambria Math" w:cs="Calibri"/>
                </w:rPr>
              </m:ctrlPr>
            </m:dPr>
            <m:e>
              <m:r>
                <m:rPr>
                  <m:sty m:val="p"/>
                </m:rPr>
                <w:rPr>
                  <w:rFonts w:ascii="Cambria Math" w:hAnsi="Cambria Math" w:cs="Calibri"/>
                </w:rPr>
                <m:t>$0.58 ×International student enrolments</m:t>
              </m:r>
            </m:e>
          </m:d>
        </m:oMath>
      </m:oMathPara>
    </w:p>
    <w:p w:rsidRPr="0076106B" w:rsidR="004B6426" w:rsidP="004B6426" w:rsidRDefault="004E1BEA" w14:paraId="57674363" w14:textId="05269448">
      <w:pPr>
        <w:spacing w:after="0"/>
        <w:rPr>
          <w:rFonts w:cs="Calibri"/>
          <w:i/>
          <w:iCs/>
        </w:rPr>
      </w:pPr>
      <w:r w:rsidRPr="0076106B">
        <w:rPr>
          <w:rFonts w:cs="Calibri"/>
          <w:i/>
          <w:iCs/>
        </w:rPr>
        <w:t>where:</w:t>
      </w:r>
    </w:p>
    <w:p w:rsidRPr="0076106B" w:rsidR="00763B14" w:rsidP="00C31825" w:rsidRDefault="009266CE" w14:paraId="41021228" w14:textId="7F1F7931">
      <w:pPr>
        <w:spacing w:after="0"/>
        <w:ind w:left="720"/>
        <w:rPr>
          <w:rFonts w:cs="Calibri"/>
        </w:rPr>
      </w:pPr>
      <w:r w:rsidRPr="0076106B">
        <w:rPr>
          <w:rFonts w:cs="Calibri"/>
        </w:rPr>
        <w:t>International student</w:t>
      </w:r>
      <w:r w:rsidR="00CE414D">
        <w:rPr>
          <w:rFonts w:cs="Calibri"/>
        </w:rPr>
        <w:t xml:space="preserve"> enrolment</w:t>
      </w:r>
      <w:r w:rsidR="00B351DB">
        <w:rPr>
          <w:rFonts w:cs="Calibri"/>
        </w:rPr>
        <w:t>s</w:t>
      </w:r>
      <w:r w:rsidRPr="0076106B" w:rsidR="00191C07">
        <w:rPr>
          <w:rFonts w:cs="Calibri"/>
        </w:rPr>
        <w:t xml:space="preserve"> </w:t>
      </w:r>
      <w:r w:rsidRPr="0076106B" w:rsidR="00E85B52">
        <w:rPr>
          <w:rFonts w:cs="Calibri"/>
        </w:rPr>
        <w:t>=</w:t>
      </w:r>
      <w:r w:rsidRPr="0076106B">
        <w:rPr>
          <w:rFonts w:cs="Calibri"/>
        </w:rPr>
        <w:t xml:space="preserve"> </w:t>
      </w:r>
      <w:r w:rsidR="00F05384">
        <w:rPr>
          <w:rFonts w:cs="Calibri"/>
        </w:rPr>
        <w:t>202</w:t>
      </w:r>
      <w:r w:rsidR="00D0030B">
        <w:rPr>
          <w:rFonts w:cs="Calibri"/>
        </w:rPr>
        <w:t>5</w:t>
      </w:r>
      <w:r w:rsidR="00F05384">
        <w:rPr>
          <w:rFonts w:cs="Calibri"/>
        </w:rPr>
        <w:t xml:space="preserve"> Equivalent Full Time Study Load (EFTSL)</w:t>
      </w:r>
      <w:r w:rsidR="001E7E24">
        <w:rPr>
          <w:rFonts w:cs="Calibri"/>
        </w:rPr>
        <w:t xml:space="preserve"> count</w:t>
      </w:r>
    </w:p>
    <w:p w:rsidRPr="00524C2A" w:rsidR="008A3BCE" w:rsidP="004E1BEA" w:rsidRDefault="001D63CC" w14:paraId="332D423E" w14:textId="14D2A98B">
      <w:pPr>
        <w:spacing w:after="0"/>
        <w:ind w:left="720"/>
        <w:rPr>
          <w:rFonts w:cs="Calibri"/>
          <w:sz w:val="18"/>
          <w:szCs w:val="18"/>
        </w:rPr>
      </w:pPr>
      <w:r w:rsidRPr="0076106B">
        <w:rPr>
          <w:rFonts w:cs="Calibri"/>
          <w:sz w:val="18"/>
          <w:szCs w:val="18"/>
        </w:rPr>
        <w:t xml:space="preserve">Source: </w:t>
      </w:r>
      <w:r w:rsidRPr="0076106B" w:rsidR="009266CE">
        <w:rPr>
          <w:rFonts w:cs="Calibri"/>
          <w:sz w:val="18"/>
          <w:szCs w:val="18"/>
        </w:rPr>
        <w:t>P</w:t>
      </w:r>
      <w:r w:rsidRPr="0076106B" w:rsidR="00636B3A">
        <w:rPr>
          <w:rFonts w:cs="Calibri"/>
          <w:sz w:val="18"/>
          <w:szCs w:val="18"/>
        </w:rPr>
        <w:t>rovider Registration and International Student Management System (PRISMS)</w:t>
      </w:r>
      <w:r w:rsidRPr="0076106B" w:rsidR="009266CE">
        <w:rPr>
          <w:rFonts w:cs="Calibri"/>
          <w:sz w:val="18"/>
          <w:szCs w:val="18"/>
        </w:rPr>
        <w:t xml:space="preserve"> </w:t>
      </w:r>
      <w:r w:rsidRPr="0076106B" w:rsidR="00191C07">
        <w:rPr>
          <w:rFonts w:cs="Calibri"/>
          <w:sz w:val="18"/>
          <w:szCs w:val="18"/>
        </w:rPr>
        <w:t>–</w:t>
      </w:r>
      <w:r w:rsidRPr="0076106B" w:rsidR="00835E42">
        <w:rPr>
          <w:rFonts w:cs="Calibri"/>
          <w:sz w:val="18"/>
          <w:szCs w:val="18"/>
        </w:rPr>
        <w:t xml:space="preserve"> data submitted by </w:t>
      </w:r>
      <w:r w:rsidRPr="0076106B" w:rsidR="00AC28F1">
        <w:rPr>
          <w:rFonts w:cs="Calibri"/>
          <w:sz w:val="18"/>
          <w:szCs w:val="18"/>
        </w:rPr>
        <w:t>CRICOS provider</w:t>
      </w:r>
      <w:r w:rsidRPr="0076106B" w:rsidR="00D57919">
        <w:rPr>
          <w:rFonts w:cs="Calibri"/>
          <w:sz w:val="18"/>
          <w:szCs w:val="18"/>
        </w:rPr>
        <w:t>s</w:t>
      </w:r>
      <w:r w:rsidRPr="0076106B" w:rsidR="00835E42">
        <w:rPr>
          <w:rFonts w:cs="Calibri"/>
          <w:sz w:val="18"/>
          <w:szCs w:val="18"/>
        </w:rPr>
        <w:t xml:space="preserve"> as a requirement</w:t>
      </w:r>
      <w:r w:rsidRPr="0076106B" w:rsidR="00AC28F1">
        <w:rPr>
          <w:rFonts w:cs="Calibri"/>
          <w:sz w:val="18"/>
          <w:szCs w:val="18"/>
        </w:rPr>
        <w:t xml:space="preserve"> under</w:t>
      </w:r>
      <w:r w:rsidRPr="0076106B" w:rsidR="00835E42">
        <w:rPr>
          <w:rFonts w:cs="Calibri"/>
          <w:sz w:val="18"/>
          <w:szCs w:val="18"/>
        </w:rPr>
        <w:t xml:space="preserve"> </w:t>
      </w:r>
      <w:r w:rsidR="00211263">
        <w:rPr>
          <w:rFonts w:cs="Calibri"/>
          <w:sz w:val="18"/>
          <w:szCs w:val="18"/>
        </w:rPr>
        <w:t>s</w:t>
      </w:r>
      <w:r w:rsidRPr="0076106B" w:rsidR="00835E42">
        <w:rPr>
          <w:rFonts w:cs="Calibri"/>
          <w:sz w:val="18"/>
          <w:szCs w:val="18"/>
        </w:rPr>
        <w:t>ection 19</w:t>
      </w:r>
      <w:r w:rsidRPr="0076106B" w:rsidR="008976BE">
        <w:rPr>
          <w:rFonts w:cs="Calibri"/>
          <w:sz w:val="18"/>
          <w:szCs w:val="18"/>
        </w:rPr>
        <w:t xml:space="preserve"> of</w:t>
      </w:r>
      <w:r w:rsidRPr="0076106B" w:rsidR="00AC28F1">
        <w:rPr>
          <w:rFonts w:cs="Calibri"/>
          <w:sz w:val="18"/>
          <w:szCs w:val="18"/>
        </w:rPr>
        <w:t xml:space="preserve"> the </w:t>
      </w:r>
      <w:r w:rsidRPr="0076106B" w:rsidR="00AC28F1">
        <w:rPr>
          <w:rFonts w:cs="Calibri"/>
          <w:i/>
          <w:iCs/>
          <w:sz w:val="18"/>
          <w:szCs w:val="18"/>
        </w:rPr>
        <w:t>Education Services for Overseas Students Act 200</w:t>
      </w:r>
      <w:r w:rsidR="00C26052">
        <w:rPr>
          <w:rFonts w:cs="Calibri"/>
          <w:i/>
          <w:iCs/>
          <w:sz w:val="18"/>
          <w:szCs w:val="18"/>
        </w:rPr>
        <w:t>0</w:t>
      </w:r>
      <w:r w:rsidR="00211263">
        <w:rPr>
          <w:rFonts w:cs="Calibri"/>
          <w:i/>
          <w:iCs/>
          <w:sz w:val="18"/>
          <w:szCs w:val="18"/>
        </w:rPr>
        <w:t xml:space="preserve"> </w:t>
      </w:r>
      <w:r w:rsidRPr="00407926" w:rsidR="00211263">
        <w:rPr>
          <w:rFonts w:cs="Calibri"/>
          <w:sz w:val="18"/>
          <w:szCs w:val="18"/>
        </w:rPr>
        <w:t>(ESOS Act)</w:t>
      </w:r>
      <w:r w:rsidRPr="0076106B" w:rsidR="00AC28F1">
        <w:rPr>
          <w:rFonts w:cs="Calibri"/>
          <w:i/>
          <w:iCs/>
          <w:sz w:val="18"/>
          <w:szCs w:val="18"/>
        </w:rPr>
        <w:t>.</w:t>
      </w:r>
    </w:p>
    <w:p w:rsidRPr="0076106B" w:rsidR="00CF0BA2" w:rsidP="00D07121" w:rsidRDefault="00CF0BA2" w14:paraId="06BA08B7" w14:textId="2EA3F5AD">
      <w:pPr>
        <w:pStyle w:val="Heading3"/>
        <w:spacing w:before="240"/>
      </w:pPr>
      <w:r w:rsidRPr="0076106B">
        <w:t xml:space="preserve">Base </w:t>
      </w:r>
      <w:r w:rsidR="00DE4F58">
        <w:t>F</w:t>
      </w:r>
      <w:r w:rsidRPr="0076106B">
        <w:t>ee component</w:t>
      </w:r>
    </w:p>
    <w:p w:rsidR="002040A7" w:rsidP="002040A7" w:rsidRDefault="007E06E3" w14:paraId="1D4DA588" w14:textId="3CC1C791">
      <w:pPr>
        <w:rPr>
          <w:rFonts w:cs="Calibri"/>
        </w:rPr>
      </w:pPr>
      <w:r w:rsidRPr="6B34F37B">
        <w:rPr>
          <w:rFonts w:cs="Calibri"/>
        </w:rPr>
        <w:t xml:space="preserve">The Base Fee component contributes to maintaining the balance of the </w:t>
      </w:r>
      <w:r w:rsidRPr="6B34F37B" w:rsidR="00844844">
        <w:rPr>
          <w:rFonts w:cs="Calibri"/>
        </w:rPr>
        <w:t>OSTF</w:t>
      </w:r>
      <w:r w:rsidRPr="6B34F37B" w:rsidR="002040A7">
        <w:rPr>
          <w:rFonts w:cs="Calibri"/>
        </w:rPr>
        <w:t xml:space="preserve"> at a sustainable level by ensuring there are sufficient funds available in the event of a large provider default, or multiple provider defaults. </w:t>
      </w:r>
      <w:r w:rsidRPr="6B34F37B" w:rsidR="000B6CBC">
        <w:rPr>
          <w:rFonts w:cs="Calibri"/>
        </w:rPr>
        <w:t xml:space="preserve">The two amounts </w:t>
      </w:r>
      <w:r w:rsidRPr="6B34F37B" w:rsidR="00851E3E">
        <w:rPr>
          <w:rFonts w:cs="Calibri"/>
        </w:rPr>
        <w:t>for</w:t>
      </w:r>
      <w:r w:rsidRPr="6B34F37B" w:rsidR="00897463">
        <w:rPr>
          <w:rFonts w:cs="Calibri"/>
        </w:rPr>
        <w:t xml:space="preserve"> the</w:t>
      </w:r>
      <w:r w:rsidRPr="6B34F37B" w:rsidR="002040A7">
        <w:rPr>
          <w:rFonts w:cs="Calibri"/>
        </w:rPr>
        <w:t xml:space="preserve"> Base Fee component </w:t>
      </w:r>
      <w:r w:rsidRPr="6B34F37B" w:rsidR="00897463">
        <w:rPr>
          <w:rFonts w:cs="Calibri"/>
        </w:rPr>
        <w:t>are</w:t>
      </w:r>
      <w:r w:rsidRPr="6B34F37B" w:rsidR="002040A7">
        <w:rPr>
          <w:rFonts w:cs="Calibri"/>
        </w:rPr>
        <w:t xml:space="preserve"> </w:t>
      </w:r>
      <w:r w:rsidRPr="6B34F37B" w:rsidR="003B1486">
        <w:rPr>
          <w:rFonts w:cs="Calibri"/>
        </w:rPr>
        <w:t>determined</w:t>
      </w:r>
      <w:r w:rsidRPr="6B34F37B" w:rsidR="002040A7">
        <w:rPr>
          <w:rFonts w:cs="Calibri"/>
        </w:rPr>
        <w:t xml:space="preserve"> by the Minister for Education through a legislative instrument </w:t>
      </w:r>
      <w:r w:rsidRPr="6B34F37B" w:rsidR="230E3C59">
        <w:rPr>
          <w:rFonts w:cs="Calibri"/>
        </w:rPr>
        <w:t>(</w:t>
      </w:r>
      <w:r w:rsidRPr="6B34F37B" w:rsidR="002040A7">
        <w:rPr>
          <w:rFonts w:cs="Calibri"/>
        </w:rPr>
        <w:t>or indexed annually if the Minister chooses not to make a</w:t>
      </w:r>
      <w:r w:rsidRPr="6B34F37B" w:rsidR="1F164294">
        <w:rPr>
          <w:rFonts w:cs="Calibri"/>
        </w:rPr>
        <w:t xml:space="preserve"> new</w:t>
      </w:r>
      <w:r w:rsidRPr="6B34F37B" w:rsidR="002040A7">
        <w:rPr>
          <w:rFonts w:cs="Calibri"/>
        </w:rPr>
        <w:t xml:space="preserve"> legislative instrument for a particular year</w:t>
      </w:r>
      <w:r w:rsidRPr="6B34F37B" w:rsidR="160850BC">
        <w:rPr>
          <w:rFonts w:cs="Calibri"/>
        </w:rPr>
        <w:t>)</w:t>
      </w:r>
      <w:r w:rsidRPr="6B34F37B" w:rsidR="002040A7">
        <w:rPr>
          <w:rFonts w:cs="Calibri"/>
        </w:rPr>
        <w:t>.</w:t>
      </w:r>
    </w:p>
    <w:p w:rsidR="000B6CBC" w:rsidP="005D708A" w:rsidRDefault="00897463" w14:paraId="6A83EE14" w14:textId="50CEA755">
      <w:pPr>
        <w:rPr>
          <w:rFonts w:cs="Calibri"/>
        </w:rPr>
      </w:pPr>
      <w:r w:rsidRPr="6B34F37B">
        <w:rPr>
          <w:rFonts w:cs="Calibri"/>
        </w:rPr>
        <w:t xml:space="preserve">The two amounts </w:t>
      </w:r>
      <w:r w:rsidRPr="6B34F37B" w:rsidR="00851E3E">
        <w:rPr>
          <w:rFonts w:cs="Calibri"/>
        </w:rPr>
        <w:t xml:space="preserve">for </w:t>
      </w:r>
      <w:r w:rsidRPr="6B34F37B">
        <w:rPr>
          <w:rFonts w:cs="Calibri"/>
        </w:rPr>
        <w:t>the Base Fee component for 202</w:t>
      </w:r>
      <w:r w:rsidR="00D0030B">
        <w:rPr>
          <w:rFonts w:cs="Calibri"/>
        </w:rPr>
        <w:t>6</w:t>
      </w:r>
      <w:r w:rsidRPr="6B34F37B">
        <w:rPr>
          <w:rFonts w:cs="Calibri"/>
        </w:rPr>
        <w:t xml:space="preserve"> are $2</w:t>
      </w:r>
      <w:r w:rsidR="005C7C26">
        <w:rPr>
          <w:rFonts w:cs="Calibri"/>
        </w:rPr>
        <w:t>23</w:t>
      </w:r>
      <w:r w:rsidRPr="6B34F37B" w:rsidR="003E7B86">
        <w:rPr>
          <w:rFonts w:cs="Calibri"/>
        </w:rPr>
        <w:t xml:space="preserve"> </w:t>
      </w:r>
      <w:r w:rsidRPr="6B34F37B" w:rsidR="086E650F">
        <w:rPr>
          <w:rFonts w:cs="Calibri"/>
        </w:rPr>
        <w:t>(</w:t>
      </w:r>
      <w:r w:rsidRPr="6B34F37B" w:rsidR="003E7B86">
        <w:rPr>
          <w:rFonts w:cs="Calibri"/>
        </w:rPr>
        <w:t>per provider charge</w:t>
      </w:r>
      <w:r w:rsidRPr="6B34F37B" w:rsidR="1D97A3A8">
        <w:rPr>
          <w:rFonts w:cs="Calibri"/>
        </w:rPr>
        <w:t>)</w:t>
      </w:r>
      <w:r w:rsidRPr="6B34F37B">
        <w:rPr>
          <w:rFonts w:cs="Calibri"/>
        </w:rPr>
        <w:t xml:space="preserve"> and $1.</w:t>
      </w:r>
      <w:r w:rsidR="005C7C26">
        <w:rPr>
          <w:rFonts w:cs="Calibri"/>
        </w:rPr>
        <w:t>41</w:t>
      </w:r>
      <w:r w:rsidRPr="6B34F37B" w:rsidR="003E7B86">
        <w:rPr>
          <w:rFonts w:cs="Calibri"/>
        </w:rPr>
        <w:t xml:space="preserve"> </w:t>
      </w:r>
      <w:r w:rsidRPr="6B34F37B" w:rsidR="62368C53">
        <w:rPr>
          <w:rFonts w:cs="Calibri"/>
        </w:rPr>
        <w:t>(</w:t>
      </w:r>
      <w:r w:rsidRPr="6B34F37B" w:rsidR="003E7B86">
        <w:rPr>
          <w:rFonts w:cs="Calibri"/>
        </w:rPr>
        <w:t>per student charge</w:t>
      </w:r>
      <w:r w:rsidRPr="6B34F37B" w:rsidR="5CF04897">
        <w:rPr>
          <w:rFonts w:cs="Calibri"/>
        </w:rPr>
        <w:t>)</w:t>
      </w:r>
      <w:r w:rsidRPr="6B34F37B">
        <w:rPr>
          <w:rFonts w:cs="Calibri"/>
        </w:rPr>
        <w:t>.</w:t>
      </w:r>
    </w:p>
    <w:p w:rsidRPr="0076106B" w:rsidR="00CF0BA2" w:rsidP="00DD5A6E" w:rsidRDefault="00CF0BA2" w14:paraId="61381456" w14:textId="22F646F7">
      <w:pPr>
        <w:spacing w:after="80"/>
        <w:rPr>
          <w:rFonts w:cs="Calibri"/>
        </w:rPr>
      </w:pPr>
      <w:r w:rsidRPr="0076106B">
        <w:rPr>
          <w:rFonts w:cs="Calibri"/>
        </w:rPr>
        <w:t>The Base Fee component (B) is calculated as:</w:t>
      </w:r>
    </w:p>
    <w:p w:rsidRPr="005D708A" w:rsidR="00CF0BA2" w:rsidP="00DD5A6E" w:rsidRDefault="002825B7" w14:paraId="7FE9283E" w14:textId="7CBC2EFD">
      <w:pPr>
        <w:spacing w:before="160"/>
        <w:rPr>
          <w:rFonts w:cs="Calibri" w:eastAsiaTheme="minorEastAsia"/>
        </w:rPr>
      </w:pPr>
      <m:oMathPara>
        <m:oMath>
          <m:r>
            <m:rPr>
              <m:sty m:val="p"/>
            </m:rPr>
            <w:rPr>
              <w:rFonts w:ascii="Cambria Math" w:hAnsi="Cambria Math" w:cs="Calibri"/>
            </w:rPr>
            <m:t>B=$223+</m:t>
          </m:r>
          <m:d>
            <m:dPr>
              <m:ctrlPr>
                <w:rPr>
                  <w:rFonts w:ascii="Cambria Math" w:hAnsi="Cambria Math" w:cs="Calibri"/>
                </w:rPr>
              </m:ctrlPr>
            </m:dPr>
            <m:e>
              <m:r>
                <m:rPr>
                  <m:sty m:val="p"/>
                </m:rPr>
                <w:rPr>
                  <w:rFonts w:ascii="Cambria Math" w:hAnsi="Cambria Math" w:cs="Calibri"/>
                </w:rPr>
                <m:t>$1.41 ×International student enrolments</m:t>
              </m:r>
            </m:e>
          </m:d>
        </m:oMath>
      </m:oMathPara>
    </w:p>
    <w:p w:rsidRPr="0076106B" w:rsidR="0004082D" w:rsidP="0004082D" w:rsidRDefault="0004082D" w14:paraId="12CDB73C" w14:textId="77777777">
      <w:pPr>
        <w:spacing w:after="0"/>
        <w:rPr>
          <w:rFonts w:cs="Calibri"/>
        </w:rPr>
      </w:pPr>
      <w:r w:rsidRPr="0076106B">
        <w:rPr>
          <w:rFonts w:cs="Calibri"/>
          <w:i/>
          <w:iCs/>
        </w:rPr>
        <w:t>where:</w:t>
      </w:r>
    </w:p>
    <w:p w:rsidR="007A43F7" w:rsidP="0004082D" w:rsidRDefault="0004082D" w14:paraId="33CEE2EE" w14:textId="69D0D18C">
      <w:pPr>
        <w:spacing w:after="0"/>
        <w:ind w:left="720"/>
        <w:rPr>
          <w:rFonts w:cs="Calibri"/>
        </w:rPr>
      </w:pPr>
      <w:r w:rsidRPr="0076106B">
        <w:rPr>
          <w:rFonts w:cs="Calibri"/>
        </w:rPr>
        <w:t>International student</w:t>
      </w:r>
      <w:r w:rsidR="00211263">
        <w:rPr>
          <w:rFonts w:cs="Calibri"/>
        </w:rPr>
        <w:t>s</w:t>
      </w:r>
      <w:r w:rsidRPr="0076106B">
        <w:rPr>
          <w:rFonts w:cs="Calibri"/>
        </w:rPr>
        <w:t xml:space="preserve"> =</w:t>
      </w:r>
      <w:r w:rsidR="00F05384">
        <w:rPr>
          <w:rFonts w:cs="Calibri"/>
        </w:rPr>
        <w:t xml:space="preserve"> 202</w:t>
      </w:r>
      <w:r w:rsidR="005D708A">
        <w:rPr>
          <w:rFonts w:cs="Calibri"/>
        </w:rPr>
        <w:t>5</w:t>
      </w:r>
      <w:r w:rsidR="00F05384">
        <w:rPr>
          <w:rFonts w:cs="Calibri"/>
        </w:rPr>
        <w:t xml:space="preserve"> EFTSL</w:t>
      </w:r>
      <w:r w:rsidR="001E7E24">
        <w:rPr>
          <w:rFonts w:cs="Calibri"/>
        </w:rPr>
        <w:t xml:space="preserve"> count</w:t>
      </w:r>
      <w:r w:rsidRPr="0076106B">
        <w:rPr>
          <w:rFonts w:cs="Calibri"/>
        </w:rPr>
        <w:t xml:space="preserve"> </w:t>
      </w:r>
    </w:p>
    <w:p w:rsidRPr="0076106B" w:rsidR="0004082D" w:rsidP="0004082D" w:rsidRDefault="0004082D" w14:paraId="5A81A133" w14:textId="01F3A2AD">
      <w:pPr>
        <w:spacing w:after="0"/>
        <w:ind w:left="720"/>
        <w:rPr>
          <w:rFonts w:cs="Calibri"/>
          <w:sz w:val="18"/>
          <w:szCs w:val="18"/>
        </w:rPr>
      </w:pPr>
      <w:r w:rsidRPr="0076106B">
        <w:rPr>
          <w:rFonts w:cs="Calibri"/>
          <w:sz w:val="18"/>
          <w:szCs w:val="18"/>
        </w:rPr>
        <w:t xml:space="preserve">Source: PRISMS – data submitted by CRICOS providers as a requirement under </w:t>
      </w:r>
      <w:r w:rsidR="00211263">
        <w:rPr>
          <w:rFonts w:cs="Calibri"/>
          <w:sz w:val="18"/>
          <w:szCs w:val="18"/>
        </w:rPr>
        <w:t>s</w:t>
      </w:r>
      <w:r w:rsidRPr="0076106B">
        <w:rPr>
          <w:rFonts w:cs="Calibri"/>
          <w:sz w:val="18"/>
          <w:szCs w:val="18"/>
        </w:rPr>
        <w:t>ection 19 of the ESOS Act</w:t>
      </w:r>
      <w:r w:rsidR="00211263">
        <w:rPr>
          <w:rFonts w:cs="Calibri"/>
          <w:sz w:val="18"/>
          <w:szCs w:val="18"/>
        </w:rPr>
        <w:t>.</w:t>
      </w:r>
    </w:p>
    <w:p w:rsidRPr="0076106B" w:rsidR="0004082D" w:rsidP="005B5229" w:rsidRDefault="0004082D" w14:paraId="2B9B28DD" w14:textId="77777777">
      <w:pPr>
        <w:spacing w:after="0"/>
        <w:ind w:left="720"/>
        <w:rPr>
          <w:rFonts w:cs="Calibri"/>
          <w:sz w:val="18"/>
          <w:szCs w:val="18"/>
        </w:rPr>
      </w:pPr>
    </w:p>
    <w:p w:rsidRPr="00CD50C3" w:rsidR="367F4894" w:rsidP="1ABC20DC" w:rsidRDefault="367F4894" w14:paraId="0F22D01D" w14:textId="250968D3">
      <w:pPr>
        <w:rPr>
          <w:rFonts w:cs="Calibri"/>
          <w:sz w:val="18"/>
          <w:szCs w:val="18"/>
        </w:rPr>
      </w:pPr>
      <w:r w:rsidRPr="6B34F37B">
        <w:rPr>
          <w:rFonts w:cs="Calibri"/>
          <w:sz w:val="18"/>
          <w:szCs w:val="18"/>
        </w:rPr>
        <w:t>N</w:t>
      </w:r>
      <w:r w:rsidRPr="6B34F37B" w:rsidR="00CD50C3">
        <w:rPr>
          <w:rFonts w:cs="Calibri"/>
          <w:sz w:val="18"/>
          <w:szCs w:val="18"/>
        </w:rPr>
        <w:t>ote:</w:t>
      </w:r>
      <w:r w:rsidRPr="6B34F37B">
        <w:rPr>
          <w:rFonts w:cs="Calibri"/>
          <w:sz w:val="18"/>
          <w:szCs w:val="18"/>
        </w:rPr>
        <w:t xml:space="preserve"> Schools</w:t>
      </w:r>
      <w:r w:rsidRPr="6B34F37B" w:rsidR="002040A7">
        <w:rPr>
          <w:rFonts w:cs="Calibri"/>
          <w:sz w:val="18"/>
          <w:szCs w:val="18"/>
        </w:rPr>
        <w:t xml:space="preserve"> providers</w:t>
      </w:r>
      <w:r w:rsidRPr="6B34F37B">
        <w:rPr>
          <w:rFonts w:cs="Calibri"/>
          <w:sz w:val="18"/>
          <w:szCs w:val="18"/>
        </w:rPr>
        <w:t xml:space="preserve"> with no </w:t>
      </w:r>
      <w:r w:rsidRPr="6B34F37B" w:rsidR="002040A7">
        <w:rPr>
          <w:rFonts w:cs="Calibri"/>
          <w:sz w:val="18"/>
          <w:szCs w:val="18"/>
        </w:rPr>
        <w:t xml:space="preserve">international student </w:t>
      </w:r>
      <w:r w:rsidRPr="6B34F37B">
        <w:rPr>
          <w:rFonts w:cs="Calibri"/>
          <w:sz w:val="18"/>
          <w:szCs w:val="18"/>
        </w:rPr>
        <w:t>enrolments</w:t>
      </w:r>
      <w:r w:rsidRPr="6B34F37B" w:rsidR="3EDF7239">
        <w:rPr>
          <w:rFonts w:cs="Calibri"/>
          <w:sz w:val="18"/>
          <w:szCs w:val="18"/>
        </w:rPr>
        <w:t xml:space="preserve"> in the previous year</w:t>
      </w:r>
      <w:r w:rsidRPr="6B34F37B">
        <w:rPr>
          <w:rFonts w:cs="Calibri"/>
          <w:sz w:val="18"/>
          <w:szCs w:val="18"/>
        </w:rPr>
        <w:t xml:space="preserve"> are exempt from the Base Fee component</w:t>
      </w:r>
      <w:r w:rsidRPr="6B34F37B" w:rsidR="00A933A4">
        <w:rPr>
          <w:rFonts w:cs="Calibri"/>
          <w:sz w:val="18"/>
          <w:szCs w:val="18"/>
        </w:rPr>
        <w:t>.</w:t>
      </w:r>
    </w:p>
    <w:p w:rsidRPr="0076106B" w:rsidR="004B6426" w:rsidP="00D07121" w:rsidRDefault="004B6426" w14:paraId="68B38A88" w14:textId="113ECB0D">
      <w:pPr>
        <w:pStyle w:val="Heading3"/>
        <w:spacing w:before="240"/>
      </w:pPr>
      <w:r w:rsidRPr="0076106B">
        <w:t>Risk</w:t>
      </w:r>
      <w:r w:rsidR="009A010D">
        <w:t xml:space="preserve"> </w:t>
      </w:r>
      <w:r w:rsidRPr="0076106B" w:rsidR="00356E01">
        <w:t>R</w:t>
      </w:r>
      <w:r w:rsidRPr="0076106B">
        <w:t xml:space="preserve">ated </w:t>
      </w:r>
      <w:r w:rsidRPr="0076106B" w:rsidR="00356E01">
        <w:t>P</w:t>
      </w:r>
      <w:r w:rsidRPr="0076106B">
        <w:t>remium component</w:t>
      </w:r>
    </w:p>
    <w:p w:rsidR="00B447AF" w:rsidP="00B447AF" w:rsidRDefault="00B447AF" w14:paraId="3CE86D49" w14:textId="309E10C5">
      <w:pPr>
        <w:rPr>
          <w:rFonts w:cs="Calibri"/>
        </w:rPr>
      </w:pPr>
      <w:r w:rsidRPr="0076106B">
        <w:rPr>
          <w:rFonts w:cs="Calibri"/>
        </w:rPr>
        <w:t xml:space="preserve">The </w:t>
      </w:r>
      <w:r>
        <w:rPr>
          <w:rFonts w:cs="Calibri"/>
        </w:rPr>
        <w:t>Risk Rated Premium</w:t>
      </w:r>
      <w:r w:rsidRPr="0076106B">
        <w:rPr>
          <w:rFonts w:cs="Calibri"/>
        </w:rPr>
        <w:t xml:space="preserve"> component is </w:t>
      </w:r>
      <w:r w:rsidR="003B1486">
        <w:rPr>
          <w:rFonts w:cs="Calibri"/>
        </w:rPr>
        <w:t>determined</w:t>
      </w:r>
      <w:r w:rsidRPr="0076106B">
        <w:rPr>
          <w:rFonts w:cs="Calibri"/>
        </w:rPr>
        <w:t xml:space="preserve"> by the </w:t>
      </w:r>
      <w:r>
        <w:rPr>
          <w:rFonts w:cs="Calibri"/>
        </w:rPr>
        <w:t>TPS Director</w:t>
      </w:r>
      <w:r w:rsidR="00176C10">
        <w:rPr>
          <w:rFonts w:cs="Calibri"/>
        </w:rPr>
        <w:t xml:space="preserve"> through </w:t>
      </w:r>
      <w:r>
        <w:rPr>
          <w:rFonts w:cs="Calibri"/>
        </w:rPr>
        <w:t>a legislative instrument each year</w:t>
      </w:r>
      <w:r w:rsidRPr="0076106B">
        <w:rPr>
          <w:rFonts w:cs="Calibri"/>
        </w:rPr>
        <w:t>.</w:t>
      </w:r>
    </w:p>
    <w:p w:rsidRPr="00CD50C3" w:rsidR="00B447AF" w:rsidP="00B447AF" w:rsidRDefault="00B447AF" w14:paraId="3BB5624F" w14:textId="7DCFA359">
      <w:pPr>
        <w:spacing w:after="0"/>
        <w:rPr>
          <w:rFonts w:cs="Calibri"/>
          <w:sz w:val="18"/>
          <w:szCs w:val="18"/>
        </w:rPr>
      </w:pPr>
      <w:r w:rsidRPr="00CD50C3">
        <w:rPr>
          <w:rFonts w:cs="Calibri"/>
          <w:sz w:val="18"/>
          <w:szCs w:val="18"/>
        </w:rPr>
        <w:t xml:space="preserve">Note: Table A providers, </w:t>
      </w:r>
      <w:r>
        <w:rPr>
          <w:rFonts w:cs="Calibri"/>
          <w:sz w:val="18"/>
          <w:szCs w:val="18"/>
        </w:rPr>
        <w:t>g</w:t>
      </w:r>
      <w:r w:rsidRPr="00CD50C3">
        <w:rPr>
          <w:rFonts w:cs="Calibri"/>
          <w:sz w:val="18"/>
          <w:szCs w:val="18"/>
        </w:rPr>
        <w:t>overnment schools</w:t>
      </w:r>
      <w:r>
        <w:rPr>
          <w:rFonts w:cs="Calibri"/>
          <w:sz w:val="18"/>
          <w:szCs w:val="18"/>
        </w:rPr>
        <w:t>,</w:t>
      </w:r>
      <w:r w:rsidRPr="00CD50C3">
        <w:rPr>
          <w:rFonts w:cs="Calibri"/>
          <w:sz w:val="18"/>
          <w:szCs w:val="18"/>
        </w:rPr>
        <w:t xml:space="preserve"> and </w:t>
      </w:r>
      <w:r>
        <w:rPr>
          <w:rFonts w:cs="Calibri"/>
          <w:sz w:val="18"/>
          <w:szCs w:val="18"/>
        </w:rPr>
        <w:t>s</w:t>
      </w:r>
      <w:r w:rsidRPr="00CD50C3">
        <w:rPr>
          <w:rFonts w:cs="Calibri"/>
          <w:sz w:val="18"/>
          <w:szCs w:val="18"/>
        </w:rPr>
        <w:t xml:space="preserve">tate and </w:t>
      </w:r>
      <w:r>
        <w:rPr>
          <w:rFonts w:cs="Calibri"/>
          <w:sz w:val="18"/>
          <w:szCs w:val="18"/>
        </w:rPr>
        <w:t>t</w:t>
      </w:r>
      <w:r w:rsidRPr="00CD50C3">
        <w:rPr>
          <w:rFonts w:cs="Calibri"/>
          <w:sz w:val="18"/>
          <w:szCs w:val="18"/>
        </w:rPr>
        <w:t xml:space="preserve">erritory VET institutions are exempt from the Risk Rated Premium component, outlined in the </w:t>
      </w:r>
      <w:hyperlink w:history="1" r:id="rId12">
        <w:r>
          <w:rPr>
            <w:rStyle w:val="Hyperlink"/>
            <w:i/>
            <w:iCs/>
            <w:sz w:val="18"/>
            <w:szCs w:val="18"/>
          </w:rPr>
          <w:t>Education Services for Overseas Students (TPS Levies - Exemptions) Instrument 2022</w:t>
        </w:r>
      </w:hyperlink>
      <w:r w:rsidR="00851E3E">
        <w:t>.</w:t>
      </w:r>
      <w:r w:rsidRPr="00CD50C3">
        <w:rPr>
          <w:rStyle w:val="FootnoteReference"/>
          <w:rFonts w:cs="Calibri"/>
          <w:sz w:val="18"/>
          <w:szCs w:val="18"/>
        </w:rPr>
        <w:footnoteReference w:id="3"/>
      </w:r>
    </w:p>
    <w:p w:rsidRPr="0076106B" w:rsidR="00B447AF" w:rsidP="00B447AF" w:rsidRDefault="00B447AF" w14:paraId="388953E8" w14:textId="77777777">
      <w:pPr>
        <w:spacing w:after="0"/>
        <w:rPr>
          <w:rFonts w:cs="Calibri"/>
          <w:sz w:val="18"/>
          <w:szCs w:val="18"/>
        </w:rPr>
      </w:pPr>
    </w:p>
    <w:p w:rsidRPr="0076106B" w:rsidR="00CE5BB9" w:rsidP="00DD5A6E" w:rsidRDefault="004B6426" w14:paraId="6044D6A4" w14:textId="3C98261B">
      <w:pPr>
        <w:spacing w:after="80"/>
        <w:rPr>
          <w:rFonts w:cs="Calibri"/>
          <w:i/>
          <w:iCs/>
        </w:rPr>
      </w:pPr>
      <w:r w:rsidRPr="0076106B">
        <w:rPr>
          <w:rFonts w:cs="Calibri"/>
        </w:rPr>
        <w:t>The Risk</w:t>
      </w:r>
      <w:r w:rsidR="009A010D">
        <w:rPr>
          <w:rFonts w:cs="Calibri"/>
        </w:rPr>
        <w:t xml:space="preserve"> </w:t>
      </w:r>
      <w:r w:rsidRPr="0076106B" w:rsidR="00395153">
        <w:rPr>
          <w:rFonts w:cs="Calibri"/>
        </w:rPr>
        <w:t>R</w:t>
      </w:r>
      <w:r w:rsidRPr="0076106B">
        <w:rPr>
          <w:rFonts w:cs="Calibri"/>
        </w:rPr>
        <w:t xml:space="preserve">ated </w:t>
      </w:r>
      <w:r w:rsidRPr="0076106B" w:rsidR="00395153">
        <w:rPr>
          <w:rFonts w:cs="Calibri"/>
        </w:rPr>
        <w:t>P</w:t>
      </w:r>
      <w:r w:rsidRPr="0076106B">
        <w:rPr>
          <w:rFonts w:cs="Calibri"/>
        </w:rPr>
        <w:t xml:space="preserve">remium component </w:t>
      </w:r>
      <w:r w:rsidRPr="0076106B" w:rsidR="007F12DE">
        <w:rPr>
          <w:rFonts w:cs="Calibri"/>
        </w:rPr>
        <w:t xml:space="preserve">(R) </w:t>
      </w:r>
      <w:r w:rsidRPr="0076106B">
        <w:rPr>
          <w:rFonts w:cs="Calibri"/>
        </w:rPr>
        <w:t>is calculated as:</w:t>
      </w:r>
    </w:p>
    <w:p w:rsidRPr="0076106B" w:rsidR="00CE5BB9" w:rsidP="00DD5A6E" w:rsidRDefault="00435160" w14:paraId="46A36FD8" w14:textId="03162603">
      <w:pPr>
        <w:spacing w:before="160"/>
        <w:rPr>
          <w:rFonts w:cs="Calibri"/>
        </w:rPr>
      </w:pPr>
      <m:oMathPara>
        <m:oMath>
          <m:r>
            <m:rPr>
              <m:sty m:val="p"/>
            </m:rPr>
            <w:rPr>
              <w:rFonts w:ascii="Cambria Math" w:hAnsi="Cambria Math" w:cs="Calibri"/>
            </w:rPr>
            <m:t xml:space="preserve">R= </m:t>
          </m:r>
          <m:d>
            <m:dPr>
              <m:ctrlPr>
                <w:rPr>
                  <w:rFonts w:ascii="Cambria Math" w:hAnsi="Cambria Math" w:cs="Calibri"/>
                </w:rPr>
              </m:ctrlPr>
            </m:dPr>
            <m:e>
              <m:r>
                <m:rPr>
                  <m:sty m:val="p"/>
                </m:rPr>
                <w:rPr>
                  <w:rFonts w:ascii="Cambria Math" w:hAnsi="Cambria Math" w:cs="Calibri"/>
                </w:rPr>
                <m:t xml:space="preserve">0.05%× </m:t>
              </m:r>
              <m:m>
                <m:mPr>
                  <m:mcs>
                    <m:mc>
                      <m:mcPr>
                        <m:count m:val="1"/>
                        <m:mcJc m:val="center"/>
                      </m:mcPr>
                    </m:mc>
                  </m:mcs>
                  <m:ctrlPr>
                    <w:rPr>
                      <w:rFonts w:ascii="Cambria Math" w:hAnsi="Cambria Math" w:cs="Calibri"/>
                    </w:rPr>
                  </m:ctrlPr>
                </m:mPr>
                <m:mr>
                  <m:e>
                    <m:r>
                      <m:rPr>
                        <m:sty m:val="p"/>
                      </m:rPr>
                      <w:rPr>
                        <w:rFonts w:ascii="Cambria Math" w:hAnsi="Cambria Math" w:cs="Calibri"/>
                      </w:rPr>
                      <m:t>Total risk factor</m:t>
                    </m:r>
                  </m:e>
                </m:mr>
                <m:mr>
                  <m:e>
                    <m:r>
                      <m:rPr>
                        <m:sty m:val="p"/>
                      </m:rPr>
                      <w:rPr>
                        <w:rFonts w:ascii="Cambria Math" w:hAnsi="Cambria Math" w:cs="Calibri"/>
                      </w:rPr>
                      <m:t>value for the year</m:t>
                    </m:r>
                  </m:e>
                </m:mr>
              </m:m>
            </m:e>
          </m:d>
          <m:r>
            <m:rPr>
              <m:sty m:val="p"/>
            </m:rPr>
            <w:rPr>
              <w:rFonts w:ascii="Cambria Math" w:hAnsi="Cambria Math" w:cs="Calibri"/>
            </w:rPr>
            <m:t>×</m:t>
          </m:r>
          <m:m>
            <m:mPr>
              <m:mcs>
                <m:mc>
                  <m:mcPr>
                    <m:count m:val="1"/>
                    <m:mcJc m:val="center"/>
                  </m:mcPr>
                </m:mc>
              </m:mcs>
              <m:ctrlPr>
                <w:rPr>
                  <w:rFonts w:ascii="Cambria Math" w:hAnsi="Cambria Math" w:cs="Calibri"/>
                </w:rPr>
              </m:ctrlPr>
            </m:mPr>
            <m:mr>
              <m:e>
                <m:r>
                  <m:rPr>
                    <m:sty m:val="p"/>
                  </m:rPr>
                  <w:rPr>
                    <w:rFonts w:ascii="Cambria Math" w:hAnsi="Cambria Math" w:cs="Calibri"/>
                  </w:rPr>
                  <m:t xml:space="preserve">2025 overseas </m:t>
                </m:r>
              </m:e>
            </m:mr>
            <m:mr>
              <m:e>
                <m:r>
                  <m:rPr>
                    <m:sty m:val="p"/>
                  </m:rPr>
                  <w:rPr>
                    <w:rFonts w:ascii="Cambria Math" w:hAnsi="Cambria Math" w:cs="Calibri"/>
                  </w:rPr>
                  <m:t>student tuition fees</m:t>
                </m:r>
              </m:e>
            </m:mr>
          </m:m>
        </m:oMath>
      </m:oMathPara>
    </w:p>
    <w:p w:rsidRPr="0076106B" w:rsidR="0000038B" w:rsidP="0000038B" w:rsidRDefault="007E2DD2" w14:paraId="6E419907" w14:textId="2CEC9588">
      <w:pPr>
        <w:spacing w:after="0"/>
        <w:rPr>
          <w:rFonts w:cs="Calibri"/>
          <w:i/>
          <w:iCs/>
        </w:rPr>
      </w:pPr>
      <w:r w:rsidRPr="0076106B">
        <w:rPr>
          <w:rFonts w:cs="Calibri"/>
          <w:i/>
          <w:iCs/>
        </w:rPr>
        <w:t>w</w:t>
      </w:r>
      <w:r w:rsidRPr="0076106B" w:rsidR="0000038B">
        <w:rPr>
          <w:rFonts w:cs="Calibri"/>
          <w:i/>
          <w:iCs/>
        </w:rPr>
        <w:t>here:</w:t>
      </w:r>
    </w:p>
    <w:p w:rsidRPr="0076106B" w:rsidR="00BE0DB3" w:rsidP="00BE0DB3" w:rsidRDefault="00627BC4" w14:paraId="40C039D8" w14:textId="50B90AF1">
      <w:pPr>
        <w:spacing w:after="0"/>
        <w:ind w:firstLine="720"/>
        <w:rPr>
          <w:rFonts w:cs="Calibri"/>
        </w:rPr>
      </w:pPr>
      <w:r w:rsidRPr="0076106B">
        <w:rPr>
          <w:rFonts w:cs="Calibri"/>
        </w:rPr>
        <w:t>202</w:t>
      </w:r>
      <w:r w:rsidR="0070612D">
        <w:rPr>
          <w:rFonts w:cs="Calibri"/>
        </w:rPr>
        <w:t>5</w:t>
      </w:r>
      <w:r w:rsidRPr="0076106B">
        <w:rPr>
          <w:rFonts w:cs="Calibri"/>
        </w:rPr>
        <w:t xml:space="preserve"> overseas student tuition fees</w:t>
      </w:r>
      <w:r w:rsidRPr="0076106B" w:rsidR="00ED096C">
        <w:rPr>
          <w:rFonts w:cs="Calibri"/>
        </w:rPr>
        <w:t xml:space="preserve"> =</w:t>
      </w:r>
      <w:r w:rsidRPr="0076106B">
        <w:rPr>
          <w:rFonts w:cs="Calibri"/>
        </w:rPr>
        <w:t xml:space="preserve"> </w:t>
      </w:r>
      <w:r w:rsidR="00211263">
        <w:rPr>
          <w:rFonts w:cs="Calibri"/>
        </w:rPr>
        <w:t>t</w:t>
      </w:r>
      <w:r w:rsidRPr="0076106B">
        <w:rPr>
          <w:rFonts w:cs="Calibri"/>
        </w:rPr>
        <w:t>otal</w:t>
      </w:r>
      <w:r w:rsidRPr="0076106B" w:rsidR="00FE660E">
        <w:rPr>
          <w:rFonts w:cs="Calibri"/>
        </w:rPr>
        <w:t xml:space="preserve"> amount of</w:t>
      </w:r>
      <w:r w:rsidRPr="0076106B">
        <w:rPr>
          <w:rFonts w:cs="Calibri"/>
        </w:rPr>
        <w:t xml:space="preserve"> </w:t>
      </w:r>
      <w:r w:rsidRPr="0076106B" w:rsidR="00BE0DB3">
        <w:rPr>
          <w:rFonts w:cs="Calibri"/>
        </w:rPr>
        <w:t>student tuition fees received for 202</w:t>
      </w:r>
      <w:r w:rsidR="0070612D">
        <w:rPr>
          <w:rFonts w:cs="Calibri"/>
        </w:rPr>
        <w:t>5</w:t>
      </w:r>
    </w:p>
    <w:p w:rsidRPr="0076106B" w:rsidR="00BE0DB3" w:rsidP="00BE0DB3" w:rsidRDefault="00BE0DB3" w14:paraId="7CB0AF6D" w14:textId="679EEE38">
      <w:pPr>
        <w:spacing w:after="0"/>
        <w:ind w:firstLine="720"/>
        <w:rPr>
          <w:rFonts w:cs="Calibri"/>
        </w:rPr>
      </w:pPr>
      <w:r w:rsidRPr="0076106B">
        <w:rPr>
          <w:rFonts w:cs="Calibri"/>
        </w:rPr>
        <w:t>(calendar year)</w:t>
      </w:r>
      <w:r w:rsidRPr="0076106B" w:rsidR="00ED096C">
        <w:rPr>
          <w:rFonts w:cs="Calibri"/>
        </w:rPr>
        <w:t xml:space="preserve"> </w:t>
      </w:r>
    </w:p>
    <w:p w:rsidR="00BE0DB3" w:rsidP="00BE0DB3" w:rsidRDefault="00BE0DB3" w14:paraId="3695606D" w14:textId="67763F8D">
      <w:pPr>
        <w:spacing w:after="0"/>
        <w:ind w:firstLine="720"/>
        <w:rPr>
          <w:rFonts w:cs="Calibri"/>
          <w:sz w:val="18"/>
          <w:szCs w:val="18"/>
        </w:rPr>
      </w:pPr>
      <w:r w:rsidRPr="0076106B">
        <w:rPr>
          <w:rFonts w:cs="Calibri"/>
          <w:sz w:val="18"/>
          <w:szCs w:val="18"/>
        </w:rPr>
        <w:t>Source:</w:t>
      </w:r>
      <w:r w:rsidR="00D803F1">
        <w:rPr>
          <w:rFonts w:cs="Calibri"/>
          <w:sz w:val="18"/>
          <w:szCs w:val="18"/>
        </w:rPr>
        <w:t xml:space="preserve"> </w:t>
      </w:r>
      <w:r w:rsidRPr="0076106B" w:rsidR="006E73E4">
        <w:rPr>
          <w:rFonts w:cs="Calibri"/>
          <w:sz w:val="18"/>
          <w:szCs w:val="18"/>
        </w:rPr>
        <w:t>Request for Information</w:t>
      </w:r>
      <w:r w:rsidRPr="0076106B" w:rsidR="00183026">
        <w:rPr>
          <w:rFonts w:cs="Calibri"/>
          <w:sz w:val="18"/>
          <w:szCs w:val="18"/>
        </w:rPr>
        <w:t xml:space="preserve"> (RFI)</w:t>
      </w:r>
      <w:r w:rsidR="003069B7">
        <w:rPr>
          <w:rFonts w:cs="Calibri"/>
          <w:sz w:val="18"/>
          <w:szCs w:val="18"/>
        </w:rPr>
        <w:t xml:space="preserve"> from </w:t>
      </w:r>
      <w:r w:rsidR="0006357D">
        <w:rPr>
          <w:rFonts w:cs="Calibri"/>
          <w:sz w:val="18"/>
          <w:szCs w:val="18"/>
        </w:rPr>
        <w:t xml:space="preserve">the </w:t>
      </w:r>
      <w:r w:rsidR="003069B7">
        <w:rPr>
          <w:rFonts w:cs="Calibri"/>
          <w:sz w:val="18"/>
          <w:szCs w:val="18"/>
        </w:rPr>
        <w:t xml:space="preserve">TPS </w:t>
      </w:r>
      <w:r w:rsidR="0006357D">
        <w:rPr>
          <w:rFonts w:cs="Calibri"/>
          <w:sz w:val="18"/>
          <w:szCs w:val="18"/>
        </w:rPr>
        <w:t>Director</w:t>
      </w:r>
      <w:r w:rsidR="00D444B2">
        <w:rPr>
          <w:rFonts w:cs="Calibri"/>
          <w:sz w:val="18"/>
          <w:szCs w:val="18"/>
        </w:rPr>
        <w:t>.</w:t>
      </w:r>
    </w:p>
    <w:p w:rsidR="00B14D93" w:rsidP="00B14D93" w:rsidRDefault="00B14D93" w14:paraId="4AAC494A" w14:textId="77777777"/>
    <w:p w:rsidRPr="00917A84" w:rsidR="00B14D93" w:rsidP="00917A84" w:rsidRDefault="00B14D93" w14:paraId="44A73EEB" w14:textId="16891DD1">
      <w:r w:rsidRPr="0076106B">
        <w:rPr>
          <w:rFonts w:cs="Calibri"/>
        </w:rPr>
        <w:t xml:space="preserve">There are five </w:t>
      </w:r>
      <w:r>
        <w:rPr>
          <w:rFonts w:cs="Calibri"/>
        </w:rPr>
        <w:t>risk</w:t>
      </w:r>
      <w:r w:rsidRPr="0076106B">
        <w:rPr>
          <w:rFonts w:cs="Calibri"/>
        </w:rPr>
        <w:t xml:space="preserve"> factors in the </w:t>
      </w:r>
      <w:r w:rsidR="00E11EE9">
        <w:rPr>
          <w:rFonts w:cs="Calibri"/>
        </w:rPr>
        <w:t>levy</w:t>
      </w:r>
      <w:r w:rsidRPr="0076106B">
        <w:rPr>
          <w:rFonts w:cs="Calibri"/>
        </w:rPr>
        <w:t xml:space="preserve"> which comprise the ‘total </w:t>
      </w:r>
      <w:r>
        <w:rPr>
          <w:rFonts w:cs="Calibri"/>
        </w:rPr>
        <w:t>risk</w:t>
      </w:r>
      <w:r w:rsidRPr="0076106B">
        <w:rPr>
          <w:rFonts w:cs="Calibri"/>
        </w:rPr>
        <w:t xml:space="preserve"> factor value for the year’. These </w:t>
      </w:r>
      <w:r>
        <w:rPr>
          <w:rFonts w:cs="Calibri"/>
        </w:rPr>
        <w:t>risk</w:t>
      </w:r>
      <w:r w:rsidRPr="0076106B">
        <w:rPr>
          <w:rFonts w:cs="Calibri"/>
        </w:rPr>
        <w:t xml:space="preserve"> factors apply to non-exempt providers.</w:t>
      </w:r>
    </w:p>
    <w:p w:rsidRPr="0076106B" w:rsidR="0098793C" w:rsidP="001F6FC7" w:rsidRDefault="00000000" w14:paraId="4B8C8D5C" w14:textId="19A0FC33">
      <w:pPr>
        <w:pStyle w:val="Heading3"/>
        <w:spacing w:before="0"/>
        <w:rPr>
          <w:rFonts w:eastAsiaTheme="minorEastAsia"/>
          <w:sz w:val="26"/>
          <w:szCs w:val="26"/>
        </w:rPr>
      </w:pPr>
      <m:oMathPara>
        <m:oMath>
          <m:m>
            <m:mPr>
              <m:mcs>
                <m:mc>
                  <m:mcPr>
                    <m:count m:val="1"/>
                    <m:mcJc m:val="center"/>
                  </m:mcPr>
                </m:mc>
              </m:mcs>
              <m:ctrlPr>
                <w:rPr>
                  <w:rFonts w:ascii="Cambria Math" w:hAnsi="Cambria Math" w:eastAsiaTheme="minorEastAsia"/>
                  <w:sz w:val="26"/>
                  <w:szCs w:val="26"/>
                </w:rPr>
              </m:ctrlPr>
            </m:mPr>
            <m:mr>
              <m:e>
                <m:r>
                  <m:rPr>
                    <m:nor/>
                  </m:rPr>
                  <w:rPr>
                    <w:rFonts w:eastAsiaTheme="minorEastAsia"/>
                    <w:sz w:val="26"/>
                    <w:szCs w:val="26"/>
                  </w:rPr>
                  <m:t>Total risk factor value for the year</m:t>
                </m:r>
              </m:e>
            </m:mr>
            <m:mr>
              <m:e>
                <m:r>
                  <m:rPr>
                    <m:nor/>
                  </m:rPr>
                  <w:rPr>
                    <w:rFonts w:eastAsiaTheme="minorEastAsia"/>
                    <w:sz w:val="26"/>
                    <w:szCs w:val="26"/>
                  </w:rPr>
                  <m:t>=</m:t>
                </m:r>
              </m:e>
            </m:mr>
          </m:m>
        </m:oMath>
      </m:oMathPara>
    </w:p>
    <w:p w:rsidRPr="00FE41B1" w:rsidR="00EA1D66" w:rsidP="00DD5A6E" w:rsidRDefault="00000000" w14:paraId="51C45FBB" w14:textId="03FDBAC5">
      <w:pPr>
        <w:spacing w:before="160"/>
        <w:jc w:val="center"/>
        <w:rPr>
          <w:rFonts w:cs="Calibri" w:eastAsiaTheme="minorEastAsia"/>
          <w:iCs/>
        </w:rPr>
      </w:pPr>
      <m:oMathPara>
        <m:oMathParaPr>
          <m:jc m:val="center"/>
        </m:oMathParaPr>
        <m:oMath>
          <m:d>
            <m:dPr>
              <m:ctrlPr>
                <w:rPr>
                  <w:rFonts w:ascii="Cambria Math" w:hAnsi="Cambria Math" w:cs="Calibri"/>
                  <w:iCs/>
                </w:rPr>
              </m:ctrlPr>
            </m:dPr>
            <m:e>
              <m:f>
                <m:fPr>
                  <m:type m:val="noBar"/>
                  <m:ctrlPr>
                    <w:rPr>
                      <w:rFonts w:ascii="Cambria Math" w:hAnsi="Cambria Math" w:cs="Calibri"/>
                      <w:iCs/>
                    </w:rPr>
                  </m:ctrlPr>
                </m:fPr>
                <m:num>
                  <m:r>
                    <m:rPr>
                      <m:nor/>
                    </m:rPr>
                    <w:rPr>
                      <w:rFonts w:cs="Calibri"/>
                    </w:rPr>
                    <m:t>Base risk</m:t>
                  </m:r>
                </m:num>
                <m:den>
                  <m:r>
                    <m:rPr>
                      <m:nor/>
                    </m:rPr>
                    <w:rPr>
                      <w:rFonts w:cs="Calibri"/>
                    </w:rPr>
                    <m:t>factor</m:t>
                  </m:r>
                </m:den>
              </m:f>
              <m:r>
                <m:rPr>
                  <m:nor/>
                </m:rPr>
                <w:rPr>
                  <w:rFonts w:ascii="Cambria Math" w:cs="Calibri"/>
                </w:rPr>
                <m:t xml:space="preserve"> </m:t>
              </m:r>
              <m:r>
                <m:rPr>
                  <m:nor/>
                </m:rPr>
                <w:rPr>
                  <w:rFonts w:cs="Calibri"/>
                </w:rPr>
                <m:t>+</m:t>
              </m:r>
              <m:r>
                <m:rPr>
                  <m:nor/>
                </m:rPr>
                <w:rPr>
                  <w:rFonts w:ascii="Cambria Math" w:cs="Calibri"/>
                </w:rPr>
                <m:t xml:space="preserve"> </m:t>
              </m:r>
              <m:m>
                <m:mPr>
                  <m:mcs>
                    <m:mc>
                      <m:mcPr>
                        <m:count m:val="1"/>
                        <m:mcJc m:val="center"/>
                      </m:mcPr>
                    </m:mc>
                  </m:mcs>
                  <m:ctrlPr>
                    <w:rPr>
                      <w:rFonts w:ascii="Cambria Math" w:hAnsi="Cambria Math" w:cs="Calibri"/>
                      <w:iCs/>
                    </w:rPr>
                  </m:ctrlPr>
                </m:mPr>
                <m:mr>
                  <m:e>
                    <m:r>
                      <m:rPr>
                        <m:nor/>
                      </m:rPr>
                      <w:rPr>
                        <w:rFonts w:cs="Calibri"/>
                      </w:rPr>
                      <m:t>Length of</m:t>
                    </m:r>
                  </m:e>
                </m:mr>
                <m:mr>
                  <m:e>
                    <m:r>
                      <m:rPr>
                        <m:nor/>
                      </m:rPr>
                      <w:rPr>
                        <w:rFonts w:cs="Calibri"/>
                      </w:rPr>
                      <m:t>operation</m:t>
                    </m:r>
                  </m:e>
                </m:mr>
              </m:m>
              <m:r>
                <m:rPr>
                  <m:nor/>
                </m:rPr>
                <w:rPr>
                  <w:rFonts w:ascii="Cambria Math" w:cs="Calibri"/>
                </w:rPr>
                <m:t xml:space="preserve"> </m:t>
              </m:r>
              <m:r>
                <m:rPr>
                  <m:nor/>
                </m:rPr>
                <w:rPr>
                  <w:rFonts w:cs="Calibri"/>
                </w:rPr>
                <m:t>+</m:t>
              </m:r>
              <m:r>
                <m:rPr>
                  <m:nor/>
                </m:rPr>
                <w:rPr>
                  <w:rFonts w:ascii="Cambria Math" w:cs="Calibri"/>
                </w:rPr>
                <m:t xml:space="preserve"> </m:t>
              </m:r>
              <m:m>
                <m:mPr>
                  <m:mcs>
                    <m:mc>
                      <m:mcPr>
                        <m:count m:val="1"/>
                        <m:mcJc m:val="center"/>
                      </m:mcPr>
                    </m:mc>
                  </m:mcs>
                  <m:ctrlPr>
                    <w:rPr>
                      <w:rFonts w:ascii="Cambria Math" w:hAnsi="Cambria Math" w:cs="Calibri"/>
                      <w:iCs/>
                    </w:rPr>
                  </m:ctrlPr>
                </m:mPr>
                <m:mr>
                  <m:e>
                    <m:r>
                      <m:rPr>
                        <m:nor/>
                      </m:rPr>
                      <w:rPr>
                        <w:rFonts w:cs="Calibri"/>
                      </w:rPr>
                      <m:t>Volatitlity in</m:t>
                    </m:r>
                  </m:e>
                </m:mr>
                <m:mr>
                  <m:e>
                    <m:r>
                      <m:rPr>
                        <m:nor/>
                      </m:rPr>
                      <w:rPr>
                        <w:rFonts w:cs="Calibri"/>
                      </w:rPr>
                      <m:t>overseas student</m:t>
                    </m:r>
                  </m:e>
                </m:mr>
                <m:mr>
                  <m:e>
                    <m:r>
                      <m:rPr>
                        <m:nor/>
                      </m:rPr>
                      <w:rPr>
                        <w:rFonts w:cs="Calibri"/>
                      </w:rPr>
                      <m:t>enrolments</m:t>
                    </m:r>
                  </m:e>
                </m:mr>
              </m:m>
              <m:r>
                <m:rPr>
                  <m:nor/>
                </m:rPr>
                <w:rPr>
                  <w:rFonts w:ascii="Cambria Math" w:cs="Calibri"/>
                </w:rPr>
                <m:t xml:space="preserve"> </m:t>
              </m:r>
              <m:r>
                <m:rPr>
                  <m:nor/>
                </m:rPr>
                <w:rPr>
                  <w:rFonts w:cs="Calibri"/>
                </w:rPr>
                <m:t>+</m:t>
              </m:r>
              <m:r>
                <m:rPr>
                  <m:nor/>
                </m:rPr>
                <w:rPr>
                  <w:rFonts w:ascii="Cambria Math" w:cs="Calibri"/>
                </w:rPr>
                <m:t xml:space="preserve"> </m:t>
              </m:r>
              <m:m>
                <m:mPr>
                  <m:mcs>
                    <m:mc>
                      <m:mcPr>
                        <m:count m:val="1"/>
                        <m:mcJc m:val="center"/>
                      </m:mcPr>
                    </m:mc>
                  </m:mcs>
                  <m:ctrlPr>
                    <w:rPr>
                      <w:rFonts w:ascii="Cambria Math" w:hAnsi="Cambria Math" w:cs="Calibri"/>
                      <w:iCs/>
                    </w:rPr>
                  </m:ctrlPr>
                </m:mPr>
                <m:mr>
                  <m:e>
                    <m:r>
                      <m:rPr>
                        <m:nor/>
                      </m:rPr>
                      <w:rPr>
                        <w:rFonts w:cs="Calibri"/>
                      </w:rPr>
                      <m:t>Maximum overseas</m:t>
                    </m:r>
                  </m:e>
                </m:mr>
                <m:mr>
                  <m:e>
                    <m:r>
                      <m:rPr>
                        <m:nor/>
                      </m:rPr>
                      <w:rPr>
                        <w:rFonts w:cs="Calibri"/>
                      </w:rPr>
                      <m:t>source count</m:t>
                    </m:r>
                    <m:r>
                      <m:rPr>
                        <m:nor/>
                      </m:rPr>
                      <w:rPr>
                        <w:rFonts w:ascii="Cambria Math" w:cs="Calibri"/>
                      </w:rPr>
                      <m:t>r</m:t>
                    </m:r>
                    <m:r>
                      <m:rPr>
                        <m:nor/>
                      </m:rPr>
                      <w:rPr>
                        <w:rFonts w:cs="Calibri"/>
                      </w:rPr>
                      <m:t>y</m:t>
                    </m:r>
                  </m:e>
                </m:mr>
                <m:mr>
                  <m:e>
                    <m:r>
                      <m:rPr>
                        <m:nor/>
                      </m:rPr>
                      <w:rPr>
                        <w:rFonts w:cs="Calibri"/>
                      </w:rPr>
                      <m:t>concentration</m:t>
                    </m:r>
                  </m:e>
                </m:mr>
              </m:m>
              <m:r>
                <m:rPr>
                  <m:nor/>
                </m:rPr>
                <w:rPr>
                  <w:rFonts w:ascii="Cambria Math" w:cs="Calibri"/>
                </w:rPr>
                <m:t xml:space="preserve"> </m:t>
              </m:r>
              <m:r>
                <m:rPr>
                  <m:nor/>
                </m:rPr>
                <w:rPr>
                  <w:rFonts w:cs="Calibri"/>
                </w:rPr>
                <m:t xml:space="preserve">+ </m:t>
              </m:r>
              <m:m>
                <m:mPr>
                  <m:mcs>
                    <m:mc>
                      <m:mcPr>
                        <m:count m:val="1"/>
                        <m:mcJc m:val="center"/>
                      </m:mcPr>
                    </m:mc>
                  </m:mcs>
                  <m:ctrlPr>
                    <w:rPr>
                      <w:rFonts w:ascii="Cambria Math" w:hAnsi="Cambria Math" w:cs="Calibri"/>
                      <w:iCs/>
                    </w:rPr>
                  </m:ctrlPr>
                </m:mPr>
                <m:mr>
                  <m:e>
                    <m:r>
                      <m:rPr>
                        <m:nor/>
                      </m:rPr>
                      <w:rPr>
                        <w:rFonts w:cs="Calibri"/>
                      </w:rPr>
                      <m:t xml:space="preserve">Non-compliance </m:t>
                    </m:r>
                  </m:e>
                </m:mr>
                <m:mr>
                  <m:e>
                    <m:r>
                      <m:rPr>
                        <m:nor/>
                      </m:rPr>
                      <w:rPr>
                        <w:rFonts w:cs="Calibri"/>
                      </w:rPr>
                      <m:t>history &amp;</m:t>
                    </m:r>
                  </m:e>
                </m:mr>
                <m:mr>
                  <m:e>
                    <m:r>
                      <m:rPr>
                        <m:nor/>
                      </m:rPr>
                      <w:rPr>
                        <w:rFonts w:cs="Calibri"/>
                      </w:rPr>
                      <m:t>registration renewal</m:t>
                    </m:r>
                  </m:e>
                </m:mr>
              </m:m>
            </m:e>
          </m:d>
        </m:oMath>
      </m:oMathPara>
    </w:p>
    <w:p w:rsidR="00E11EE9" w:rsidP="00DD5A6E" w:rsidRDefault="00E11EE9" w14:paraId="1E0D3A6E" w14:textId="77777777">
      <w:pPr>
        <w:spacing w:before="160"/>
        <w:jc w:val="center"/>
        <w:rPr>
          <w:rFonts w:cs="Calibri"/>
          <w:iCs/>
        </w:rPr>
      </w:pPr>
    </w:p>
    <w:p w:rsidR="005C7C26" w:rsidP="00DD5A6E" w:rsidRDefault="005C7C26" w14:paraId="5A7C8410" w14:textId="77777777">
      <w:pPr>
        <w:spacing w:before="160"/>
        <w:jc w:val="center"/>
        <w:rPr>
          <w:rFonts w:cs="Calibri"/>
          <w:iCs/>
        </w:rPr>
      </w:pPr>
    </w:p>
    <w:p w:rsidR="005C7C26" w:rsidP="00DD5A6E" w:rsidRDefault="005C7C26" w14:paraId="2B521C09" w14:textId="77777777">
      <w:pPr>
        <w:spacing w:before="160"/>
        <w:jc w:val="center"/>
        <w:rPr>
          <w:rFonts w:cs="Calibri"/>
          <w:iCs/>
        </w:rPr>
      </w:pPr>
    </w:p>
    <w:p w:rsidRPr="0076106B" w:rsidR="005C7C26" w:rsidP="00DD5A6E" w:rsidRDefault="005C7C26" w14:paraId="0F011D17" w14:textId="77777777">
      <w:pPr>
        <w:spacing w:before="160"/>
        <w:jc w:val="center"/>
        <w:rPr>
          <w:rFonts w:cs="Calibri"/>
          <w:iCs/>
        </w:rPr>
      </w:pPr>
    </w:p>
    <w:p w:rsidRPr="00785B8F" w:rsidR="007F3B33" w:rsidP="005013A1" w:rsidRDefault="00792790" w14:paraId="5ACB316D" w14:textId="4FF7FEC0">
      <w:pPr>
        <w:spacing w:after="80"/>
        <w:rPr>
          <w:rFonts w:cs="Calibri"/>
          <w:b/>
          <w:bCs/>
          <w:sz w:val="27"/>
          <w:szCs w:val="27"/>
        </w:rPr>
      </w:pPr>
      <w:r>
        <w:rPr>
          <w:rFonts w:cs="Calibri"/>
          <w:b/>
          <w:bCs/>
          <w:sz w:val="27"/>
          <w:szCs w:val="27"/>
        </w:rPr>
        <w:t>Risk</w:t>
      </w:r>
      <w:r w:rsidRPr="00C31825" w:rsidR="00785B8F">
        <w:rPr>
          <w:rFonts w:cs="Calibri"/>
          <w:b/>
          <w:bCs/>
          <w:sz w:val="27"/>
          <w:szCs w:val="27"/>
        </w:rPr>
        <w:t xml:space="preserve"> factor 1: </w:t>
      </w:r>
      <w:r w:rsidRPr="00785B8F" w:rsidR="007F3B33">
        <w:rPr>
          <w:rFonts w:cs="Calibri"/>
          <w:b/>
          <w:bCs/>
          <w:sz w:val="27"/>
          <w:szCs w:val="27"/>
        </w:rPr>
        <w:t>Base risk factor</w:t>
      </w:r>
    </w:p>
    <w:p w:rsidRPr="0076106B" w:rsidR="00381F33" w:rsidP="00770A9C" w:rsidRDefault="00DB312B" w14:paraId="17F94F8B" w14:textId="67038EF7">
      <w:pPr>
        <w:rPr>
          <w:rFonts w:cs="Calibri"/>
        </w:rPr>
      </w:pPr>
      <w:r w:rsidRPr="0076106B">
        <w:rPr>
          <w:rFonts w:cs="Calibri"/>
        </w:rPr>
        <w:t xml:space="preserve">A </w:t>
      </w:r>
      <w:r w:rsidR="00792790">
        <w:rPr>
          <w:rFonts w:cs="Calibri"/>
        </w:rPr>
        <w:t>risk</w:t>
      </w:r>
      <w:r w:rsidRPr="0076106B" w:rsidR="00792790">
        <w:rPr>
          <w:rFonts w:cs="Calibri"/>
        </w:rPr>
        <w:t xml:space="preserve"> </w:t>
      </w:r>
      <w:r w:rsidRPr="0076106B">
        <w:rPr>
          <w:rFonts w:cs="Calibri"/>
        </w:rPr>
        <w:t xml:space="preserve">factor </w:t>
      </w:r>
      <w:r w:rsidR="00177A17">
        <w:rPr>
          <w:rFonts w:cs="Calibri"/>
        </w:rPr>
        <w:t xml:space="preserve">value </w:t>
      </w:r>
      <w:r w:rsidRPr="0076106B">
        <w:rPr>
          <w:rFonts w:cs="Calibri"/>
        </w:rPr>
        <w:t xml:space="preserve">of </w:t>
      </w:r>
      <w:r w:rsidRPr="0076106B" w:rsidR="00AF65AF">
        <w:rPr>
          <w:rFonts w:cs="Calibri"/>
        </w:rPr>
        <w:t>1.0</w:t>
      </w:r>
      <w:r w:rsidRPr="0076106B">
        <w:rPr>
          <w:rFonts w:cs="Calibri"/>
        </w:rPr>
        <w:t xml:space="preserve"> applies to all non-exempt providers for the base risk factor</w:t>
      </w:r>
      <w:r w:rsidRPr="0076106B" w:rsidR="00FF6F87">
        <w:rPr>
          <w:rFonts w:cs="Calibri"/>
        </w:rPr>
        <w:t>.</w:t>
      </w:r>
      <w:r w:rsidRPr="0076106B" w:rsidR="00BE1F88">
        <w:rPr>
          <w:rFonts w:cs="Calibri"/>
        </w:rPr>
        <w:t xml:space="preserve"> </w:t>
      </w:r>
      <w:r w:rsidRPr="0076106B" w:rsidR="006C4F60">
        <w:rPr>
          <w:rFonts w:cs="Calibri"/>
        </w:rPr>
        <w:t>See table 1 t</w:t>
      </w:r>
      <w:r w:rsidRPr="0076106B" w:rsidR="00BE1F88">
        <w:rPr>
          <w:rFonts w:cs="Calibri"/>
        </w:rPr>
        <w:t xml:space="preserve">o </w:t>
      </w:r>
      <w:r w:rsidRPr="0076106B" w:rsidR="001478DA">
        <w:rPr>
          <w:rFonts w:cs="Calibri"/>
        </w:rPr>
        <w:t>determine</w:t>
      </w:r>
      <w:r w:rsidRPr="0076106B" w:rsidR="006C4F60">
        <w:rPr>
          <w:rFonts w:cs="Calibri"/>
        </w:rPr>
        <w:t xml:space="preserve"> </w:t>
      </w:r>
      <w:r w:rsidR="00A41EDC">
        <w:rPr>
          <w:rFonts w:cs="Calibri"/>
        </w:rPr>
        <w:t xml:space="preserve">the </w:t>
      </w:r>
      <w:r w:rsidRPr="0076106B" w:rsidR="006C4F60">
        <w:rPr>
          <w:rFonts w:cs="Calibri"/>
        </w:rPr>
        <w:t xml:space="preserve">base risk factor value. </w:t>
      </w:r>
    </w:p>
    <w:p w:rsidRPr="0076106B" w:rsidR="00DB312B" w:rsidP="007837C8" w:rsidRDefault="00DB312B" w14:paraId="7D3F00E5" w14:textId="688979DB">
      <w:pPr>
        <w:pStyle w:val="Heading4"/>
      </w:pPr>
      <w:r w:rsidRPr="0076106B">
        <w:t xml:space="preserve">Table 1: </w:t>
      </w:r>
      <w:r w:rsidRPr="0076106B" w:rsidR="00500931">
        <w:t>Application of base risk factor</w:t>
      </w:r>
      <w:r w:rsidRPr="0076106B" w:rsidR="006E503A">
        <w:t xml:space="preserve"> value</w:t>
      </w:r>
    </w:p>
    <w:tbl>
      <w:tblPr>
        <w:tblW w:w="3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8"/>
        <w:gridCol w:w="2411"/>
      </w:tblGrid>
      <w:tr w:rsidRPr="0076106B" w:rsidR="00F9515A" w:rsidTr="00F9515A" w14:paraId="7FF3C650" w14:textId="77777777">
        <w:trPr>
          <w:trHeight w:val="510"/>
          <w:jc w:val="center"/>
        </w:trPr>
        <w:tc>
          <w:tcPr>
            <w:tcW w:w="2974" w:type="pct"/>
            <w:shd w:val="clear" w:color="auto" w:fill="367079"/>
            <w:hideMark/>
          </w:tcPr>
          <w:p w:rsidRPr="0076106B" w:rsidR="00770A9C" w:rsidP="00A158EB" w:rsidRDefault="005705E1" w14:paraId="72EC7777" w14:textId="2C80E786">
            <w:pPr>
              <w:pStyle w:val="TableHeader"/>
              <w:spacing w:before="0" w:after="0" w:line="259" w:lineRule="auto"/>
              <w:rPr>
                <w:rFonts w:ascii="Calibri" w:hAnsi="Calibri" w:cs="Calibri"/>
                <w:b/>
                <w:bCs/>
                <w:sz w:val="22"/>
              </w:rPr>
            </w:pPr>
            <w:r w:rsidRPr="0076106B">
              <w:rPr>
                <w:rFonts w:ascii="Calibri" w:hAnsi="Calibri" w:cs="Calibri"/>
                <w:b/>
                <w:bCs/>
                <w:sz w:val="22"/>
              </w:rPr>
              <w:t>B</w:t>
            </w:r>
            <w:r w:rsidRPr="0076106B" w:rsidR="00770A9C">
              <w:rPr>
                <w:rFonts w:ascii="Calibri" w:hAnsi="Calibri" w:cs="Calibri"/>
                <w:b/>
                <w:bCs/>
                <w:sz w:val="22"/>
              </w:rPr>
              <w:t>ase risk factor</w:t>
            </w:r>
          </w:p>
        </w:tc>
        <w:tc>
          <w:tcPr>
            <w:tcW w:w="2026" w:type="pct"/>
            <w:shd w:val="clear" w:color="auto" w:fill="367079"/>
            <w:hideMark/>
          </w:tcPr>
          <w:p w:rsidRPr="0076106B" w:rsidR="00770A9C" w:rsidP="00A158EB" w:rsidRDefault="00770A9C" w14:paraId="74AFFEF9" w14:textId="2549A3C2">
            <w:pPr>
              <w:pStyle w:val="TableHeader"/>
              <w:spacing w:before="0" w:after="0" w:line="259" w:lineRule="auto"/>
              <w:rPr>
                <w:rFonts w:ascii="Calibri" w:hAnsi="Calibri" w:cs="Calibri"/>
                <w:b/>
                <w:bCs/>
                <w:sz w:val="22"/>
              </w:rPr>
            </w:pPr>
            <w:r w:rsidRPr="0076106B">
              <w:rPr>
                <w:rFonts w:ascii="Calibri" w:hAnsi="Calibri" w:cs="Calibri"/>
                <w:b/>
                <w:bCs/>
                <w:sz w:val="22"/>
              </w:rPr>
              <w:t>202</w:t>
            </w:r>
            <w:r w:rsidR="00FE41B1">
              <w:rPr>
                <w:rFonts w:ascii="Calibri" w:hAnsi="Calibri" w:cs="Calibri"/>
                <w:b/>
                <w:bCs/>
                <w:sz w:val="22"/>
              </w:rPr>
              <w:t>6</w:t>
            </w:r>
            <w:r w:rsidRPr="0076106B" w:rsidR="00F9515A">
              <w:rPr>
                <w:rFonts w:ascii="Calibri" w:hAnsi="Calibri" w:cs="Calibri"/>
                <w:b/>
                <w:bCs/>
                <w:sz w:val="22"/>
              </w:rPr>
              <w:t xml:space="preserve"> </w:t>
            </w:r>
            <w:r w:rsidR="00792790">
              <w:rPr>
                <w:rFonts w:ascii="Calibri" w:hAnsi="Calibri" w:cs="Calibri"/>
                <w:b/>
                <w:bCs/>
                <w:sz w:val="22"/>
              </w:rPr>
              <w:t>risk</w:t>
            </w:r>
            <w:r w:rsidR="002915C6">
              <w:rPr>
                <w:rFonts w:ascii="Calibri" w:hAnsi="Calibri" w:cs="Calibri"/>
                <w:b/>
                <w:bCs/>
                <w:sz w:val="22"/>
              </w:rPr>
              <w:t xml:space="preserve"> </w:t>
            </w:r>
            <w:r w:rsidRPr="0076106B">
              <w:rPr>
                <w:rFonts w:ascii="Calibri" w:hAnsi="Calibri" w:cs="Calibri"/>
                <w:b/>
                <w:bCs/>
                <w:sz w:val="22"/>
              </w:rPr>
              <w:t>factor</w:t>
            </w:r>
            <w:r w:rsidR="00501876">
              <w:rPr>
                <w:rFonts w:ascii="Calibri" w:hAnsi="Calibri" w:cs="Calibri"/>
                <w:b/>
                <w:bCs/>
                <w:sz w:val="22"/>
              </w:rPr>
              <w:t xml:space="preserve"> </w:t>
            </w:r>
            <w:r w:rsidR="00650619">
              <w:rPr>
                <w:rFonts w:ascii="Calibri" w:hAnsi="Calibri" w:cs="Calibri"/>
                <w:b/>
                <w:bCs/>
                <w:sz w:val="22"/>
              </w:rPr>
              <w:t>value</w:t>
            </w:r>
          </w:p>
        </w:tc>
      </w:tr>
      <w:tr w:rsidRPr="00FB295D" w:rsidR="00F9515A" w:rsidTr="00F9515A" w14:paraId="0A212010" w14:textId="77777777">
        <w:trPr>
          <w:trHeight w:val="454"/>
          <w:jc w:val="center"/>
        </w:trPr>
        <w:tc>
          <w:tcPr>
            <w:tcW w:w="2974" w:type="pct"/>
            <w:shd w:val="clear" w:color="auto" w:fill="D8EBEE"/>
            <w:hideMark/>
          </w:tcPr>
          <w:p w:rsidRPr="00FB295D" w:rsidR="00770A9C" w:rsidP="00A158EB" w:rsidRDefault="00F9515A" w14:paraId="460BFA2D" w14:textId="45CDEDE9">
            <w:pPr>
              <w:pStyle w:val="Tablecontents"/>
              <w:spacing w:before="0" w:after="0" w:line="259" w:lineRule="auto"/>
              <w:rPr>
                <w:sz w:val="22"/>
                <w:szCs w:val="22"/>
              </w:rPr>
            </w:pPr>
            <w:r w:rsidRPr="00FB295D">
              <w:rPr>
                <w:sz w:val="22"/>
                <w:szCs w:val="22"/>
              </w:rPr>
              <w:t xml:space="preserve">Applied </w:t>
            </w:r>
            <w:r w:rsidR="00585856">
              <w:rPr>
                <w:sz w:val="22"/>
                <w:szCs w:val="22"/>
              </w:rPr>
              <w:t>to</w:t>
            </w:r>
            <w:r w:rsidRPr="00FB295D" w:rsidR="00585856">
              <w:rPr>
                <w:sz w:val="22"/>
                <w:szCs w:val="22"/>
              </w:rPr>
              <w:t xml:space="preserve"> </w:t>
            </w:r>
            <w:r w:rsidRPr="00FB295D">
              <w:rPr>
                <w:sz w:val="22"/>
                <w:szCs w:val="22"/>
              </w:rPr>
              <w:t>a</w:t>
            </w:r>
            <w:r w:rsidRPr="00FB295D" w:rsidR="00770A9C">
              <w:rPr>
                <w:sz w:val="22"/>
                <w:szCs w:val="22"/>
              </w:rPr>
              <w:t>ll non-exempt providers</w:t>
            </w:r>
          </w:p>
        </w:tc>
        <w:tc>
          <w:tcPr>
            <w:tcW w:w="2026" w:type="pct"/>
            <w:shd w:val="clear" w:color="auto" w:fill="D8EBEE"/>
            <w:hideMark/>
          </w:tcPr>
          <w:p w:rsidRPr="00FB295D" w:rsidR="00770A9C" w:rsidP="00A158EB" w:rsidRDefault="00617297" w14:paraId="548967CA" w14:textId="5122444E">
            <w:pPr>
              <w:pStyle w:val="Tablecontents"/>
              <w:spacing w:before="0" w:after="0" w:line="259" w:lineRule="auto"/>
              <w:jc w:val="center"/>
              <w:rPr>
                <w:sz w:val="22"/>
                <w:szCs w:val="22"/>
              </w:rPr>
            </w:pPr>
            <w:r w:rsidRPr="00FB295D">
              <w:rPr>
                <w:sz w:val="22"/>
                <w:szCs w:val="22"/>
              </w:rPr>
              <w:t>1.0</w:t>
            </w:r>
          </w:p>
        </w:tc>
      </w:tr>
    </w:tbl>
    <w:p w:rsidRPr="0076106B" w:rsidR="008B2364" w:rsidP="005013A1" w:rsidRDefault="00792790" w14:paraId="2B3ABF35" w14:textId="7D63F0FC">
      <w:pPr>
        <w:spacing w:before="240" w:after="80"/>
        <w:rPr>
          <w:rFonts w:cs="Calibri"/>
          <w:b/>
          <w:bCs/>
          <w:sz w:val="27"/>
          <w:szCs w:val="27"/>
        </w:rPr>
      </w:pPr>
      <w:r>
        <w:rPr>
          <w:rFonts w:cs="Calibri"/>
          <w:b/>
          <w:bCs/>
          <w:sz w:val="27"/>
          <w:szCs w:val="27"/>
        </w:rPr>
        <w:t>Risk</w:t>
      </w:r>
      <w:r w:rsidR="00785B8F">
        <w:rPr>
          <w:rFonts w:cs="Calibri"/>
          <w:b/>
          <w:bCs/>
          <w:sz w:val="27"/>
          <w:szCs w:val="27"/>
        </w:rPr>
        <w:t xml:space="preserve"> factor 2: </w:t>
      </w:r>
      <w:r w:rsidRPr="0076106B" w:rsidR="008B2364">
        <w:rPr>
          <w:rFonts w:cs="Calibri"/>
          <w:b/>
          <w:bCs/>
          <w:sz w:val="27"/>
          <w:szCs w:val="27"/>
        </w:rPr>
        <w:t>Length of operation</w:t>
      </w:r>
    </w:p>
    <w:p w:rsidRPr="0076106B" w:rsidR="00615EA2" w:rsidP="6B34F37B" w:rsidRDefault="008534FB" w14:paraId="61167A60" w14:textId="4E12FDAB">
      <w:pPr>
        <w:rPr>
          <w:rFonts w:cs="Calibri"/>
          <w:highlight w:val="yellow"/>
        </w:rPr>
      </w:pPr>
      <w:r w:rsidRPr="6B34F37B">
        <w:rPr>
          <w:rFonts w:cs="Calibri"/>
        </w:rPr>
        <w:t xml:space="preserve">This risk factor </w:t>
      </w:r>
      <w:r w:rsidRPr="6B34F37B" w:rsidR="16242987">
        <w:rPr>
          <w:rFonts w:cs="Calibri"/>
        </w:rPr>
        <w:t>reflects</w:t>
      </w:r>
      <w:r w:rsidRPr="6B34F37B" w:rsidR="00A41EDC">
        <w:rPr>
          <w:rFonts w:cs="Calibri"/>
        </w:rPr>
        <w:t xml:space="preserve"> </w:t>
      </w:r>
      <w:r w:rsidRPr="6B34F37B" w:rsidR="00501876">
        <w:rPr>
          <w:rFonts w:cs="Calibri"/>
        </w:rPr>
        <w:t>that</w:t>
      </w:r>
      <w:r w:rsidRPr="6B34F37B">
        <w:rPr>
          <w:rFonts w:cs="Calibri"/>
        </w:rPr>
        <w:t xml:space="preserve"> providers with a shorter length of operation present a higher risk of default. </w:t>
      </w:r>
      <w:r w:rsidRPr="6B34F37B" w:rsidR="009B7A83">
        <w:rPr>
          <w:rFonts w:cs="Calibri"/>
        </w:rPr>
        <w:t xml:space="preserve">See </w:t>
      </w:r>
      <w:r w:rsidRPr="6B34F37B" w:rsidR="7827AAE5">
        <w:rPr>
          <w:rFonts w:cs="Calibri"/>
        </w:rPr>
        <w:t>T</w:t>
      </w:r>
      <w:r w:rsidRPr="6B34F37B" w:rsidR="009B7A83">
        <w:rPr>
          <w:rFonts w:cs="Calibri"/>
        </w:rPr>
        <w:t xml:space="preserve">able 2 to </w:t>
      </w:r>
      <w:r w:rsidRPr="6B34F37B" w:rsidR="001478DA">
        <w:rPr>
          <w:rFonts w:cs="Calibri"/>
        </w:rPr>
        <w:t>determine</w:t>
      </w:r>
      <w:r w:rsidRPr="6B34F37B" w:rsidR="009B7A83">
        <w:rPr>
          <w:rFonts w:cs="Calibri"/>
        </w:rPr>
        <w:t xml:space="preserve"> </w:t>
      </w:r>
      <w:r w:rsidRPr="6B34F37B" w:rsidR="260FF842">
        <w:rPr>
          <w:rFonts w:cs="Calibri"/>
        </w:rPr>
        <w:t xml:space="preserve">the </w:t>
      </w:r>
      <w:r w:rsidRPr="00AE5CC4" w:rsidR="009B7A83">
        <w:rPr>
          <w:rFonts w:cs="Calibri"/>
        </w:rPr>
        <w:t xml:space="preserve">length of </w:t>
      </w:r>
      <w:r w:rsidRPr="00026F66" w:rsidR="009B7A83">
        <w:rPr>
          <w:rFonts w:cs="Calibri"/>
        </w:rPr>
        <w:t>operation</w:t>
      </w:r>
      <w:r w:rsidRPr="00026F66" w:rsidR="00DE2B37">
        <w:rPr>
          <w:rFonts w:cs="Calibri"/>
        </w:rPr>
        <w:t xml:space="preserve"> risk factor</w:t>
      </w:r>
      <w:r w:rsidRPr="00026F66" w:rsidR="009B7A83">
        <w:rPr>
          <w:rFonts w:cs="Calibri"/>
        </w:rPr>
        <w:t xml:space="preserve"> value</w:t>
      </w:r>
      <w:r w:rsidRPr="00026F66" w:rsidR="4977A210">
        <w:rPr>
          <w:rFonts w:cs="Calibri"/>
        </w:rPr>
        <w:t xml:space="preserve"> based on the length of CRICOS </w:t>
      </w:r>
      <w:r w:rsidRPr="00026F66" w:rsidR="053542C6">
        <w:rPr>
          <w:rFonts w:cs="Calibri"/>
        </w:rPr>
        <w:t>registration length o</w:t>
      </w:r>
      <w:r w:rsidRPr="00026F66" w:rsidR="007877B0">
        <w:rPr>
          <w:rFonts w:cs="Calibri"/>
        </w:rPr>
        <w:t>n</w:t>
      </w:r>
      <w:r w:rsidRPr="00026F66" w:rsidR="053542C6">
        <w:rPr>
          <w:rFonts w:cs="Calibri"/>
        </w:rPr>
        <w:t xml:space="preserve"> 1 January of the levy year.</w:t>
      </w:r>
    </w:p>
    <w:p w:rsidRPr="0076106B" w:rsidR="009B7A83" w:rsidP="007837C8" w:rsidRDefault="009B7A83" w14:paraId="7558B225" w14:textId="628B4237">
      <w:pPr>
        <w:pStyle w:val="Heading4"/>
        <w:rPr>
          <w:sz w:val="27"/>
          <w:szCs w:val="27"/>
        </w:rPr>
      </w:pPr>
      <w:r w:rsidRPr="0076106B">
        <w:t>Table 2: Length of operation</w:t>
      </w:r>
      <w:r w:rsidRPr="0076106B" w:rsidR="006E503A">
        <w:t xml:space="preserve"> risk factor value</w:t>
      </w:r>
      <w:r w:rsidR="00650619">
        <w:t>s</w:t>
      </w:r>
    </w:p>
    <w:tbl>
      <w:tblPr>
        <w:tblStyle w:val="TPSTable"/>
        <w:tblW w:w="33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43"/>
        <w:gridCol w:w="3034"/>
      </w:tblGrid>
      <w:tr w:rsidRPr="0076106B" w:rsidR="00770A9C" w:rsidTr="00770A9C" w14:paraId="0CC66961" w14:textId="77777777">
        <w:trPr>
          <w:cnfStyle w:val="100000000000" w:firstRow="1" w:lastRow="0" w:firstColumn="0" w:lastColumn="0" w:oddVBand="0" w:evenVBand="0" w:oddHBand="0" w:evenHBand="0" w:firstRowFirstColumn="0" w:firstRowLastColumn="0" w:lastRowFirstColumn="0" w:lastRowLastColumn="0"/>
          <w:trHeight w:val="510"/>
          <w:jc w:val="center"/>
        </w:trPr>
        <w:tc>
          <w:tcPr>
            <w:tcW w:w="2504" w:type="pct"/>
            <w:shd w:val="clear" w:color="auto" w:fill="367079"/>
          </w:tcPr>
          <w:p w:rsidRPr="0076106B" w:rsidR="00770A9C" w:rsidP="00A158EB" w:rsidRDefault="00770A9C" w14:paraId="60898B58" w14:textId="77777777">
            <w:pPr>
              <w:pStyle w:val="TableHeader"/>
              <w:spacing w:before="0" w:after="0" w:line="259" w:lineRule="auto"/>
              <w:rPr>
                <w:rFonts w:ascii="Calibri" w:hAnsi="Calibri" w:cs="Calibri"/>
                <w:bCs/>
              </w:rPr>
            </w:pPr>
            <w:r w:rsidRPr="0076106B">
              <w:rPr>
                <w:rFonts w:ascii="Calibri" w:hAnsi="Calibri" w:cs="Calibri"/>
                <w:bCs/>
              </w:rPr>
              <w:t>Length of operation</w:t>
            </w:r>
          </w:p>
        </w:tc>
        <w:tc>
          <w:tcPr>
            <w:tcW w:w="2496" w:type="pct"/>
            <w:shd w:val="clear" w:color="auto" w:fill="367079"/>
          </w:tcPr>
          <w:p w:rsidRPr="0076106B" w:rsidR="00770A9C" w:rsidP="00A158EB" w:rsidRDefault="00770A9C" w14:paraId="61AEDFA3" w14:textId="151C123C">
            <w:pPr>
              <w:pStyle w:val="TableHeader"/>
              <w:spacing w:before="0" w:after="0" w:line="259" w:lineRule="auto"/>
              <w:rPr>
                <w:rFonts w:ascii="Calibri" w:hAnsi="Calibri" w:cs="Calibri"/>
                <w:bCs/>
              </w:rPr>
            </w:pPr>
            <w:r w:rsidRPr="0076106B">
              <w:rPr>
                <w:rFonts w:ascii="Calibri" w:hAnsi="Calibri" w:cs="Calibri"/>
                <w:bCs/>
              </w:rPr>
              <w:t>202</w:t>
            </w:r>
            <w:r w:rsidR="00FE41B1">
              <w:rPr>
                <w:rFonts w:ascii="Calibri" w:hAnsi="Calibri" w:cs="Calibri"/>
                <w:bCs/>
              </w:rPr>
              <w:t>6</w:t>
            </w:r>
            <w:r w:rsidR="002915C6">
              <w:rPr>
                <w:rFonts w:ascii="Calibri" w:hAnsi="Calibri" w:cs="Calibri"/>
                <w:bCs/>
              </w:rPr>
              <w:t xml:space="preserve"> </w:t>
            </w:r>
            <w:r w:rsidR="00792790">
              <w:rPr>
                <w:rFonts w:ascii="Calibri" w:hAnsi="Calibri" w:cs="Calibri"/>
                <w:bCs/>
              </w:rPr>
              <w:t>risk</w:t>
            </w:r>
            <w:r w:rsidR="002915C6">
              <w:rPr>
                <w:rFonts w:ascii="Calibri" w:hAnsi="Calibri" w:cs="Calibri"/>
                <w:bCs/>
              </w:rPr>
              <w:t xml:space="preserve"> </w:t>
            </w:r>
            <w:r w:rsidRPr="0076106B">
              <w:rPr>
                <w:rFonts w:ascii="Calibri" w:hAnsi="Calibri" w:cs="Calibri"/>
                <w:bCs/>
              </w:rPr>
              <w:t>factor</w:t>
            </w:r>
            <w:r w:rsidR="001D6A94">
              <w:rPr>
                <w:rFonts w:ascii="Calibri" w:hAnsi="Calibri" w:cs="Calibri"/>
                <w:bCs/>
              </w:rPr>
              <w:t xml:space="preserve"> </w:t>
            </w:r>
            <w:r w:rsidR="00650619">
              <w:rPr>
                <w:rFonts w:ascii="Calibri" w:hAnsi="Calibri" w:cs="Calibri"/>
                <w:bCs/>
              </w:rPr>
              <w:t>value</w:t>
            </w:r>
            <w:r w:rsidR="00300F80">
              <w:rPr>
                <w:rFonts w:ascii="Calibri" w:hAnsi="Calibri" w:cs="Calibri"/>
                <w:bCs/>
              </w:rPr>
              <w:t>s</w:t>
            </w:r>
          </w:p>
        </w:tc>
      </w:tr>
      <w:tr w:rsidRPr="0076106B" w:rsidR="00770A9C" w:rsidTr="00770A9C" w14:paraId="41620E5E" w14:textId="77777777">
        <w:trPr>
          <w:cnfStyle w:val="000000100000" w:firstRow="0" w:lastRow="0" w:firstColumn="0" w:lastColumn="0" w:oddVBand="0" w:evenVBand="0" w:oddHBand="1" w:evenHBand="0" w:firstRowFirstColumn="0" w:firstRowLastColumn="0" w:lastRowFirstColumn="0" w:lastRowLastColumn="0"/>
          <w:trHeight w:val="454"/>
          <w:jc w:val="center"/>
        </w:trPr>
        <w:tc>
          <w:tcPr>
            <w:tcW w:w="2504" w:type="pct"/>
            <w:shd w:val="clear" w:color="auto" w:fill="D8EBEE"/>
          </w:tcPr>
          <w:p w:rsidRPr="0076106B" w:rsidR="00770A9C" w:rsidP="00A158EB" w:rsidRDefault="00770A9C" w14:paraId="32C556B3" w14:textId="77777777">
            <w:pPr>
              <w:pStyle w:val="Tablecontents"/>
              <w:spacing w:before="0" w:after="0" w:line="259" w:lineRule="auto"/>
              <w:rPr>
                <w:rFonts w:cs="Calibri"/>
              </w:rPr>
            </w:pPr>
            <w:r w:rsidRPr="0076106B">
              <w:rPr>
                <w:rFonts w:cs="Calibri"/>
              </w:rPr>
              <w:t>Less than 1 year</w:t>
            </w:r>
          </w:p>
        </w:tc>
        <w:tc>
          <w:tcPr>
            <w:tcW w:w="2496" w:type="pct"/>
            <w:shd w:val="clear" w:color="auto" w:fill="D8EBEE"/>
          </w:tcPr>
          <w:p w:rsidRPr="0076106B" w:rsidR="00770A9C" w:rsidP="00A158EB" w:rsidRDefault="00770A9C" w14:paraId="140C92A2" w14:textId="4299B7F9">
            <w:pPr>
              <w:pStyle w:val="Tablecontents"/>
              <w:spacing w:before="0" w:after="0" w:line="259" w:lineRule="auto"/>
              <w:jc w:val="center"/>
              <w:rPr>
                <w:rFonts w:cs="Calibri"/>
              </w:rPr>
            </w:pPr>
            <w:r w:rsidRPr="0076106B">
              <w:rPr>
                <w:rFonts w:cs="Calibri"/>
              </w:rPr>
              <w:t>1.0</w:t>
            </w:r>
          </w:p>
        </w:tc>
      </w:tr>
      <w:tr w:rsidRPr="0076106B" w:rsidR="00770A9C" w:rsidTr="00770A9C" w14:paraId="7DC85EB8" w14:textId="77777777">
        <w:trPr>
          <w:cnfStyle w:val="000000010000" w:firstRow="0" w:lastRow="0" w:firstColumn="0" w:lastColumn="0" w:oddVBand="0" w:evenVBand="0" w:oddHBand="0" w:evenHBand="1" w:firstRowFirstColumn="0" w:firstRowLastColumn="0" w:lastRowFirstColumn="0" w:lastRowLastColumn="0"/>
          <w:trHeight w:val="454"/>
          <w:jc w:val="center"/>
        </w:trPr>
        <w:tc>
          <w:tcPr>
            <w:tcW w:w="2504" w:type="pct"/>
            <w:shd w:val="clear" w:color="auto" w:fill="FFFFFF" w:themeFill="background1"/>
          </w:tcPr>
          <w:p w:rsidRPr="0076106B" w:rsidR="00770A9C" w:rsidP="00A158EB" w:rsidRDefault="00770A9C" w14:paraId="69CE0ADB" w14:textId="77777777">
            <w:pPr>
              <w:pStyle w:val="Tablecontents"/>
              <w:spacing w:before="0" w:after="0" w:line="259" w:lineRule="auto"/>
              <w:rPr>
                <w:rFonts w:cs="Calibri"/>
              </w:rPr>
            </w:pPr>
            <w:r w:rsidRPr="0076106B">
              <w:rPr>
                <w:rFonts w:cs="Calibri"/>
              </w:rPr>
              <w:t>1 year to less than 2 years</w:t>
            </w:r>
          </w:p>
        </w:tc>
        <w:tc>
          <w:tcPr>
            <w:tcW w:w="2496" w:type="pct"/>
            <w:shd w:val="clear" w:color="auto" w:fill="FFFFFF" w:themeFill="background1"/>
          </w:tcPr>
          <w:p w:rsidRPr="0076106B" w:rsidR="00770A9C" w:rsidP="00A158EB" w:rsidRDefault="00770A9C" w14:paraId="6BA6EC69" w14:textId="3D99F158">
            <w:pPr>
              <w:pStyle w:val="Tablecontents"/>
              <w:spacing w:before="0" w:after="0" w:line="259" w:lineRule="auto"/>
              <w:jc w:val="center"/>
              <w:rPr>
                <w:rFonts w:cs="Calibri"/>
              </w:rPr>
            </w:pPr>
            <w:r w:rsidRPr="0076106B">
              <w:rPr>
                <w:rFonts w:cs="Calibri"/>
              </w:rPr>
              <w:t>0.5</w:t>
            </w:r>
          </w:p>
        </w:tc>
      </w:tr>
      <w:tr w:rsidRPr="0076106B" w:rsidR="00770A9C" w:rsidTr="00770A9C" w14:paraId="1FBD6042" w14:textId="77777777">
        <w:trPr>
          <w:cnfStyle w:val="000000100000" w:firstRow="0" w:lastRow="0" w:firstColumn="0" w:lastColumn="0" w:oddVBand="0" w:evenVBand="0" w:oddHBand="1" w:evenHBand="0" w:firstRowFirstColumn="0" w:firstRowLastColumn="0" w:lastRowFirstColumn="0" w:lastRowLastColumn="0"/>
          <w:trHeight w:val="454"/>
          <w:jc w:val="center"/>
        </w:trPr>
        <w:tc>
          <w:tcPr>
            <w:tcW w:w="2504" w:type="pct"/>
            <w:shd w:val="clear" w:color="auto" w:fill="D8EBEE"/>
          </w:tcPr>
          <w:p w:rsidRPr="0076106B" w:rsidR="00770A9C" w:rsidP="00A158EB" w:rsidRDefault="00770A9C" w14:paraId="0AE6AC50" w14:textId="77777777">
            <w:pPr>
              <w:pStyle w:val="Tablecontents"/>
              <w:spacing w:before="0" w:after="0" w:line="259" w:lineRule="auto"/>
              <w:rPr>
                <w:rFonts w:cs="Calibri"/>
              </w:rPr>
            </w:pPr>
            <w:r w:rsidRPr="0076106B">
              <w:rPr>
                <w:rFonts w:cs="Calibri"/>
              </w:rPr>
              <w:t>2 years or more</w:t>
            </w:r>
          </w:p>
        </w:tc>
        <w:tc>
          <w:tcPr>
            <w:tcW w:w="2496" w:type="pct"/>
            <w:shd w:val="clear" w:color="auto" w:fill="D8EBEE"/>
          </w:tcPr>
          <w:p w:rsidRPr="0076106B" w:rsidR="00770A9C" w:rsidP="00A158EB" w:rsidRDefault="00770A9C" w14:paraId="4CCE41C1" w14:textId="545AAD38">
            <w:pPr>
              <w:pStyle w:val="Tablecontents"/>
              <w:spacing w:before="0" w:after="0" w:line="259" w:lineRule="auto"/>
              <w:jc w:val="center"/>
              <w:rPr>
                <w:rFonts w:cs="Calibri"/>
              </w:rPr>
            </w:pPr>
            <w:r w:rsidRPr="0076106B">
              <w:rPr>
                <w:rFonts w:cs="Calibri"/>
              </w:rPr>
              <w:t>0.0</w:t>
            </w:r>
          </w:p>
        </w:tc>
      </w:tr>
    </w:tbl>
    <w:p w:rsidR="00702DF1" w:rsidP="00CD50C3" w:rsidRDefault="00792790" w14:paraId="45222A9E" w14:textId="7E20E74F">
      <w:pPr>
        <w:spacing w:before="240" w:after="80"/>
        <w:rPr>
          <w:rFonts w:cs="Calibri"/>
          <w:b/>
          <w:bCs/>
          <w:sz w:val="27"/>
          <w:szCs w:val="27"/>
        </w:rPr>
      </w:pPr>
      <w:r>
        <w:rPr>
          <w:rFonts w:cs="Calibri"/>
          <w:b/>
          <w:bCs/>
          <w:sz w:val="27"/>
          <w:szCs w:val="27"/>
        </w:rPr>
        <w:t>Risk</w:t>
      </w:r>
      <w:r w:rsidR="00785B8F">
        <w:rPr>
          <w:rFonts w:cs="Calibri"/>
          <w:b/>
          <w:bCs/>
          <w:sz w:val="27"/>
          <w:szCs w:val="27"/>
        </w:rPr>
        <w:t xml:space="preserve"> factor 3: </w:t>
      </w:r>
      <w:r w:rsidRPr="0076106B" w:rsidR="00702DF1">
        <w:rPr>
          <w:rFonts w:cs="Calibri"/>
          <w:b/>
          <w:bCs/>
          <w:sz w:val="27"/>
          <w:szCs w:val="27"/>
        </w:rPr>
        <w:t>Volatility in overseas student enrolments</w:t>
      </w:r>
    </w:p>
    <w:p w:rsidR="00A005FD" w:rsidP="00124797" w:rsidRDefault="00A005FD" w14:paraId="35632E85" w14:textId="4F56B3F7">
      <w:pPr>
        <w:spacing w:after="80"/>
      </w:pPr>
      <w:r>
        <w:t xml:space="preserve">This </w:t>
      </w:r>
      <w:r w:rsidR="00792790">
        <w:t>risk</w:t>
      </w:r>
      <w:r>
        <w:t xml:space="preserve"> factor applies to</w:t>
      </w:r>
      <w:r w:rsidR="009D259D">
        <w:t xml:space="preserve"> providers whose</w:t>
      </w:r>
      <w:r>
        <w:t>:</w:t>
      </w:r>
    </w:p>
    <w:p w:rsidR="00A005FD" w:rsidP="00C31825" w:rsidRDefault="00A005FD" w14:paraId="2B8467C5" w14:textId="4F0F38DC">
      <w:pPr>
        <w:pStyle w:val="ListParagraph"/>
        <w:numPr>
          <w:ilvl w:val="0"/>
          <w:numId w:val="31"/>
        </w:numPr>
      </w:pPr>
      <w:r w:rsidRPr="0040328E">
        <w:rPr>
          <w:rFonts w:cs="Calibri"/>
        </w:rPr>
        <w:t>proportion of international student</w:t>
      </w:r>
      <w:r w:rsidR="005A07C1">
        <w:rPr>
          <w:rFonts w:cs="Calibri"/>
        </w:rPr>
        <w:t xml:space="preserve"> enrolments</w:t>
      </w:r>
      <w:r w:rsidRPr="0040328E">
        <w:rPr>
          <w:rFonts w:cs="Calibri"/>
        </w:rPr>
        <w:t xml:space="preserve"> was 20% </w:t>
      </w:r>
      <w:r w:rsidR="009D259D">
        <w:rPr>
          <w:rFonts w:cs="Calibri"/>
        </w:rPr>
        <w:t>or more</w:t>
      </w:r>
      <w:r w:rsidRPr="0040328E">
        <w:rPr>
          <w:rFonts w:cs="Calibri"/>
        </w:rPr>
        <w:t xml:space="preserve"> of its total student </w:t>
      </w:r>
      <w:r w:rsidR="005A07C1">
        <w:rPr>
          <w:rFonts w:cs="Calibri"/>
        </w:rPr>
        <w:t>enrolments</w:t>
      </w:r>
      <w:r w:rsidRPr="0040328E">
        <w:rPr>
          <w:rFonts w:cs="Calibri"/>
        </w:rPr>
        <w:t xml:space="preserve"> in the previous year</w:t>
      </w:r>
      <w:r w:rsidR="009D259D">
        <w:rPr>
          <w:rFonts w:cs="Calibri"/>
        </w:rPr>
        <w:t xml:space="preserve"> (202</w:t>
      </w:r>
      <w:r w:rsidR="0029017C">
        <w:rPr>
          <w:rFonts w:cs="Calibri"/>
        </w:rPr>
        <w:t>5</w:t>
      </w:r>
      <w:r w:rsidR="009D259D">
        <w:rPr>
          <w:rFonts w:cs="Calibri"/>
        </w:rPr>
        <w:t>)</w:t>
      </w:r>
      <w:r w:rsidR="005A07C1">
        <w:rPr>
          <w:rFonts w:cs="Calibri"/>
        </w:rPr>
        <w:t xml:space="preserve"> (using reported EFTSL</w:t>
      </w:r>
      <w:r w:rsidR="009D259D">
        <w:rPr>
          <w:rFonts w:cs="Calibri"/>
        </w:rPr>
        <w:t>), and</w:t>
      </w:r>
    </w:p>
    <w:p w:rsidR="009D259D" w:rsidP="00C31825" w:rsidRDefault="00D571D1" w14:paraId="7550D5AB" w14:textId="25CDCA3D">
      <w:pPr>
        <w:pStyle w:val="ListParagraph"/>
        <w:numPr>
          <w:ilvl w:val="0"/>
          <w:numId w:val="31"/>
        </w:numPr>
      </w:pPr>
      <w:r>
        <w:t>length of operation is 2 years or more</w:t>
      </w:r>
      <w:r w:rsidR="006B7C50">
        <w:t>, and</w:t>
      </w:r>
      <w:r w:rsidR="7B14736E">
        <w:t xml:space="preserve"> either or both of:</w:t>
      </w:r>
    </w:p>
    <w:p w:rsidR="006B7C50" w:rsidP="6B34F37B" w:rsidRDefault="006B7C50" w14:paraId="56B61DAA" w14:textId="5E7D86DB">
      <w:pPr>
        <w:pStyle w:val="ListParagraph"/>
        <w:numPr>
          <w:ilvl w:val="1"/>
          <w:numId w:val="31"/>
        </w:numPr>
      </w:pPr>
      <w:r>
        <w:t>number of overseas students in 202</w:t>
      </w:r>
      <w:r w:rsidR="0029017C">
        <w:t>5</w:t>
      </w:r>
      <w:r>
        <w:t xml:space="preserve"> was at least 20</w:t>
      </w:r>
      <w:r w:rsidR="18C2E27A">
        <w:t xml:space="preserve"> (EFTSL)</w:t>
      </w:r>
      <w:r>
        <w:t>, and</w:t>
      </w:r>
      <w:r w:rsidR="3797E427">
        <w:t>/or</w:t>
      </w:r>
    </w:p>
    <w:p w:rsidR="006B7C50" w:rsidP="6B34F37B" w:rsidRDefault="009A192B" w14:paraId="59A15110" w14:textId="196BE5E7">
      <w:pPr>
        <w:pStyle w:val="ListParagraph"/>
        <w:numPr>
          <w:ilvl w:val="1"/>
          <w:numId w:val="31"/>
        </w:numPr>
        <w:spacing w:after="80"/>
      </w:pPr>
      <w:r>
        <w:t>tuition fee income in 202</w:t>
      </w:r>
      <w:r w:rsidR="0029017C">
        <w:t>5</w:t>
      </w:r>
      <w:r>
        <w:t xml:space="preserve"> was more than $400,000.</w:t>
      </w:r>
    </w:p>
    <w:p w:rsidRPr="00D434F0" w:rsidR="003E6834" w:rsidP="00802F68" w:rsidRDefault="00802F68" w14:paraId="0F0CCAFF" w14:textId="5F7ABF8A">
      <w:pPr>
        <w:spacing w:before="160"/>
        <w:jc w:val="center"/>
        <w:rPr>
          <w:rFonts w:cs="Calibri" w:eastAsiaTheme="minorEastAsia"/>
        </w:rPr>
      </w:pPr>
      <w:r>
        <w:rPr>
          <w:rFonts w:eastAsiaTheme="minorEastAsia"/>
        </w:rPr>
        <w:t xml:space="preserve">Volatility in overseas student enrolments = </w:t>
      </w:r>
      <m:oMath>
        <m:m>
          <m:mPr>
            <m:mcs>
              <m:mc>
                <m:mcPr>
                  <m:count m:val="1"/>
                  <m:mcJc m:val="center"/>
                </m:mcPr>
              </m:mc>
            </m:mcs>
            <m:ctrlPr>
              <w:rPr>
                <w:rFonts w:ascii="Cambria Math" w:hAnsi="Cambria Math" w:cs="Calibri" w:eastAsiaTheme="minorEastAsia"/>
                <w:i/>
              </w:rPr>
            </m:ctrlPr>
          </m:mPr>
          <m:mr>
            <m:e>
              <m:r>
                <m:rPr>
                  <m:nor/>
                </m:rPr>
                <w:rPr>
                  <w:rFonts w:cs="Calibri" w:eastAsiaTheme="minorEastAsia"/>
                </w:rPr>
                <m:t>student enrolments</m:t>
              </m:r>
            </m:e>
          </m:mr>
          <m:mr>
            <m:e>
              <m:r>
                <m:rPr>
                  <m:nor/>
                </m:rPr>
                <w:rPr>
                  <w:rFonts w:cs="Calibri" w:eastAsiaTheme="minorEastAsia"/>
                </w:rPr>
                <m:t>risk factor value</m:t>
              </m:r>
            </m:e>
          </m:mr>
        </m:m>
        <m:r>
          <m:rPr>
            <m:nor/>
          </m:rPr>
          <w:rPr>
            <w:rFonts w:cs="Calibri" w:eastAsiaTheme="minorEastAsia"/>
          </w:rPr>
          <m:t xml:space="preserve"> ×</m:t>
        </m:r>
        <m:r>
          <w:rPr>
            <w:rFonts w:ascii="Cambria Math" w:hAnsi="Cambria Math" w:cs="Calibri" w:eastAsiaTheme="minorEastAsia"/>
          </w:rPr>
          <m:t xml:space="preserve"> </m:t>
        </m:r>
        <m:m>
          <m:mPr>
            <m:mcs>
              <m:mc>
                <m:mcPr>
                  <m:count m:val="1"/>
                  <m:mcJc m:val="center"/>
                </m:mcPr>
              </m:mc>
            </m:mcs>
            <m:ctrlPr>
              <w:rPr>
                <w:rFonts w:ascii="Cambria Math" w:hAnsi="Cambria Math" w:cs="Calibri" w:eastAsiaTheme="minorEastAsia"/>
                <w:i/>
              </w:rPr>
            </m:ctrlPr>
          </m:mPr>
          <m:mr>
            <m:e>
              <m:r>
                <m:rPr>
                  <m:nor/>
                </m:rPr>
                <w:rPr>
                  <w:rFonts w:cs="Calibri" w:eastAsiaTheme="minorEastAsia"/>
                </w:rPr>
                <m:t>risk factor</m:t>
              </m:r>
            </m:e>
          </m:mr>
          <m:mr>
            <m:e>
              <m:r>
                <m:rPr>
                  <m:nor/>
                </m:rPr>
                <w:rPr>
                  <w:rFonts w:cs="Calibri" w:eastAsiaTheme="minorEastAsia"/>
                </w:rPr>
                <m:t>discount</m:t>
              </m:r>
            </m:e>
          </m:mr>
        </m:m>
      </m:oMath>
    </w:p>
    <w:p w:rsidRPr="0076106B" w:rsidR="00F94435" w:rsidP="00D07121" w:rsidRDefault="00D11971" w14:paraId="58259256" w14:textId="524E302E">
      <w:pPr>
        <w:spacing w:before="80" w:after="0"/>
        <w:rPr>
          <w:rFonts w:cs="Calibri"/>
        </w:rPr>
      </w:pPr>
      <w:r w:rsidRPr="0076106B">
        <w:rPr>
          <w:rFonts w:cs="Calibri"/>
        </w:rPr>
        <w:t xml:space="preserve">To calculate </w:t>
      </w:r>
      <w:r w:rsidR="00BF0186">
        <w:rPr>
          <w:rFonts w:cs="Calibri"/>
        </w:rPr>
        <w:t xml:space="preserve">the </w:t>
      </w:r>
      <w:r w:rsidRPr="0076106B">
        <w:rPr>
          <w:rFonts w:cs="Calibri"/>
        </w:rPr>
        <w:t xml:space="preserve">volatility in overseas student enrolments </w:t>
      </w:r>
      <w:r w:rsidR="00792790">
        <w:rPr>
          <w:rFonts w:cs="Calibri"/>
        </w:rPr>
        <w:t>risk</w:t>
      </w:r>
      <w:r w:rsidRPr="0076106B" w:rsidR="00792790">
        <w:rPr>
          <w:rFonts w:cs="Calibri"/>
        </w:rPr>
        <w:t xml:space="preserve"> </w:t>
      </w:r>
      <w:r w:rsidRPr="0076106B">
        <w:rPr>
          <w:rFonts w:cs="Calibri"/>
        </w:rPr>
        <w:t>factor value, follow these steps</w:t>
      </w:r>
      <w:r w:rsidR="00CA2DA2">
        <w:rPr>
          <w:rFonts w:cs="Calibri"/>
        </w:rPr>
        <w:t>:</w:t>
      </w:r>
    </w:p>
    <w:p w:rsidR="007F3284" w:rsidP="00FC47F8" w:rsidRDefault="00DB274D" w14:paraId="7F94BC21" w14:textId="141D6855">
      <w:pPr>
        <w:pStyle w:val="ListParagraph"/>
        <w:numPr>
          <w:ilvl w:val="0"/>
          <w:numId w:val="25"/>
        </w:numPr>
        <w:spacing w:before="160" w:after="0"/>
        <w:ind w:left="357" w:hanging="357"/>
        <w:rPr>
          <w:rFonts w:cs="Calibri"/>
        </w:rPr>
      </w:pPr>
      <w:r w:rsidRPr="0076106B">
        <w:rPr>
          <w:rFonts w:cs="Calibri"/>
        </w:rPr>
        <w:t xml:space="preserve">Calculate formula as seen in </w:t>
      </w:r>
      <w:r w:rsidR="00E6192B">
        <w:rPr>
          <w:rFonts w:cs="Calibri"/>
        </w:rPr>
        <w:t>t</w:t>
      </w:r>
      <w:r w:rsidRPr="0076106B">
        <w:rPr>
          <w:rFonts w:cs="Calibri"/>
        </w:rPr>
        <w:t>able 3</w:t>
      </w:r>
      <w:r w:rsidRPr="0076106B" w:rsidR="00182CCF">
        <w:rPr>
          <w:rFonts w:cs="Calibri"/>
        </w:rPr>
        <w:t xml:space="preserve">. </w:t>
      </w:r>
    </w:p>
    <w:p w:rsidRPr="00AE5CC4" w:rsidR="0069121E" w:rsidP="00FC47F8" w:rsidRDefault="0A101AFE" w14:paraId="461C5440" w14:textId="79177A00">
      <w:pPr>
        <w:spacing w:after="0"/>
        <w:ind w:left="357"/>
        <w:rPr>
          <w:rFonts w:cs="Calibri"/>
        </w:rPr>
      </w:pPr>
      <w:r w:rsidRPr="00AE5CC4">
        <w:rPr>
          <w:rFonts w:cs="Calibri"/>
        </w:rPr>
        <w:t xml:space="preserve">Note: </w:t>
      </w:r>
      <w:r w:rsidRPr="00AE5CC4" w:rsidR="0069121E">
        <w:rPr>
          <w:rFonts w:cs="Calibri"/>
        </w:rPr>
        <w:t>If a provider did not have overseas student enrolments in 202</w:t>
      </w:r>
      <w:r w:rsidR="0029017C">
        <w:rPr>
          <w:rFonts w:cs="Calibri"/>
        </w:rPr>
        <w:t>5</w:t>
      </w:r>
      <w:r w:rsidRPr="00AE5CC4" w:rsidR="0069121E">
        <w:rPr>
          <w:rFonts w:cs="Calibri"/>
        </w:rPr>
        <w:t>, the</w:t>
      </w:r>
      <w:r w:rsidRPr="00AE5CC4" w:rsidR="25AFA570">
        <w:rPr>
          <w:rFonts w:cs="Calibri"/>
        </w:rPr>
        <w:t xml:space="preserve"> pr</w:t>
      </w:r>
      <w:r w:rsidRPr="00AE5CC4" w:rsidR="55ED242F">
        <w:rPr>
          <w:rFonts w:cs="Calibri"/>
        </w:rPr>
        <w:t>o</w:t>
      </w:r>
      <w:r w:rsidRPr="00AE5CC4" w:rsidR="25AFA570">
        <w:rPr>
          <w:rFonts w:cs="Calibri"/>
        </w:rPr>
        <w:t xml:space="preserve">vider’s </w:t>
      </w:r>
      <w:r w:rsidRPr="00AE5CC4" w:rsidR="1B16F61A">
        <w:rPr>
          <w:rFonts w:cs="Calibri"/>
        </w:rPr>
        <w:t>risk factor will be 0.0.</w:t>
      </w:r>
    </w:p>
    <w:p w:rsidRPr="00AE5CC4" w:rsidR="00182CCF" w:rsidP="00182CCF" w:rsidRDefault="003B6FA0" w14:paraId="655337A2" w14:textId="3CC391CC">
      <w:pPr>
        <w:pStyle w:val="ListParagraph"/>
        <w:numPr>
          <w:ilvl w:val="0"/>
          <w:numId w:val="25"/>
        </w:numPr>
        <w:rPr>
          <w:rFonts w:cs="Calibri"/>
        </w:rPr>
      </w:pPr>
      <w:r w:rsidRPr="00AE5CC4">
        <w:rPr>
          <w:rFonts w:cs="Calibri"/>
        </w:rPr>
        <w:t xml:space="preserve">Determine </w:t>
      </w:r>
      <w:r w:rsidRPr="00AE5CC4" w:rsidR="00564702">
        <w:rPr>
          <w:rFonts w:cs="Calibri"/>
        </w:rPr>
        <w:t xml:space="preserve">the </w:t>
      </w:r>
      <w:r w:rsidRPr="00AE5CC4">
        <w:rPr>
          <w:rFonts w:cs="Calibri"/>
        </w:rPr>
        <w:t xml:space="preserve">volatility in overseas student enrolments </w:t>
      </w:r>
      <w:r w:rsidRPr="00AE5CC4" w:rsidR="00792790">
        <w:rPr>
          <w:rFonts w:cs="Calibri"/>
        </w:rPr>
        <w:t xml:space="preserve">risk </w:t>
      </w:r>
      <w:r w:rsidRPr="00AE5CC4" w:rsidR="005A07C1">
        <w:rPr>
          <w:rFonts w:cs="Calibri"/>
        </w:rPr>
        <w:t>factor</w:t>
      </w:r>
      <w:r w:rsidRPr="00AE5CC4">
        <w:rPr>
          <w:rFonts w:cs="Calibri"/>
        </w:rPr>
        <w:t xml:space="preserve"> </w:t>
      </w:r>
      <w:r w:rsidRPr="00AE5CC4" w:rsidR="00564702">
        <w:rPr>
          <w:rFonts w:cs="Calibri"/>
        </w:rPr>
        <w:t>value</w:t>
      </w:r>
      <w:r w:rsidRPr="00AE5CC4" w:rsidR="00924A11">
        <w:rPr>
          <w:rFonts w:cs="Calibri"/>
        </w:rPr>
        <w:t xml:space="preserve"> (X) </w:t>
      </w:r>
      <w:r w:rsidRPr="00AE5CC4" w:rsidR="00F65F53">
        <w:rPr>
          <w:rFonts w:cs="Calibri"/>
        </w:rPr>
        <w:t xml:space="preserve">as seen in </w:t>
      </w:r>
      <w:r w:rsidRPr="00AE5CC4" w:rsidR="00D308F8">
        <w:rPr>
          <w:rFonts w:cs="Calibri"/>
        </w:rPr>
        <w:t>t</w:t>
      </w:r>
      <w:r w:rsidRPr="00AE5CC4" w:rsidR="00F65F53">
        <w:rPr>
          <w:rFonts w:cs="Calibri"/>
        </w:rPr>
        <w:t>able 4</w:t>
      </w:r>
      <w:r w:rsidRPr="00AE5CC4" w:rsidR="51F05A51">
        <w:rPr>
          <w:rFonts w:cs="Calibri"/>
        </w:rPr>
        <w:t>.</w:t>
      </w:r>
    </w:p>
    <w:p w:rsidRPr="00026F66" w:rsidR="00182CCF" w:rsidP="6B34F37B" w:rsidRDefault="00C80506" w14:paraId="35736EFF" w14:textId="50C42F00">
      <w:pPr>
        <w:pStyle w:val="ListParagraph"/>
        <w:numPr>
          <w:ilvl w:val="0"/>
          <w:numId w:val="25"/>
        </w:numPr>
        <w:rPr>
          <w:rFonts w:cs="Calibri"/>
        </w:rPr>
      </w:pPr>
      <w:r w:rsidRPr="00AE5CC4">
        <w:rPr>
          <w:rFonts w:cs="Calibri"/>
        </w:rPr>
        <w:t>Identify length of operation</w:t>
      </w:r>
      <w:r w:rsidRPr="00AE5CC4" w:rsidR="009954C6">
        <w:rPr>
          <w:rFonts w:cs="Calibri"/>
        </w:rPr>
        <w:t xml:space="preserve"> and determine </w:t>
      </w:r>
      <w:r w:rsidRPr="00AE5CC4" w:rsidR="00531378">
        <w:rPr>
          <w:rFonts w:cs="Calibri"/>
        </w:rPr>
        <w:t xml:space="preserve">discount </w:t>
      </w:r>
      <w:r w:rsidRPr="00AE5CC4" w:rsidR="00166B66">
        <w:rPr>
          <w:rFonts w:cs="Calibri"/>
        </w:rPr>
        <w:t xml:space="preserve">(Y) </w:t>
      </w:r>
      <w:r w:rsidRPr="00AE5CC4" w:rsidR="00531378">
        <w:rPr>
          <w:rFonts w:cs="Calibri"/>
        </w:rPr>
        <w:t xml:space="preserve">on </w:t>
      </w:r>
      <w:r w:rsidRPr="00AE5CC4" w:rsidR="008B5BEA">
        <w:rPr>
          <w:rFonts w:cs="Calibri"/>
        </w:rPr>
        <w:t xml:space="preserve">the </w:t>
      </w:r>
      <w:r w:rsidRPr="00AE5CC4" w:rsidR="00792790">
        <w:rPr>
          <w:rFonts w:cs="Calibri"/>
        </w:rPr>
        <w:t xml:space="preserve">risk </w:t>
      </w:r>
      <w:r w:rsidRPr="00AE5CC4" w:rsidR="008B5BEA">
        <w:rPr>
          <w:rFonts w:cs="Calibri"/>
        </w:rPr>
        <w:t>factor</w:t>
      </w:r>
      <w:r w:rsidRPr="00AE5CC4" w:rsidR="00924A11">
        <w:rPr>
          <w:rFonts w:cs="Calibri"/>
        </w:rPr>
        <w:t xml:space="preserve"> value</w:t>
      </w:r>
      <w:r w:rsidRPr="00AE5CC4" w:rsidR="009954C6">
        <w:rPr>
          <w:rFonts w:cs="Calibri"/>
        </w:rPr>
        <w:t xml:space="preserve"> as seen in </w:t>
      </w:r>
      <w:r w:rsidRPr="00AE5CC4">
        <w:rPr>
          <w:rFonts w:cs="Calibri"/>
        </w:rPr>
        <w:t xml:space="preserve">Table </w:t>
      </w:r>
      <w:r w:rsidRPr="00AE5CC4" w:rsidR="00083004">
        <w:rPr>
          <w:rFonts w:cs="Calibri"/>
        </w:rPr>
        <w:t>5</w:t>
      </w:r>
      <w:r w:rsidRPr="00AE5CC4" w:rsidR="00A3576F">
        <w:rPr>
          <w:rFonts w:cs="Calibri"/>
        </w:rPr>
        <w:t>.</w:t>
      </w:r>
    </w:p>
    <w:p w:rsidRPr="00AE5CC4" w:rsidR="004B3C7A" w:rsidP="00770A9C" w:rsidRDefault="001F3930" w14:paraId="600097D5" w14:textId="0A237228">
      <w:pPr>
        <w:pStyle w:val="ListParagraph"/>
        <w:numPr>
          <w:ilvl w:val="0"/>
          <w:numId w:val="25"/>
        </w:numPr>
        <w:rPr>
          <w:rFonts w:cs="Calibri"/>
        </w:rPr>
      </w:pPr>
      <w:r w:rsidRPr="00026F66">
        <w:rPr>
          <w:rFonts w:cs="Calibri"/>
        </w:rPr>
        <w:t>Th</w:t>
      </w:r>
      <w:r w:rsidRPr="00026F66" w:rsidR="00EA0B9B">
        <w:rPr>
          <w:rFonts w:cs="Calibri"/>
        </w:rPr>
        <w:t>e</w:t>
      </w:r>
      <w:r w:rsidRPr="00026F66">
        <w:rPr>
          <w:rFonts w:cs="Calibri"/>
        </w:rPr>
        <w:t xml:space="preserve">n, </w:t>
      </w:r>
      <w:r w:rsidRPr="00026F66" w:rsidR="00A3576F">
        <w:rPr>
          <w:rFonts w:cs="Calibri"/>
        </w:rPr>
        <w:t>multipl</w:t>
      </w:r>
      <w:r w:rsidRPr="00026F66" w:rsidR="005A07C1">
        <w:rPr>
          <w:rFonts w:cs="Calibri"/>
        </w:rPr>
        <w:t>y</w:t>
      </w:r>
      <w:r w:rsidRPr="00026F66" w:rsidR="00A3576F">
        <w:rPr>
          <w:rFonts w:cs="Calibri"/>
        </w:rPr>
        <w:t xml:space="preserve"> </w:t>
      </w:r>
      <m:oMath>
        <m:r>
          <m:rPr>
            <m:sty m:val="p"/>
          </m:rPr>
          <w:rPr>
            <w:rFonts w:ascii="Cambria Math" w:hAnsi="Cambria Math" w:cs="Calibri"/>
          </w:rPr>
          <m:t xml:space="preserve">X × </m:t>
        </m:r>
        <m:d>
          <m:dPr>
            <m:ctrlPr>
              <w:rPr>
                <w:rFonts w:ascii="Cambria Math" w:hAnsi="Cambria Math" w:cs="Calibri"/>
              </w:rPr>
            </m:ctrlPr>
          </m:dPr>
          <m:e>
            <m:r>
              <m:rPr>
                <m:sty m:val="p"/>
              </m:rPr>
              <w:rPr>
                <w:rFonts w:ascii="Cambria Math" w:hAnsi="Cambria Math" w:cs="Calibri"/>
              </w:rPr>
              <m:t>100%- Y%</m:t>
            </m:r>
          </m:e>
        </m:d>
        <m:r>
          <m:rPr>
            <m:sty m:val="p"/>
          </m:rPr>
          <w:rPr>
            <w:rFonts w:ascii="Cambria Math" w:hAnsi="Cambria Math" w:cs="Calibri"/>
          </w:rPr>
          <m:t xml:space="preserve">to calculate </m:t>
        </m:r>
      </m:oMath>
      <w:r w:rsidRPr="00026F66" w:rsidR="008B5BEA">
        <w:rPr>
          <w:rFonts w:cs="Calibri" w:eastAsiaTheme="minorEastAsia"/>
        </w:rPr>
        <w:t xml:space="preserve">the </w:t>
      </w:r>
      <w:r w:rsidRPr="00026F66" w:rsidR="00205693">
        <w:rPr>
          <w:rFonts w:cs="Calibri"/>
        </w:rPr>
        <w:t>v</w:t>
      </w:r>
      <w:r w:rsidRPr="00026F66" w:rsidR="00EA0B9B">
        <w:rPr>
          <w:rFonts w:cs="Calibri"/>
        </w:rPr>
        <w:t>olatility in overseas student enrolmen</w:t>
      </w:r>
      <w:r w:rsidRPr="00AE5CC4" w:rsidR="00EA0B9B">
        <w:rPr>
          <w:rFonts w:cs="Calibri"/>
        </w:rPr>
        <w:t xml:space="preserve">ts </w:t>
      </w:r>
      <w:r w:rsidRPr="00AE5CC4" w:rsidR="00792790">
        <w:rPr>
          <w:rFonts w:cs="Calibri"/>
        </w:rPr>
        <w:t>risk</w:t>
      </w:r>
      <w:r w:rsidRPr="00AE5CC4" w:rsidR="008B5BEA">
        <w:rPr>
          <w:rFonts w:cs="Calibri"/>
        </w:rPr>
        <w:t xml:space="preserve"> factor</w:t>
      </w:r>
      <w:r w:rsidRPr="00AE5CC4" w:rsidR="005A779F">
        <w:rPr>
          <w:rFonts w:cs="Calibri"/>
        </w:rPr>
        <w:t xml:space="preserve"> value</w:t>
      </w:r>
      <w:r w:rsidRPr="00AE5CC4" w:rsidR="00C63150">
        <w:rPr>
          <w:rFonts w:cs="Calibri"/>
        </w:rPr>
        <w:t>.</w:t>
      </w:r>
    </w:p>
    <w:p w:rsidRPr="001A331D" w:rsidR="00245FDB" w:rsidP="007837C8" w:rsidRDefault="008F57BB" w14:paraId="6C98A74D" w14:textId="1ADF3E8A">
      <w:pPr>
        <w:pStyle w:val="Heading4"/>
      </w:pPr>
      <w:r w:rsidRPr="001A331D">
        <w:t xml:space="preserve">Table 3: </w:t>
      </w:r>
      <w:r w:rsidRPr="001A331D" w:rsidR="00310B64">
        <w:t>V</w:t>
      </w:r>
      <w:r w:rsidRPr="001A331D">
        <w:t xml:space="preserve">olatility in </w:t>
      </w:r>
      <w:r w:rsidRPr="001A331D" w:rsidR="006E503A">
        <w:t>overseas student enrolment</w:t>
      </w:r>
      <w:r w:rsidRPr="001A331D" w:rsidR="00473829">
        <w:t xml:space="preserve"> </w:t>
      </w:r>
      <w:r w:rsidRPr="001A331D" w:rsidR="00792790">
        <w:t>risk</w:t>
      </w:r>
      <w:r w:rsidRPr="001A331D" w:rsidR="008B5BEA">
        <w:t xml:space="preserve"> </w:t>
      </w:r>
      <w:r w:rsidRPr="001A331D" w:rsidR="00473829">
        <w:t>factor formula</w:t>
      </w:r>
    </w:p>
    <w:p w:rsidRPr="00A262E5" w:rsidR="00A262E5" w:rsidP="00026F66" w:rsidRDefault="00000000" w14:paraId="1980E145" w14:textId="5882BCD2">
      <w:pPr>
        <w:spacing w:before="160"/>
        <w:jc w:val="center"/>
      </w:pPr>
      <m:oMathPara>
        <m:oMath>
          <m:d>
            <m:dPr>
              <m:ctrlPr>
                <w:rPr>
                  <w:rFonts w:ascii="Cambria Math" w:hAnsi="Cambria Math" w:cs="Calibri"/>
                  <w:i/>
                </w:rPr>
              </m:ctrlPr>
            </m:dPr>
            <m:e>
              <m:f>
                <m:fPr>
                  <m:ctrlPr>
                    <w:rPr>
                      <w:rFonts w:ascii="Cambria Math" w:hAnsi="Cambria Math" w:cs="Calibri"/>
                      <w:i/>
                    </w:rPr>
                  </m:ctrlPr>
                </m:fPr>
                <m:num>
                  <m:r>
                    <m:rPr>
                      <m:nor/>
                    </m:rPr>
                    <w:rPr>
                      <w:rFonts w:cs="Calibri"/>
                    </w:rPr>
                    <m:t>Number of overseas student enrolments in 2025</m:t>
                  </m:r>
                </m:num>
                <m:den>
                  <m:r>
                    <m:rPr>
                      <m:nor/>
                    </m:rPr>
                    <w:rPr>
                      <w:rFonts w:cs="Calibri"/>
                    </w:rPr>
                    <m:t>Number of overseas student enrolments in 2024</m:t>
                  </m:r>
                </m:den>
              </m:f>
              <m:r>
                <m:rPr>
                  <m:nor/>
                </m:rPr>
                <w:rPr>
                  <w:rFonts w:cs="Calibri"/>
                </w:rPr>
                <m:t>-1</m:t>
              </m:r>
            </m:e>
          </m:d>
          <m:r>
            <w:rPr>
              <w:rFonts w:ascii="Cambria Math" w:hAnsi="Cambria Math" w:cs="Calibri"/>
            </w:rPr>
            <m:t>× 100</m:t>
          </m:r>
        </m:oMath>
      </m:oMathPara>
    </w:p>
    <w:p w:rsidR="009122D5" w:rsidP="00B1028C" w:rsidRDefault="009122D5" w14:paraId="0B27110C" w14:textId="77777777">
      <w:pPr>
        <w:spacing w:before="240" w:after="80"/>
        <w:rPr>
          <w:rFonts w:cs="Calibri"/>
          <w:b/>
          <w:bCs/>
          <w:i/>
          <w:iCs/>
        </w:rPr>
      </w:pPr>
    </w:p>
    <w:p w:rsidR="00972CA1" w:rsidP="007837C8" w:rsidRDefault="00972CA1" w14:paraId="3F3FF77C" w14:textId="77777777">
      <w:pPr>
        <w:spacing w:after="80"/>
        <w:rPr>
          <w:rFonts w:cs="Calibri"/>
          <w:b/>
          <w:bCs/>
          <w:i/>
          <w:iCs/>
        </w:rPr>
      </w:pPr>
    </w:p>
    <w:p w:rsidRPr="00D1064B" w:rsidR="008816E9" w:rsidP="00026F66" w:rsidRDefault="00245FDB" w14:paraId="38666AB2" w14:textId="07C58304">
      <w:pPr>
        <w:spacing w:after="80"/>
        <w:rPr>
          <w:rFonts w:cs="Calibri" w:eastAsiaTheme="majorEastAsia"/>
          <w:b/>
          <w:bCs/>
          <w:i/>
          <w:iCs/>
        </w:rPr>
      </w:pPr>
      <w:r w:rsidRPr="00D1064B">
        <w:rPr>
          <w:rFonts w:cs="Calibri"/>
          <w:b/>
          <w:bCs/>
          <w:i/>
          <w:iCs/>
        </w:rPr>
        <w:t>T</w:t>
      </w:r>
      <w:r w:rsidRPr="00D1064B" w:rsidR="006E503A">
        <w:rPr>
          <w:rFonts w:cs="Calibri"/>
          <w:b/>
          <w:bCs/>
          <w:i/>
          <w:iCs/>
        </w:rPr>
        <w:t>able</w:t>
      </w:r>
      <w:r w:rsidRPr="00D1064B" w:rsidR="00473829">
        <w:rPr>
          <w:rFonts w:cs="Calibri"/>
          <w:b/>
          <w:bCs/>
          <w:i/>
          <w:iCs/>
        </w:rPr>
        <w:t xml:space="preserve"> </w:t>
      </w:r>
      <w:r w:rsidRPr="00D1064B" w:rsidR="00F65F53">
        <w:rPr>
          <w:rFonts w:cs="Calibri"/>
          <w:b/>
          <w:bCs/>
          <w:i/>
          <w:iCs/>
        </w:rPr>
        <w:t>4</w:t>
      </w:r>
      <w:r w:rsidRPr="00D1064B" w:rsidR="006E503A">
        <w:rPr>
          <w:rFonts w:cs="Calibri"/>
          <w:b/>
          <w:bCs/>
          <w:i/>
          <w:iCs/>
        </w:rPr>
        <w:t xml:space="preserve">: Volatility in overseas student enrolments </w:t>
      </w:r>
      <w:r w:rsidRPr="00D1064B" w:rsidR="00792790">
        <w:rPr>
          <w:rFonts w:cs="Calibri"/>
          <w:b/>
          <w:bCs/>
          <w:i/>
          <w:iCs/>
        </w:rPr>
        <w:t>risk</w:t>
      </w:r>
      <w:r w:rsidRPr="00D1064B" w:rsidR="008B5BEA">
        <w:rPr>
          <w:rFonts w:cs="Calibri"/>
          <w:b/>
          <w:bCs/>
          <w:i/>
          <w:iCs/>
        </w:rPr>
        <w:t xml:space="preserve"> </w:t>
      </w:r>
      <w:r w:rsidRPr="00D1064B" w:rsidR="006E503A">
        <w:rPr>
          <w:rFonts w:cs="Calibri"/>
          <w:b/>
          <w:bCs/>
          <w:i/>
          <w:iCs/>
        </w:rPr>
        <w:t>factor value</w:t>
      </w:r>
      <w:r w:rsidRPr="00D1064B" w:rsidR="001E1E3C">
        <w:rPr>
          <w:rFonts w:cs="Calibri"/>
          <w:b/>
          <w:bCs/>
          <w:i/>
          <w:iCs/>
        </w:rPr>
        <w:t>s</w:t>
      </w:r>
    </w:p>
    <w:tbl>
      <w:tblPr>
        <w:tblStyle w:val="TPSTable"/>
        <w:tblW w:w="3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Volatility in Overseas Student Enrolments"/>
        <w:tblDescription w:val="This table displays the Volatility in Overseas Student Enrolments risk factor settings for the 2024 International TPS Levy."/>
      </w:tblPr>
      <w:tblGrid>
        <w:gridCol w:w="3504"/>
        <w:gridCol w:w="3036"/>
      </w:tblGrid>
      <w:tr w:rsidRPr="00FD7205" w:rsidR="00C5130F" w:rsidTr="00536508" w14:paraId="3927BD8D" w14:textId="77777777">
        <w:trPr>
          <w:cnfStyle w:val="100000000000" w:firstRow="1" w:lastRow="0" w:firstColumn="0" w:lastColumn="0" w:oddVBand="0" w:evenVBand="0" w:oddHBand="0" w:evenHBand="0" w:firstRowFirstColumn="0" w:firstRowLastColumn="0" w:lastRowFirstColumn="0" w:lastRowLastColumn="0"/>
          <w:trHeight w:val="20"/>
          <w:jc w:val="center"/>
        </w:trPr>
        <w:tc>
          <w:tcPr>
            <w:tcW w:w="0" w:type="pct"/>
            <w:shd w:val="clear" w:color="auto" w:fill="367079"/>
          </w:tcPr>
          <w:p w:rsidRPr="00FD7205" w:rsidR="00C5130F" w:rsidP="00A158EB" w:rsidRDefault="00C5130F" w14:paraId="4A9F956E" w14:textId="77777777">
            <w:pPr>
              <w:pStyle w:val="TableHeader"/>
              <w:spacing w:before="0" w:after="0" w:line="259" w:lineRule="auto"/>
              <w:rPr>
                <w:rFonts w:ascii="Calibri" w:hAnsi="Calibri" w:cs="Calibri"/>
                <w:bCs/>
              </w:rPr>
            </w:pPr>
            <w:r w:rsidRPr="00FD7205">
              <w:rPr>
                <w:rFonts w:ascii="Calibri" w:hAnsi="Calibri" w:cs="Calibri"/>
                <w:bCs/>
              </w:rPr>
              <w:t>Volatility in overseas student enrolments</w:t>
            </w:r>
          </w:p>
        </w:tc>
        <w:tc>
          <w:tcPr>
            <w:tcW w:w="0" w:type="pct"/>
            <w:shd w:val="clear" w:color="auto" w:fill="367079"/>
          </w:tcPr>
          <w:p w:rsidRPr="00FD7205" w:rsidR="00C5130F" w:rsidP="00A158EB" w:rsidRDefault="00C5130F" w14:paraId="6351188D" w14:textId="70F44995">
            <w:pPr>
              <w:pStyle w:val="TableHeader"/>
              <w:spacing w:before="0" w:after="0" w:line="259" w:lineRule="auto"/>
              <w:rPr>
                <w:rFonts w:ascii="Calibri" w:hAnsi="Calibri" w:cs="Calibri"/>
                <w:bCs/>
              </w:rPr>
            </w:pPr>
            <w:r w:rsidRPr="00FD7205">
              <w:rPr>
                <w:rFonts w:ascii="Calibri" w:hAnsi="Calibri" w:cs="Calibri"/>
                <w:bCs/>
              </w:rPr>
              <w:t>202</w:t>
            </w:r>
            <w:r w:rsidR="0029017C">
              <w:rPr>
                <w:rFonts w:ascii="Calibri" w:hAnsi="Calibri" w:cs="Calibri"/>
                <w:bCs/>
              </w:rPr>
              <w:t>6</w:t>
            </w:r>
            <w:r w:rsidRPr="00FD7205">
              <w:rPr>
                <w:rFonts w:ascii="Calibri" w:hAnsi="Calibri" w:cs="Calibri"/>
                <w:bCs/>
              </w:rPr>
              <w:br/>
            </w:r>
            <w:r w:rsidR="00792790">
              <w:rPr>
                <w:rFonts w:ascii="Calibri" w:hAnsi="Calibri" w:cs="Calibri"/>
                <w:bCs/>
              </w:rPr>
              <w:t>risk</w:t>
            </w:r>
            <w:r w:rsidRPr="00FD7205">
              <w:rPr>
                <w:rFonts w:ascii="Calibri" w:hAnsi="Calibri" w:cs="Calibri"/>
                <w:bCs/>
              </w:rPr>
              <w:t xml:space="preserve"> factor</w:t>
            </w:r>
            <w:r w:rsidR="007F4452">
              <w:rPr>
                <w:rFonts w:ascii="Calibri" w:hAnsi="Calibri" w:cs="Calibri"/>
                <w:bCs/>
              </w:rPr>
              <w:t xml:space="preserve"> values</w:t>
            </w:r>
            <w:r w:rsidR="00012C7D">
              <w:rPr>
                <w:rFonts w:ascii="Calibri" w:hAnsi="Calibri" w:cs="Calibri"/>
                <w:bCs/>
              </w:rPr>
              <w:t xml:space="preserve"> (X)</w:t>
            </w:r>
          </w:p>
        </w:tc>
      </w:tr>
      <w:tr w:rsidRPr="0076106B" w:rsidR="0045490A" w:rsidTr="00536508" w14:paraId="28252496"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0" w:type="pct"/>
            <w:shd w:val="clear" w:color="auto" w:fill="D8EBEE"/>
          </w:tcPr>
          <w:p w:rsidRPr="0076106B" w:rsidR="0045490A" w:rsidP="00A158EB" w:rsidRDefault="0045490A" w14:paraId="1AD3AEBA" w14:textId="3477415D">
            <w:pPr>
              <w:pStyle w:val="Tablecontents"/>
              <w:spacing w:before="0" w:after="0" w:line="259" w:lineRule="auto"/>
              <w:rPr>
                <w:rFonts w:cs="Calibri"/>
              </w:rPr>
            </w:pPr>
            <w:r w:rsidRPr="0076106B">
              <w:rPr>
                <w:rFonts w:cs="Calibri"/>
              </w:rPr>
              <w:t>120% or more</w:t>
            </w:r>
          </w:p>
        </w:tc>
        <w:tc>
          <w:tcPr>
            <w:tcW w:w="0" w:type="pct"/>
            <w:shd w:val="clear" w:color="auto" w:fill="D8EBEE"/>
          </w:tcPr>
          <w:p w:rsidRPr="0076106B" w:rsidR="0045490A" w:rsidP="00A158EB" w:rsidRDefault="0045490A" w14:paraId="45E2C826" w14:textId="5F5399E1">
            <w:pPr>
              <w:pStyle w:val="Tablecontents"/>
              <w:spacing w:before="0" w:after="0" w:line="259" w:lineRule="auto"/>
              <w:jc w:val="center"/>
              <w:rPr>
                <w:rFonts w:cs="Calibri"/>
              </w:rPr>
            </w:pPr>
            <w:r w:rsidRPr="0076106B">
              <w:rPr>
                <w:rFonts w:cs="Calibri"/>
              </w:rPr>
              <w:t>3.5</w:t>
            </w:r>
          </w:p>
        </w:tc>
      </w:tr>
      <w:tr w:rsidRPr="0076106B" w:rsidR="0045490A" w:rsidTr="00536508" w14:paraId="478F3990" w14:textId="77777777">
        <w:trPr>
          <w:cnfStyle w:val="000000010000" w:firstRow="0" w:lastRow="0" w:firstColumn="0" w:lastColumn="0" w:oddVBand="0" w:evenVBand="0" w:oddHBand="0" w:evenHBand="1" w:firstRowFirstColumn="0" w:firstRowLastColumn="0" w:lastRowFirstColumn="0" w:lastRowLastColumn="0"/>
          <w:trHeight w:val="20"/>
          <w:jc w:val="center"/>
        </w:trPr>
        <w:tc>
          <w:tcPr>
            <w:tcW w:w="0" w:type="pct"/>
          </w:tcPr>
          <w:p w:rsidRPr="0076106B" w:rsidR="0045490A" w:rsidP="00A158EB" w:rsidRDefault="0045490A" w14:paraId="204DC3D1" w14:textId="0B440BB4">
            <w:pPr>
              <w:pStyle w:val="Tablecontents"/>
              <w:spacing w:before="0" w:after="0" w:line="259" w:lineRule="auto"/>
              <w:rPr>
                <w:rFonts w:cs="Calibri"/>
              </w:rPr>
            </w:pPr>
            <w:r w:rsidRPr="0076106B">
              <w:rPr>
                <w:rFonts w:cs="Calibri"/>
              </w:rPr>
              <w:t>105% to less than 120%</w:t>
            </w:r>
          </w:p>
        </w:tc>
        <w:tc>
          <w:tcPr>
            <w:tcW w:w="0" w:type="pct"/>
          </w:tcPr>
          <w:p w:rsidRPr="0076106B" w:rsidR="0045490A" w:rsidP="00A158EB" w:rsidRDefault="0045490A" w14:paraId="625DE7B7" w14:textId="2BB7B46C">
            <w:pPr>
              <w:pStyle w:val="Tablecontents"/>
              <w:spacing w:before="0" w:after="0" w:line="259" w:lineRule="auto"/>
              <w:jc w:val="center"/>
              <w:rPr>
                <w:rFonts w:cs="Calibri"/>
              </w:rPr>
            </w:pPr>
            <w:r w:rsidRPr="0076106B">
              <w:rPr>
                <w:rFonts w:cs="Calibri"/>
              </w:rPr>
              <w:t>3.0</w:t>
            </w:r>
          </w:p>
        </w:tc>
      </w:tr>
      <w:tr w:rsidRPr="0076106B" w:rsidR="00CC4D9C" w:rsidTr="00536508" w14:paraId="0A5E719F"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0" w:type="pct"/>
            <w:shd w:val="clear" w:color="auto" w:fill="D8EBEE"/>
          </w:tcPr>
          <w:p w:rsidRPr="0076106B" w:rsidR="00CC4D9C" w:rsidP="00A158EB" w:rsidRDefault="0045490A" w14:paraId="1E113F6A" w14:textId="0FB396C4">
            <w:pPr>
              <w:pStyle w:val="Tablecontents"/>
              <w:spacing w:before="0" w:after="0" w:line="259" w:lineRule="auto"/>
              <w:rPr>
                <w:rFonts w:cs="Calibri"/>
              </w:rPr>
            </w:pPr>
            <w:r w:rsidRPr="0076106B">
              <w:rPr>
                <w:rFonts w:cs="Calibri"/>
              </w:rPr>
              <w:t>90% to less than 105%</w:t>
            </w:r>
          </w:p>
        </w:tc>
        <w:tc>
          <w:tcPr>
            <w:tcW w:w="0" w:type="pct"/>
            <w:shd w:val="clear" w:color="auto" w:fill="D8EBEE"/>
          </w:tcPr>
          <w:p w:rsidRPr="0076106B" w:rsidR="00CC4D9C" w:rsidP="00A158EB" w:rsidRDefault="0045490A" w14:paraId="16BA7670" w14:textId="1F0B8EF4">
            <w:pPr>
              <w:pStyle w:val="Tablecontents"/>
              <w:spacing w:before="0" w:after="0" w:line="259" w:lineRule="auto"/>
              <w:jc w:val="center"/>
              <w:rPr>
                <w:rFonts w:cs="Calibri"/>
              </w:rPr>
            </w:pPr>
            <w:r w:rsidRPr="0076106B">
              <w:rPr>
                <w:rFonts w:cs="Calibri"/>
              </w:rPr>
              <w:t>2.5</w:t>
            </w:r>
          </w:p>
        </w:tc>
      </w:tr>
      <w:tr w:rsidRPr="0076106B" w:rsidR="00CC4D9C" w:rsidTr="00536508" w14:paraId="2083A36E" w14:textId="77777777">
        <w:trPr>
          <w:cnfStyle w:val="000000010000" w:firstRow="0" w:lastRow="0" w:firstColumn="0" w:lastColumn="0" w:oddVBand="0" w:evenVBand="0" w:oddHBand="0" w:evenHBand="1" w:firstRowFirstColumn="0" w:firstRowLastColumn="0" w:lastRowFirstColumn="0" w:lastRowLastColumn="0"/>
          <w:trHeight w:val="20"/>
          <w:jc w:val="center"/>
        </w:trPr>
        <w:tc>
          <w:tcPr>
            <w:tcW w:w="0" w:type="pct"/>
          </w:tcPr>
          <w:p w:rsidRPr="0076106B" w:rsidR="00CC4D9C" w:rsidP="00A158EB" w:rsidRDefault="00CC4D9C" w14:paraId="75CE927E" w14:textId="763F1104">
            <w:pPr>
              <w:pStyle w:val="Tablecontents"/>
              <w:spacing w:before="0" w:after="0" w:line="259" w:lineRule="auto"/>
              <w:rPr>
                <w:rFonts w:cs="Calibri"/>
              </w:rPr>
            </w:pPr>
            <w:r w:rsidRPr="0076106B">
              <w:rPr>
                <w:rFonts w:cs="Calibri"/>
              </w:rPr>
              <w:t>75% to less than 90%</w:t>
            </w:r>
          </w:p>
        </w:tc>
        <w:tc>
          <w:tcPr>
            <w:tcW w:w="0" w:type="pct"/>
          </w:tcPr>
          <w:p w:rsidRPr="0076106B" w:rsidR="00CC4D9C" w:rsidP="00A158EB" w:rsidRDefault="00CC4D9C" w14:paraId="10D6EE60" w14:textId="53DC498E">
            <w:pPr>
              <w:pStyle w:val="Tablecontents"/>
              <w:spacing w:before="0" w:after="0" w:line="259" w:lineRule="auto"/>
              <w:jc w:val="center"/>
              <w:rPr>
                <w:rFonts w:cs="Calibri"/>
              </w:rPr>
            </w:pPr>
            <w:r w:rsidRPr="0076106B">
              <w:rPr>
                <w:rFonts w:cs="Calibri"/>
              </w:rPr>
              <w:t>1.8</w:t>
            </w:r>
          </w:p>
        </w:tc>
      </w:tr>
      <w:tr w:rsidRPr="0076106B" w:rsidR="005D3267" w:rsidTr="00536508" w14:paraId="55F92BD0"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0" w:type="pct"/>
            <w:shd w:val="clear" w:color="auto" w:fill="D8EBEE"/>
          </w:tcPr>
          <w:p w:rsidRPr="0076106B" w:rsidR="005D3267" w:rsidP="00A158EB" w:rsidRDefault="00CC4D9C" w14:paraId="34177890" w14:textId="301F78AF">
            <w:pPr>
              <w:pStyle w:val="Tablecontents"/>
              <w:spacing w:before="0" w:after="0" w:line="259" w:lineRule="auto"/>
              <w:rPr>
                <w:rFonts w:cs="Calibri"/>
              </w:rPr>
            </w:pPr>
            <w:r w:rsidRPr="0076106B">
              <w:rPr>
                <w:rFonts w:cs="Calibri"/>
              </w:rPr>
              <w:t>60% to less than 75%</w:t>
            </w:r>
          </w:p>
        </w:tc>
        <w:tc>
          <w:tcPr>
            <w:tcW w:w="0" w:type="pct"/>
            <w:shd w:val="clear" w:color="auto" w:fill="D8EBEE"/>
          </w:tcPr>
          <w:p w:rsidRPr="0076106B" w:rsidR="005D3267" w:rsidP="00A158EB" w:rsidRDefault="00CC4D9C" w14:paraId="03790D20" w14:textId="1EE7C9A5">
            <w:pPr>
              <w:pStyle w:val="Tablecontents"/>
              <w:spacing w:before="0" w:after="0" w:line="259" w:lineRule="auto"/>
              <w:jc w:val="center"/>
              <w:rPr>
                <w:rFonts w:cs="Calibri"/>
              </w:rPr>
            </w:pPr>
            <w:r w:rsidRPr="0076106B">
              <w:rPr>
                <w:rFonts w:cs="Calibri"/>
              </w:rPr>
              <w:t>1.2</w:t>
            </w:r>
          </w:p>
        </w:tc>
      </w:tr>
      <w:tr w:rsidRPr="0076106B" w:rsidR="005D3267" w:rsidTr="00536508" w14:paraId="5EB0ADF8" w14:textId="77777777">
        <w:trPr>
          <w:cnfStyle w:val="000000010000" w:firstRow="0" w:lastRow="0" w:firstColumn="0" w:lastColumn="0" w:oddVBand="0" w:evenVBand="0" w:oddHBand="0" w:evenHBand="1" w:firstRowFirstColumn="0" w:firstRowLastColumn="0" w:lastRowFirstColumn="0" w:lastRowLastColumn="0"/>
          <w:trHeight w:val="20"/>
          <w:jc w:val="center"/>
        </w:trPr>
        <w:tc>
          <w:tcPr>
            <w:tcW w:w="0" w:type="pct"/>
          </w:tcPr>
          <w:p w:rsidRPr="0076106B" w:rsidR="005D3267" w:rsidP="00A158EB" w:rsidRDefault="005D3267" w14:paraId="00D2334A" w14:textId="57936A2A">
            <w:pPr>
              <w:pStyle w:val="Tablecontents"/>
              <w:spacing w:before="0" w:after="0" w:line="259" w:lineRule="auto"/>
              <w:rPr>
                <w:rFonts w:cs="Calibri"/>
              </w:rPr>
            </w:pPr>
            <w:r w:rsidRPr="0076106B">
              <w:rPr>
                <w:rFonts w:cs="Calibri"/>
              </w:rPr>
              <w:t>45% to less than 60%</w:t>
            </w:r>
          </w:p>
        </w:tc>
        <w:tc>
          <w:tcPr>
            <w:tcW w:w="0" w:type="pct"/>
          </w:tcPr>
          <w:p w:rsidRPr="0076106B" w:rsidR="005D3267" w:rsidP="00A158EB" w:rsidRDefault="005D3267" w14:paraId="1B06607F" w14:textId="1FBF8DDC">
            <w:pPr>
              <w:pStyle w:val="Tablecontents"/>
              <w:spacing w:before="0" w:after="0" w:line="259" w:lineRule="auto"/>
              <w:jc w:val="center"/>
              <w:rPr>
                <w:rFonts w:cs="Calibri"/>
              </w:rPr>
            </w:pPr>
            <w:r w:rsidRPr="0076106B">
              <w:rPr>
                <w:rFonts w:cs="Calibri"/>
              </w:rPr>
              <w:t>0.6</w:t>
            </w:r>
          </w:p>
        </w:tc>
      </w:tr>
      <w:tr w:rsidRPr="0076106B" w:rsidR="00C5130F" w:rsidTr="00536508" w14:paraId="4CBEB66B"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0" w:type="pct"/>
            <w:shd w:val="clear" w:color="auto" w:fill="D8EBEE"/>
          </w:tcPr>
          <w:p w:rsidRPr="0076106B" w:rsidR="00C5130F" w:rsidP="00A158EB" w:rsidRDefault="005D3267" w14:paraId="449FAC61" w14:textId="7937F9C5">
            <w:pPr>
              <w:pStyle w:val="Tablecontents"/>
              <w:spacing w:before="0" w:after="0" w:line="259" w:lineRule="auto"/>
              <w:rPr>
                <w:rFonts w:cs="Calibri"/>
              </w:rPr>
            </w:pPr>
            <w:r w:rsidRPr="0076106B">
              <w:rPr>
                <w:rFonts w:cs="Calibri"/>
              </w:rPr>
              <w:t>30% to less than 45%</w:t>
            </w:r>
          </w:p>
        </w:tc>
        <w:tc>
          <w:tcPr>
            <w:tcW w:w="0" w:type="pct"/>
            <w:shd w:val="clear" w:color="auto" w:fill="D8EBEE"/>
          </w:tcPr>
          <w:p w:rsidRPr="0076106B" w:rsidR="00C5130F" w:rsidP="00A158EB" w:rsidRDefault="005D3267" w14:paraId="1BC4174D" w14:textId="25F7A7EA">
            <w:pPr>
              <w:pStyle w:val="Tablecontents"/>
              <w:spacing w:before="0" w:after="0" w:line="259" w:lineRule="auto"/>
              <w:jc w:val="center"/>
              <w:rPr>
                <w:rFonts w:cs="Calibri"/>
              </w:rPr>
            </w:pPr>
            <w:r w:rsidRPr="0076106B">
              <w:rPr>
                <w:rFonts w:cs="Calibri"/>
              </w:rPr>
              <w:t>0.4</w:t>
            </w:r>
          </w:p>
        </w:tc>
      </w:tr>
      <w:tr w:rsidRPr="0076106B" w:rsidR="00C5130F" w:rsidTr="00536508" w14:paraId="62758D2E" w14:textId="77777777">
        <w:trPr>
          <w:cnfStyle w:val="000000010000" w:firstRow="0" w:lastRow="0" w:firstColumn="0" w:lastColumn="0" w:oddVBand="0" w:evenVBand="0" w:oddHBand="0" w:evenHBand="1" w:firstRowFirstColumn="0" w:firstRowLastColumn="0" w:lastRowFirstColumn="0" w:lastRowLastColumn="0"/>
          <w:trHeight w:val="20"/>
          <w:jc w:val="center"/>
        </w:trPr>
        <w:tc>
          <w:tcPr>
            <w:tcW w:w="0" w:type="pct"/>
          </w:tcPr>
          <w:p w:rsidRPr="0076106B" w:rsidR="00C5130F" w:rsidP="00A158EB" w:rsidRDefault="00C5130F" w14:paraId="4B6911B8" w14:textId="04ABF331">
            <w:pPr>
              <w:pStyle w:val="Tablecontents"/>
              <w:spacing w:before="0" w:after="0" w:line="259" w:lineRule="auto"/>
              <w:rPr>
                <w:rFonts w:cs="Calibri"/>
              </w:rPr>
            </w:pPr>
            <w:r w:rsidRPr="0076106B">
              <w:rPr>
                <w:rFonts w:cs="Calibri"/>
              </w:rPr>
              <w:t>-</w:t>
            </w:r>
            <w:r w:rsidRPr="0076106B" w:rsidR="00C81711">
              <w:rPr>
                <w:rFonts w:cs="Calibri"/>
              </w:rPr>
              <w:t>15% to less than 30%</w:t>
            </w:r>
          </w:p>
        </w:tc>
        <w:tc>
          <w:tcPr>
            <w:tcW w:w="0" w:type="pct"/>
          </w:tcPr>
          <w:p w:rsidRPr="0076106B" w:rsidR="00C5130F" w:rsidP="00A158EB" w:rsidRDefault="00C81711" w14:paraId="6F065EF3" w14:textId="29B488A9">
            <w:pPr>
              <w:pStyle w:val="Tablecontents"/>
              <w:spacing w:before="0" w:after="0" w:line="259" w:lineRule="auto"/>
              <w:jc w:val="center"/>
              <w:rPr>
                <w:rFonts w:cs="Calibri"/>
              </w:rPr>
            </w:pPr>
            <w:r w:rsidRPr="0076106B">
              <w:rPr>
                <w:rFonts w:cs="Calibri"/>
              </w:rPr>
              <w:t>0.0</w:t>
            </w:r>
          </w:p>
        </w:tc>
      </w:tr>
      <w:tr w:rsidRPr="0076106B" w:rsidR="002F7461" w:rsidTr="00536508" w14:paraId="56DCC824"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0" w:type="pct"/>
            <w:shd w:val="clear" w:color="auto" w:fill="D8EBEE"/>
          </w:tcPr>
          <w:p w:rsidRPr="0076106B" w:rsidR="002F7461" w:rsidP="00A158EB" w:rsidRDefault="002F7461" w14:paraId="099849CD" w14:textId="742F316F">
            <w:pPr>
              <w:pStyle w:val="Tablecontents"/>
              <w:spacing w:before="0" w:after="0" w:line="259" w:lineRule="auto"/>
              <w:rPr>
                <w:rFonts w:cs="Calibri"/>
              </w:rPr>
            </w:pPr>
            <w:r w:rsidRPr="0076106B">
              <w:rPr>
                <w:rFonts w:cs="Calibri"/>
              </w:rPr>
              <w:t>-30% to less than -15%</w:t>
            </w:r>
          </w:p>
        </w:tc>
        <w:tc>
          <w:tcPr>
            <w:tcW w:w="0" w:type="pct"/>
            <w:shd w:val="clear" w:color="auto" w:fill="D8EBEE"/>
          </w:tcPr>
          <w:p w:rsidRPr="0076106B" w:rsidR="002F7461" w:rsidP="00A158EB" w:rsidRDefault="002F7461" w14:paraId="3253E09D" w14:textId="56F25358">
            <w:pPr>
              <w:pStyle w:val="Tablecontents"/>
              <w:spacing w:before="0" w:after="0" w:line="259" w:lineRule="auto"/>
              <w:jc w:val="center"/>
              <w:rPr>
                <w:rFonts w:cs="Calibri"/>
              </w:rPr>
            </w:pPr>
            <w:r w:rsidRPr="0076106B">
              <w:rPr>
                <w:rFonts w:cs="Calibri"/>
              </w:rPr>
              <w:t>1.5</w:t>
            </w:r>
          </w:p>
        </w:tc>
      </w:tr>
      <w:tr w:rsidRPr="0076106B" w:rsidR="00C5130F" w:rsidTr="00536508" w14:paraId="03F80C16" w14:textId="77777777">
        <w:trPr>
          <w:cnfStyle w:val="000000010000" w:firstRow="0" w:lastRow="0" w:firstColumn="0" w:lastColumn="0" w:oddVBand="0" w:evenVBand="0" w:oddHBand="0" w:evenHBand="1" w:firstRowFirstColumn="0" w:firstRowLastColumn="0" w:lastRowFirstColumn="0" w:lastRowLastColumn="0"/>
          <w:trHeight w:val="20"/>
          <w:jc w:val="center"/>
        </w:trPr>
        <w:tc>
          <w:tcPr>
            <w:tcW w:w="0" w:type="pct"/>
          </w:tcPr>
          <w:p w:rsidRPr="0076106B" w:rsidR="00C5130F" w:rsidP="00A158EB" w:rsidRDefault="00C81711" w14:paraId="52B6161F" w14:textId="02EDEDD3">
            <w:pPr>
              <w:pStyle w:val="Tablecontents"/>
              <w:spacing w:before="0" w:after="0" w:line="259" w:lineRule="auto"/>
              <w:rPr>
                <w:rFonts w:cs="Calibri"/>
              </w:rPr>
            </w:pPr>
            <w:r w:rsidRPr="0076106B">
              <w:rPr>
                <w:rFonts w:cs="Calibri"/>
              </w:rPr>
              <w:t>-45% to less than -30%</w:t>
            </w:r>
          </w:p>
        </w:tc>
        <w:tc>
          <w:tcPr>
            <w:tcW w:w="0" w:type="pct"/>
          </w:tcPr>
          <w:p w:rsidRPr="0076106B" w:rsidR="00C5130F" w:rsidP="00A158EB" w:rsidRDefault="006F0F14" w14:paraId="51E2C6F8" w14:textId="3EE3EE02">
            <w:pPr>
              <w:pStyle w:val="Tablecontents"/>
              <w:spacing w:before="0" w:after="0" w:line="259" w:lineRule="auto"/>
              <w:jc w:val="center"/>
              <w:rPr>
                <w:rFonts w:cs="Calibri"/>
              </w:rPr>
            </w:pPr>
            <w:r w:rsidRPr="0076106B">
              <w:rPr>
                <w:rFonts w:cs="Calibri"/>
              </w:rPr>
              <w:t>2.0</w:t>
            </w:r>
          </w:p>
        </w:tc>
      </w:tr>
      <w:tr w:rsidRPr="0076106B" w:rsidR="00C5130F" w:rsidTr="00536508" w14:paraId="46BD9799"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0" w:type="pct"/>
            <w:shd w:val="clear" w:color="auto" w:fill="D8EBEE"/>
          </w:tcPr>
          <w:p w:rsidRPr="0076106B" w:rsidR="00C5130F" w:rsidP="00A158EB" w:rsidRDefault="00C81711" w14:paraId="5DF4625C" w14:textId="7A041742">
            <w:pPr>
              <w:pStyle w:val="Tablecontents"/>
              <w:spacing w:before="0" w:after="0" w:line="259" w:lineRule="auto"/>
              <w:rPr>
                <w:rFonts w:cs="Calibri"/>
              </w:rPr>
            </w:pPr>
            <w:r w:rsidRPr="0076106B">
              <w:rPr>
                <w:rFonts w:cs="Calibri"/>
              </w:rPr>
              <w:t>-60% to less than -45%</w:t>
            </w:r>
          </w:p>
        </w:tc>
        <w:tc>
          <w:tcPr>
            <w:tcW w:w="0" w:type="pct"/>
            <w:shd w:val="clear" w:color="auto" w:fill="D8EBEE"/>
          </w:tcPr>
          <w:p w:rsidRPr="0076106B" w:rsidR="00C5130F" w:rsidP="00A158EB" w:rsidRDefault="00C81711" w14:paraId="3A0E0409" w14:textId="362F208F">
            <w:pPr>
              <w:pStyle w:val="Tablecontents"/>
              <w:spacing w:before="0" w:after="0" w:line="259" w:lineRule="auto"/>
              <w:jc w:val="center"/>
              <w:rPr>
                <w:rFonts w:cs="Calibri"/>
              </w:rPr>
            </w:pPr>
            <w:r w:rsidRPr="0076106B">
              <w:rPr>
                <w:rFonts w:cs="Calibri"/>
              </w:rPr>
              <w:t>3.0</w:t>
            </w:r>
          </w:p>
        </w:tc>
      </w:tr>
      <w:tr w:rsidRPr="0076106B" w:rsidR="00C5130F" w:rsidTr="00536508" w14:paraId="64DD9AFD" w14:textId="77777777">
        <w:trPr>
          <w:cnfStyle w:val="000000010000" w:firstRow="0" w:lastRow="0" w:firstColumn="0" w:lastColumn="0" w:oddVBand="0" w:evenVBand="0" w:oddHBand="0" w:evenHBand="1" w:firstRowFirstColumn="0" w:firstRowLastColumn="0" w:lastRowFirstColumn="0" w:lastRowLastColumn="0"/>
          <w:trHeight w:val="20"/>
          <w:jc w:val="center"/>
        </w:trPr>
        <w:tc>
          <w:tcPr>
            <w:tcW w:w="0" w:type="pct"/>
          </w:tcPr>
          <w:p w:rsidRPr="0076106B" w:rsidR="00C5130F" w:rsidP="00A158EB" w:rsidRDefault="009A3FF8" w14:paraId="726DA99D" w14:textId="1FA8C3C5">
            <w:pPr>
              <w:pStyle w:val="Tablecontents"/>
              <w:spacing w:before="0" w:after="0" w:line="259" w:lineRule="auto"/>
              <w:rPr>
                <w:rFonts w:cs="Calibri"/>
              </w:rPr>
            </w:pPr>
            <w:r w:rsidRPr="0076106B">
              <w:rPr>
                <w:rFonts w:cs="Calibri"/>
              </w:rPr>
              <w:t>Less than -60%</w:t>
            </w:r>
          </w:p>
        </w:tc>
        <w:tc>
          <w:tcPr>
            <w:tcW w:w="0" w:type="pct"/>
          </w:tcPr>
          <w:p w:rsidRPr="0076106B" w:rsidR="00C5130F" w:rsidP="00A158EB" w:rsidRDefault="009A3FF8" w14:paraId="43CE8553" w14:textId="32A8DBE4">
            <w:pPr>
              <w:pStyle w:val="Tablecontents"/>
              <w:spacing w:before="0" w:after="0" w:line="259" w:lineRule="auto"/>
              <w:jc w:val="center"/>
              <w:rPr>
                <w:rFonts w:cs="Calibri"/>
              </w:rPr>
            </w:pPr>
            <w:r w:rsidRPr="0076106B">
              <w:rPr>
                <w:rFonts w:cs="Calibri"/>
              </w:rPr>
              <w:t>3.5</w:t>
            </w:r>
          </w:p>
        </w:tc>
      </w:tr>
    </w:tbl>
    <w:p w:rsidR="009E24A7" w:rsidP="00CD50C3" w:rsidRDefault="009E24A7" w14:paraId="60FB73EF" w14:textId="2C44C67B">
      <w:pPr>
        <w:spacing w:before="80"/>
        <w:rPr>
          <w:rFonts w:cs="Calibri"/>
          <w:sz w:val="18"/>
          <w:szCs w:val="18"/>
        </w:rPr>
      </w:pPr>
      <w:r w:rsidRPr="6B34F37B">
        <w:rPr>
          <w:rFonts w:cs="Calibri"/>
          <w:sz w:val="18"/>
          <w:szCs w:val="18"/>
        </w:rPr>
        <w:t>Note: If a provider did not have overseas student enrolments in 202</w:t>
      </w:r>
      <w:r w:rsidR="0029017C">
        <w:rPr>
          <w:rFonts w:cs="Calibri"/>
          <w:sz w:val="18"/>
          <w:szCs w:val="18"/>
        </w:rPr>
        <w:t>5</w:t>
      </w:r>
      <w:r w:rsidRPr="6B34F37B">
        <w:rPr>
          <w:rFonts w:cs="Calibri"/>
          <w:sz w:val="18"/>
          <w:szCs w:val="18"/>
        </w:rPr>
        <w:t xml:space="preserve">, the </w:t>
      </w:r>
      <w:r w:rsidRPr="6B34F37B" w:rsidR="00792790">
        <w:rPr>
          <w:rFonts w:cs="Calibri"/>
          <w:sz w:val="18"/>
          <w:szCs w:val="18"/>
        </w:rPr>
        <w:t>risk</w:t>
      </w:r>
      <w:r w:rsidRPr="6B34F37B">
        <w:rPr>
          <w:rFonts w:cs="Calibri"/>
          <w:sz w:val="18"/>
          <w:szCs w:val="18"/>
        </w:rPr>
        <w:t xml:space="preserve"> factor</w:t>
      </w:r>
      <w:r w:rsidRPr="6B34F37B" w:rsidR="001E1E3C">
        <w:rPr>
          <w:rFonts w:cs="Calibri"/>
          <w:sz w:val="18"/>
          <w:szCs w:val="18"/>
        </w:rPr>
        <w:t xml:space="preserve"> value</w:t>
      </w:r>
      <w:r w:rsidRPr="6B34F37B">
        <w:rPr>
          <w:rFonts w:cs="Calibri"/>
          <w:sz w:val="18"/>
          <w:szCs w:val="18"/>
        </w:rPr>
        <w:t xml:space="preserve"> will be 0.0.</w:t>
      </w:r>
    </w:p>
    <w:p w:rsidR="2E3B0D58" w:rsidP="6B34F37B" w:rsidRDefault="2E3B0D58" w14:paraId="26C5A9F8" w14:textId="2BFC38EB">
      <w:pPr>
        <w:keepNext/>
      </w:pPr>
      <w:r>
        <w:t>This risk factor applies to providers whose:</w:t>
      </w:r>
    </w:p>
    <w:p w:rsidR="2E3B0D58" w:rsidP="6B34F37B" w:rsidRDefault="2E3B0D58" w14:paraId="46DAB882" w14:textId="58BB0E1F">
      <w:pPr>
        <w:pStyle w:val="ListParagraph"/>
        <w:numPr>
          <w:ilvl w:val="0"/>
          <w:numId w:val="33"/>
        </w:numPr>
      </w:pPr>
      <w:r w:rsidRPr="6B34F37B">
        <w:rPr>
          <w:rFonts w:cs="Calibri"/>
        </w:rPr>
        <w:t>proportion of international student enrolments was 20% or more of its total student enrolments in the previous year (202</w:t>
      </w:r>
      <w:r w:rsidR="0029017C">
        <w:rPr>
          <w:rFonts w:cs="Calibri"/>
        </w:rPr>
        <w:t>5</w:t>
      </w:r>
      <w:r w:rsidRPr="6B34F37B">
        <w:rPr>
          <w:rFonts w:cs="Calibri"/>
        </w:rPr>
        <w:t>) (using reported EFTSL), and</w:t>
      </w:r>
    </w:p>
    <w:p w:rsidR="2E3B0D58" w:rsidP="6B34F37B" w:rsidRDefault="2E3B0D58" w14:paraId="120B5890" w14:textId="77777777">
      <w:pPr>
        <w:pStyle w:val="ListParagraph"/>
        <w:numPr>
          <w:ilvl w:val="0"/>
          <w:numId w:val="33"/>
        </w:numPr>
      </w:pPr>
      <w:r>
        <w:t>length of operation is 2 years or more, and</w:t>
      </w:r>
    </w:p>
    <w:p w:rsidR="2E3B0D58" w:rsidP="6B34F37B" w:rsidRDefault="2E3B0D58" w14:paraId="59135EA4" w14:textId="436ACAB9">
      <w:pPr>
        <w:pStyle w:val="ListParagraph"/>
        <w:numPr>
          <w:ilvl w:val="0"/>
          <w:numId w:val="33"/>
        </w:numPr>
      </w:pPr>
      <w:r>
        <w:t>number of overseas students in 202</w:t>
      </w:r>
      <w:r w:rsidR="0029017C">
        <w:t>5</w:t>
      </w:r>
      <w:r>
        <w:t xml:space="preserve"> was at least 20 (EFTSL), and</w:t>
      </w:r>
    </w:p>
    <w:p w:rsidR="2E3B0D58" w:rsidP="00026F66" w:rsidRDefault="2E3B0D58" w14:paraId="414CBE2C" w14:textId="7C396C47">
      <w:pPr>
        <w:pStyle w:val="ListParagraph"/>
        <w:numPr>
          <w:ilvl w:val="0"/>
          <w:numId w:val="33"/>
        </w:numPr>
        <w:ind w:left="714" w:hanging="357"/>
      </w:pPr>
      <w:r>
        <w:t>tuition fee income in 202</w:t>
      </w:r>
      <w:r w:rsidR="0029017C">
        <w:t>5</w:t>
      </w:r>
      <w:r>
        <w:t xml:space="preserve"> was more than $400,000.</w:t>
      </w:r>
    </w:p>
    <w:p w:rsidRPr="0076106B" w:rsidR="003865F4" w:rsidP="007837C8" w:rsidRDefault="00F65F53" w14:paraId="23464EA6" w14:textId="374EF604">
      <w:pPr>
        <w:pStyle w:val="Heading4"/>
      </w:pPr>
      <w:r w:rsidRPr="0076106B">
        <w:t xml:space="preserve">Table </w:t>
      </w:r>
      <w:r w:rsidRPr="0076106B" w:rsidR="004B3C7A">
        <w:t>5</w:t>
      </w:r>
      <w:r w:rsidRPr="0076106B">
        <w:t xml:space="preserve">: </w:t>
      </w:r>
      <w:r w:rsidR="00AC1F03">
        <w:t>D</w:t>
      </w:r>
      <w:r w:rsidRPr="0076106B" w:rsidR="004B3C7A">
        <w:t>iscount percentage</w:t>
      </w:r>
    </w:p>
    <w:tbl>
      <w:tblPr>
        <w:tblStyle w:val="TPSTable"/>
        <w:tblW w:w="3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Volatility in Overseas Student Enrolments Discount per Length of Operation"/>
        <w:tblDescription w:val="This table displays how the Volatility in Overseas Student Enrolments risk factor settings are discounted depending on a provider's length of operation for the 2024 International TPS Levy."/>
      </w:tblPr>
      <w:tblGrid>
        <w:gridCol w:w="3329"/>
        <w:gridCol w:w="3211"/>
      </w:tblGrid>
      <w:tr w:rsidRPr="0076106B" w:rsidR="00C5130F" w:rsidTr="003F3921" w14:paraId="5EDBC483" w14:textId="77777777">
        <w:trPr>
          <w:cnfStyle w:val="100000000000" w:firstRow="1" w:lastRow="0" w:firstColumn="0" w:lastColumn="0" w:oddVBand="0" w:evenVBand="0" w:oddHBand="0" w:evenHBand="0" w:firstRowFirstColumn="0" w:firstRowLastColumn="0" w:lastRowFirstColumn="0" w:lastRowLastColumn="0"/>
          <w:trHeight w:val="510"/>
          <w:tblHeader/>
          <w:jc w:val="center"/>
        </w:trPr>
        <w:tc>
          <w:tcPr>
            <w:tcW w:w="2545" w:type="pct"/>
            <w:shd w:val="clear" w:color="auto" w:fill="367079"/>
          </w:tcPr>
          <w:p w:rsidRPr="00FD7205" w:rsidR="00C5130F" w:rsidP="00A158EB" w:rsidRDefault="00C5130F" w14:paraId="12DC932F" w14:textId="77777777">
            <w:pPr>
              <w:pStyle w:val="TableHeader"/>
              <w:spacing w:before="0" w:after="0" w:line="259" w:lineRule="auto"/>
              <w:rPr>
                <w:rFonts w:ascii="Calibri" w:hAnsi="Calibri" w:cs="Calibri"/>
              </w:rPr>
            </w:pPr>
            <w:r w:rsidRPr="00FD7205">
              <w:rPr>
                <w:rFonts w:ascii="Calibri" w:hAnsi="Calibri" w:cs="Calibri"/>
              </w:rPr>
              <w:t>Length of operation</w:t>
            </w:r>
          </w:p>
        </w:tc>
        <w:tc>
          <w:tcPr>
            <w:tcW w:w="2455" w:type="pct"/>
            <w:shd w:val="clear" w:color="auto" w:fill="367079"/>
          </w:tcPr>
          <w:p w:rsidRPr="00FD7205" w:rsidR="00C5130F" w:rsidP="00A158EB" w:rsidRDefault="00C5130F" w14:paraId="3318F0D4" w14:textId="66B7C566">
            <w:pPr>
              <w:pStyle w:val="TableHeader"/>
              <w:spacing w:before="0" w:after="0" w:line="259" w:lineRule="auto"/>
              <w:rPr>
                <w:rFonts w:ascii="Calibri" w:hAnsi="Calibri" w:cs="Calibri"/>
              </w:rPr>
            </w:pPr>
            <w:r w:rsidRPr="00FD7205">
              <w:rPr>
                <w:rFonts w:ascii="Calibri" w:hAnsi="Calibri" w:cs="Calibri"/>
              </w:rPr>
              <w:t>202</w:t>
            </w:r>
            <w:r w:rsidR="0029017C">
              <w:rPr>
                <w:rFonts w:ascii="Calibri" w:hAnsi="Calibri" w:cs="Calibri"/>
              </w:rPr>
              <w:t>6</w:t>
            </w:r>
            <w:r w:rsidR="00A158EB">
              <w:rPr>
                <w:rFonts w:ascii="Calibri" w:hAnsi="Calibri" w:cs="Calibri"/>
              </w:rPr>
              <w:t xml:space="preserve"> </w:t>
            </w:r>
            <w:r w:rsidRPr="00FD7205">
              <w:rPr>
                <w:rFonts w:ascii="Calibri" w:hAnsi="Calibri" w:cs="Calibri"/>
              </w:rPr>
              <w:t>discount</w:t>
            </w:r>
            <w:r w:rsidR="00012C7D">
              <w:rPr>
                <w:rFonts w:ascii="Calibri" w:hAnsi="Calibri" w:cs="Calibri"/>
              </w:rPr>
              <w:t xml:space="preserve"> (Y)</w:t>
            </w:r>
          </w:p>
        </w:tc>
      </w:tr>
      <w:tr w:rsidRPr="0076106B" w:rsidR="00C5130F" w:rsidTr="003F3921" w14:paraId="402E3392" w14:textId="77777777">
        <w:trPr>
          <w:cnfStyle w:val="100000000000" w:firstRow="1" w:lastRow="0" w:firstColumn="0" w:lastColumn="0" w:oddVBand="0" w:evenVBand="0" w:oddHBand="0" w:evenHBand="0" w:firstRowFirstColumn="0" w:firstRowLastColumn="0" w:lastRowFirstColumn="0" w:lastRowLastColumn="0"/>
          <w:trHeight w:val="258"/>
          <w:tblHeader/>
          <w:jc w:val="center"/>
        </w:trPr>
        <w:tc>
          <w:tcPr>
            <w:tcW w:w="2545" w:type="pct"/>
            <w:shd w:val="clear" w:color="auto" w:fill="D8EBEE"/>
          </w:tcPr>
          <w:p w:rsidRPr="00CD50C3" w:rsidR="00C5130F" w:rsidP="00A158EB" w:rsidRDefault="00C5130F" w14:paraId="300ECB14" w14:textId="77777777">
            <w:pPr>
              <w:pStyle w:val="Tablecontents"/>
              <w:spacing w:before="0" w:after="0" w:line="259" w:lineRule="auto"/>
              <w:rPr>
                <w:rFonts w:cs="Calibri"/>
                <w:b w:val="0"/>
                <w:bCs/>
              </w:rPr>
            </w:pPr>
            <w:r w:rsidRPr="00CD50C3">
              <w:rPr>
                <w:rFonts w:cs="Calibri"/>
                <w:b w:val="0"/>
                <w:bCs/>
              </w:rPr>
              <w:t>0 to less than 2 years</w:t>
            </w:r>
          </w:p>
        </w:tc>
        <w:tc>
          <w:tcPr>
            <w:tcW w:w="2455" w:type="pct"/>
            <w:shd w:val="clear" w:color="auto" w:fill="D8EBEE"/>
          </w:tcPr>
          <w:p w:rsidRPr="00CD50C3" w:rsidR="00C5130F" w:rsidP="00A158EB" w:rsidRDefault="00C64500" w14:paraId="657121E5" w14:textId="71AEC86D">
            <w:pPr>
              <w:pStyle w:val="Tablecontents"/>
              <w:spacing w:before="0" w:after="0" w:line="259" w:lineRule="auto"/>
              <w:rPr>
                <w:rFonts w:cs="Calibri"/>
                <w:b w:val="0"/>
                <w:bCs/>
              </w:rPr>
            </w:pPr>
            <w:r w:rsidRPr="00CD50C3">
              <w:rPr>
                <w:rFonts w:cs="Calibri"/>
                <w:b w:val="0"/>
                <w:bCs/>
              </w:rPr>
              <w:t>0</w:t>
            </w:r>
            <w:r w:rsidRPr="00CD50C3" w:rsidR="00C5130F">
              <w:rPr>
                <w:rFonts w:cs="Calibri"/>
                <w:b w:val="0"/>
                <w:bCs/>
              </w:rPr>
              <w:t>%</w:t>
            </w:r>
          </w:p>
        </w:tc>
      </w:tr>
      <w:tr w:rsidRPr="0076106B" w:rsidR="00C5130F" w:rsidTr="00CD50C3" w14:paraId="59DFC40E" w14:textId="77777777">
        <w:trPr>
          <w:cnfStyle w:val="100000000000" w:firstRow="1" w:lastRow="0" w:firstColumn="0" w:lastColumn="0" w:oddVBand="0" w:evenVBand="0" w:oddHBand="0" w:evenHBand="0" w:firstRowFirstColumn="0" w:firstRowLastColumn="0" w:lastRowFirstColumn="0" w:lastRowLastColumn="0"/>
          <w:trHeight w:val="235"/>
          <w:tblHeader/>
          <w:jc w:val="center"/>
        </w:trPr>
        <w:tc>
          <w:tcPr>
            <w:tcW w:w="2545" w:type="pct"/>
            <w:shd w:val="clear" w:color="auto" w:fill="auto"/>
          </w:tcPr>
          <w:p w:rsidRPr="00CD50C3" w:rsidR="00C5130F" w:rsidP="00A158EB" w:rsidRDefault="00C5130F" w14:paraId="477D38A9" w14:textId="77777777">
            <w:pPr>
              <w:pStyle w:val="Tablecontents"/>
              <w:spacing w:before="0" w:after="0" w:line="259" w:lineRule="auto"/>
              <w:rPr>
                <w:rFonts w:cs="Calibri"/>
                <w:b w:val="0"/>
                <w:bCs/>
              </w:rPr>
            </w:pPr>
            <w:r w:rsidRPr="00CD50C3">
              <w:rPr>
                <w:rFonts w:cs="Calibri"/>
                <w:b w:val="0"/>
                <w:bCs/>
              </w:rPr>
              <w:t>2 years to less than 3 years</w:t>
            </w:r>
          </w:p>
        </w:tc>
        <w:tc>
          <w:tcPr>
            <w:tcW w:w="2455" w:type="pct"/>
            <w:shd w:val="clear" w:color="auto" w:fill="auto"/>
          </w:tcPr>
          <w:p w:rsidRPr="00CD50C3" w:rsidR="00C5130F" w:rsidP="00A158EB" w:rsidRDefault="00345145" w14:paraId="00DA82FD" w14:textId="7DC1EFD6">
            <w:pPr>
              <w:pStyle w:val="Tablecontents"/>
              <w:spacing w:before="0" w:after="0" w:line="259" w:lineRule="auto"/>
              <w:rPr>
                <w:rFonts w:cs="Calibri"/>
                <w:b w:val="0"/>
                <w:bCs/>
              </w:rPr>
            </w:pPr>
            <w:r>
              <w:rPr>
                <w:rFonts w:cs="Calibri"/>
                <w:b w:val="0"/>
                <w:bCs/>
              </w:rPr>
              <w:t>25</w:t>
            </w:r>
            <w:r w:rsidRPr="00CD50C3" w:rsidR="00C5130F">
              <w:rPr>
                <w:rFonts w:cs="Calibri"/>
                <w:b w:val="0"/>
                <w:bCs/>
              </w:rPr>
              <w:t>%</w:t>
            </w:r>
          </w:p>
        </w:tc>
      </w:tr>
      <w:tr w:rsidRPr="0076106B" w:rsidR="00C5130F" w:rsidTr="003F3921" w14:paraId="2F983798" w14:textId="77777777">
        <w:trPr>
          <w:cnfStyle w:val="100000000000" w:firstRow="1" w:lastRow="0" w:firstColumn="0" w:lastColumn="0" w:oddVBand="0" w:evenVBand="0" w:oddHBand="0" w:evenHBand="0" w:firstRowFirstColumn="0" w:firstRowLastColumn="0" w:lastRowFirstColumn="0" w:lastRowLastColumn="0"/>
          <w:trHeight w:val="224"/>
          <w:tblHeader/>
          <w:jc w:val="center"/>
        </w:trPr>
        <w:tc>
          <w:tcPr>
            <w:tcW w:w="2545" w:type="pct"/>
            <w:shd w:val="clear" w:color="auto" w:fill="D8EBEE"/>
          </w:tcPr>
          <w:p w:rsidRPr="00CD50C3" w:rsidR="00C5130F" w:rsidP="00A158EB" w:rsidRDefault="00C5130F" w14:paraId="78712400" w14:textId="77777777">
            <w:pPr>
              <w:pStyle w:val="Tablecontents"/>
              <w:spacing w:before="0" w:after="0" w:line="259" w:lineRule="auto"/>
              <w:rPr>
                <w:rFonts w:cs="Calibri"/>
                <w:b w:val="0"/>
                <w:bCs/>
              </w:rPr>
            </w:pPr>
            <w:r w:rsidRPr="00CD50C3">
              <w:rPr>
                <w:rFonts w:cs="Calibri"/>
                <w:b w:val="0"/>
                <w:bCs/>
              </w:rPr>
              <w:t>3 years to less than 4 years</w:t>
            </w:r>
          </w:p>
        </w:tc>
        <w:tc>
          <w:tcPr>
            <w:tcW w:w="2455" w:type="pct"/>
            <w:shd w:val="clear" w:color="auto" w:fill="D8EBEE"/>
          </w:tcPr>
          <w:p w:rsidRPr="00CD50C3" w:rsidR="00C5130F" w:rsidP="00A158EB" w:rsidRDefault="00345145" w14:paraId="5139C06F" w14:textId="5D70DD73">
            <w:pPr>
              <w:pStyle w:val="Tablecontents"/>
              <w:spacing w:before="0" w:after="0" w:line="259" w:lineRule="auto"/>
              <w:rPr>
                <w:rFonts w:cs="Calibri"/>
                <w:b w:val="0"/>
                <w:bCs/>
              </w:rPr>
            </w:pPr>
            <w:r>
              <w:rPr>
                <w:rFonts w:cs="Calibri"/>
                <w:b w:val="0"/>
                <w:bCs/>
              </w:rPr>
              <w:t>50</w:t>
            </w:r>
            <w:r w:rsidRPr="00CD50C3" w:rsidR="00C5130F">
              <w:rPr>
                <w:rFonts w:cs="Calibri"/>
                <w:b w:val="0"/>
                <w:bCs/>
              </w:rPr>
              <w:t>%</w:t>
            </w:r>
          </w:p>
        </w:tc>
      </w:tr>
      <w:tr w:rsidRPr="0076106B" w:rsidR="00C5130F" w:rsidTr="00CD50C3" w14:paraId="31BF017B" w14:textId="77777777">
        <w:trPr>
          <w:cnfStyle w:val="100000000000" w:firstRow="1" w:lastRow="0" w:firstColumn="0" w:lastColumn="0" w:oddVBand="0" w:evenVBand="0" w:oddHBand="0" w:evenHBand="0" w:firstRowFirstColumn="0" w:firstRowLastColumn="0" w:lastRowFirstColumn="0" w:lastRowLastColumn="0"/>
          <w:trHeight w:val="201"/>
          <w:tblHeader/>
          <w:jc w:val="center"/>
        </w:trPr>
        <w:tc>
          <w:tcPr>
            <w:tcW w:w="2545" w:type="pct"/>
            <w:shd w:val="clear" w:color="auto" w:fill="auto"/>
          </w:tcPr>
          <w:p w:rsidRPr="00CD50C3" w:rsidR="00C5130F" w:rsidP="00A158EB" w:rsidRDefault="00C5130F" w14:paraId="7D9990D1" w14:textId="77777777">
            <w:pPr>
              <w:pStyle w:val="Tablecontents"/>
              <w:spacing w:before="0" w:after="0" w:line="259" w:lineRule="auto"/>
              <w:rPr>
                <w:rFonts w:cs="Calibri"/>
                <w:b w:val="0"/>
                <w:bCs/>
              </w:rPr>
            </w:pPr>
            <w:r w:rsidRPr="00CD50C3">
              <w:rPr>
                <w:rFonts w:cs="Calibri"/>
                <w:b w:val="0"/>
                <w:bCs/>
              </w:rPr>
              <w:t>4 years to less than 5 years</w:t>
            </w:r>
          </w:p>
        </w:tc>
        <w:tc>
          <w:tcPr>
            <w:tcW w:w="2455" w:type="pct"/>
            <w:shd w:val="clear" w:color="auto" w:fill="auto"/>
          </w:tcPr>
          <w:p w:rsidRPr="00CD50C3" w:rsidR="00C5130F" w:rsidP="00A158EB" w:rsidRDefault="00345145" w14:paraId="78961C0C" w14:textId="398D08CD">
            <w:pPr>
              <w:pStyle w:val="Tablecontents"/>
              <w:spacing w:before="0" w:after="0" w:line="259" w:lineRule="auto"/>
              <w:rPr>
                <w:rFonts w:cs="Calibri"/>
                <w:b w:val="0"/>
                <w:bCs/>
              </w:rPr>
            </w:pPr>
            <w:r>
              <w:rPr>
                <w:rFonts w:cs="Calibri"/>
                <w:b w:val="0"/>
                <w:bCs/>
              </w:rPr>
              <w:t>75</w:t>
            </w:r>
            <w:r w:rsidRPr="00CD50C3" w:rsidR="00C5130F">
              <w:rPr>
                <w:rFonts w:cs="Calibri"/>
                <w:b w:val="0"/>
                <w:bCs/>
              </w:rPr>
              <w:t>%</w:t>
            </w:r>
          </w:p>
        </w:tc>
      </w:tr>
      <w:tr w:rsidRPr="0076106B" w:rsidR="00C5130F" w:rsidTr="003F3921" w14:paraId="089BE994" w14:textId="77777777">
        <w:trPr>
          <w:cnfStyle w:val="100000000000" w:firstRow="1" w:lastRow="0" w:firstColumn="0" w:lastColumn="0" w:oddVBand="0" w:evenVBand="0" w:oddHBand="0" w:evenHBand="0" w:firstRowFirstColumn="0" w:firstRowLastColumn="0" w:lastRowFirstColumn="0" w:lastRowLastColumn="0"/>
          <w:trHeight w:val="190"/>
          <w:tblHeader/>
          <w:jc w:val="center"/>
        </w:trPr>
        <w:tc>
          <w:tcPr>
            <w:tcW w:w="2545" w:type="pct"/>
            <w:shd w:val="clear" w:color="auto" w:fill="D8EBEE"/>
          </w:tcPr>
          <w:p w:rsidRPr="00CD50C3" w:rsidR="00C5130F" w:rsidP="00A158EB" w:rsidRDefault="00C5130F" w14:paraId="07A88EC0" w14:textId="77777777">
            <w:pPr>
              <w:pStyle w:val="Tablecontents"/>
              <w:spacing w:before="0" w:after="0" w:line="259" w:lineRule="auto"/>
              <w:rPr>
                <w:rFonts w:cs="Calibri"/>
                <w:b w:val="0"/>
                <w:bCs/>
              </w:rPr>
            </w:pPr>
            <w:r w:rsidRPr="00CD50C3">
              <w:rPr>
                <w:rFonts w:cs="Calibri"/>
                <w:b w:val="0"/>
                <w:bCs/>
              </w:rPr>
              <w:t>5 years or more</w:t>
            </w:r>
          </w:p>
        </w:tc>
        <w:tc>
          <w:tcPr>
            <w:tcW w:w="2455" w:type="pct"/>
            <w:shd w:val="clear" w:color="auto" w:fill="D8EBEE"/>
          </w:tcPr>
          <w:p w:rsidRPr="00CD50C3" w:rsidR="00C5130F" w:rsidP="00A158EB" w:rsidRDefault="00345145" w14:paraId="04CEB254" w14:textId="1BCD3999">
            <w:pPr>
              <w:pStyle w:val="Tablecontents"/>
              <w:spacing w:before="0" w:after="0" w:line="259" w:lineRule="auto"/>
              <w:rPr>
                <w:rFonts w:cs="Calibri"/>
                <w:b w:val="0"/>
                <w:bCs/>
              </w:rPr>
            </w:pPr>
            <w:r>
              <w:rPr>
                <w:rFonts w:cs="Calibri"/>
                <w:b w:val="0"/>
                <w:bCs/>
              </w:rPr>
              <w:t>10</w:t>
            </w:r>
            <w:r w:rsidRPr="00CD50C3" w:rsidR="00F465F5">
              <w:rPr>
                <w:rFonts w:cs="Calibri"/>
                <w:b w:val="0"/>
                <w:bCs/>
              </w:rPr>
              <w:t>0</w:t>
            </w:r>
            <w:r w:rsidRPr="00CD50C3" w:rsidR="00C5130F">
              <w:rPr>
                <w:rFonts w:cs="Calibri"/>
                <w:b w:val="0"/>
                <w:bCs/>
              </w:rPr>
              <w:t>%</w:t>
            </w:r>
          </w:p>
        </w:tc>
      </w:tr>
    </w:tbl>
    <w:p w:rsidRPr="00785B8F" w:rsidR="00900890" w:rsidP="00A347CA" w:rsidRDefault="00792790" w14:paraId="0599D83C" w14:textId="2A737FD8">
      <w:pPr>
        <w:keepNext/>
        <w:spacing w:before="240" w:after="80"/>
        <w:rPr>
          <w:rFonts w:cs="Calibri"/>
          <w:b/>
          <w:bCs/>
          <w:sz w:val="27"/>
          <w:szCs w:val="27"/>
        </w:rPr>
      </w:pPr>
      <w:r w:rsidRPr="6B34F37B">
        <w:rPr>
          <w:b/>
          <w:bCs/>
          <w:sz w:val="27"/>
          <w:szCs w:val="27"/>
        </w:rPr>
        <w:t>Risk</w:t>
      </w:r>
      <w:r w:rsidRPr="6B34F37B" w:rsidR="00785B8F">
        <w:rPr>
          <w:b/>
          <w:bCs/>
          <w:sz w:val="27"/>
          <w:szCs w:val="27"/>
        </w:rPr>
        <w:t xml:space="preserve"> factor 4: </w:t>
      </w:r>
      <w:r w:rsidRPr="6B34F37B" w:rsidR="00900890">
        <w:rPr>
          <w:rFonts w:cs="Calibri"/>
          <w:b/>
          <w:bCs/>
          <w:sz w:val="27"/>
          <w:szCs w:val="27"/>
        </w:rPr>
        <w:t>Maximum overseas source country concentration</w:t>
      </w:r>
    </w:p>
    <w:p w:rsidRPr="0076106B" w:rsidR="001E120A" w:rsidP="00026F66" w:rsidRDefault="00EF7AB1" w14:paraId="3767F368" w14:textId="06205E3D">
      <w:pPr>
        <w:spacing w:after="0"/>
        <w:rPr>
          <w:rFonts w:cs="Calibri"/>
        </w:rPr>
      </w:pPr>
      <w:r w:rsidRPr="0076106B">
        <w:rPr>
          <w:rFonts w:cs="Calibri"/>
        </w:rPr>
        <w:t xml:space="preserve">To calculate the maximum overseas source country concentration </w:t>
      </w:r>
      <w:r w:rsidR="00792790">
        <w:rPr>
          <w:rFonts w:cs="Calibri"/>
        </w:rPr>
        <w:t>risk</w:t>
      </w:r>
      <w:r w:rsidRPr="0076106B">
        <w:rPr>
          <w:rFonts w:cs="Calibri"/>
        </w:rPr>
        <w:t xml:space="preserve"> factor value, follow these steps:</w:t>
      </w:r>
    </w:p>
    <w:p w:rsidRPr="0076106B" w:rsidR="00EF7AB1" w:rsidP="003B656C" w:rsidRDefault="00EF7AB1" w14:paraId="59D3BBCE" w14:textId="0F7633B1">
      <w:pPr>
        <w:pStyle w:val="ListParagraph"/>
        <w:numPr>
          <w:ilvl w:val="0"/>
          <w:numId w:val="23"/>
        </w:numPr>
        <w:spacing w:before="160"/>
        <w:ind w:left="357" w:hanging="357"/>
        <w:rPr>
          <w:rFonts w:cs="Calibri"/>
        </w:rPr>
      </w:pPr>
      <w:r w:rsidRPr="0076106B">
        <w:rPr>
          <w:rFonts w:cs="Calibri"/>
        </w:rPr>
        <w:t>Calculate formula as seen in table</w:t>
      </w:r>
      <w:r w:rsidR="008A79DF">
        <w:rPr>
          <w:rFonts w:cs="Calibri"/>
        </w:rPr>
        <w:t xml:space="preserve"> 6.</w:t>
      </w:r>
    </w:p>
    <w:p w:rsidRPr="0076106B" w:rsidR="00EF7AB1" w:rsidP="006D0AC2" w:rsidRDefault="216F3EA6" w14:paraId="1B36BC99" w14:textId="5AA45CEB">
      <w:pPr>
        <w:pStyle w:val="ListParagraph"/>
        <w:numPr>
          <w:ilvl w:val="0"/>
          <w:numId w:val="23"/>
        </w:numPr>
        <w:spacing w:before="240"/>
        <w:rPr>
          <w:rFonts w:cs="Calibri"/>
        </w:rPr>
      </w:pPr>
      <w:r w:rsidRPr="6B34F37B">
        <w:rPr>
          <w:rFonts w:cs="Calibri"/>
        </w:rPr>
        <w:t xml:space="preserve">Find the associated </w:t>
      </w:r>
      <w:r w:rsidRPr="6B34F37B" w:rsidR="00792790">
        <w:rPr>
          <w:rFonts w:cs="Calibri"/>
        </w:rPr>
        <w:t>risk</w:t>
      </w:r>
      <w:r w:rsidRPr="6B34F37B" w:rsidR="00E915E5">
        <w:rPr>
          <w:rFonts w:cs="Calibri"/>
        </w:rPr>
        <w:t xml:space="preserve"> factor</w:t>
      </w:r>
      <w:r w:rsidRPr="6B34F37B" w:rsidR="00C3379C">
        <w:rPr>
          <w:rFonts w:cs="Calibri"/>
        </w:rPr>
        <w:t xml:space="preserve"> value</w:t>
      </w:r>
      <w:r w:rsidRPr="6B34F37B" w:rsidR="00EF7AB1">
        <w:rPr>
          <w:rFonts w:cs="Calibri"/>
        </w:rPr>
        <w:t xml:space="preserve"> in table </w:t>
      </w:r>
      <w:r w:rsidRPr="6B34F37B" w:rsidR="006A037C">
        <w:rPr>
          <w:rFonts w:cs="Calibri"/>
        </w:rPr>
        <w:t>7</w:t>
      </w:r>
      <w:r w:rsidRPr="6B34F37B" w:rsidR="00EF7AB1">
        <w:rPr>
          <w:rFonts w:cs="Calibri"/>
        </w:rPr>
        <w:t>.</w:t>
      </w:r>
    </w:p>
    <w:p w:rsidRPr="0076106B" w:rsidR="00310B64" w:rsidP="007837C8" w:rsidRDefault="00310B64" w14:paraId="6853A31A" w14:textId="44E38369">
      <w:pPr>
        <w:pStyle w:val="Heading4"/>
      </w:pPr>
      <w:r w:rsidRPr="00D838E0">
        <w:t>Table</w:t>
      </w:r>
      <w:r w:rsidRPr="0076106B">
        <w:t xml:space="preserve"> </w:t>
      </w:r>
      <w:r w:rsidR="006A037C">
        <w:t>6</w:t>
      </w:r>
      <w:r w:rsidRPr="0076106B">
        <w:t>: Maximum overseas source country concentration</w:t>
      </w:r>
      <w:r w:rsidR="00DC12FC">
        <w:t xml:space="preserve"> formula</w:t>
      </w:r>
    </w:p>
    <w:p w:rsidRPr="0076106B" w:rsidR="00D619A0" w:rsidP="6B34F37B" w:rsidRDefault="00000000" w14:paraId="14029974" w14:textId="7FEFA9A0">
      <w:pPr>
        <w:keepNext/>
        <w:spacing w:before="240" w:after="240"/>
        <w:rPr>
          <w:rFonts w:cs="Calibri"/>
        </w:rPr>
      </w:pPr>
      <m:oMathPara>
        <m:oMath>
          <m:d>
            <m:dPr>
              <m:ctrlPr>
                <w:rPr>
                  <w:rFonts w:ascii="Cambria Math" w:hAnsi="Cambria Math" w:cs="Calibri"/>
                  <w:i/>
                </w:rPr>
              </m:ctrlPr>
            </m:dPr>
            <m:e>
              <m:f>
                <m:fPr>
                  <m:ctrlPr>
                    <w:rPr>
                      <w:rFonts w:ascii="Cambria Math" w:hAnsi="Cambria Math" w:cs="Calibri"/>
                      <w:i/>
                    </w:rPr>
                  </m:ctrlPr>
                </m:fPr>
                <m:num>
                  <m:r>
                    <m:rPr>
                      <m:nor/>
                    </m:rPr>
                    <w:rPr>
                      <w:rFonts w:cs="Calibri"/>
                    </w:rPr>
                    <m:t>Largest number of overseas student enrolments for a country</m:t>
                  </m:r>
                </m:num>
                <m:den>
                  <m:r>
                    <m:rPr>
                      <m:nor/>
                    </m:rPr>
                    <w:rPr>
                      <w:rFonts w:cs="Calibri"/>
                    </w:rPr>
                    <m:t>Total number of overseas student enrolments</m:t>
                  </m:r>
                </m:den>
              </m:f>
            </m:e>
          </m:d>
          <m:r>
            <m:rPr>
              <m:nor/>
            </m:rPr>
            <w:rPr>
              <w:rFonts w:ascii="Cambria Math" w:cs="Calibri"/>
            </w:rPr>
            <m:t xml:space="preserve"> </m:t>
          </m:r>
          <m:r>
            <m:rPr>
              <m:nor/>
            </m:rPr>
            <w:rPr>
              <w:rFonts w:cs="Calibri"/>
            </w:rPr>
            <m:t>×</m:t>
          </m:r>
          <m:r>
            <m:rPr>
              <m:nor/>
            </m:rPr>
            <w:rPr>
              <w:rFonts w:ascii="Cambria Math" w:cs="Calibri"/>
            </w:rPr>
            <m:t xml:space="preserve"> </m:t>
          </m:r>
          <m:r>
            <m:rPr>
              <m:nor/>
            </m:rPr>
            <w:rPr>
              <w:rFonts w:cs="Calibri"/>
            </w:rPr>
            <m:t>100%</m:t>
          </m:r>
        </m:oMath>
      </m:oMathPara>
    </w:p>
    <w:p w:rsidRPr="0076106B" w:rsidR="004A4528" w:rsidP="00FC47F8" w:rsidRDefault="004A4528" w14:paraId="20164467" w14:textId="43A109D2">
      <w:pPr>
        <w:spacing w:after="0"/>
        <w:rPr>
          <w:rFonts w:cs="Calibri"/>
        </w:rPr>
      </w:pPr>
      <w:r w:rsidRPr="0076106B">
        <w:rPr>
          <w:rFonts w:cs="Calibri"/>
        </w:rPr>
        <w:t>where:</w:t>
      </w:r>
    </w:p>
    <w:p w:rsidRPr="0076106B" w:rsidR="004A4528" w:rsidP="00FC47F8" w:rsidRDefault="004A4528" w14:paraId="114ADA58" w14:textId="564DFABA">
      <w:pPr>
        <w:spacing w:after="0"/>
        <w:ind w:left="720"/>
        <w:rPr>
          <w:rFonts w:cs="Calibri"/>
        </w:rPr>
      </w:pPr>
      <w:r w:rsidRPr="6B34F37B">
        <w:rPr>
          <w:rFonts w:cs="Calibri"/>
          <w:b/>
          <w:bCs/>
        </w:rPr>
        <w:t>Largest number of overseas student enrolments for a country</w:t>
      </w:r>
      <w:r w:rsidRPr="6B34F37B">
        <w:rPr>
          <w:rFonts w:cs="Calibri"/>
        </w:rPr>
        <w:t xml:space="preserve"> means the largest number of overseas student enrolments for any overseas source country in 202</w:t>
      </w:r>
      <w:r w:rsidR="00373F5A">
        <w:rPr>
          <w:rFonts w:cs="Calibri"/>
        </w:rPr>
        <w:t>5</w:t>
      </w:r>
      <w:r w:rsidRPr="6B34F37B" w:rsidR="7451BC57">
        <w:rPr>
          <w:rFonts w:cs="Calibri"/>
        </w:rPr>
        <w:t xml:space="preserve"> (EFTSL)</w:t>
      </w:r>
      <w:r w:rsidRPr="6B34F37B">
        <w:rPr>
          <w:rFonts w:cs="Calibri"/>
        </w:rPr>
        <w:t>; and</w:t>
      </w:r>
    </w:p>
    <w:p w:rsidR="004A4528" w:rsidP="004A4528" w:rsidRDefault="004A4528" w14:paraId="7FA71AE9" w14:textId="46CB615E">
      <w:pPr>
        <w:ind w:left="720"/>
        <w:rPr>
          <w:rFonts w:cs="Calibri"/>
        </w:rPr>
      </w:pPr>
      <w:r w:rsidRPr="6B34F37B">
        <w:rPr>
          <w:rFonts w:cs="Calibri"/>
          <w:b/>
          <w:bCs/>
        </w:rPr>
        <w:t>Total number of overseas student enrolments</w:t>
      </w:r>
      <w:r w:rsidRPr="6B34F37B">
        <w:rPr>
          <w:rFonts w:cs="Calibri"/>
        </w:rPr>
        <w:t xml:space="preserve"> means the total number of overseas student enrolments in 202</w:t>
      </w:r>
      <w:r w:rsidR="00FC47F8">
        <w:rPr>
          <w:rFonts w:cs="Calibri"/>
        </w:rPr>
        <w:t>5</w:t>
      </w:r>
      <w:r w:rsidRPr="6B34F37B" w:rsidR="6367CA11">
        <w:rPr>
          <w:rFonts w:cs="Calibri"/>
        </w:rPr>
        <w:t xml:space="preserve"> (EFTSL)</w:t>
      </w:r>
      <w:r w:rsidRPr="6B34F37B">
        <w:rPr>
          <w:rFonts w:cs="Calibri"/>
        </w:rPr>
        <w:t>.</w:t>
      </w:r>
    </w:p>
    <w:p w:rsidRPr="00D1064B" w:rsidR="00EF7AB1" w:rsidP="007837C8" w:rsidRDefault="00EF7AB1" w14:paraId="779A6C57" w14:textId="18AE2112">
      <w:pPr>
        <w:pStyle w:val="Heading4"/>
      </w:pPr>
      <w:r w:rsidRPr="00D1064B">
        <w:t xml:space="preserve">Table </w:t>
      </w:r>
      <w:r w:rsidRPr="00D1064B" w:rsidR="006A037C">
        <w:t>7</w:t>
      </w:r>
      <w:r w:rsidRPr="00D1064B">
        <w:t xml:space="preserve">: Maximum overseas source country concentration </w:t>
      </w:r>
      <w:r w:rsidRPr="00D1064B" w:rsidR="00792790">
        <w:t>risk</w:t>
      </w:r>
      <w:r w:rsidRPr="00D1064B" w:rsidR="0077250A">
        <w:t xml:space="preserve"> factor</w:t>
      </w:r>
      <w:r w:rsidRPr="00D1064B" w:rsidR="00DC12FC">
        <w:t xml:space="preserve"> values</w:t>
      </w:r>
    </w:p>
    <w:tbl>
      <w:tblPr>
        <w:tblStyle w:val="TPSTable"/>
        <w:tblW w:w="3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Maximum Overseas Source Country Concentration"/>
        <w:tblDescription w:val="This table displays the Maximum Overseas Source Country Concentration risk factor settings for the 2024 International TPS Levy."/>
      </w:tblPr>
      <w:tblGrid>
        <w:gridCol w:w="4064"/>
        <w:gridCol w:w="2476"/>
      </w:tblGrid>
      <w:tr w:rsidRPr="0076106B" w:rsidR="00367027" w:rsidTr="005B5229" w14:paraId="4DBD9CB7" w14:textId="2D1FAFF3">
        <w:trPr>
          <w:cnfStyle w:val="100000000000" w:firstRow="1" w:lastRow="0" w:firstColumn="0" w:lastColumn="0" w:oddVBand="0" w:evenVBand="0" w:oddHBand="0" w:evenHBand="0" w:firstRowFirstColumn="0" w:firstRowLastColumn="0" w:lastRowFirstColumn="0" w:lastRowLastColumn="0"/>
          <w:trHeight w:val="510"/>
          <w:jc w:val="center"/>
        </w:trPr>
        <w:tc>
          <w:tcPr>
            <w:tcW w:w="3107" w:type="pct"/>
            <w:shd w:val="clear" w:color="auto" w:fill="367079"/>
          </w:tcPr>
          <w:p w:rsidRPr="0076106B" w:rsidR="00367027" w:rsidP="00A158EB" w:rsidRDefault="00367027" w14:paraId="77EF2396" w14:textId="77777777">
            <w:pPr>
              <w:pStyle w:val="TableHeader"/>
              <w:spacing w:before="0" w:after="0" w:line="259" w:lineRule="auto"/>
              <w:rPr>
                <w:rFonts w:ascii="Calibri" w:hAnsi="Calibri" w:cs="Calibri"/>
                <w:bCs/>
              </w:rPr>
            </w:pPr>
            <w:r w:rsidRPr="0076106B">
              <w:rPr>
                <w:rFonts w:ascii="Calibri" w:hAnsi="Calibri" w:cs="Calibri"/>
                <w:bCs/>
              </w:rPr>
              <w:t>Source country concentration</w:t>
            </w:r>
          </w:p>
        </w:tc>
        <w:tc>
          <w:tcPr>
            <w:tcW w:w="1893" w:type="pct"/>
            <w:shd w:val="clear" w:color="auto" w:fill="367079"/>
          </w:tcPr>
          <w:p w:rsidRPr="0076106B" w:rsidR="00367027" w:rsidP="00A158EB" w:rsidRDefault="00367027" w14:paraId="33ADBFE4" w14:textId="331CC607">
            <w:pPr>
              <w:pStyle w:val="TableHeader"/>
              <w:spacing w:before="0" w:after="0" w:line="259" w:lineRule="auto"/>
              <w:rPr>
                <w:rFonts w:ascii="Calibri" w:hAnsi="Calibri" w:cs="Calibri"/>
                <w:bCs/>
              </w:rPr>
            </w:pPr>
            <w:r w:rsidRPr="0076106B">
              <w:rPr>
                <w:rFonts w:ascii="Calibri" w:hAnsi="Calibri" w:cs="Calibri"/>
                <w:bCs/>
              </w:rPr>
              <w:t>202</w:t>
            </w:r>
            <w:r w:rsidR="00E5263E">
              <w:rPr>
                <w:rFonts w:ascii="Calibri" w:hAnsi="Calibri" w:cs="Calibri"/>
                <w:bCs/>
              </w:rPr>
              <w:t>6</w:t>
            </w:r>
            <w:r w:rsidRPr="0076106B">
              <w:rPr>
                <w:rFonts w:ascii="Calibri" w:hAnsi="Calibri" w:cs="Calibri"/>
                <w:bCs/>
              </w:rPr>
              <w:t xml:space="preserve"> </w:t>
            </w:r>
            <w:r w:rsidR="00792790">
              <w:rPr>
                <w:rFonts w:ascii="Calibri" w:hAnsi="Calibri" w:cs="Calibri"/>
                <w:bCs/>
              </w:rPr>
              <w:t>risk</w:t>
            </w:r>
            <w:r w:rsidRPr="0076106B">
              <w:rPr>
                <w:rFonts w:ascii="Calibri" w:hAnsi="Calibri" w:cs="Calibri"/>
                <w:bCs/>
              </w:rPr>
              <w:t xml:space="preserve"> factor</w:t>
            </w:r>
            <w:r w:rsidR="007F4452">
              <w:rPr>
                <w:rFonts w:ascii="Calibri" w:hAnsi="Calibri" w:cs="Calibri"/>
                <w:bCs/>
              </w:rPr>
              <w:t xml:space="preserve"> values</w:t>
            </w:r>
          </w:p>
        </w:tc>
      </w:tr>
      <w:tr w:rsidRPr="0076106B" w:rsidR="00367027" w:rsidTr="00A158EB" w14:paraId="6191E74F" w14:textId="5FF2C054">
        <w:trPr>
          <w:cnfStyle w:val="000000100000" w:firstRow="0" w:lastRow="0" w:firstColumn="0" w:lastColumn="0" w:oddVBand="0" w:evenVBand="0" w:oddHBand="1" w:evenHBand="0" w:firstRowFirstColumn="0" w:firstRowLastColumn="0" w:lastRowFirstColumn="0" w:lastRowLastColumn="0"/>
          <w:trHeight w:val="294"/>
          <w:jc w:val="center"/>
        </w:trPr>
        <w:tc>
          <w:tcPr>
            <w:tcW w:w="3107" w:type="pct"/>
            <w:shd w:val="clear" w:color="auto" w:fill="D8EBEE"/>
          </w:tcPr>
          <w:p w:rsidRPr="0076106B" w:rsidR="00367027" w:rsidP="00A158EB" w:rsidRDefault="00367027" w14:paraId="7E31E6A1" w14:textId="77777777">
            <w:pPr>
              <w:pStyle w:val="Tablecontents"/>
              <w:spacing w:before="0" w:after="0" w:line="259" w:lineRule="auto"/>
              <w:rPr>
                <w:rFonts w:cs="Calibri"/>
              </w:rPr>
            </w:pPr>
            <w:r w:rsidRPr="0076106B">
              <w:rPr>
                <w:rFonts w:cs="Calibri"/>
              </w:rPr>
              <w:t>80% or more</w:t>
            </w:r>
          </w:p>
        </w:tc>
        <w:tc>
          <w:tcPr>
            <w:tcW w:w="1893" w:type="pct"/>
            <w:shd w:val="clear" w:color="auto" w:fill="D8EBEE"/>
          </w:tcPr>
          <w:p w:rsidRPr="0076106B" w:rsidR="00367027" w:rsidP="00A158EB" w:rsidRDefault="00367027" w14:paraId="7EC933CC" w14:textId="30C1EC4B">
            <w:pPr>
              <w:pStyle w:val="Tablecontents"/>
              <w:spacing w:before="0" w:after="0" w:line="259" w:lineRule="auto"/>
              <w:jc w:val="center"/>
              <w:rPr>
                <w:rFonts w:cs="Calibri"/>
              </w:rPr>
            </w:pPr>
            <w:r w:rsidRPr="0076106B">
              <w:rPr>
                <w:rFonts w:cs="Calibri"/>
              </w:rPr>
              <w:t>3.1</w:t>
            </w:r>
          </w:p>
        </w:tc>
      </w:tr>
      <w:tr w:rsidRPr="0076106B" w:rsidR="00367027" w:rsidTr="00A158EB" w14:paraId="42A82259" w14:textId="3499AEB5">
        <w:trPr>
          <w:cnfStyle w:val="000000010000" w:firstRow="0" w:lastRow="0" w:firstColumn="0" w:lastColumn="0" w:oddVBand="0" w:evenVBand="0" w:oddHBand="0" w:evenHBand="1" w:firstRowFirstColumn="0" w:firstRowLastColumn="0" w:lastRowFirstColumn="0" w:lastRowLastColumn="0"/>
          <w:trHeight w:val="271"/>
          <w:jc w:val="center"/>
        </w:trPr>
        <w:tc>
          <w:tcPr>
            <w:tcW w:w="3107" w:type="pct"/>
          </w:tcPr>
          <w:p w:rsidRPr="0076106B" w:rsidR="00367027" w:rsidP="00A158EB" w:rsidRDefault="00367027" w14:paraId="3563B803" w14:textId="77777777">
            <w:pPr>
              <w:pStyle w:val="Tablecontents"/>
              <w:spacing w:before="0" w:after="0" w:line="259" w:lineRule="auto"/>
              <w:rPr>
                <w:rFonts w:cs="Calibri"/>
              </w:rPr>
            </w:pPr>
            <w:r w:rsidRPr="0076106B">
              <w:rPr>
                <w:rFonts w:cs="Calibri"/>
              </w:rPr>
              <w:t>50% to less than 80%</w:t>
            </w:r>
          </w:p>
        </w:tc>
        <w:tc>
          <w:tcPr>
            <w:tcW w:w="1893" w:type="pct"/>
          </w:tcPr>
          <w:p w:rsidRPr="0076106B" w:rsidR="00367027" w:rsidP="00A158EB" w:rsidRDefault="00367027" w14:paraId="06D018F8" w14:textId="61E14B69">
            <w:pPr>
              <w:pStyle w:val="Tablecontents"/>
              <w:spacing w:before="0" w:after="0" w:line="259" w:lineRule="auto"/>
              <w:jc w:val="center"/>
              <w:rPr>
                <w:rFonts w:cs="Calibri"/>
              </w:rPr>
            </w:pPr>
            <w:r w:rsidRPr="0076106B">
              <w:rPr>
                <w:rFonts w:cs="Calibri"/>
              </w:rPr>
              <w:t>0.7</w:t>
            </w:r>
          </w:p>
        </w:tc>
      </w:tr>
      <w:tr w:rsidRPr="0076106B" w:rsidR="00367027" w:rsidTr="00A158EB" w14:paraId="42603481" w14:textId="13AE4C69">
        <w:trPr>
          <w:cnfStyle w:val="000000100000" w:firstRow="0" w:lastRow="0" w:firstColumn="0" w:lastColumn="0" w:oddVBand="0" w:evenVBand="0" w:oddHBand="1" w:evenHBand="0" w:firstRowFirstColumn="0" w:firstRowLastColumn="0" w:lastRowFirstColumn="0" w:lastRowLastColumn="0"/>
          <w:trHeight w:val="247"/>
          <w:jc w:val="center"/>
        </w:trPr>
        <w:tc>
          <w:tcPr>
            <w:tcW w:w="3107" w:type="pct"/>
            <w:shd w:val="clear" w:color="auto" w:fill="D8EBEE"/>
          </w:tcPr>
          <w:p w:rsidRPr="0076106B" w:rsidR="00367027" w:rsidP="00A158EB" w:rsidRDefault="00367027" w14:paraId="473A8095" w14:textId="77777777">
            <w:pPr>
              <w:pStyle w:val="Tablecontents"/>
              <w:spacing w:before="0" w:after="0" w:line="259" w:lineRule="auto"/>
              <w:rPr>
                <w:rFonts w:cs="Calibri"/>
              </w:rPr>
            </w:pPr>
            <w:r w:rsidRPr="0076106B">
              <w:rPr>
                <w:rFonts w:cs="Calibri"/>
              </w:rPr>
              <w:t>25% to less than 50%</w:t>
            </w:r>
          </w:p>
        </w:tc>
        <w:tc>
          <w:tcPr>
            <w:tcW w:w="1893" w:type="pct"/>
            <w:shd w:val="clear" w:color="auto" w:fill="D8EBEE"/>
          </w:tcPr>
          <w:p w:rsidRPr="0076106B" w:rsidR="00367027" w:rsidP="00A158EB" w:rsidRDefault="00367027" w14:paraId="20B6203A" w14:textId="5E3D9927">
            <w:pPr>
              <w:pStyle w:val="Tablecontents"/>
              <w:spacing w:before="0" w:after="0" w:line="259" w:lineRule="auto"/>
              <w:jc w:val="center"/>
              <w:rPr>
                <w:rFonts w:cs="Calibri"/>
              </w:rPr>
            </w:pPr>
            <w:r w:rsidRPr="0076106B">
              <w:rPr>
                <w:rFonts w:cs="Calibri"/>
              </w:rPr>
              <w:t>0.3</w:t>
            </w:r>
          </w:p>
        </w:tc>
      </w:tr>
      <w:tr w:rsidRPr="0076106B" w:rsidR="00367027" w:rsidTr="00A158EB" w14:paraId="5C906099" w14:textId="45D6D577">
        <w:trPr>
          <w:cnfStyle w:val="000000010000" w:firstRow="0" w:lastRow="0" w:firstColumn="0" w:lastColumn="0" w:oddVBand="0" w:evenVBand="0" w:oddHBand="0" w:evenHBand="1" w:firstRowFirstColumn="0" w:firstRowLastColumn="0" w:lastRowFirstColumn="0" w:lastRowLastColumn="0"/>
          <w:trHeight w:val="237"/>
          <w:jc w:val="center"/>
        </w:trPr>
        <w:tc>
          <w:tcPr>
            <w:tcW w:w="3107" w:type="pct"/>
          </w:tcPr>
          <w:p w:rsidRPr="0076106B" w:rsidR="00367027" w:rsidP="00A158EB" w:rsidRDefault="00367027" w14:paraId="7FCB2162" w14:textId="77777777">
            <w:pPr>
              <w:pStyle w:val="Tablecontents"/>
              <w:spacing w:before="0" w:after="0" w:line="259" w:lineRule="auto"/>
              <w:rPr>
                <w:rFonts w:cs="Calibri"/>
              </w:rPr>
            </w:pPr>
            <w:r w:rsidRPr="0076106B">
              <w:rPr>
                <w:rFonts w:cs="Calibri"/>
              </w:rPr>
              <w:t>Less than 25%</w:t>
            </w:r>
          </w:p>
        </w:tc>
        <w:tc>
          <w:tcPr>
            <w:tcW w:w="1893" w:type="pct"/>
          </w:tcPr>
          <w:p w:rsidRPr="0076106B" w:rsidR="00367027" w:rsidP="00A158EB" w:rsidRDefault="00367027" w14:paraId="5DC81EFB" w14:textId="507A9175">
            <w:pPr>
              <w:pStyle w:val="Tablecontents"/>
              <w:spacing w:before="0" w:after="0" w:line="259" w:lineRule="auto"/>
              <w:jc w:val="center"/>
              <w:rPr>
                <w:rFonts w:cs="Calibri"/>
              </w:rPr>
            </w:pPr>
            <w:r w:rsidRPr="0076106B">
              <w:rPr>
                <w:rFonts w:cs="Calibri"/>
              </w:rPr>
              <w:t>0.0</w:t>
            </w:r>
          </w:p>
        </w:tc>
      </w:tr>
    </w:tbl>
    <w:p w:rsidR="003B656C" w:rsidP="00A347CA" w:rsidRDefault="00792790" w14:paraId="4E27C42D" w14:textId="5074C03C">
      <w:pPr>
        <w:keepNext/>
        <w:spacing w:before="240" w:after="80"/>
        <w:rPr>
          <w:rFonts w:cs="Calibri"/>
          <w:b/>
          <w:bCs/>
          <w:sz w:val="27"/>
          <w:szCs w:val="27"/>
        </w:rPr>
      </w:pPr>
      <w:r>
        <w:rPr>
          <w:rFonts w:cs="Calibri"/>
          <w:b/>
          <w:bCs/>
          <w:sz w:val="27"/>
          <w:szCs w:val="27"/>
        </w:rPr>
        <w:t>Risk</w:t>
      </w:r>
      <w:r w:rsidR="00785B8F">
        <w:rPr>
          <w:rFonts w:cs="Calibri"/>
          <w:b/>
          <w:bCs/>
          <w:sz w:val="27"/>
          <w:szCs w:val="27"/>
        </w:rPr>
        <w:t xml:space="preserve"> factor 5: </w:t>
      </w:r>
      <w:r w:rsidRPr="0076106B" w:rsidR="004A4528">
        <w:rPr>
          <w:rFonts w:cs="Calibri"/>
          <w:b/>
          <w:bCs/>
          <w:sz w:val="27"/>
          <w:szCs w:val="27"/>
        </w:rPr>
        <w:t>Non-compliance history and registration renewal</w:t>
      </w:r>
    </w:p>
    <w:p w:rsidR="00AF54F3" w:rsidP="00AF54F3" w:rsidRDefault="00AF54F3" w14:paraId="1DAC5D93" w14:textId="03681236">
      <w:pPr>
        <w:spacing w:after="50"/>
      </w:pPr>
      <w:r>
        <w:t xml:space="preserve">The non-compliance </w:t>
      </w:r>
      <w:r w:rsidR="009B59F2">
        <w:t xml:space="preserve">history </w:t>
      </w:r>
      <w:r>
        <w:t xml:space="preserve">and registration renewal risk factor creates an incentive for providers to </w:t>
      </w:r>
      <w:r w:rsidRPr="00BF0896">
        <w:t>adopt low-risk and compliant behaviours.</w:t>
      </w:r>
      <w:r>
        <w:t xml:space="preserve"> This risk factor is based on:</w:t>
      </w:r>
    </w:p>
    <w:p w:rsidR="00AF54F3" w:rsidP="6B34F37B" w:rsidRDefault="00AF54F3" w14:paraId="788E96C2" w14:textId="01D09887">
      <w:pPr>
        <w:pStyle w:val="ListParagraph"/>
        <w:numPr>
          <w:ilvl w:val="0"/>
          <w:numId w:val="34"/>
        </w:numPr>
        <w:spacing w:after="50"/>
        <w:ind w:left="714" w:hanging="357"/>
      </w:pPr>
      <w:r>
        <w:t xml:space="preserve">a provider’s </w:t>
      </w:r>
      <w:r w:rsidR="00272BC7">
        <w:t xml:space="preserve">weighted late payment for </w:t>
      </w:r>
      <w:r w:rsidR="009131E3">
        <w:t>the</w:t>
      </w:r>
      <w:r w:rsidR="00272BC7">
        <w:t xml:space="preserve"> </w:t>
      </w:r>
      <w:r w:rsidR="008A11E3">
        <w:t>TLP</w:t>
      </w:r>
      <w:r w:rsidR="00272BC7">
        <w:t xml:space="preserve"> and/or CLP within the previous three years.</w:t>
      </w:r>
    </w:p>
    <w:p w:rsidRPr="00BF6BDA" w:rsidR="00AF54F3" w:rsidP="00AF54F3" w:rsidRDefault="00AF54F3" w14:paraId="113A7FD3" w14:textId="322774CA">
      <w:pPr>
        <w:pStyle w:val="ListParagraph"/>
        <w:numPr>
          <w:ilvl w:val="0"/>
          <w:numId w:val="34"/>
        </w:numPr>
        <w:spacing w:after="50"/>
        <w:ind w:left="714" w:hanging="357"/>
        <w:contextualSpacing w:val="0"/>
      </w:pPr>
      <w:r>
        <w:t xml:space="preserve">whether compliance action was taken against the provider under section 83 of the </w:t>
      </w:r>
      <w:r w:rsidRPr="00FC47F8" w:rsidR="00CA1723">
        <w:t>ESOS Act</w:t>
      </w:r>
      <w:r w:rsidR="00CA1723">
        <w:t xml:space="preserve"> </w:t>
      </w:r>
      <w:r w:rsidRPr="00BF6BDA">
        <w:t>in 202</w:t>
      </w:r>
      <w:r w:rsidR="00373F5A">
        <w:t>5</w:t>
      </w:r>
      <w:r w:rsidR="00ED5299">
        <w:t>,</w:t>
      </w:r>
    </w:p>
    <w:p w:rsidR="00AF54F3" w:rsidP="6B34F37B" w:rsidRDefault="00AF54F3" w14:paraId="0C467222" w14:textId="2EB83DAE">
      <w:pPr>
        <w:pStyle w:val="ListParagraph"/>
        <w:numPr>
          <w:ilvl w:val="0"/>
          <w:numId w:val="34"/>
        </w:numPr>
        <w:spacing w:after="200"/>
        <w:ind w:left="714" w:hanging="357"/>
      </w:pPr>
      <w:r w:rsidRPr="00026F66">
        <w:t>if a provider applied for registration renewal and, due to risk management</w:t>
      </w:r>
      <w:r w:rsidRPr="00026F66" w:rsidR="6F48B344">
        <w:t xml:space="preserve"> reasons</w:t>
      </w:r>
      <w:r w:rsidRPr="00026F66">
        <w:t>, the period of registration granted in 202</w:t>
      </w:r>
      <w:r w:rsidR="00373F5A">
        <w:t>5</w:t>
      </w:r>
      <w:r w:rsidRPr="00026F66">
        <w:t xml:space="preserve"> was less than the maximum period allowed</w:t>
      </w:r>
      <w:r w:rsidR="00ED5299">
        <w:t>, and</w:t>
      </w:r>
    </w:p>
    <w:p w:rsidRPr="00026F66" w:rsidR="0043778D" w:rsidP="00560DFE" w:rsidRDefault="00EB09EE" w14:paraId="2600B3E4" w14:textId="6D22FCF2">
      <w:pPr>
        <w:pStyle w:val="ListParagraph"/>
        <w:numPr>
          <w:ilvl w:val="0"/>
          <w:numId w:val="34"/>
        </w:numPr>
        <w:ind w:left="714" w:hanging="357"/>
      </w:pPr>
      <w:r>
        <w:t>i</w:t>
      </w:r>
      <w:r w:rsidR="009F5E4C">
        <w:t>f a provider has had at least one student default occur where the refund amount was paid out by the TPS i</w:t>
      </w:r>
      <w:r w:rsidR="00F47DBA">
        <w:t>n</w:t>
      </w:r>
      <w:r w:rsidR="009F5E4C">
        <w:t xml:space="preserve"> previous</w:t>
      </w:r>
      <w:r w:rsidR="00F47DBA">
        <w:t xml:space="preserve"> calendar</w:t>
      </w:r>
      <w:r w:rsidR="009F5E4C">
        <w:t xml:space="preserve"> year</w:t>
      </w:r>
      <w:r w:rsidR="003D6081">
        <w:t>.</w:t>
      </w:r>
    </w:p>
    <w:p w:rsidRPr="00560DFE" w:rsidR="00C7630D" w:rsidP="00560DFE" w:rsidRDefault="00C53A66" w14:paraId="5064F96F" w14:textId="722259E3">
      <w:pPr>
        <w:spacing w:after="0"/>
        <w:rPr>
          <w:rFonts w:cs="Calibri"/>
          <w:i/>
        </w:rPr>
      </w:pPr>
      <w:r w:rsidRPr="00560DFE">
        <w:rPr>
          <w:rFonts w:cs="Calibri"/>
          <w:i/>
        </w:rPr>
        <w:t>w</w:t>
      </w:r>
      <w:r w:rsidRPr="00560DFE" w:rsidR="00C7630D">
        <w:rPr>
          <w:rFonts w:cs="Calibri"/>
          <w:i/>
        </w:rPr>
        <w:t xml:space="preserve">here: </w:t>
      </w:r>
    </w:p>
    <w:p w:rsidR="000149FF" w:rsidP="00560DFE" w:rsidRDefault="00C7630D" w14:paraId="282BAAF8" w14:textId="1B31489E">
      <w:pPr>
        <w:spacing w:after="0"/>
        <w:ind w:left="720"/>
        <w:rPr>
          <w:rFonts w:cs="Calibri"/>
        </w:rPr>
      </w:pPr>
      <w:r w:rsidRPr="00560DFE">
        <w:rPr>
          <w:rFonts w:cs="Calibri"/>
          <w:b/>
        </w:rPr>
        <w:t>TLP</w:t>
      </w:r>
      <w:r>
        <w:rPr>
          <w:rFonts w:cs="Calibri"/>
        </w:rPr>
        <w:t xml:space="preserve"> is</w:t>
      </w:r>
      <w:r w:rsidR="00EB759F">
        <w:rPr>
          <w:rFonts w:cs="Calibri"/>
        </w:rPr>
        <w:t xml:space="preserve"> the</w:t>
      </w:r>
      <w:r>
        <w:rPr>
          <w:rFonts w:cs="Calibri"/>
        </w:rPr>
        <w:t xml:space="preserve"> Tuition Protection Late Payment for </w:t>
      </w:r>
      <w:r w:rsidR="00B91A0F">
        <w:rPr>
          <w:rFonts w:cs="Calibri"/>
        </w:rPr>
        <w:t>the</w:t>
      </w:r>
      <w:r w:rsidR="00D540A9">
        <w:rPr>
          <w:rFonts w:cs="Calibri"/>
        </w:rPr>
        <w:t xml:space="preserve"> International TPS</w:t>
      </w:r>
      <w:r w:rsidR="00B91A0F">
        <w:rPr>
          <w:rFonts w:cs="Calibri"/>
        </w:rPr>
        <w:t xml:space="preserve"> levy</w:t>
      </w:r>
      <w:r w:rsidR="001D2527">
        <w:rPr>
          <w:rFonts w:cs="Calibri"/>
        </w:rPr>
        <w:t>, for the year</w:t>
      </w:r>
      <w:r>
        <w:rPr>
          <w:rFonts w:cs="Calibri"/>
        </w:rPr>
        <w:t xml:space="preserve"> and </w:t>
      </w:r>
      <w:r w:rsidRPr="00560DFE">
        <w:rPr>
          <w:rFonts w:cs="Calibri"/>
          <w:b/>
        </w:rPr>
        <w:t>CLP</w:t>
      </w:r>
      <w:r>
        <w:rPr>
          <w:rFonts w:cs="Calibri"/>
        </w:rPr>
        <w:t xml:space="preserve"> is </w:t>
      </w:r>
      <w:r w:rsidR="00EB759F">
        <w:rPr>
          <w:rFonts w:cs="Calibri"/>
        </w:rPr>
        <w:t xml:space="preserve">the </w:t>
      </w:r>
      <w:r>
        <w:rPr>
          <w:rFonts w:cs="Calibri"/>
        </w:rPr>
        <w:t xml:space="preserve">CRICOS Annual Registration Charge </w:t>
      </w:r>
      <w:r w:rsidR="00806EB0">
        <w:rPr>
          <w:rFonts w:cs="Calibri"/>
        </w:rPr>
        <w:t>(CARC)</w:t>
      </w:r>
      <w:r>
        <w:rPr>
          <w:rFonts w:cs="Calibri"/>
        </w:rPr>
        <w:t xml:space="preserve"> Late Payment</w:t>
      </w:r>
      <w:r w:rsidR="001D2527">
        <w:rPr>
          <w:rFonts w:cs="Calibri"/>
        </w:rPr>
        <w:t>, for the year.</w:t>
      </w:r>
    </w:p>
    <w:p w:rsidRPr="003E1DB9" w:rsidR="00DA3FDF" w:rsidP="00560DFE" w:rsidRDefault="00DA3FDF" w14:paraId="1D0EAE3C" w14:textId="3D2CAEE3">
      <w:pPr>
        <w:spacing w:after="200"/>
        <w:ind w:left="709"/>
        <w:rPr>
          <w:rFonts w:cs="Calibri"/>
          <w:sz w:val="18"/>
          <w:szCs w:val="18"/>
        </w:rPr>
      </w:pPr>
      <w:r w:rsidRPr="003E1DB9">
        <w:rPr>
          <w:sz w:val="18"/>
          <w:szCs w:val="18"/>
        </w:rPr>
        <w:t xml:space="preserve">Note: </w:t>
      </w:r>
      <w:r w:rsidRPr="003E1DB9">
        <w:rPr>
          <w:rFonts w:cs="Calibri"/>
          <w:sz w:val="18"/>
          <w:szCs w:val="18"/>
        </w:rPr>
        <w:t>A provider’s weighted late payment measure calculation considers the number of days after the due date the payment was received</w:t>
      </w:r>
      <w:r>
        <w:rPr>
          <w:rFonts w:cs="Calibri"/>
          <w:sz w:val="18"/>
          <w:szCs w:val="18"/>
        </w:rPr>
        <w:t>.</w:t>
      </w:r>
      <w:r w:rsidRPr="003E1DB9">
        <w:rPr>
          <w:rFonts w:cs="Calibri"/>
          <w:sz w:val="18"/>
          <w:szCs w:val="18"/>
        </w:rPr>
        <w:t xml:space="preserve"> </w:t>
      </w:r>
    </w:p>
    <w:p w:rsidRPr="0076106B" w:rsidR="00246825" w:rsidP="00272D75" w:rsidRDefault="00246825" w14:paraId="36EDE040" w14:textId="3598AAE2">
      <w:pPr>
        <w:spacing w:before="160" w:after="0"/>
        <w:rPr>
          <w:rFonts w:cs="Calibri"/>
        </w:rPr>
      </w:pPr>
      <w:r w:rsidRPr="6B34F37B">
        <w:rPr>
          <w:rFonts w:cs="Calibri"/>
        </w:rPr>
        <w:t xml:space="preserve">To calculate the </w:t>
      </w:r>
      <w:r w:rsidRPr="6B34F37B" w:rsidR="7AABC16A">
        <w:rPr>
          <w:rFonts w:cs="Calibri"/>
        </w:rPr>
        <w:t>weighted late payment risk factor value</w:t>
      </w:r>
      <w:r w:rsidRPr="6B34F37B">
        <w:rPr>
          <w:rFonts w:cs="Calibri"/>
        </w:rPr>
        <w:t>, follow these steps</w:t>
      </w:r>
      <w:r w:rsidRPr="6B34F37B" w:rsidR="00473B14">
        <w:rPr>
          <w:rFonts w:cs="Calibri"/>
        </w:rPr>
        <w:t>:</w:t>
      </w:r>
    </w:p>
    <w:p w:rsidRPr="0076106B" w:rsidR="00246825" w:rsidP="00FC47F8" w:rsidRDefault="00246825" w14:paraId="6B2E3717" w14:textId="58B65050">
      <w:pPr>
        <w:pStyle w:val="ListParagraph"/>
        <w:numPr>
          <w:ilvl w:val="0"/>
          <w:numId w:val="10"/>
        </w:numPr>
        <w:spacing w:before="160" w:after="80"/>
        <w:ind w:left="709" w:hanging="357"/>
        <w:rPr>
          <w:rFonts w:cs="Calibri"/>
        </w:rPr>
      </w:pPr>
      <w:r w:rsidRPr="0076106B">
        <w:rPr>
          <w:rFonts w:cs="Calibri"/>
        </w:rPr>
        <w:t xml:space="preserve">Establish the number of days a payment was </w:t>
      </w:r>
      <w:r w:rsidR="007C3DF9">
        <w:rPr>
          <w:rFonts w:cs="Calibri"/>
        </w:rPr>
        <w:t>received after the due date</w:t>
      </w:r>
      <w:r w:rsidRPr="0076106B" w:rsidR="007C3DF9">
        <w:rPr>
          <w:rFonts w:cs="Calibri"/>
        </w:rPr>
        <w:t xml:space="preserve"> </w:t>
      </w:r>
      <w:r w:rsidRPr="0076106B">
        <w:rPr>
          <w:rFonts w:cs="Calibri"/>
        </w:rPr>
        <w:t>for the 202</w:t>
      </w:r>
      <w:r w:rsidR="00AD1135">
        <w:rPr>
          <w:rFonts w:cs="Calibri"/>
        </w:rPr>
        <w:t>3</w:t>
      </w:r>
      <w:r w:rsidRPr="0076106B">
        <w:rPr>
          <w:rFonts w:cs="Calibri"/>
        </w:rPr>
        <w:t>, 202</w:t>
      </w:r>
      <w:r w:rsidR="00AD1135">
        <w:rPr>
          <w:rFonts w:cs="Calibri"/>
        </w:rPr>
        <w:t>4</w:t>
      </w:r>
      <w:r w:rsidRPr="0076106B">
        <w:rPr>
          <w:rFonts w:cs="Calibri"/>
        </w:rPr>
        <w:t xml:space="preserve"> and 202</w:t>
      </w:r>
      <w:r w:rsidR="00AD1135">
        <w:rPr>
          <w:rFonts w:cs="Calibri"/>
        </w:rPr>
        <w:t>5</w:t>
      </w:r>
      <w:r w:rsidRPr="0076106B" w:rsidR="00534B8F">
        <w:rPr>
          <w:rFonts w:cs="Calibri"/>
        </w:rPr>
        <w:t xml:space="preserve"> </w:t>
      </w:r>
      <w:r w:rsidR="00B33CA0">
        <w:rPr>
          <w:rFonts w:cs="Calibri"/>
        </w:rPr>
        <w:t>International TPS Levy</w:t>
      </w:r>
      <w:r w:rsidRPr="0076106B" w:rsidR="00534B8F">
        <w:rPr>
          <w:rFonts w:cs="Calibri"/>
        </w:rPr>
        <w:t xml:space="preserve"> and/or </w:t>
      </w:r>
      <w:r w:rsidR="004F4AE3">
        <w:rPr>
          <w:rFonts w:cs="Calibri"/>
        </w:rPr>
        <w:t>C</w:t>
      </w:r>
      <w:r w:rsidR="004B7149">
        <w:rPr>
          <w:rFonts w:cs="Calibri"/>
        </w:rPr>
        <w:t>LP</w:t>
      </w:r>
      <w:r w:rsidRPr="0076106B" w:rsidR="00534B8F">
        <w:rPr>
          <w:rFonts w:cs="Calibri"/>
        </w:rPr>
        <w:t>. Apply these values to the formulas below.</w:t>
      </w:r>
    </w:p>
    <w:p w:rsidRPr="0076106B" w:rsidR="0033563C" w:rsidP="008C5FA5" w:rsidRDefault="00035755" w14:paraId="6095726A" w14:textId="77240C4F">
      <w:pPr>
        <w:keepNext/>
        <w:spacing w:before="80" w:after="80"/>
        <w:jc w:val="center"/>
        <w:rPr>
          <w:rFonts w:cs="Calibri"/>
          <w:b/>
          <w:bCs/>
          <w:u w:val="single"/>
        </w:rPr>
      </w:pPr>
      <w:r w:rsidRPr="0076106B">
        <w:rPr>
          <w:rFonts w:cs="Calibri"/>
          <w:b/>
          <w:bCs/>
          <w:u w:val="single"/>
        </w:rPr>
        <w:t>Non-compliance history category formula</w:t>
      </w:r>
    </w:p>
    <w:p w:rsidRPr="005B59A5" w:rsidR="0033563C" w:rsidP="001F6FC7" w:rsidRDefault="0033563C" w14:paraId="339314AA" w14:textId="6533F3CA">
      <w:pPr>
        <w:keepNext/>
        <w:spacing w:after="100"/>
        <w:jc w:val="center"/>
        <w:rPr>
          <w:rFonts w:cs="Calibri"/>
        </w:rPr>
      </w:pPr>
      <w:r w:rsidRPr="005B59A5">
        <w:rPr>
          <w:rFonts w:cs="Calibri"/>
          <w:b/>
          <w:bCs/>
        </w:rPr>
        <w:t>For 202</w:t>
      </w:r>
      <w:r w:rsidRPr="00FC47F8" w:rsidR="00AD1135">
        <w:rPr>
          <w:rFonts w:cs="Calibri"/>
          <w:b/>
          <w:bCs/>
        </w:rPr>
        <w:t>5</w:t>
      </w:r>
      <w:r w:rsidRPr="005B59A5">
        <w:rPr>
          <w:rFonts w:cs="Calibri"/>
        </w:rPr>
        <w:t xml:space="preserve">: </w:t>
      </w:r>
      <m:oMath>
        <m:r>
          <m:rPr>
            <m:nor/>
          </m:rPr>
          <w:rPr>
            <w:rFonts w:cs="Calibri"/>
            <w:iCs/>
          </w:rPr>
          <m:t>0.7×</m:t>
        </m:r>
        <m:d>
          <m:dPr>
            <m:begChr m:val="["/>
            <m:endChr m:val="]"/>
            <m:ctrlPr>
              <w:rPr>
                <w:rFonts w:ascii="Cambria Math" w:hAnsi="Cambria Math" w:cs="Calibri"/>
                <w:iCs/>
              </w:rPr>
            </m:ctrlPr>
          </m:dPr>
          <m:e>
            <m:r>
              <m:rPr>
                <m:nor/>
              </m:rPr>
              <w:rPr>
                <w:rFonts w:ascii="Cambria Math" w:cs="Calibri"/>
                <w:iCs/>
              </w:rPr>
              <m:t>CLP</m:t>
            </m:r>
            <m:r>
              <m:rPr>
                <m:nor/>
              </m:rPr>
              <w:rPr>
                <w:rFonts w:cs="Calibri"/>
                <w:iCs/>
              </w:rPr>
              <m:t>+</m:t>
            </m:r>
            <m:r>
              <m:rPr>
                <m:nor/>
              </m:rPr>
              <w:rPr>
                <w:rFonts w:ascii="Cambria Math" w:cs="Calibri"/>
                <w:iCs/>
              </w:rPr>
              <m:t>TLP</m:t>
            </m:r>
          </m:e>
        </m:d>
      </m:oMath>
      <w:r w:rsidRPr="005B59A5" w:rsidR="00674FB5">
        <w:rPr>
          <w:rFonts w:cs="Calibri" w:eastAsiaTheme="minorEastAsia"/>
        </w:rPr>
        <w:t xml:space="preserve"> = X</w:t>
      </w:r>
    </w:p>
    <w:p w:rsidRPr="005B59A5" w:rsidR="0033563C" w:rsidP="001F6FC7" w:rsidRDefault="0033563C" w14:paraId="2C8C9F9E" w14:textId="151C6759">
      <w:pPr>
        <w:keepNext/>
        <w:spacing w:after="100"/>
        <w:jc w:val="center"/>
        <w:rPr>
          <w:rFonts w:cs="Calibri"/>
        </w:rPr>
      </w:pPr>
      <w:r w:rsidRPr="005B59A5">
        <w:rPr>
          <w:rFonts w:cs="Calibri"/>
          <w:b/>
          <w:bCs/>
        </w:rPr>
        <w:t>For 202</w:t>
      </w:r>
      <w:r w:rsidRPr="00FC47F8" w:rsidR="00AD1135">
        <w:rPr>
          <w:rFonts w:cs="Calibri"/>
          <w:b/>
          <w:bCs/>
        </w:rPr>
        <w:t>4</w:t>
      </w:r>
      <w:r w:rsidRPr="005B59A5">
        <w:rPr>
          <w:rFonts w:cs="Calibri"/>
        </w:rPr>
        <w:t xml:space="preserve">: </w:t>
      </w:r>
      <m:oMath>
        <m:r>
          <m:rPr>
            <m:nor/>
          </m:rPr>
          <w:rPr>
            <w:rFonts w:cs="Calibri"/>
            <w:iCs/>
          </w:rPr>
          <m:t>0.2×</m:t>
        </m:r>
        <m:d>
          <m:dPr>
            <m:begChr m:val="["/>
            <m:endChr m:val="]"/>
            <m:ctrlPr>
              <w:rPr>
                <w:rFonts w:ascii="Cambria Math" w:hAnsi="Cambria Math" w:cs="Calibri"/>
                <w:iCs/>
              </w:rPr>
            </m:ctrlPr>
          </m:dPr>
          <m:e>
            <m:r>
              <m:rPr>
                <m:nor/>
              </m:rPr>
              <w:rPr>
                <w:rFonts w:ascii="Cambria Math" w:cs="Calibri"/>
                <w:iCs/>
              </w:rPr>
              <m:t>CLP</m:t>
            </m:r>
            <m:r>
              <m:rPr>
                <m:nor/>
              </m:rPr>
              <w:rPr>
                <w:rFonts w:cs="Calibri"/>
                <w:iCs/>
              </w:rPr>
              <m:t>+</m:t>
            </m:r>
            <m:r>
              <m:rPr>
                <m:nor/>
              </m:rPr>
              <w:rPr>
                <w:rFonts w:ascii="Cambria Math" w:cs="Calibri"/>
                <w:iCs/>
              </w:rPr>
              <m:t>TLP</m:t>
            </m:r>
          </m:e>
        </m:d>
      </m:oMath>
      <w:r w:rsidRPr="005B59A5" w:rsidR="00674FB5">
        <w:rPr>
          <w:rFonts w:cs="Calibri" w:eastAsiaTheme="minorEastAsia"/>
        </w:rPr>
        <w:t xml:space="preserve"> = Y</w:t>
      </w:r>
    </w:p>
    <w:p w:rsidRPr="0076106B" w:rsidR="0033563C" w:rsidP="001F6FC7" w:rsidRDefault="0033563C" w14:paraId="29D42C6B" w14:textId="7DB5886F">
      <w:pPr>
        <w:keepNext/>
        <w:spacing w:after="100"/>
        <w:jc w:val="center"/>
        <w:rPr>
          <w:rFonts w:cs="Calibri"/>
        </w:rPr>
      </w:pPr>
      <w:r w:rsidRPr="005B59A5">
        <w:rPr>
          <w:rFonts w:cs="Calibri"/>
          <w:b/>
          <w:bCs/>
        </w:rPr>
        <w:t>For 202</w:t>
      </w:r>
      <w:r w:rsidRPr="00FC47F8" w:rsidR="00AD1135">
        <w:rPr>
          <w:rFonts w:cs="Calibri"/>
          <w:b/>
          <w:bCs/>
        </w:rPr>
        <w:t>3</w:t>
      </w:r>
      <w:r w:rsidRPr="005B59A5">
        <w:rPr>
          <w:rFonts w:cs="Calibri"/>
        </w:rPr>
        <w:t xml:space="preserve">: </w:t>
      </w:r>
      <m:oMath>
        <m:r>
          <m:rPr>
            <m:nor/>
          </m:rPr>
          <w:rPr>
            <w:rFonts w:cs="Calibri"/>
          </w:rPr>
          <m:t>0.1×</m:t>
        </m:r>
        <m:d>
          <m:dPr>
            <m:begChr m:val="["/>
            <m:endChr m:val="]"/>
            <m:ctrlPr>
              <w:rPr>
                <w:rFonts w:ascii="Cambria Math" w:hAnsi="Cambria Math" w:cs="Calibri"/>
              </w:rPr>
            </m:ctrlPr>
          </m:dPr>
          <m:e>
            <m:r>
              <m:rPr>
                <m:nor/>
              </m:rPr>
              <w:rPr>
                <w:rFonts w:cs="Calibri"/>
              </w:rPr>
              <m:t>C</m:t>
            </m:r>
            <m:r>
              <m:rPr>
                <m:nor/>
              </m:rPr>
              <w:rPr>
                <w:rFonts w:ascii="Cambria Math" w:cs="Calibri"/>
              </w:rPr>
              <m:t>LP</m:t>
            </m:r>
            <m:r>
              <m:rPr>
                <m:nor/>
              </m:rPr>
              <w:rPr>
                <w:rFonts w:cs="Calibri"/>
              </w:rPr>
              <m:t>+</m:t>
            </m:r>
            <m:r>
              <m:rPr>
                <m:nor/>
              </m:rPr>
              <w:rPr>
                <w:rFonts w:ascii="Cambria Math" w:cs="Calibri"/>
              </w:rPr>
              <m:t>TLP</m:t>
            </m:r>
          </m:e>
        </m:d>
      </m:oMath>
      <w:r w:rsidRPr="005B59A5" w:rsidR="00674FB5">
        <w:rPr>
          <w:rFonts w:cs="Calibri" w:eastAsiaTheme="minorEastAsia"/>
        </w:rPr>
        <w:t xml:space="preserve"> = Z</w:t>
      </w:r>
    </w:p>
    <w:p w:rsidRPr="0076106B" w:rsidR="00534B8F" w:rsidP="00FC47F8" w:rsidRDefault="00674FB5" w14:paraId="3DA1F380" w14:textId="716567E8">
      <w:pPr>
        <w:pStyle w:val="ListParagraph"/>
        <w:numPr>
          <w:ilvl w:val="0"/>
          <w:numId w:val="10"/>
        </w:numPr>
        <w:spacing w:after="0"/>
        <w:ind w:left="851"/>
        <w:rPr>
          <w:rFonts w:cs="Calibri"/>
        </w:rPr>
      </w:pPr>
      <w:r w:rsidRPr="0076106B">
        <w:rPr>
          <w:rFonts w:cs="Calibri"/>
        </w:rPr>
        <w:t xml:space="preserve">Add X + Y + Z </w:t>
      </w:r>
      <w:r w:rsidR="006051E0">
        <w:rPr>
          <w:rFonts w:cs="Calibri"/>
        </w:rPr>
        <w:t>together</w:t>
      </w:r>
      <w:r w:rsidR="004C7672">
        <w:rPr>
          <w:rFonts w:cs="Calibri"/>
        </w:rPr>
        <w:t xml:space="preserve"> to calculate the weighted l</w:t>
      </w:r>
      <w:r w:rsidRPr="0076106B">
        <w:rPr>
          <w:rFonts w:cs="Calibri"/>
        </w:rPr>
        <w:t>ate payment measure</w:t>
      </w:r>
      <w:r w:rsidR="00632443">
        <w:rPr>
          <w:rFonts w:cs="Calibri"/>
        </w:rPr>
        <w:t>.</w:t>
      </w:r>
    </w:p>
    <w:p w:rsidR="006E6FF0" w:rsidP="00FC47F8" w:rsidRDefault="009C648E" w14:paraId="6F3BF296" w14:textId="06714599">
      <w:pPr>
        <w:pStyle w:val="ListParagraph"/>
        <w:numPr>
          <w:ilvl w:val="0"/>
          <w:numId w:val="10"/>
        </w:numPr>
        <w:spacing w:before="240"/>
        <w:ind w:left="851" w:hanging="357"/>
        <w:rPr>
          <w:rFonts w:cs="Calibri"/>
        </w:rPr>
      </w:pPr>
      <w:r w:rsidRPr="6B34F37B">
        <w:rPr>
          <w:rFonts w:cs="Calibri"/>
        </w:rPr>
        <w:t xml:space="preserve">Identify </w:t>
      </w:r>
      <w:r w:rsidRPr="6B34F37B" w:rsidR="00590962">
        <w:rPr>
          <w:rFonts w:cs="Calibri"/>
        </w:rPr>
        <w:t xml:space="preserve">the </w:t>
      </w:r>
      <w:r w:rsidRPr="6B34F37B" w:rsidR="66B4CA25">
        <w:rPr>
          <w:rFonts w:cs="Calibri"/>
        </w:rPr>
        <w:t xml:space="preserve">corresponding </w:t>
      </w:r>
      <w:r w:rsidRPr="6B34F37B" w:rsidR="00590962">
        <w:rPr>
          <w:rFonts w:cs="Calibri"/>
        </w:rPr>
        <w:t>value</w:t>
      </w:r>
      <w:r w:rsidRPr="6B34F37B">
        <w:rPr>
          <w:rFonts w:cs="Calibri"/>
        </w:rPr>
        <w:t xml:space="preserve"> in </w:t>
      </w:r>
      <w:r w:rsidRPr="6B34F37B" w:rsidR="00632443">
        <w:rPr>
          <w:rFonts w:cs="Calibri"/>
        </w:rPr>
        <w:t>t</w:t>
      </w:r>
      <w:r w:rsidRPr="6B34F37B">
        <w:rPr>
          <w:rFonts w:cs="Calibri"/>
        </w:rPr>
        <w:t xml:space="preserve">able </w:t>
      </w:r>
      <w:r w:rsidRPr="6B34F37B" w:rsidR="006447C1">
        <w:rPr>
          <w:rFonts w:cs="Calibri"/>
        </w:rPr>
        <w:t>8</w:t>
      </w:r>
      <w:r w:rsidRPr="6B34F37B">
        <w:rPr>
          <w:rFonts w:cs="Calibri"/>
        </w:rPr>
        <w:t xml:space="preserve">. </w:t>
      </w:r>
    </w:p>
    <w:p w:rsidRPr="00EF548C" w:rsidR="00911028" w:rsidP="007837C8" w:rsidRDefault="006E6FF0" w14:paraId="5659867A" w14:textId="57D04907">
      <w:pPr>
        <w:spacing w:after="80"/>
        <w:rPr>
          <w:rFonts w:cs="Calibri" w:eastAsiaTheme="minorEastAsia"/>
          <w:b/>
          <w:bCs/>
          <w:i/>
          <w:iCs/>
        </w:rPr>
      </w:pPr>
      <w:r w:rsidRPr="00EF548C">
        <w:rPr>
          <w:rFonts w:cs="Calibri" w:eastAsiaTheme="minorEastAsia"/>
          <w:b/>
          <w:bCs/>
          <w:i/>
          <w:iCs/>
        </w:rPr>
        <w:t xml:space="preserve">Table </w:t>
      </w:r>
      <w:r w:rsidRPr="00EF548C" w:rsidR="006447C1">
        <w:rPr>
          <w:rFonts w:cs="Calibri" w:eastAsiaTheme="minorEastAsia"/>
          <w:b/>
          <w:bCs/>
          <w:i/>
          <w:iCs/>
        </w:rPr>
        <w:t>8</w:t>
      </w:r>
      <w:r w:rsidRPr="00EF548C">
        <w:rPr>
          <w:rFonts w:cs="Calibri" w:eastAsiaTheme="minorEastAsia"/>
          <w:b/>
          <w:bCs/>
          <w:i/>
          <w:iCs/>
        </w:rPr>
        <w:t xml:space="preserve">: </w:t>
      </w:r>
      <w:r w:rsidRPr="00EF548C" w:rsidR="50636485">
        <w:rPr>
          <w:rFonts w:cs="Calibri" w:eastAsiaTheme="minorEastAsia"/>
          <w:b/>
          <w:bCs/>
          <w:i/>
          <w:iCs/>
        </w:rPr>
        <w:t>Weighted late payment</w:t>
      </w:r>
      <w:r w:rsidRPr="00EF548C">
        <w:rPr>
          <w:rFonts w:cs="Calibri" w:eastAsiaTheme="minorEastAsia"/>
          <w:b/>
          <w:bCs/>
          <w:i/>
          <w:iCs/>
        </w:rPr>
        <w:t xml:space="preserve"> history </w:t>
      </w:r>
      <w:r w:rsidRPr="00EF548C" w:rsidR="00792790">
        <w:rPr>
          <w:rFonts w:cs="Calibri" w:eastAsiaTheme="minorEastAsia"/>
          <w:b/>
          <w:bCs/>
          <w:i/>
          <w:iCs/>
        </w:rPr>
        <w:t>risk</w:t>
      </w:r>
      <w:r w:rsidRPr="00EF548C">
        <w:rPr>
          <w:rFonts w:cs="Calibri" w:eastAsiaTheme="minorEastAsia"/>
          <w:b/>
          <w:bCs/>
          <w:i/>
          <w:iCs/>
        </w:rPr>
        <w:t xml:space="preserve"> factor value</w:t>
      </w:r>
      <w:r w:rsidRPr="00EF548C" w:rsidR="00BE1FEB">
        <w:rPr>
          <w:rFonts w:cs="Calibri" w:eastAsiaTheme="minorEastAsia"/>
          <w:b/>
          <w:bCs/>
          <w:i/>
          <w:iCs/>
        </w:rPr>
        <w:t>s</w:t>
      </w:r>
    </w:p>
    <w:tbl>
      <w:tblPr>
        <w:tblW w:w="4950" w:type="pct"/>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tblLook w:val="04A0" w:firstRow="1" w:lastRow="0" w:firstColumn="1" w:lastColumn="0" w:noHBand="0" w:noVBand="1"/>
      </w:tblPr>
      <w:tblGrid>
        <w:gridCol w:w="6941"/>
        <w:gridCol w:w="1985"/>
      </w:tblGrid>
      <w:tr w:rsidRPr="00A50BC0" w:rsidR="00BF549B" w:rsidTr="00FC47F8" w14:paraId="280F6018" w14:textId="77777777">
        <w:trPr>
          <w:trHeight w:val="684"/>
          <w:tblHeader/>
        </w:trPr>
        <w:tc>
          <w:tcPr>
            <w:tcW w:w="3888" w:type="pct"/>
            <w:shd w:val="clear" w:color="auto" w:fill="367079"/>
            <w:vAlign w:val="center"/>
            <w:hideMark/>
          </w:tcPr>
          <w:p w:rsidRPr="00A50BC0" w:rsidR="00BF549B" w:rsidRDefault="00BF549B" w14:paraId="275FCBBC" w14:textId="77777777">
            <w:pPr>
              <w:spacing w:after="0"/>
              <w:jc w:val="center"/>
              <w:rPr>
                <w:b/>
                <w:bCs/>
              </w:rPr>
            </w:pPr>
            <w:r>
              <w:rPr>
                <w:rFonts w:cs="Calibri"/>
                <w:b/>
                <w:bCs/>
                <w:color w:val="FFFFFF" w:themeColor="background1"/>
              </w:rPr>
              <w:t>C</w:t>
            </w:r>
            <w:r w:rsidRPr="00A50BC0">
              <w:rPr>
                <w:rFonts w:cs="Calibri"/>
                <w:b/>
                <w:bCs/>
                <w:color w:val="FFFFFF" w:themeColor="background1"/>
              </w:rPr>
              <w:t xml:space="preserve">ategory </w:t>
            </w:r>
          </w:p>
        </w:tc>
        <w:tc>
          <w:tcPr>
            <w:tcW w:w="1112" w:type="pct"/>
            <w:shd w:val="clear" w:color="auto" w:fill="367079"/>
            <w:vAlign w:val="center"/>
            <w:hideMark/>
          </w:tcPr>
          <w:p w:rsidRPr="00A50BC0" w:rsidR="00BF549B" w:rsidRDefault="00BF549B" w14:paraId="2117C5E3" w14:textId="240B2A8F">
            <w:pPr>
              <w:spacing w:after="0"/>
              <w:jc w:val="center"/>
              <w:rPr>
                <w:rFonts w:cs="Calibri"/>
                <w:b/>
                <w:bCs/>
                <w:color w:val="FFFFFF" w:themeColor="background1"/>
              </w:rPr>
            </w:pPr>
            <w:r w:rsidRPr="00A50BC0">
              <w:rPr>
                <w:rFonts w:cs="Calibri"/>
                <w:b/>
                <w:bCs/>
                <w:color w:val="FFFFFF" w:themeColor="background1"/>
              </w:rPr>
              <w:t>2026 risk factor value</w:t>
            </w:r>
          </w:p>
        </w:tc>
      </w:tr>
      <w:tr w:rsidRPr="0076106B" w:rsidR="00E42FD0" w:rsidTr="00FC47F8" w14:paraId="32B7234A" w14:textId="77777777">
        <w:tblPrEx>
          <w:tblCellMar>
            <w:left w:w="0" w:type="dxa"/>
            <w:right w:w="0" w:type="dxa"/>
          </w:tblCellMar>
          <w:tblLook w:val="0420" w:firstRow="1" w:lastRow="0" w:firstColumn="0" w:lastColumn="0" w:noHBand="0" w:noVBand="1"/>
        </w:tblPrEx>
        <w:trPr>
          <w:trHeight w:val="173"/>
        </w:trPr>
        <w:tc>
          <w:tcPr>
            <w:tcW w:w="3888" w:type="pct"/>
            <w:tcBorders>
              <w:top w:val="nil"/>
            </w:tcBorders>
            <w:shd w:val="clear" w:color="auto" w:fill="D9ECEE"/>
            <w:tcMar>
              <w:top w:w="72" w:type="dxa"/>
              <w:left w:w="144" w:type="dxa"/>
              <w:bottom w:w="72" w:type="dxa"/>
              <w:right w:w="144" w:type="dxa"/>
            </w:tcMar>
            <w:vAlign w:val="center"/>
            <w:hideMark/>
          </w:tcPr>
          <w:p w:rsidRPr="0076106B" w:rsidR="00521130" w:rsidP="00A158EB" w:rsidRDefault="00521130" w14:paraId="382BD0DA" w14:textId="77777777">
            <w:pPr>
              <w:spacing w:after="0"/>
              <w:rPr>
                <w:rFonts w:cs="Calibri"/>
              </w:rPr>
            </w:pPr>
            <w:r w:rsidRPr="0076106B">
              <w:rPr>
                <w:rFonts w:cs="Calibri"/>
              </w:rPr>
              <w:t>Weighted late payment measure of 30 days or more</w:t>
            </w:r>
          </w:p>
        </w:tc>
        <w:tc>
          <w:tcPr>
            <w:tcW w:w="1112" w:type="pct"/>
            <w:tcBorders>
              <w:top w:val="nil"/>
            </w:tcBorders>
            <w:shd w:val="clear" w:color="auto" w:fill="D9ECEE"/>
            <w:tcMar>
              <w:top w:w="72" w:type="dxa"/>
              <w:left w:w="144" w:type="dxa"/>
              <w:bottom w:w="72" w:type="dxa"/>
              <w:right w:w="144" w:type="dxa"/>
            </w:tcMar>
            <w:vAlign w:val="center"/>
            <w:hideMark/>
          </w:tcPr>
          <w:p w:rsidRPr="0076106B" w:rsidR="00521130" w:rsidP="00917A84" w:rsidRDefault="00521130" w14:paraId="03F81F14" w14:textId="77777777">
            <w:pPr>
              <w:spacing w:after="0"/>
              <w:jc w:val="center"/>
              <w:rPr>
                <w:rFonts w:cs="Calibri"/>
              </w:rPr>
            </w:pPr>
            <w:r w:rsidRPr="0076106B">
              <w:rPr>
                <w:rFonts w:cs="Calibri"/>
              </w:rPr>
              <w:t>2.0</w:t>
            </w:r>
          </w:p>
        </w:tc>
      </w:tr>
      <w:tr w:rsidRPr="0076106B" w:rsidR="000D495F" w:rsidTr="00BF549B" w14:paraId="1C89F3F7" w14:textId="77777777">
        <w:tblPrEx>
          <w:tblCellMar>
            <w:left w:w="0" w:type="dxa"/>
            <w:right w:w="0" w:type="dxa"/>
          </w:tblCellMar>
          <w:tblLook w:val="0420" w:firstRow="1" w:lastRow="0" w:firstColumn="0" w:lastColumn="0" w:noHBand="0" w:noVBand="1"/>
        </w:tblPrEx>
        <w:trPr>
          <w:trHeight w:val="20"/>
        </w:trPr>
        <w:tc>
          <w:tcPr>
            <w:tcW w:w="3888" w:type="pct"/>
            <w:tcMar>
              <w:top w:w="72" w:type="dxa"/>
              <w:left w:w="144" w:type="dxa"/>
              <w:bottom w:w="72" w:type="dxa"/>
              <w:right w:w="144" w:type="dxa"/>
            </w:tcMar>
            <w:vAlign w:val="center"/>
            <w:hideMark/>
          </w:tcPr>
          <w:p w:rsidRPr="0076106B" w:rsidR="00521130" w:rsidP="00A158EB" w:rsidRDefault="00521130" w14:paraId="2424D57E" w14:textId="77777777">
            <w:pPr>
              <w:spacing w:after="0"/>
              <w:rPr>
                <w:rFonts w:cs="Calibri"/>
              </w:rPr>
            </w:pPr>
            <w:r w:rsidRPr="0076106B">
              <w:rPr>
                <w:rFonts w:cs="Calibri"/>
              </w:rPr>
              <w:t>Weighted late payment measure of 15 days or more but less than 30 days</w:t>
            </w:r>
          </w:p>
        </w:tc>
        <w:tc>
          <w:tcPr>
            <w:tcW w:w="1112" w:type="pct"/>
            <w:tcMar>
              <w:top w:w="72" w:type="dxa"/>
              <w:left w:w="144" w:type="dxa"/>
              <w:bottom w:w="72" w:type="dxa"/>
              <w:right w:w="144" w:type="dxa"/>
            </w:tcMar>
            <w:vAlign w:val="center"/>
            <w:hideMark/>
          </w:tcPr>
          <w:p w:rsidRPr="0076106B" w:rsidR="00521130" w:rsidP="00917A84" w:rsidRDefault="00521130" w14:paraId="341F0FCD" w14:textId="77777777">
            <w:pPr>
              <w:spacing w:after="0"/>
              <w:jc w:val="center"/>
              <w:rPr>
                <w:rFonts w:cs="Calibri"/>
              </w:rPr>
            </w:pPr>
            <w:r w:rsidRPr="0076106B">
              <w:rPr>
                <w:rFonts w:cs="Calibri"/>
              </w:rPr>
              <w:t>0.9</w:t>
            </w:r>
          </w:p>
        </w:tc>
      </w:tr>
      <w:tr w:rsidRPr="0076106B" w:rsidR="00E42FD0" w:rsidTr="00BF549B" w14:paraId="0DA5C7A4" w14:textId="77777777">
        <w:tblPrEx>
          <w:tblCellMar>
            <w:left w:w="0" w:type="dxa"/>
            <w:right w:w="0" w:type="dxa"/>
          </w:tblCellMar>
          <w:tblLook w:val="0420" w:firstRow="1" w:lastRow="0" w:firstColumn="0" w:lastColumn="0" w:noHBand="0" w:noVBand="1"/>
        </w:tblPrEx>
        <w:trPr>
          <w:trHeight w:val="20"/>
        </w:trPr>
        <w:tc>
          <w:tcPr>
            <w:tcW w:w="3888" w:type="pct"/>
            <w:shd w:val="clear" w:color="auto" w:fill="D9ECEE"/>
            <w:tcMar>
              <w:top w:w="72" w:type="dxa"/>
              <w:left w:w="144" w:type="dxa"/>
              <w:bottom w:w="72" w:type="dxa"/>
              <w:right w:w="144" w:type="dxa"/>
            </w:tcMar>
            <w:vAlign w:val="center"/>
            <w:hideMark/>
          </w:tcPr>
          <w:p w:rsidRPr="0076106B" w:rsidR="00521130" w:rsidP="00A158EB" w:rsidRDefault="00521130" w14:paraId="5EEDF9D9" w14:textId="77777777">
            <w:pPr>
              <w:spacing w:after="0"/>
              <w:rPr>
                <w:rFonts w:cs="Calibri"/>
              </w:rPr>
            </w:pPr>
            <w:r w:rsidRPr="0076106B">
              <w:rPr>
                <w:rFonts w:cs="Calibri"/>
              </w:rPr>
              <w:t>Weighted late payment measure of 1 day or more but less than 15 days</w:t>
            </w:r>
          </w:p>
        </w:tc>
        <w:tc>
          <w:tcPr>
            <w:tcW w:w="1112" w:type="pct"/>
            <w:shd w:val="clear" w:color="auto" w:fill="D9ECEE"/>
            <w:tcMar>
              <w:top w:w="72" w:type="dxa"/>
              <w:left w:w="144" w:type="dxa"/>
              <w:bottom w:w="72" w:type="dxa"/>
              <w:right w:w="144" w:type="dxa"/>
            </w:tcMar>
            <w:vAlign w:val="center"/>
            <w:hideMark/>
          </w:tcPr>
          <w:p w:rsidRPr="0076106B" w:rsidR="00521130" w:rsidP="00917A84" w:rsidRDefault="00521130" w14:paraId="6A96ED38" w14:textId="5DBB70E0">
            <w:pPr>
              <w:spacing w:after="0"/>
              <w:jc w:val="center"/>
              <w:rPr>
                <w:rFonts w:cs="Calibri"/>
              </w:rPr>
            </w:pPr>
            <w:r w:rsidRPr="0076106B">
              <w:rPr>
                <w:rFonts w:cs="Calibri"/>
              </w:rPr>
              <w:t>0.7</w:t>
            </w:r>
          </w:p>
        </w:tc>
      </w:tr>
      <w:tr w:rsidRPr="0076106B" w:rsidR="00E42FD0" w:rsidTr="00BF549B" w14:paraId="0182F54C" w14:textId="77777777">
        <w:tblPrEx>
          <w:tblCellMar>
            <w:left w:w="0" w:type="dxa"/>
            <w:right w:w="0" w:type="dxa"/>
          </w:tblCellMar>
          <w:tblLook w:val="0420" w:firstRow="1" w:lastRow="0" w:firstColumn="0" w:lastColumn="0" w:noHBand="0" w:noVBand="1"/>
        </w:tblPrEx>
        <w:trPr>
          <w:trHeight w:val="20"/>
        </w:trPr>
        <w:tc>
          <w:tcPr>
            <w:tcW w:w="3888" w:type="pct"/>
            <w:tcMar>
              <w:top w:w="72" w:type="dxa"/>
              <w:left w:w="144" w:type="dxa"/>
              <w:bottom w:w="72" w:type="dxa"/>
              <w:right w:w="144" w:type="dxa"/>
            </w:tcMar>
            <w:vAlign w:val="center"/>
            <w:hideMark/>
          </w:tcPr>
          <w:p w:rsidRPr="0076106B" w:rsidR="00521130" w:rsidP="00A158EB" w:rsidRDefault="00521130" w14:paraId="146032F3" w14:textId="77777777">
            <w:pPr>
              <w:spacing w:after="0"/>
              <w:rPr>
                <w:rFonts w:cs="Calibri"/>
              </w:rPr>
            </w:pPr>
            <w:r w:rsidRPr="0076106B">
              <w:rPr>
                <w:rFonts w:cs="Calibri"/>
              </w:rPr>
              <w:t>Weighted late payment measure of less than 1 day</w:t>
            </w:r>
          </w:p>
        </w:tc>
        <w:tc>
          <w:tcPr>
            <w:tcW w:w="1112" w:type="pct"/>
            <w:tcMar>
              <w:top w:w="72" w:type="dxa"/>
              <w:left w:w="144" w:type="dxa"/>
              <w:bottom w:w="72" w:type="dxa"/>
              <w:right w:w="144" w:type="dxa"/>
            </w:tcMar>
            <w:vAlign w:val="center"/>
            <w:hideMark/>
          </w:tcPr>
          <w:p w:rsidRPr="0076106B" w:rsidR="00521130" w:rsidP="00917A84" w:rsidRDefault="00521130" w14:paraId="498F5A56" w14:textId="77777777">
            <w:pPr>
              <w:spacing w:after="0"/>
              <w:jc w:val="center"/>
              <w:rPr>
                <w:rFonts w:cs="Calibri"/>
              </w:rPr>
            </w:pPr>
            <w:r w:rsidRPr="0076106B">
              <w:rPr>
                <w:rFonts w:cs="Calibri"/>
              </w:rPr>
              <w:t>0.0</w:t>
            </w:r>
          </w:p>
        </w:tc>
      </w:tr>
    </w:tbl>
    <w:p w:rsidR="0086338A" w:rsidP="0086338A" w:rsidRDefault="0086338A" w14:paraId="6C5739E2" w14:textId="651EE1F6">
      <w:pPr>
        <w:spacing w:before="160" w:after="0"/>
        <w:rPr>
          <w:rFonts w:cs="Calibri"/>
        </w:rPr>
      </w:pPr>
      <w:r w:rsidRPr="6B34F37B">
        <w:rPr>
          <w:rFonts w:cs="Calibri"/>
        </w:rPr>
        <w:t xml:space="preserve">To calculate the </w:t>
      </w:r>
      <w:r w:rsidR="00770525">
        <w:rPr>
          <w:rFonts w:cs="Calibri"/>
        </w:rPr>
        <w:t>registration renewal</w:t>
      </w:r>
      <w:r w:rsidRPr="6B34F37B">
        <w:rPr>
          <w:rFonts w:cs="Calibri"/>
        </w:rPr>
        <w:t xml:space="preserve"> risk factor value</w:t>
      </w:r>
      <w:r w:rsidR="00D74279">
        <w:rPr>
          <w:rFonts w:cs="Calibri"/>
        </w:rPr>
        <w:t>s</w:t>
      </w:r>
      <w:r w:rsidRPr="6B34F37B">
        <w:rPr>
          <w:rFonts w:cs="Calibri"/>
        </w:rPr>
        <w:t>, follow these steps:</w:t>
      </w:r>
    </w:p>
    <w:p w:rsidR="00770525" w:rsidP="00AD5AE4" w:rsidRDefault="002F2DD1" w14:paraId="79CF4507" w14:textId="60998AF4">
      <w:pPr>
        <w:pStyle w:val="ListParagraph"/>
        <w:numPr>
          <w:ilvl w:val="0"/>
          <w:numId w:val="35"/>
        </w:numPr>
        <w:spacing w:before="160" w:after="0"/>
        <w:rPr>
          <w:rFonts w:cs="Calibri"/>
        </w:rPr>
      </w:pPr>
      <w:r>
        <w:rPr>
          <w:rFonts w:cs="Calibri"/>
        </w:rPr>
        <w:t xml:space="preserve">Identify </w:t>
      </w:r>
      <w:r w:rsidR="004A2362">
        <w:rPr>
          <w:rFonts w:cs="Calibri"/>
        </w:rPr>
        <w:t>registration renewal</w:t>
      </w:r>
      <w:r w:rsidR="00F65371">
        <w:rPr>
          <w:rFonts w:cs="Calibri"/>
        </w:rPr>
        <w:t xml:space="preserve"> risk factor</w:t>
      </w:r>
      <w:r w:rsidR="004A2362">
        <w:rPr>
          <w:rFonts w:cs="Calibri"/>
        </w:rPr>
        <w:t xml:space="preserve"> </w:t>
      </w:r>
      <w:r w:rsidR="00F65371">
        <w:rPr>
          <w:rFonts w:cs="Calibri"/>
        </w:rPr>
        <w:t>as per table 9 below.</w:t>
      </w:r>
    </w:p>
    <w:p w:rsidRPr="00114B2C" w:rsidR="00114B2C" w:rsidP="00560DFE" w:rsidRDefault="00114B2C" w14:paraId="1C2FFA1E" w14:textId="77777777">
      <w:pPr>
        <w:spacing w:before="160" w:after="0"/>
        <w:rPr>
          <w:rFonts w:cs="Calibri"/>
        </w:rPr>
      </w:pPr>
    </w:p>
    <w:p w:rsidRPr="00FC5C50" w:rsidR="00D24F42" w:rsidP="007837C8" w:rsidRDefault="00D24F42" w14:paraId="431701B2" w14:textId="79645159">
      <w:pPr>
        <w:spacing w:after="80"/>
        <w:rPr>
          <w:rFonts w:cs="Calibri"/>
          <w:b/>
          <w:bCs/>
          <w:i/>
          <w:iCs/>
        </w:rPr>
      </w:pPr>
      <w:r w:rsidRPr="00FC5C50">
        <w:rPr>
          <w:rFonts w:cs="Calibri"/>
          <w:b/>
          <w:bCs/>
          <w:i/>
          <w:iCs/>
        </w:rPr>
        <w:t xml:space="preserve">Table </w:t>
      </w:r>
      <w:r w:rsidRPr="00FC5C50" w:rsidR="006447C1">
        <w:rPr>
          <w:rFonts w:cs="Calibri"/>
          <w:b/>
          <w:bCs/>
          <w:i/>
          <w:iCs/>
        </w:rPr>
        <w:t>9</w:t>
      </w:r>
      <w:r w:rsidRPr="00FC5C50">
        <w:rPr>
          <w:rFonts w:cs="Calibri"/>
          <w:b/>
          <w:bCs/>
          <w:i/>
          <w:iCs/>
        </w:rPr>
        <w:t xml:space="preserve">: Registration renewal </w:t>
      </w:r>
      <w:r w:rsidRPr="00FC5C50" w:rsidR="00792790">
        <w:rPr>
          <w:rFonts w:cs="Calibri"/>
          <w:b/>
          <w:bCs/>
          <w:i/>
          <w:iCs/>
        </w:rPr>
        <w:t>risk</w:t>
      </w:r>
      <w:r w:rsidRPr="00FC5C50">
        <w:rPr>
          <w:rFonts w:cs="Calibri"/>
          <w:b/>
          <w:bCs/>
          <w:i/>
          <w:iCs/>
        </w:rPr>
        <w:t xml:space="preserve"> factor value</w:t>
      </w:r>
      <w:r w:rsidRPr="00FC5C50" w:rsidR="00BE1FEB">
        <w:rPr>
          <w:rFonts w:cs="Calibri"/>
          <w:b/>
          <w:bCs/>
          <w:i/>
          <w:iCs/>
        </w:rPr>
        <w:t>s</w:t>
      </w:r>
    </w:p>
    <w:tbl>
      <w:tblPr>
        <w:tblW w:w="4950" w:type="pct"/>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tblLook w:val="04A0" w:firstRow="1" w:lastRow="0" w:firstColumn="1" w:lastColumn="0" w:noHBand="0" w:noVBand="1"/>
      </w:tblPr>
      <w:tblGrid>
        <w:gridCol w:w="6941"/>
        <w:gridCol w:w="1985"/>
      </w:tblGrid>
      <w:tr w:rsidRPr="00AD1135" w:rsidR="005A687A" w:rsidTr="6B34F37B" w14:paraId="34A29A55" w14:textId="77777777">
        <w:trPr>
          <w:trHeight w:val="684"/>
        </w:trPr>
        <w:tc>
          <w:tcPr>
            <w:tcW w:w="3888" w:type="pct"/>
            <w:shd w:val="clear" w:color="auto" w:fill="367079"/>
            <w:vAlign w:val="center"/>
            <w:hideMark/>
          </w:tcPr>
          <w:p w:rsidRPr="00FC47F8" w:rsidR="005A687A" w:rsidP="6B34F37B" w:rsidRDefault="0299BDFA" w14:paraId="26AE53AD" w14:textId="576A4270">
            <w:pPr>
              <w:spacing w:after="0"/>
              <w:jc w:val="center"/>
              <w:rPr>
                <w:rFonts w:cs="Calibri"/>
                <w:b/>
                <w:bCs/>
                <w:color w:val="FFFFFF" w:themeColor="background1"/>
              </w:rPr>
            </w:pPr>
            <w:r w:rsidRPr="00FC47F8">
              <w:rPr>
                <w:rFonts w:cs="Calibri"/>
                <w:b/>
                <w:bCs/>
                <w:color w:val="FFFFFF" w:themeColor="background1"/>
              </w:rPr>
              <w:t>C</w:t>
            </w:r>
            <w:r w:rsidRPr="00FC47F8" w:rsidR="123F0EE3">
              <w:rPr>
                <w:rFonts w:cs="Calibri"/>
                <w:b/>
                <w:bCs/>
                <w:color w:val="FFFFFF" w:themeColor="background1"/>
              </w:rPr>
              <w:t>ategory</w:t>
            </w:r>
          </w:p>
        </w:tc>
        <w:tc>
          <w:tcPr>
            <w:tcW w:w="1112" w:type="pct"/>
            <w:shd w:val="clear" w:color="auto" w:fill="367079"/>
            <w:vAlign w:val="center"/>
            <w:hideMark/>
          </w:tcPr>
          <w:p w:rsidRPr="00FC47F8" w:rsidR="005A687A" w:rsidP="00A158EB" w:rsidRDefault="005A687A" w14:paraId="08CCD20B" w14:textId="4B92E72B">
            <w:pPr>
              <w:spacing w:after="0"/>
              <w:jc w:val="center"/>
              <w:rPr>
                <w:rFonts w:cs="Calibri"/>
                <w:b/>
                <w:bCs/>
                <w:color w:val="FFFFFF" w:themeColor="background1"/>
              </w:rPr>
            </w:pPr>
            <w:r w:rsidRPr="00FC47F8">
              <w:rPr>
                <w:rFonts w:cs="Calibri"/>
                <w:b/>
                <w:bCs/>
                <w:color w:val="FFFFFF" w:themeColor="background1"/>
              </w:rPr>
              <w:t>202</w:t>
            </w:r>
            <w:r w:rsidR="00AD1135">
              <w:rPr>
                <w:rFonts w:cs="Calibri"/>
                <w:b/>
                <w:bCs/>
                <w:color w:val="FFFFFF" w:themeColor="background1"/>
              </w:rPr>
              <w:t>6</w:t>
            </w:r>
            <w:r w:rsidRPr="00FC47F8">
              <w:rPr>
                <w:rFonts w:cs="Calibri"/>
                <w:b/>
                <w:bCs/>
                <w:color w:val="FFFFFF" w:themeColor="background1"/>
              </w:rPr>
              <w:t xml:space="preserve"> </w:t>
            </w:r>
            <w:r w:rsidRPr="00FC47F8" w:rsidR="00792790">
              <w:rPr>
                <w:rFonts w:cs="Calibri"/>
                <w:b/>
                <w:bCs/>
                <w:color w:val="FFFFFF" w:themeColor="background1"/>
              </w:rPr>
              <w:t>risk</w:t>
            </w:r>
            <w:r w:rsidRPr="00FC47F8">
              <w:rPr>
                <w:rFonts w:cs="Calibri"/>
                <w:b/>
                <w:bCs/>
                <w:color w:val="FFFFFF" w:themeColor="background1"/>
              </w:rPr>
              <w:br/>
            </w:r>
            <w:r w:rsidRPr="00FC47F8">
              <w:rPr>
                <w:rFonts w:cs="Calibri"/>
                <w:b/>
                <w:bCs/>
                <w:color w:val="FFFFFF" w:themeColor="background1"/>
              </w:rPr>
              <w:t xml:space="preserve"> factor</w:t>
            </w:r>
            <w:r w:rsidRPr="00FC47F8" w:rsidR="00BE1FEB">
              <w:rPr>
                <w:rFonts w:cs="Calibri"/>
                <w:b/>
                <w:bCs/>
                <w:color w:val="FFFFFF" w:themeColor="background1"/>
              </w:rPr>
              <w:t xml:space="preserve"> values</w:t>
            </w:r>
          </w:p>
        </w:tc>
      </w:tr>
      <w:tr w:rsidRPr="0076106B" w:rsidR="005A687A" w:rsidTr="6B34F37B" w14:paraId="436DBC3A" w14:textId="77777777">
        <w:trPr>
          <w:trHeight w:val="454"/>
        </w:trPr>
        <w:tc>
          <w:tcPr>
            <w:tcW w:w="3888" w:type="pct"/>
            <w:shd w:val="clear" w:color="auto" w:fill="D8EBEE"/>
            <w:vAlign w:val="center"/>
            <w:hideMark/>
          </w:tcPr>
          <w:p w:rsidRPr="0076106B" w:rsidR="005A687A" w:rsidP="00A158EB" w:rsidRDefault="00526EBE" w14:paraId="5D077A68" w14:textId="1FB727B1">
            <w:pPr>
              <w:spacing w:after="0"/>
              <w:rPr>
                <w:rFonts w:cs="Calibri"/>
              </w:rPr>
            </w:pPr>
            <w:r w:rsidRPr="0076106B">
              <w:rPr>
                <w:rFonts w:cs="Calibri"/>
              </w:rPr>
              <w:t>Registration renewed by regulator for shorter than maximum period due to risk management</w:t>
            </w:r>
          </w:p>
        </w:tc>
        <w:tc>
          <w:tcPr>
            <w:tcW w:w="1112" w:type="pct"/>
            <w:shd w:val="clear" w:color="auto" w:fill="D8EBEE"/>
            <w:vAlign w:val="center"/>
            <w:hideMark/>
          </w:tcPr>
          <w:p w:rsidRPr="0076106B" w:rsidR="005A687A" w:rsidP="00A158EB" w:rsidRDefault="005A687A" w14:paraId="02EFC539" w14:textId="77777777">
            <w:pPr>
              <w:spacing w:after="0"/>
              <w:jc w:val="center"/>
              <w:rPr>
                <w:rFonts w:cs="Calibri"/>
              </w:rPr>
            </w:pPr>
            <w:r w:rsidRPr="0076106B">
              <w:rPr>
                <w:rFonts w:cs="Calibri"/>
              </w:rPr>
              <w:t>1.0</w:t>
            </w:r>
          </w:p>
        </w:tc>
      </w:tr>
      <w:tr w:rsidRPr="0076106B" w:rsidR="005A687A" w:rsidTr="6B34F37B" w14:paraId="29F33484" w14:textId="77777777">
        <w:trPr>
          <w:trHeight w:val="454"/>
        </w:trPr>
        <w:tc>
          <w:tcPr>
            <w:tcW w:w="3888" w:type="pct"/>
            <w:vAlign w:val="center"/>
            <w:hideMark/>
          </w:tcPr>
          <w:p w:rsidRPr="0076106B" w:rsidR="005A687A" w:rsidP="00A158EB" w:rsidRDefault="005A687A" w14:paraId="63DAD077" w14:textId="69BB7C3B">
            <w:pPr>
              <w:spacing w:after="0"/>
              <w:rPr>
                <w:rFonts w:cs="Calibri"/>
              </w:rPr>
            </w:pPr>
            <w:r w:rsidRPr="0076106B">
              <w:rPr>
                <w:rFonts w:cs="Calibri"/>
              </w:rPr>
              <w:t>For registration periods equal to the maximum allowable</w:t>
            </w:r>
            <w:r w:rsidRPr="0076106B" w:rsidR="00622925">
              <w:rPr>
                <w:rFonts w:cs="Calibri"/>
              </w:rPr>
              <w:t xml:space="preserve"> </w:t>
            </w:r>
          </w:p>
        </w:tc>
        <w:tc>
          <w:tcPr>
            <w:tcW w:w="1112" w:type="pct"/>
            <w:vAlign w:val="center"/>
            <w:hideMark/>
          </w:tcPr>
          <w:p w:rsidRPr="0076106B" w:rsidR="005A687A" w:rsidP="00A158EB" w:rsidRDefault="005A687A" w14:paraId="5C7C5C71" w14:textId="77777777">
            <w:pPr>
              <w:spacing w:after="0"/>
              <w:jc w:val="center"/>
              <w:rPr>
                <w:rFonts w:cs="Calibri"/>
              </w:rPr>
            </w:pPr>
            <w:r w:rsidRPr="0076106B">
              <w:rPr>
                <w:rFonts w:cs="Calibri"/>
              </w:rPr>
              <w:t>0.0</w:t>
            </w:r>
          </w:p>
        </w:tc>
      </w:tr>
    </w:tbl>
    <w:p w:rsidR="008A368C" w:rsidP="008A368C" w:rsidRDefault="008A368C" w14:paraId="7584A64F" w14:textId="77777777">
      <w:pPr>
        <w:spacing w:after="0"/>
        <w:rPr>
          <w:rFonts w:cs="Calibri"/>
          <w:sz w:val="18"/>
          <w:szCs w:val="18"/>
        </w:rPr>
      </w:pPr>
      <w:r w:rsidRPr="0076106B">
        <w:rPr>
          <w:rFonts w:cs="Calibri"/>
          <w:sz w:val="18"/>
          <w:szCs w:val="18"/>
        </w:rPr>
        <w:t xml:space="preserve">Source: Informed by </w:t>
      </w:r>
      <w:r>
        <w:rPr>
          <w:rFonts w:cs="Calibri"/>
          <w:sz w:val="18"/>
          <w:szCs w:val="18"/>
        </w:rPr>
        <w:t xml:space="preserve">relevant </w:t>
      </w:r>
      <w:r w:rsidRPr="0076106B">
        <w:rPr>
          <w:rFonts w:cs="Calibri"/>
          <w:sz w:val="18"/>
          <w:szCs w:val="18"/>
        </w:rPr>
        <w:t xml:space="preserve">regulator </w:t>
      </w:r>
      <w:r>
        <w:rPr>
          <w:rFonts w:cs="Calibri"/>
          <w:sz w:val="18"/>
          <w:szCs w:val="18"/>
        </w:rPr>
        <w:t>through</w:t>
      </w:r>
      <w:r w:rsidRPr="0076106B">
        <w:rPr>
          <w:rFonts w:cs="Calibri"/>
          <w:sz w:val="18"/>
          <w:szCs w:val="18"/>
        </w:rPr>
        <w:t xml:space="preserve"> PRISMS</w:t>
      </w:r>
      <w:r>
        <w:rPr>
          <w:rFonts w:cs="Calibri"/>
          <w:sz w:val="18"/>
          <w:szCs w:val="18"/>
        </w:rPr>
        <w:t>.</w:t>
      </w:r>
    </w:p>
    <w:p w:rsidR="00F65371" w:rsidP="00BA5930" w:rsidRDefault="00F65371" w14:paraId="1C51FCD4" w14:textId="717E660A">
      <w:pPr>
        <w:spacing w:before="240"/>
        <w:rPr>
          <w:rFonts w:cs="Calibri"/>
        </w:rPr>
      </w:pPr>
      <w:r>
        <w:rPr>
          <w:rFonts w:cs="Calibri"/>
        </w:rPr>
        <w:t>To calculat</w:t>
      </w:r>
      <w:r w:rsidR="005E2267">
        <w:rPr>
          <w:rFonts w:cs="Calibri"/>
        </w:rPr>
        <w:t>e</w:t>
      </w:r>
      <w:r>
        <w:rPr>
          <w:rFonts w:cs="Calibri"/>
        </w:rPr>
        <w:t xml:space="preserve"> </w:t>
      </w:r>
      <w:r w:rsidR="00EE0C57">
        <w:rPr>
          <w:rFonts w:cs="Calibri"/>
        </w:rPr>
        <w:t xml:space="preserve">the </w:t>
      </w:r>
      <w:r w:rsidR="00D56E4C">
        <w:rPr>
          <w:rFonts w:cs="Calibri"/>
        </w:rPr>
        <w:t xml:space="preserve">compliance action taken </w:t>
      </w:r>
      <w:r w:rsidR="00D74279">
        <w:rPr>
          <w:rFonts w:cs="Calibri"/>
        </w:rPr>
        <w:t>risk factor value, follow th</w:t>
      </w:r>
      <w:r w:rsidR="00EE0C57">
        <w:rPr>
          <w:rFonts w:cs="Calibri"/>
        </w:rPr>
        <w:t>is step</w:t>
      </w:r>
      <w:r w:rsidR="00D74279">
        <w:rPr>
          <w:rFonts w:cs="Calibri"/>
        </w:rPr>
        <w:t>:</w:t>
      </w:r>
    </w:p>
    <w:p w:rsidRPr="00D74279" w:rsidR="00D74279" w:rsidP="00FC47F8" w:rsidRDefault="007C7D9B" w14:paraId="58A3151B" w14:textId="5161B614">
      <w:pPr>
        <w:pStyle w:val="ListParagraph"/>
        <w:numPr>
          <w:ilvl w:val="0"/>
          <w:numId w:val="36"/>
        </w:numPr>
        <w:spacing w:before="240"/>
        <w:rPr>
          <w:rFonts w:cs="Calibri"/>
        </w:rPr>
      </w:pPr>
      <w:r>
        <w:rPr>
          <w:rFonts w:cs="Calibri"/>
        </w:rPr>
        <w:t>Identify compliance</w:t>
      </w:r>
      <w:r w:rsidR="005662E1">
        <w:rPr>
          <w:rFonts w:cs="Calibri"/>
        </w:rPr>
        <w:t xml:space="preserve"> action </w:t>
      </w:r>
      <w:r w:rsidR="004C6CEF">
        <w:rPr>
          <w:rFonts w:cs="Calibri"/>
        </w:rPr>
        <w:t xml:space="preserve">taken under section 83 of the ESOS Act as per table 10 below. </w:t>
      </w:r>
    </w:p>
    <w:p w:rsidRPr="00F3218E" w:rsidR="009A6E51" w:rsidP="00A347CA" w:rsidRDefault="009A6E51" w14:paraId="690F8F1D" w14:textId="456A2771">
      <w:pPr>
        <w:keepNext/>
        <w:spacing w:after="80"/>
        <w:rPr>
          <w:rFonts w:cs="Calibri"/>
          <w:b/>
          <w:bCs/>
          <w:i/>
          <w:iCs/>
        </w:rPr>
      </w:pPr>
      <w:r w:rsidRPr="00D83A60">
        <w:rPr>
          <w:rFonts w:cs="Calibri"/>
          <w:b/>
          <w:bCs/>
          <w:i/>
          <w:iCs/>
        </w:rPr>
        <w:t xml:space="preserve">Table </w:t>
      </w:r>
      <w:r w:rsidR="00F3218E">
        <w:rPr>
          <w:rFonts w:cs="Calibri"/>
          <w:b/>
          <w:bCs/>
          <w:i/>
          <w:iCs/>
        </w:rPr>
        <w:t>10</w:t>
      </w:r>
      <w:r w:rsidRPr="00F3218E">
        <w:rPr>
          <w:rFonts w:cs="Calibri"/>
          <w:b/>
          <w:bCs/>
          <w:i/>
          <w:iCs/>
        </w:rPr>
        <w:t>: Compliance action taken under section 83 of the ESOS Act</w:t>
      </w:r>
    </w:p>
    <w:tbl>
      <w:tblPr>
        <w:tblW w:w="4950" w:type="pct"/>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tblLook w:val="04A0" w:firstRow="1" w:lastRow="0" w:firstColumn="1" w:lastColumn="0" w:noHBand="0" w:noVBand="1"/>
      </w:tblPr>
      <w:tblGrid>
        <w:gridCol w:w="6941"/>
        <w:gridCol w:w="1985"/>
      </w:tblGrid>
      <w:tr w:rsidRPr="00AD1135" w:rsidR="009A6E51" w:rsidTr="6B34F37B" w14:paraId="153DEA90" w14:textId="77777777">
        <w:trPr>
          <w:trHeight w:val="684"/>
        </w:trPr>
        <w:tc>
          <w:tcPr>
            <w:tcW w:w="3888" w:type="pct"/>
            <w:shd w:val="clear" w:color="auto" w:fill="367079"/>
            <w:vAlign w:val="center"/>
            <w:hideMark/>
          </w:tcPr>
          <w:p w:rsidRPr="00FC47F8" w:rsidR="009A6E51" w:rsidP="6B34F37B" w:rsidRDefault="001333BB" w14:paraId="766FDAC9" w14:textId="52B3B3C6">
            <w:pPr>
              <w:spacing w:after="0"/>
              <w:jc w:val="center"/>
              <w:rPr>
                <w:b/>
                <w:bCs/>
              </w:rPr>
            </w:pPr>
            <w:r>
              <w:rPr>
                <w:rFonts w:cs="Calibri"/>
                <w:b/>
                <w:bCs/>
                <w:color w:val="FFFFFF" w:themeColor="background1"/>
              </w:rPr>
              <w:t>C</w:t>
            </w:r>
            <w:r w:rsidRPr="00FC47F8" w:rsidR="3D760F91">
              <w:rPr>
                <w:rFonts w:cs="Calibri"/>
                <w:b/>
                <w:bCs/>
                <w:color w:val="FFFFFF" w:themeColor="background1"/>
              </w:rPr>
              <w:t xml:space="preserve">ategory </w:t>
            </w:r>
          </w:p>
        </w:tc>
        <w:tc>
          <w:tcPr>
            <w:tcW w:w="1112" w:type="pct"/>
            <w:shd w:val="clear" w:color="auto" w:fill="367079"/>
            <w:vAlign w:val="center"/>
            <w:hideMark/>
          </w:tcPr>
          <w:p w:rsidRPr="00FC47F8" w:rsidR="009A6E51" w:rsidP="00A158EB" w:rsidRDefault="009A6E51" w14:paraId="3C293E0A" w14:textId="5304A1E6">
            <w:pPr>
              <w:spacing w:after="0"/>
              <w:jc w:val="center"/>
              <w:rPr>
                <w:rFonts w:cs="Calibri"/>
                <w:b/>
                <w:bCs/>
                <w:color w:val="FFFFFF" w:themeColor="background1"/>
              </w:rPr>
            </w:pPr>
            <w:r w:rsidRPr="00FC47F8">
              <w:rPr>
                <w:rFonts w:cs="Calibri"/>
                <w:b/>
                <w:bCs/>
                <w:color w:val="FFFFFF" w:themeColor="background1"/>
              </w:rPr>
              <w:t>202</w:t>
            </w:r>
            <w:r w:rsidRPr="00FC47F8" w:rsidR="00AD1135">
              <w:rPr>
                <w:rFonts w:cs="Calibri"/>
                <w:b/>
                <w:bCs/>
                <w:color w:val="FFFFFF" w:themeColor="background1"/>
              </w:rPr>
              <w:t>6</w:t>
            </w:r>
            <w:r w:rsidRPr="00FC47F8">
              <w:rPr>
                <w:rFonts w:cs="Calibri"/>
                <w:b/>
                <w:bCs/>
                <w:color w:val="FFFFFF" w:themeColor="background1"/>
              </w:rPr>
              <w:t xml:space="preserve"> </w:t>
            </w:r>
            <w:r w:rsidRPr="00FC47F8" w:rsidR="00BE1FEB">
              <w:rPr>
                <w:rFonts w:cs="Calibri"/>
                <w:b/>
                <w:bCs/>
                <w:color w:val="FFFFFF" w:themeColor="background1"/>
              </w:rPr>
              <w:t xml:space="preserve">risk </w:t>
            </w:r>
            <w:r w:rsidRPr="00FC47F8" w:rsidR="00653E72">
              <w:rPr>
                <w:rFonts w:cs="Calibri"/>
                <w:b/>
                <w:bCs/>
                <w:color w:val="FFFFFF" w:themeColor="background1"/>
              </w:rPr>
              <w:t>factor</w:t>
            </w:r>
            <w:r w:rsidRPr="00FC47F8" w:rsidR="00BE1FEB">
              <w:rPr>
                <w:rFonts w:cs="Calibri"/>
                <w:b/>
                <w:bCs/>
                <w:color w:val="FFFFFF" w:themeColor="background1"/>
              </w:rPr>
              <w:t xml:space="preserve"> value</w:t>
            </w:r>
          </w:p>
        </w:tc>
      </w:tr>
      <w:tr w:rsidRPr="0076106B" w:rsidR="009A6E51" w:rsidTr="6B34F37B" w14:paraId="5BD27EF9" w14:textId="77777777">
        <w:trPr>
          <w:trHeight w:val="454"/>
        </w:trPr>
        <w:tc>
          <w:tcPr>
            <w:tcW w:w="3888" w:type="pct"/>
            <w:shd w:val="clear" w:color="auto" w:fill="D8EBEE"/>
            <w:vAlign w:val="center"/>
            <w:hideMark/>
          </w:tcPr>
          <w:p w:rsidRPr="0076106B" w:rsidR="009A6E51" w:rsidP="00A158EB" w:rsidRDefault="00D72C7A" w14:paraId="035C637E" w14:textId="47AFB3A0">
            <w:pPr>
              <w:spacing w:after="0"/>
              <w:rPr>
                <w:rFonts w:cs="Calibri"/>
              </w:rPr>
            </w:pPr>
            <w:r w:rsidRPr="0076106B">
              <w:rPr>
                <w:rFonts w:cs="Calibri"/>
              </w:rPr>
              <w:t>Had action mentioned in section 83 of the ESOS Act taken against it in 2024</w:t>
            </w:r>
          </w:p>
        </w:tc>
        <w:tc>
          <w:tcPr>
            <w:tcW w:w="1112" w:type="pct"/>
            <w:shd w:val="clear" w:color="auto" w:fill="D8EBEE"/>
            <w:vAlign w:val="center"/>
            <w:hideMark/>
          </w:tcPr>
          <w:p w:rsidRPr="0076106B" w:rsidR="009A6E51" w:rsidP="00A158EB" w:rsidRDefault="00D72C7A" w14:paraId="0A618FB3" w14:textId="629F5281">
            <w:pPr>
              <w:spacing w:after="0"/>
              <w:jc w:val="center"/>
              <w:rPr>
                <w:rFonts w:cs="Calibri"/>
              </w:rPr>
            </w:pPr>
            <w:r w:rsidRPr="0076106B">
              <w:rPr>
                <w:rFonts w:cs="Calibri"/>
              </w:rPr>
              <w:t>1.0</w:t>
            </w:r>
          </w:p>
        </w:tc>
      </w:tr>
    </w:tbl>
    <w:p w:rsidR="009A6E51" w:rsidP="00E42FD0" w:rsidRDefault="00D72C7A" w14:paraId="6EB193E1" w14:textId="7EC43C79">
      <w:pPr>
        <w:spacing w:after="0"/>
        <w:rPr>
          <w:rFonts w:cs="Calibri"/>
          <w:sz w:val="18"/>
          <w:szCs w:val="18"/>
        </w:rPr>
      </w:pPr>
      <w:r w:rsidRPr="6B34F37B">
        <w:rPr>
          <w:rFonts w:cs="Calibri"/>
          <w:sz w:val="18"/>
          <w:szCs w:val="18"/>
        </w:rPr>
        <w:t xml:space="preserve">Source: Informed by </w:t>
      </w:r>
      <w:r w:rsidRPr="6B34F37B" w:rsidR="0099729F">
        <w:rPr>
          <w:rFonts w:cs="Calibri"/>
          <w:sz w:val="18"/>
          <w:szCs w:val="18"/>
        </w:rPr>
        <w:t xml:space="preserve">relevant </w:t>
      </w:r>
      <w:r w:rsidRPr="6B34F37B">
        <w:rPr>
          <w:rFonts w:cs="Calibri"/>
          <w:sz w:val="18"/>
          <w:szCs w:val="18"/>
        </w:rPr>
        <w:t xml:space="preserve">regulator </w:t>
      </w:r>
      <w:r w:rsidRPr="6B34F37B" w:rsidR="00EA77E2">
        <w:rPr>
          <w:rFonts w:cs="Calibri"/>
          <w:sz w:val="18"/>
          <w:szCs w:val="18"/>
        </w:rPr>
        <w:t>through</w:t>
      </w:r>
      <w:r w:rsidRPr="6B34F37B">
        <w:rPr>
          <w:rFonts w:cs="Calibri"/>
          <w:sz w:val="18"/>
          <w:szCs w:val="18"/>
        </w:rPr>
        <w:t xml:space="preserve"> PRISMS</w:t>
      </w:r>
      <w:r w:rsidRPr="6B34F37B" w:rsidR="0099729F">
        <w:rPr>
          <w:rFonts w:cs="Calibri"/>
          <w:sz w:val="18"/>
          <w:szCs w:val="18"/>
        </w:rPr>
        <w:t>.</w:t>
      </w:r>
    </w:p>
    <w:p w:rsidR="00F47DBA" w:rsidP="00E42FD0" w:rsidRDefault="00F47DBA" w14:paraId="41AB435D" w14:textId="77777777">
      <w:pPr>
        <w:spacing w:after="0"/>
        <w:rPr>
          <w:rFonts w:cs="Calibri"/>
          <w:sz w:val="18"/>
          <w:szCs w:val="18"/>
        </w:rPr>
      </w:pPr>
    </w:p>
    <w:p w:rsidRPr="00FC47F8" w:rsidR="005E2267" w:rsidP="00F47DBA" w:rsidRDefault="005E2267" w14:paraId="43692628" w14:textId="39E029B8">
      <w:pPr>
        <w:keepNext/>
        <w:spacing w:after="80"/>
        <w:rPr>
          <w:rFonts w:cs="Calibri"/>
        </w:rPr>
      </w:pPr>
      <w:r w:rsidRPr="00FC47F8">
        <w:rPr>
          <w:rFonts w:cs="Calibri"/>
        </w:rPr>
        <w:t>To calculate</w:t>
      </w:r>
      <w:r>
        <w:rPr>
          <w:rFonts w:cs="Calibri"/>
        </w:rPr>
        <w:t xml:space="preserve"> </w:t>
      </w:r>
      <w:r w:rsidR="00EE0C57">
        <w:rPr>
          <w:rFonts w:cs="Calibri"/>
        </w:rPr>
        <w:t>the</w:t>
      </w:r>
      <w:r w:rsidRPr="00FC47F8">
        <w:rPr>
          <w:rFonts w:cs="Calibri"/>
        </w:rPr>
        <w:t xml:space="preserve"> student default risk factor value, follow th</w:t>
      </w:r>
      <w:r w:rsidR="00EE0C57">
        <w:rPr>
          <w:rFonts w:cs="Calibri"/>
        </w:rPr>
        <w:t>is step</w:t>
      </w:r>
      <w:r w:rsidRPr="00FC47F8">
        <w:rPr>
          <w:rFonts w:cs="Calibri"/>
        </w:rPr>
        <w:t xml:space="preserve">: </w:t>
      </w:r>
    </w:p>
    <w:p w:rsidRPr="005E2267" w:rsidR="005E2267" w:rsidP="00FC47F8" w:rsidRDefault="005E2267" w14:paraId="5D43DB47" w14:textId="532F33F9">
      <w:pPr>
        <w:pStyle w:val="ListParagraph"/>
        <w:keepNext/>
        <w:numPr>
          <w:ilvl w:val="0"/>
          <w:numId w:val="37"/>
        </w:numPr>
        <w:spacing w:after="80"/>
        <w:rPr>
          <w:rFonts w:cs="Calibri"/>
        </w:rPr>
      </w:pPr>
      <w:r w:rsidRPr="00FC47F8">
        <w:rPr>
          <w:rFonts w:cs="Calibri"/>
        </w:rPr>
        <w:t xml:space="preserve">Identify if student default </w:t>
      </w:r>
      <w:r w:rsidRPr="00C32F4B" w:rsidR="00C32F4B">
        <w:rPr>
          <w:rFonts w:cs="Calibri"/>
        </w:rPr>
        <w:t>occur</w:t>
      </w:r>
      <w:r w:rsidR="00C32F4B">
        <w:rPr>
          <w:rFonts w:cs="Calibri"/>
        </w:rPr>
        <w:t>red</w:t>
      </w:r>
      <w:r w:rsidRPr="00FC47F8">
        <w:rPr>
          <w:rFonts w:cs="Calibri"/>
        </w:rPr>
        <w:t xml:space="preserve"> where a refund amount was paid by the TPS Direct</w:t>
      </w:r>
      <w:r w:rsidR="00C32F4B">
        <w:rPr>
          <w:rFonts w:cs="Calibri"/>
        </w:rPr>
        <w:t>or</w:t>
      </w:r>
      <w:r w:rsidRPr="00FC47F8">
        <w:rPr>
          <w:rFonts w:cs="Calibri"/>
        </w:rPr>
        <w:t xml:space="preserve"> in previous calendar year</w:t>
      </w:r>
      <w:r w:rsidR="00C32F4B">
        <w:rPr>
          <w:rFonts w:cs="Calibri"/>
        </w:rPr>
        <w:t xml:space="preserve"> </w:t>
      </w:r>
      <w:r w:rsidRPr="005D7345" w:rsidR="00C32F4B">
        <w:rPr>
          <w:rFonts w:cs="Calibri"/>
        </w:rPr>
        <w:t>as per table 11 below</w:t>
      </w:r>
      <w:r w:rsidR="00C32F4B">
        <w:rPr>
          <w:rFonts w:cs="Calibri"/>
        </w:rPr>
        <w:t>.</w:t>
      </w:r>
    </w:p>
    <w:p w:rsidR="00F47DBA" w:rsidP="00F47DBA" w:rsidRDefault="00F47DBA" w14:paraId="51EA5489" w14:textId="6625FBF8">
      <w:pPr>
        <w:keepNext/>
        <w:spacing w:after="80"/>
        <w:rPr>
          <w:rFonts w:cs="Calibri"/>
          <w:b/>
          <w:bCs/>
          <w:i/>
          <w:iCs/>
        </w:rPr>
      </w:pPr>
      <w:r w:rsidRPr="00D83A60">
        <w:rPr>
          <w:rFonts w:cs="Calibri"/>
          <w:b/>
          <w:bCs/>
          <w:i/>
          <w:iCs/>
        </w:rPr>
        <w:t xml:space="preserve">Table </w:t>
      </w:r>
      <w:r>
        <w:rPr>
          <w:rFonts w:cs="Calibri"/>
          <w:b/>
          <w:bCs/>
          <w:i/>
          <w:iCs/>
        </w:rPr>
        <w:t>11</w:t>
      </w:r>
      <w:r w:rsidRPr="00F3218E">
        <w:rPr>
          <w:rFonts w:cs="Calibri"/>
          <w:b/>
          <w:bCs/>
          <w:i/>
          <w:iCs/>
        </w:rPr>
        <w:t xml:space="preserve">: </w:t>
      </w:r>
      <w:r w:rsidR="00E42ABB">
        <w:rPr>
          <w:rFonts w:cs="Calibri"/>
          <w:b/>
          <w:bCs/>
          <w:i/>
          <w:iCs/>
        </w:rPr>
        <w:t>S</w:t>
      </w:r>
      <w:r>
        <w:rPr>
          <w:rFonts w:cs="Calibri"/>
          <w:b/>
          <w:bCs/>
          <w:i/>
          <w:iCs/>
        </w:rPr>
        <w:t xml:space="preserve">tudent default </w:t>
      </w:r>
      <w:r w:rsidR="00E42ABB">
        <w:rPr>
          <w:rFonts w:cs="Calibri"/>
          <w:b/>
          <w:bCs/>
          <w:i/>
          <w:iCs/>
        </w:rPr>
        <w:t>where</w:t>
      </w:r>
      <w:r w:rsidR="00233699">
        <w:rPr>
          <w:rFonts w:cs="Calibri"/>
          <w:b/>
          <w:bCs/>
          <w:i/>
          <w:iCs/>
        </w:rPr>
        <w:t xml:space="preserve"> a</w:t>
      </w:r>
      <w:r>
        <w:rPr>
          <w:rFonts w:cs="Calibri"/>
          <w:b/>
          <w:bCs/>
          <w:i/>
          <w:iCs/>
        </w:rPr>
        <w:t xml:space="preserve"> refund amount was paid out by the TPS </w:t>
      </w:r>
      <w:r w:rsidR="00233699">
        <w:rPr>
          <w:rFonts w:cs="Calibri"/>
          <w:b/>
          <w:bCs/>
          <w:i/>
          <w:iCs/>
        </w:rPr>
        <w:t>Director</w:t>
      </w:r>
      <w:r>
        <w:rPr>
          <w:rFonts w:cs="Calibri"/>
          <w:b/>
          <w:bCs/>
          <w:i/>
          <w:iCs/>
        </w:rPr>
        <w:t xml:space="preserve"> in previous calendar year</w:t>
      </w:r>
    </w:p>
    <w:tbl>
      <w:tblPr>
        <w:tblW w:w="4950" w:type="pct"/>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tblLook w:val="04A0" w:firstRow="1" w:lastRow="0" w:firstColumn="1" w:lastColumn="0" w:noHBand="0" w:noVBand="1"/>
      </w:tblPr>
      <w:tblGrid>
        <w:gridCol w:w="6941"/>
        <w:gridCol w:w="1985"/>
      </w:tblGrid>
      <w:tr w:rsidRPr="00A50BC0" w:rsidR="00F47DBA" w14:paraId="65977286" w14:textId="77777777">
        <w:trPr>
          <w:trHeight w:val="684"/>
        </w:trPr>
        <w:tc>
          <w:tcPr>
            <w:tcW w:w="3888" w:type="pct"/>
            <w:shd w:val="clear" w:color="auto" w:fill="367079"/>
            <w:vAlign w:val="center"/>
            <w:hideMark/>
          </w:tcPr>
          <w:p w:rsidRPr="00A50BC0" w:rsidR="00F47DBA" w:rsidRDefault="00F47DBA" w14:paraId="4E3C8E84" w14:textId="3EA851F8">
            <w:pPr>
              <w:spacing w:after="0"/>
              <w:jc w:val="center"/>
              <w:rPr>
                <w:b/>
                <w:bCs/>
              </w:rPr>
            </w:pPr>
            <w:r>
              <w:rPr>
                <w:rFonts w:cs="Calibri"/>
                <w:b/>
                <w:bCs/>
                <w:color w:val="FFFFFF" w:themeColor="background1"/>
              </w:rPr>
              <w:t>C</w:t>
            </w:r>
            <w:r w:rsidRPr="00A50BC0">
              <w:rPr>
                <w:rFonts w:cs="Calibri"/>
                <w:b/>
                <w:bCs/>
                <w:color w:val="FFFFFF" w:themeColor="background1"/>
              </w:rPr>
              <w:t xml:space="preserve">ategory </w:t>
            </w:r>
          </w:p>
        </w:tc>
        <w:tc>
          <w:tcPr>
            <w:tcW w:w="1112" w:type="pct"/>
            <w:shd w:val="clear" w:color="auto" w:fill="367079"/>
            <w:vAlign w:val="center"/>
            <w:hideMark/>
          </w:tcPr>
          <w:p w:rsidRPr="00A50BC0" w:rsidR="00F47DBA" w:rsidRDefault="00F47DBA" w14:paraId="04344DC0" w14:textId="589C7538">
            <w:pPr>
              <w:spacing w:after="0"/>
              <w:jc w:val="center"/>
              <w:rPr>
                <w:rFonts w:cs="Calibri"/>
                <w:b/>
                <w:bCs/>
                <w:color w:val="FFFFFF" w:themeColor="background1"/>
              </w:rPr>
            </w:pPr>
            <w:r w:rsidRPr="00A50BC0">
              <w:rPr>
                <w:rFonts w:cs="Calibri"/>
                <w:b/>
                <w:bCs/>
                <w:color w:val="FFFFFF" w:themeColor="background1"/>
              </w:rPr>
              <w:t>2026 risk factor value</w:t>
            </w:r>
          </w:p>
        </w:tc>
      </w:tr>
      <w:tr w:rsidRPr="0076106B" w:rsidR="00F47DBA" w14:paraId="0E5F079F" w14:textId="77777777">
        <w:trPr>
          <w:trHeight w:val="454"/>
        </w:trPr>
        <w:tc>
          <w:tcPr>
            <w:tcW w:w="3888" w:type="pct"/>
            <w:shd w:val="clear" w:color="auto" w:fill="D8EBEE"/>
            <w:vAlign w:val="center"/>
            <w:hideMark/>
          </w:tcPr>
          <w:p w:rsidRPr="0076106B" w:rsidR="00F47DBA" w:rsidRDefault="00F47DBA" w14:paraId="7E116C39" w14:textId="1F4017E1">
            <w:pPr>
              <w:spacing w:after="0"/>
              <w:rPr>
                <w:rFonts w:cs="Calibri"/>
              </w:rPr>
            </w:pPr>
            <w:r>
              <w:rPr>
                <w:rFonts w:cs="Calibri"/>
              </w:rPr>
              <w:t>Provider has had at least one student default occur where the refund amount was paid out by the TPS in the previous calendar year (i.e. the payment by the TPS is in the previous calendar year, not necessarily the student default)</w:t>
            </w:r>
          </w:p>
        </w:tc>
        <w:tc>
          <w:tcPr>
            <w:tcW w:w="1112" w:type="pct"/>
            <w:shd w:val="clear" w:color="auto" w:fill="D8EBEE"/>
            <w:vAlign w:val="center"/>
            <w:hideMark/>
          </w:tcPr>
          <w:p w:rsidRPr="0076106B" w:rsidR="00F47DBA" w:rsidRDefault="00F47DBA" w14:paraId="7D71B5F9" w14:textId="77777777">
            <w:pPr>
              <w:spacing w:after="0"/>
              <w:jc w:val="center"/>
              <w:rPr>
                <w:rFonts w:cs="Calibri"/>
              </w:rPr>
            </w:pPr>
            <w:r w:rsidRPr="0076106B">
              <w:rPr>
                <w:rFonts w:cs="Calibri"/>
              </w:rPr>
              <w:t>1.0</w:t>
            </w:r>
          </w:p>
        </w:tc>
      </w:tr>
    </w:tbl>
    <w:p w:rsidR="009E7C3D" w:rsidP="00115DC8" w:rsidRDefault="009E7C3D" w14:paraId="5801FB8B" w14:textId="3F993E1F">
      <w:pPr>
        <w:spacing w:after="0"/>
        <w:jc w:val="both"/>
        <w:rPr>
          <w:rFonts w:cs="Calibri"/>
          <w:sz w:val="18"/>
          <w:szCs w:val="18"/>
        </w:rPr>
      </w:pPr>
      <w:r w:rsidRPr="005E2267">
        <w:rPr>
          <w:rFonts w:cs="Calibri"/>
          <w:sz w:val="18"/>
          <w:szCs w:val="18"/>
        </w:rPr>
        <w:t xml:space="preserve">Source: </w:t>
      </w:r>
      <w:r w:rsidRPr="00FC47F8" w:rsidR="00455F8A">
        <w:rPr>
          <w:rFonts w:cs="Calibri"/>
          <w:sz w:val="18"/>
          <w:szCs w:val="18"/>
        </w:rPr>
        <w:t>PRISMS</w:t>
      </w:r>
      <w:r w:rsidR="005E2267">
        <w:rPr>
          <w:rFonts w:cs="Calibri"/>
          <w:sz w:val="18"/>
          <w:szCs w:val="18"/>
        </w:rPr>
        <w:t xml:space="preserve">/TPS </w:t>
      </w:r>
      <w:r w:rsidR="00EF6D99">
        <w:rPr>
          <w:rFonts w:cs="Calibri"/>
          <w:sz w:val="18"/>
          <w:szCs w:val="18"/>
        </w:rPr>
        <w:t>O</w:t>
      </w:r>
      <w:r w:rsidR="005E2267">
        <w:rPr>
          <w:rFonts w:cs="Calibri"/>
          <w:sz w:val="18"/>
          <w:szCs w:val="18"/>
        </w:rPr>
        <w:t>nline</w:t>
      </w:r>
    </w:p>
    <w:p w:rsidRPr="00FC47F8" w:rsidR="00115DC8" w:rsidP="00FC47F8" w:rsidRDefault="00115DC8" w14:paraId="104FC6C3" w14:textId="77777777">
      <w:pPr>
        <w:spacing w:after="0"/>
        <w:jc w:val="both"/>
        <w:rPr>
          <w:rFonts w:cs="Calibri"/>
          <w:color w:val="000000" w:themeColor="text1"/>
          <w:sz w:val="18"/>
          <w:szCs w:val="18"/>
        </w:rPr>
      </w:pPr>
    </w:p>
    <w:p w:rsidR="70533E1A" w:rsidP="00AD5AE4" w:rsidRDefault="70533E1A" w14:paraId="22D04DDF" w14:textId="488794E9">
      <w:pPr>
        <w:spacing w:after="80"/>
        <w:jc w:val="both"/>
        <w:rPr>
          <w:rFonts w:cs="Calibri"/>
          <w:color w:val="000000" w:themeColor="text1"/>
        </w:rPr>
      </w:pPr>
      <w:r w:rsidRPr="6B34F37B">
        <w:rPr>
          <w:rFonts w:cs="Calibri"/>
          <w:color w:val="000000" w:themeColor="text1"/>
        </w:rPr>
        <w:t xml:space="preserve">To calculate the total risk factor value for the non-compliance </w:t>
      </w:r>
      <w:r w:rsidRPr="6B34F37B" w:rsidR="01DFE5DF">
        <w:rPr>
          <w:rFonts w:cs="Calibri"/>
          <w:color w:val="000000" w:themeColor="text1"/>
        </w:rPr>
        <w:t>history</w:t>
      </w:r>
      <w:r w:rsidRPr="6B34F37B" w:rsidR="61D55B93">
        <w:rPr>
          <w:rFonts w:cs="Calibri"/>
          <w:color w:val="000000" w:themeColor="text1"/>
        </w:rPr>
        <w:t xml:space="preserve"> and registration risk factor</w:t>
      </w:r>
      <w:r w:rsidRPr="6B34F37B" w:rsidR="069CA345">
        <w:rPr>
          <w:rFonts w:cs="Calibri"/>
          <w:color w:val="000000" w:themeColor="text1"/>
        </w:rPr>
        <w:t>, the following formula is used:</w:t>
      </w:r>
    </w:p>
    <w:p w:rsidRPr="00C11A1D" w:rsidR="005120F2" w:rsidP="005120F2" w:rsidRDefault="00000000" w14:paraId="2456A4E0" w14:textId="77777777">
      <w:pPr>
        <w:pStyle w:val="Heading3"/>
        <w:spacing w:before="0"/>
        <w:rPr>
          <w:rFonts w:eastAsiaTheme="minorEastAsia"/>
          <w:i/>
          <w:sz w:val="26"/>
          <w:szCs w:val="26"/>
        </w:rPr>
      </w:pPr>
      <m:oMathPara>
        <m:oMath>
          <m:m>
            <m:mPr>
              <m:mcs>
                <m:mc>
                  <m:mcPr>
                    <m:count m:val="1"/>
                    <m:mcJc m:val="center"/>
                  </m:mcPr>
                </m:mc>
              </m:mcs>
              <m:ctrlPr>
                <w:rPr>
                  <w:rFonts w:ascii="Cambria Math" w:hAnsi="Cambria Math" w:eastAsiaTheme="minorEastAsia"/>
                  <w:sz w:val="26"/>
                  <w:szCs w:val="26"/>
                </w:rPr>
              </m:ctrlPr>
            </m:mPr>
            <m:mr>
              <m:e>
                <m:r>
                  <m:rPr>
                    <m:nor/>
                  </m:rPr>
                  <w:rPr>
                    <w:rFonts w:eastAsiaTheme="minorEastAsia"/>
                    <w:sz w:val="26"/>
                    <w:szCs w:val="26"/>
                  </w:rPr>
                  <m:t>Non-compliance history and</m:t>
                </m:r>
              </m:e>
            </m:mr>
            <m:mr>
              <m:e>
                <m:m>
                  <m:mPr>
                    <m:mcs>
                      <m:mc>
                        <m:mcPr>
                          <m:count m:val="1"/>
                          <m:mcJc m:val="center"/>
                        </m:mcPr>
                      </m:mc>
                    </m:mcs>
                    <m:ctrlPr>
                      <w:rPr>
                        <w:rFonts w:ascii="Cambria Math" w:hAnsi="Cambria Math" w:eastAsiaTheme="minorEastAsia"/>
                        <w:i/>
                        <w:sz w:val="26"/>
                        <w:szCs w:val="26"/>
                      </w:rPr>
                    </m:ctrlPr>
                  </m:mPr>
                  <m:mr>
                    <m:e>
                      <m:r>
                        <m:rPr>
                          <m:nor/>
                        </m:rPr>
                        <w:rPr>
                          <w:rFonts w:eastAsiaTheme="minorEastAsia"/>
                          <w:sz w:val="26"/>
                          <w:szCs w:val="26"/>
                        </w:rPr>
                        <m:t>registration renewal</m:t>
                      </m:r>
                    </m:e>
                  </m:mr>
                  <m:mr>
                    <m:e>
                      <m:r>
                        <m:rPr>
                          <m:nor/>
                        </m:rPr>
                        <w:rPr>
                          <w:rFonts w:eastAsiaTheme="minorEastAsia"/>
                          <w:sz w:val="26"/>
                          <w:szCs w:val="26"/>
                        </w:rPr>
                        <m:t>=</m:t>
                      </m:r>
                    </m:e>
                  </m:mr>
                </m:m>
              </m:e>
            </m:mr>
          </m:m>
        </m:oMath>
      </m:oMathPara>
    </w:p>
    <w:p w:rsidRPr="009135A2" w:rsidR="005120F2" w:rsidP="00FC47F8" w:rsidRDefault="00000000" w14:paraId="6BE73046" w14:textId="7C3B48ED">
      <w:pPr>
        <w:spacing w:after="80"/>
        <w:jc w:val="both"/>
        <w:rPr>
          <w:rFonts w:cs="Calibri"/>
          <w:color w:val="000000" w:themeColor="text1"/>
        </w:rPr>
      </w:pPr>
      <m:oMathPara>
        <m:oMath>
          <m:m>
            <m:mPr>
              <m:mcs>
                <m:mc>
                  <m:mcPr>
                    <m:count m:val="1"/>
                    <m:mcJc m:val="center"/>
                  </m:mcPr>
                </m:mc>
              </m:mcs>
              <m:ctrlPr>
                <w:rPr>
                  <w:rFonts w:ascii="Cambria Math" w:hAnsi="Cambria Math" w:cs="Calibri" w:eastAsiaTheme="minorEastAsia"/>
                  <w:iCs/>
                </w:rPr>
              </m:ctrlPr>
            </m:mPr>
            <m:mr>
              <m:e>
                <m:r>
                  <m:rPr>
                    <m:nor/>
                  </m:rPr>
                  <w:rPr>
                    <w:rFonts w:cs="Calibri" w:eastAsiaTheme="minorEastAsia"/>
                    <w:iCs/>
                  </w:rPr>
                  <m:t>Weighted late</m:t>
                </m:r>
              </m:e>
            </m:mr>
            <m:mr>
              <m:e>
                <m:r>
                  <m:rPr>
                    <m:nor/>
                  </m:rPr>
                  <w:rPr>
                    <w:rFonts w:cs="Calibri" w:eastAsiaTheme="minorEastAsia"/>
                    <w:iCs/>
                  </w:rPr>
                  <m:t xml:space="preserve">payment </m:t>
                </m:r>
              </m:e>
            </m:mr>
          </m:m>
          <m:r>
            <m:rPr>
              <m:nor/>
            </m:rPr>
            <w:rPr>
              <w:rFonts w:cs="Calibri" w:eastAsiaTheme="minorEastAsia"/>
              <w:iCs/>
            </w:rPr>
            <m:t xml:space="preserve"> +  </m:t>
          </m:r>
          <m:m>
            <m:mPr>
              <m:mcs>
                <m:mc>
                  <m:mcPr>
                    <m:count m:val="1"/>
                    <m:mcJc m:val="center"/>
                  </m:mcPr>
                </m:mc>
              </m:mcs>
              <m:ctrlPr>
                <w:rPr>
                  <w:rFonts w:ascii="Cambria Math" w:hAnsi="Cambria Math" w:cs="Calibri" w:eastAsiaTheme="minorEastAsia"/>
                  <w:i/>
                  <w:iCs/>
                </w:rPr>
              </m:ctrlPr>
            </m:mPr>
            <m:mr>
              <m:e>
                <m:r>
                  <m:rPr>
                    <m:nor/>
                  </m:rPr>
                  <w:rPr>
                    <w:rFonts w:cs="Calibri" w:eastAsiaTheme="minorEastAsia"/>
                    <w:iCs/>
                  </w:rPr>
                  <m:t>Registration</m:t>
                </m:r>
              </m:e>
            </m:mr>
            <m:mr>
              <m:e>
                <m:r>
                  <m:rPr>
                    <m:nor/>
                  </m:rPr>
                  <w:rPr>
                    <w:rFonts w:cs="Calibri" w:eastAsiaTheme="minorEastAsia"/>
                    <w:iCs/>
                  </w:rPr>
                  <m:t>renewal</m:t>
                </m:r>
              </m:e>
            </m:mr>
          </m:m>
          <m:r>
            <m:rPr>
              <m:nor/>
            </m:rPr>
            <w:rPr>
              <w:rFonts w:cs="Calibri" w:eastAsiaTheme="minorEastAsia"/>
              <w:iCs/>
            </w:rPr>
            <m:t xml:space="preserve"> + </m:t>
          </m:r>
          <m:m>
            <m:mPr>
              <m:mcs>
                <m:mc>
                  <m:mcPr>
                    <m:count m:val="1"/>
                    <m:mcJc m:val="center"/>
                  </m:mcPr>
                </m:mc>
              </m:mcs>
              <m:ctrlPr>
                <w:rPr>
                  <w:rFonts w:ascii="Cambria Math" w:hAnsi="Cambria Math" w:cs="Calibri" w:eastAsiaTheme="minorEastAsia"/>
                  <w:i/>
                  <w:iCs/>
                </w:rPr>
              </m:ctrlPr>
            </m:mPr>
            <m:mr>
              <m:e>
                <m:r>
                  <m:rPr>
                    <m:nor/>
                  </m:rPr>
                  <w:rPr>
                    <w:rFonts w:cs="Calibri" w:eastAsiaTheme="minorEastAsia"/>
                    <w:iCs/>
                  </w:rPr>
                  <m:t>Compliance action</m:t>
                </m:r>
              </m:e>
            </m:mr>
            <m:mr>
              <m:e>
                <m:r>
                  <m:rPr>
                    <m:nor/>
                  </m:rPr>
                  <w:rPr>
                    <w:rFonts w:cs="Calibri" w:eastAsiaTheme="minorEastAsia"/>
                    <w:iCs/>
                  </w:rPr>
                  <m:t xml:space="preserve">taken under section </m:t>
                </m:r>
              </m:e>
            </m:mr>
            <m:mr>
              <m:e>
                <m:r>
                  <m:rPr>
                    <m:nor/>
                  </m:rPr>
                  <w:rPr>
                    <w:rFonts w:cs="Calibri" w:eastAsiaTheme="minorEastAsia"/>
                    <w:iCs/>
                  </w:rPr>
                  <m:t xml:space="preserve">83 of the ESOS Act </m:t>
                </m:r>
              </m:e>
            </m:mr>
          </m:m>
          <m:r>
            <m:rPr>
              <m:nor/>
            </m:rPr>
            <w:rPr>
              <w:rFonts w:cs="Calibri" w:eastAsiaTheme="minorEastAsia"/>
              <w:iCs/>
            </w:rPr>
            <m:t xml:space="preserve">+ </m:t>
          </m:r>
          <m:m>
            <m:mPr>
              <m:mcs>
                <m:mc>
                  <m:mcPr>
                    <m:count m:val="1"/>
                    <m:mcJc m:val="center"/>
                  </m:mcPr>
                </m:mc>
              </m:mcs>
              <m:ctrlPr>
                <w:rPr>
                  <w:rFonts w:ascii="Cambria Math" w:hAnsi="Cambria Math" w:cs="Calibri" w:eastAsiaTheme="minorEastAsia"/>
                </w:rPr>
              </m:ctrlPr>
            </m:mPr>
            <m:mr>
              <m:e>
                <m:r>
                  <m:rPr>
                    <m:sty m:val="p"/>
                  </m:rPr>
                  <w:rPr>
                    <w:rFonts w:ascii="Cambria Math" w:hAnsi="Cambria Math" w:cs="Calibri" w:eastAsiaTheme="minorEastAsia"/>
                  </w:rPr>
                  <m:t>Student default</m:t>
                </m:r>
              </m:e>
            </m:mr>
            <m:mr>
              <m:e>
                <m:r>
                  <m:rPr>
                    <m:sty m:val="p"/>
                  </m:rPr>
                  <w:rPr>
                    <w:rFonts w:ascii="Cambria Math" w:hAnsi="Cambria Math" w:cs="Calibri" w:eastAsiaTheme="minorEastAsia"/>
                  </w:rPr>
                  <m:t xml:space="preserve">refund amount </m:t>
                </m:r>
              </m:e>
            </m:mr>
            <m:mr>
              <m:e>
                <m:r>
                  <m:rPr>
                    <m:sty m:val="p"/>
                  </m:rPr>
                  <w:rPr>
                    <w:rFonts w:ascii="Cambria Math" w:hAnsi="Cambria Math" w:cs="Calibri" w:eastAsiaTheme="minorEastAsia"/>
                  </w:rPr>
                  <m:t>paid by TPS</m:t>
                </m:r>
              </m:e>
            </m:mr>
          </m:m>
        </m:oMath>
      </m:oMathPara>
    </w:p>
    <w:p w:rsidR="005120F2" w:rsidP="00A347CA" w:rsidRDefault="005120F2" w14:paraId="37124B09" w14:textId="77777777">
      <w:pPr>
        <w:spacing w:before="240" w:after="80"/>
        <w:jc w:val="both"/>
        <w:rPr>
          <w:rFonts w:cs="Calibri" w:eastAsiaTheme="minorEastAsia"/>
          <w:color w:val="000000" w:themeColor="text1"/>
        </w:rPr>
      </w:pPr>
    </w:p>
    <w:p w:rsidR="005120F2" w:rsidP="00A347CA" w:rsidRDefault="005120F2" w14:paraId="3363F623" w14:textId="77777777">
      <w:pPr>
        <w:spacing w:before="240" w:after="80"/>
        <w:jc w:val="both"/>
        <w:rPr>
          <w:rFonts w:cs="Calibri" w:eastAsiaTheme="minorEastAsia"/>
          <w:color w:val="000000" w:themeColor="text1"/>
        </w:rPr>
      </w:pPr>
    </w:p>
    <w:p w:rsidR="005120F2" w:rsidP="00A347CA" w:rsidRDefault="005120F2" w14:paraId="4119E592" w14:textId="77777777">
      <w:pPr>
        <w:spacing w:before="240" w:after="80"/>
        <w:jc w:val="both"/>
        <w:rPr>
          <w:rFonts w:cs="Calibri" w:eastAsiaTheme="minorEastAsia"/>
          <w:color w:val="000000" w:themeColor="text1"/>
        </w:rPr>
      </w:pPr>
    </w:p>
    <w:p w:rsidR="004735BB" w:rsidP="00A347CA" w:rsidRDefault="004735BB" w14:paraId="73431467" w14:textId="77777777">
      <w:pPr>
        <w:spacing w:before="240" w:after="80"/>
        <w:jc w:val="both"/>
        <w:rPr>
          <w:rFonts w:cs="Calibri" w:eastAsiaTheme="minorEastAsia"/>
          <w:color w:val="000000" w:themeColor="text1"/>
        </w:rPr>
      </w:pPr>
    </w:p>
    <w:p w:rsidRPr="00FC47F8" w:rsidR="005120F2" w:rsidP="00A347CA" w:rsidRDefault="005120F2" w14:paraId="0ED62C94" w14:textId="77777777">
      <w:pPr>
        <w:spacing w:before="240" w:after="80"/>
        <w:jc w:val="both"/>
        <w:rPr>
          <w:rFonts w:cs="Calibri" w:eastAsiaTheme="minorEastAsia"/>
          <w:color w:val="000000" w:themeColor="text1"/>
        </w:rPr>
      </w:pPr>
    </w:p>
    <w:p w:rsidRPr="0076106B" w:rsidR="004B6426" w:rsidP="00A347CA" w:rsidRDefault="00F55443" w14:paraId="43C5FF40" w14:textId="6E017E6F">
      <w:pPr>
        <w:spacing w:before="240" w:after="80"/>
        <w:jc w:val="both"/>
        <w:rPr>
          <w:rFonts w:cs="Calibri"/>
        </w:rPr>
      </w:pPr>
      <w:r w:rsidRPr="0076106B">
        <w:rPr>
          <w:rFonts w:cs="Calibri"/>
          <w:b/>
          <w:bCs/>
          <w:color w:val="000000" w:themeColor="text1"/>
          <w:sz w:val="29"/>
          <w:szCs w:val="29"/>
        </w:rPr>
        <w:t>S</w:t>
      </w:r>
      <w:r w:rsidRPr="0076106B" w:rsidR="004B6426">
        <w:rPr>
          <w:rFonts w:cs="Calibri"/>
          <w:b/>
          <w:bCs/>
          <w:color w:val="000000" w:themeColor="text1"/>
          <w:sz w:val="29"/>
          <w:szCs w:val="29"/>
        </w:rPr>
        <w:t xml:space="preserve">pecial </w:t>
      </w:r>
      <w:r w:rsidRPr="0076106B" w:rsidR="00B93D4F">
        <w:rPr>
          <w:rFonts w:cs="Calibri"/>
          <w:b/>
          <w:bCs/>
          <w:color w:val="000000" w:themeColor="text1"/>
          <w:sz w:val="29"/>
          <w:szCs w:val="29"/>
        </w:rPr>
        <w:t>T</w:t>
      </w:r>
      <w:r w:rsidRPr="0076106B" w:rsidR="004B6426">
        <w:rPr>
          <w:rFonts w:cs="Calibri"/>
          <w:b/>
          <w:bCs/>
          <w:color w:val="000000" w:themeColor="text1"/>
          <w:sz w:val="29"/>
          <w:szCs w:val="29"/>
        </w:rPr>
        <w:t xml:space="preserve">uition </w:t>
      </w:r>
      <w:r w:rsidRPr="0076106B" w:rsidR="00B93D4F">
        <w:rPr>
          <w:rFonts w:cs="Calibri"/>
          <w:b/>
          <w:bCs/>
          <w:color w:val="000000" w:themeColor="text1"/>
          <w:sz w:val="29"/>
          <w:szCs w:val="29"/>
        </w:rPr>
        <w:t>P</w:t>
      </w:r>
      <w:r w:rsidRPr="0076106B" w:rsidR="004B6426">
        <w:rPr>
          <w:rFonts w:cs="Calibri"/>
          <w:b/>
          <w:bCs/>
          <w:color w:val="000000" w:themeColor="text1"/>
          <w:sz w:val="29"/>
          <w:szCs w:val="29"/>
        </w:rPr>
        <w:t>rotection component</w:t>
      </w:r>
    </w:p>
    <w:p w:rsidR="00BF32A0" w:rsidP="00BF32A0" w:rsidRDefault="00BF32A0" w14:paraId="614C2DE7" w14:textId="09B1B249">
      <w:pPr>
        <w:rPr>
          <w:rFonts w:cs="Calibri"/>
        </w:rPr>
      </w:pPr>
      <w:r w:rsidRPr="0076106B">
        <w:rPr>
          <w:rFonts w:cs="Calibri"/>
        </w:rPr>
        <w:t xml:space="preserve">The </w:t>
      </w:r>
      <w:r>
        <w:rPr>
          <w:rFonts w:cs="Calibri"/>
        </w:rPr>
        <w:t>S</w:t>
      </w:r>
      <w:r w:rsidRPr="0076106B">
        <w:rPr>
          <w:rFonts w:cs="Calibri"/>
        </w:rPr>
        <w:t xml:space="preserve">pecial </w:t>
      </w:r>
      <w:r>
        <w:rPr>
          <w:rFonts w:cs="Calibri"/>
        </w:rPr>
        <w:t>T</w:t>
      </w:r>
      <w:r w:rsidRPr="0076106B">
        <w:rPr>
          <w:rFonts w:cs="Calibri"/>
        </w:rPr>
        <w:t xml:space="preserve">uition </w:t>
      </w:r>
      <w:r>
        <w:rPr>
          <w:rFonts w:cs="Calibri"/>
        </w:rPr>
        <w:t>P</w:t>
      </w:r>
      <w:r w:rsidRPr="0076106B">
        <w:rPr>
          <w:rFonts w:cs="Calibri"/>
        </w:rPr>
        <w:t xml:space="preserve">rotection </w:t>
      </w:r>
      <w:r w:rsidR="00872E53">
        <w:rPr>
          <w:rFonts w:cs="Calibri"/>
        </w:rPr>
        <w:t>c</w:t>
      </w:r>
      <w:r w:rsidRPr="0076106B">
        <w:rPr>
          <w:rFonts w:cs="Calibri"/>
        </w:rPr>
        <w:t xml:space="preserve">omponent is charged when the balance of the OSTF is below its target range to ensure there are sufficient funds available in the event of a large provider default, or multiple provider defaults. </w:t>
      </w:r>
    </w:p>
    <w:p w:rsidR="00E122E3" w:rsidP="00E122E3" w:rsidRDefault="00E122E3" w14:paraId="28B01354" w14:textId="5E6016D5">
      <w:pPr>
        <w:rPr>
          <w:rFonts w:cs="Calibri"/>
        </w:rPr>
      </w:pPr>
      <w:r>
        <w:rPr>
          <w:rFonts w:cs="Calibri"/>
        </w:rPr>
        <w:t xml:space="preserve">The Special Tuition Protection component percentage is </w:t>
      </w:r>
      <w:r w:rsidR="003B1486">
        <w:rPr>
          <w:rFonts w:cs="Calibri"/>
        </w:rPr>
        <w:t>determined</w:t>
      </w:r>
      <w:r>
        <w:rPr>
          <w:rFonts w:cs="Calibri"/>
        </w:rPr>
        <w:t xml:space="preserve"> by the TPS Director through a legislative instrument each year.</w:t>
      </w:r>
    </w:p>
    <w:p w:rsidR="00633F8E" w:rsidP="00BF32A0" w:rsidRDefault="00BF32A0" w14:paraId="389F25F0" w14:textId="4B94F9BC">
      <w:pPr>
        <w:rPr>
          <w:rFonts w:cs="Calibri"/>
        </w:rPr>
      </w:pPr>
      <w:r w:rsidRPr="0076106B">
        <w:rPr>
          <w:rFonts w:cs="Calibri"/>
        </w:rPr>
        <w:t>The percentage for 202</w:t>
      </w:r>
      <w:r w:rsidR="009E7C3D">
        <w:rPr>
          <w:rFonts w:cs="Calibri"/>
        </w:rPr>
        <w:t>6</w:t>
      </w:r>
      <w:r w:rsidRPr="0076106B">
        <w:rPr>
          <w:rFonts w:cs="Calibri"/>
        </w:rPr>
        <w:t xml:space="preserve"> is 0%.</w:t>
      </w:r>
    </w:p>
    <w:p w:rsidRPr="0076106B" w:rsidR="004B6426" w:rsidP="004B6426" w:rsidRDefault="004B6426" w14:paraId="1DDE2121" w14:textId="292207C6">
      <w:pPr>
        <w:rPr>
          <w:rFonts w:cs="Calibri"/>
        </w:rPr>
      </w:pPr>
      <w:r w:rsidRPr="0076106B">
        <w:rPr>
          <w:rFonts w:cs="Calibri"/>
        </w:rPr>
        <w:t xml:space="preserve">The Special </w:t>
      </w:r>
      <w:r w:rsidRPr="0076106B" w:rsidR="00B93D4F">
        <w:rPr>
          <w:rFonts w:cs="Calibri"/>
        </w:rPr>
        <w:t>T</w:t>
      </w:r>
      <w:r w:rsidRPr="0076106B">
        <w:rPr>
          <w:rFonts w:cs="Calibri"/>
        </w:rPr>
        <w:t xml:space="preserve">uition </w:t>
      </w:r>
      <w:r w:rsidRPr="0076106B" w:rsidR="00B93D4F">
        <w:rPr>
          <w:rFonts w:cs="Calibri"/>
        </w:rPr>
        <w:t>P</w:t>
      </w:r>
      <w:r w:rsidRPr="0076106B">
        <w:rPr>
          <w:rFonts w:cs="Calibri"/>
        </w:rPr>
        <w:t>rotection component</w:t>
      </w:r>
      <w:r w:rsidRPr="0076106B" w:rsidR="003C4732">
        <w:rPr>
          <w:rFonts w:cs="Calibri"/>
        </w:rPr>
        <w:t xml:space="preserve"> (S)</w:t>
      </w:r>
      <w:r w:rsidRPr="0076106B">
        <w:rPr>
          <w:rFonts w:cs="Calibri"/>
        </w:rPr>
        <w:t xml:space="preserve"> is calculated as: </w:t>
      </w:r>
    </w:p>
    <w:tbl>
      <w:tblPr>
        <w:tblStyle w:val="TPSTable"/>
        <w:tblW w:w="2670" w:type="pct"/>
        <w:jc w:val="center"/>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shd w:val="clear" w:color="auto" w:fill="C1E4F5" w:themeFill="accent1" w:themeFillTint="33"/>
        <w:tblLook w:val="04A0" w:firstRow="1" w:lastRow="0" w:firstColumn="1" w:lastColumn="0" w:noHBand="0" w:noVBand="1"/>
      </w:tblPr>
      <w:tblGrid>
        <w:gridCol w:w="4815"/>
      </w:tblGrid>
      <w:tr w:rsidRPr="0076106B" w:rsidR="004B6426" w:rsidTr="00CB0FB5" w14:paraId="220C46E9" w14:textId="77777777">
        <w:trPr>
          <w:cnfStyle w:val="100000000000" w:firstRow="1" w:lastRow="0" w:firstColumn="0" w:lastColumn="0" w:oddVBand="0" w:evenVBand="0" w:oddHBand="0" w:evenHBand="0" w:firstRowFirstColumn="0" w:firstRowLastColumn="0" w:lastRowFirstColumn="0" w:lastRowLastColumn="0"/>
          <w:trHeight w:val="582"/>
          <w:jc w:val="center"/>
        </w:trPr>
        <w:tc>
          <w:tcPr>
            <w:tcW w:w="5000" w:type="pct"/>
            <w:shd w:val="clear" w:color="auto" w:fill="D8EBEE"/>
            <w:hideMark/>
          </w:tcPr>
          <w:p w:rsidRPr="0076106B" w:rsidR="004B6426" w:rsidP="00BF6BF4" w:rsidRDefault="008450DF" w14:paraId="6DA9B186" w14:textId="15A4A3FE">
            <w:pPr>
              <w:pStyle w:val="Tablecontents"/>
              <w:keepNext/>
              <w:spacing w:before="0" w:after="0"/>
              <w:rPr>
                <w:rFonts w:cs="Calibri"/>
                <w:b w:val="0"/>
              </w:rPr>
            </w:pPr>
            <w:r w:rsidRPr="0076106B">
              <w:rPr>
                <w:rFonts w:cs="Calibri"/>
                <w:b w:val="0"/>
              </w:rPr>
              <w:t xml:space="preserve">S = </w:t>
            </w:r>
            <w:r w:rsidRPr="0076106B" w:rsidR="004B6426">
              <w:rPr>
                <w:rFonts w:cs="Calibri"/>
                <w:b w:val="0"/>
              </w:rPr>
              <w:t xml:space="preserve">0% x </w:t>
            </w:r>
            <w:r w:rsidRPr="0076106B" w:rsidR="009C3292">
              <w:rPr>
                <w:rFonts w:cs="Calibri"/>
                <w:b w:val="0"/>
              </w:rPr>
              <w:t>Overseas student tuition fees</w:t>
            </w:r>
          </w:p>
        </w:tc>
      </w:tr>
    </w:tbl>
    <w:p w:rsidRPr="0076106B" w:rsidR="004B6426" w:rsidP="004B6426" w:rsidRDefault="004B6426" w14:paraId="4C091B68" w14:textId="77777777">
      <w:pPr>
        <w:spacing w:after="0"/>
        <w:rPr>
          <w:rFonts w:cs="Calibri"/>
        </w:rPr>
      </w:pPr>
    </w:p>
    <w:p w:rsidRPr="0076106B" w:rsidR="008450DF" w:rsidP="004B6426" w:rsidRDefault="004B6740" w14:paraId="67C989D8" w14:textId="3A06108B">
      <w:pPr>
        <w:spacing w:after="0"/>
        <w:rPr>
          <w:rFonts w:cs="Calibri"/>
          <w:i/>
          <w:iCs/>
        </w:rPr>
      </w:pPr>
      <w:r w:rsidRPr="0076106B">
        <w:rPr>
          <w:rFonts w:cs="Calibri"/>
          <w:i/>
          <w:iCs/>
        </w:rPr>
        <w:t>w</w:t>
      </w:r>
      <w:r w:rsidRPr="0076106B" w:rsidR="008450DF">
        <w:rPr>
          <w:rFonts w:cs="Calibri"/>
          <w:i/>
          <w:iCs/>
        </w:rPr>
        <w:t>here:</w:t>
      </w:r>
    </w:p>
    <w:p w:rsidRPr="0076106B" w:rsidR="008450DF" w:rsidP="000A7B92" w:rsidRDefault="009C3292" w14:paraId="3E7881F0" w14:textId="2D3D78F7">
      <w:pPr>
        <w:spacing w:after="0"/>
        <w:ind w:left="720"/>
        <w:rPr>
          <w:rFonts w:cs="Calibri"/>
        </w:rPr>
      </w:pPr>
      <w:r w:rsidRPr="0076106B">
        <w:rPr>
          <w:rFonts w:cs="Calibri"/>
        </w:rPr>
        <w:t>Overseas student tuition fees</w:t>
      </w:r>
      <w:r w:rsidRPr="0076106B" w:rsidR="008450DF">
        <w:rPr>
          <w:rFonts w:cs="Calibri"/>
        </w:rPr>
        <w:t xml:space="preserve"> = </w:t>
      </w:r>
      <w:r w:rsidRPr="0076106B">
        <w:rPr>
          <w:rFonts w:cs="Calibri"/>
        </w:rPr>
        <w:t>total 202</w:t>
      </w:r>
      <w:r w:rsidR="009E7C3D">
        <w:rPr>
          <w:rFonts w:cs="Calibri"/>
        </w:rPr>
        <w:t>5</w:t>
      </w:r>
      <w:r w:rsidRPr="0076106B">
        <w:rPr>
          <w:rFonts w:cs="Calibri"/>
        </w:rPr>
        <w:t xml:space="preserve"> overseas student tuition fees</w:t>
      </w:r>
    </w:p>
    <w:p w:rsidR="00633F8E" w:rsidP="000A7B92" w:rsidRDefault="006A0351" w14:paraId="0767E75E" w14:textId="6C6B51C4">
      <w:pPr>
        <w:spacing w:after="0"/>
        <w:ind w:left="720"/>
        <w:rPr>
          <w:rFonts w:cs="Calibri"/>
          <w:sz w:val="18"/>
          <w:szCs w:val="18"/>
        </w:rPr>
      </w:pPr>
      <w:r w:rsidRPr="0076106B">
        <w:rPr>
          <w:rFonts w:cs="Calibri"/>
          <w:sz w:val="18"/>
          <w:szCs w:val="18"/>
        </w:rPr>
        <w:t xml:space="preserve">Source: </w:t>
      </w:r>
      <w:r w:rsidR="00970A34">
        <w:rPr>
          <w:rFonts w:cs="Calibri"/>
          <w:sz w:val="18"/>
          <w:szCs w:val="18"/>
        </w:rPr>
        <w:t xml:space="preserve">Declaration of overseas student tuition fee income </w:t>
      </w:r>
      <w:r w:rsidR="00736A82">
        <w:rPr>
          <w:rFonts w:cs="Calibri"/>
          <w:sz w:val="18"/>
          <w:szCs w:val="18"/>
        </w:rPr>
        <w:t>by providers through RFI process</w:t>
      </w:r>
    </w:p>
    <w:p w:rsidR="00633F8E" w:rsidRDefault="00633F8E" w14:paraId="6C2CB660" w14:textId="77777777">
      <w:pPr>
        <w:spacing w:line="278" w:lineRule="auto"/>
        <w:rPr>
          <w:rFonts w:cs="Calibri"/>
          <w:sz w:val="18"/>
          <w:szCs w:val="18"/>
        </w:rPr>
      </w:pPr>
      <w:r>
        <w:rPr>
          <w:rFonts w:cs="Calibri"/>
          <w:sz w:val="18"/>
          <w:szCs w:val="18"/>
        </w:rPr>
        <w:br w:type="page"/>
      </w:r>
    </w:p>
    <w:p w:rsidRPr="00EE0739" w:rsidR="00E24E47" w:rsidP="00EE0739" w:rsidRDefault="00AB582E" w14:paraId="781294FF" w14:textId="3650C9BB">
      <w:pPr>
        <w:spacing w:before="240" w:after="80"/>
        <w:jc w:val="both"/>
        <w:rPr>
          <w:rFonts w:cs="Calibri"/>
          <w:b/>
          <w:bCs/>
          <w:color w:val="000000" w:themeColor="text1"/>
          <w:sz w:val="29"/>
          <w:szCs w:val="29"/>
        </w:rPr>
      </w:pPr>
      <w:r>
        <w:rPr>
          <w:rFonts w:cs="Calibri"/>
          <w:b/>
          <w:bCs/>
          <w:color w:val="000000" w:themeColor="text1"/>
          <w:sz w:val="29"/>
          <w:szCs w:val="29"/>
        </w:rPr>
        <w:t xml:space="preserve">International </w:t>
      </w:r>
      <w:r w:rsidR="00BF5577">
        <w:rPr>
          <w:rFonts w:cs="Calibri"/>
          <w:b/>
          <w:bCs/>
          <w:color w:val="000000" w:themeColor="text1"/>
          <w:sz w:val="29"/>
          <w:szCs w:val="29"/>
        </w:rPr>
        <w:t xml:space="preserve">TPS </w:t>
      </w:r>
      <w:r w:rsidRPr="00EE0739" w:rsidR="00E24E47">
        <w:rPr>
          <w:rFonts w:cs="Calibri"/>
          <w:b/>
          <w:bCs/>
          <w:color w:val="000000" w:themeColor="text1"/>
          <w:sz w:val="29"/>
          <w:szCs w:val="29"/>
        </w:rPr>
        <w:t>Levy calculation examples</w:t>
      </w:r>
    </w:p>
    <w:p w:rsidRPr="00FB0966" w:rsidR="00E24E47" w:rsidP="00E24E47" w:rsidRDefault="00E24E47" w14:paraId="7BEAF1C5" w14:textId="60D3D691">
      <w:pPr>
        <w:pStyle w:val="Heading4"/>
      </w:pPr>
      <w:r w:rsidRPr="00FB0966">
        <w:t>Provider 1</w:t>
      </w:r>
      <w:r w:rsidR="00AB582E">
        <w:t xml:space="preserve"> example</w:t>
      </w:r>
    </w:p>
    <w:p w:rsidRPr="004D58A4" w:rsidR="00E24E47" w:rsidP="00AB582E" w:rsidRDefault="00E24E47" w14:paraId="7F4A0B92" w14:textId="77777777">
      <w:pPr>
        <w:pStyle w:val="ListParagraph"/>
        <w:numPr>
          <w:ilvl w:val="0"/>
          <w:numId w:val="40"/>
        </w:numPr>
      </w:pPr>
      <w:r w:rsidRPr="004D58A4">
        <w:t xml:space="preserve">Provider 1 received </w:t>
      </w:r>
      <w:r w:rsidRPr="00AB582E">
        <w:rPr>
          <w:b/>
          <w:bCs/>
        </w:rPr>
        <w:t>$3,000,000 in overseas student tuition fees</w:t>
      </w:r>
      <w:r w:rsidRPr="004D58A4">
        <w:t xml:space="preserve"> in 202</w:t>
      </w:r>
      <w:r>
        <w:t>5</w:t>
      </w:r>
      <w:r w:rsidRPr="004D58A4">
        <w:t>.</w:t>
      </w:r>
    </w:p>
    <w:p w:rsidRPr="004D58A4" w:rsidR="00E24E47" w:rsidP="00AB582E" w:rsidRDefault="00E24E47" w14:paraId="56AAEDBA" w14:textId="77777777">
      <w:pPr>
        <w:pStyle w:val="ListParagraph"/>
        <w:numPr>
          <w:ilvl w:val="0"/>
          <w:numId w:val="40"/>
        </w:numPr>
      </w:pPr>
      <w:r w:rsidRPr="004D58A4">
        <w:t xml:space="preserve">Provider 1 has been </w:t>
      </w:r>
      <w:r w:rsidRPr="00AB582E">
        <w:rPr>
          <w:b/>
          <w:bCs/>
        </w:rPr>
        <w:t>operating for 12 years</w:t>
      </w:r>
      <w:r w:rsidRPr="004D58A4">
        <w:t>.</w:t>
      </w:r>
    </w:p>
    <w:p w:rsidRPr="004D58A4" w:rsidR="00E24E47" w:rsidP="00AB582E" w:rsidRDefault="00E24E47" w14:paraId="766EE4FD" w14:textId="77777777">
      <w:pPr>
        <w:pStyle w:val="ListParagraph"/>
        <w:numPr>
          <w:ilvl w:val="0"/>
          <w:numId w:val="40"/>
        </w:numPr>
      </w:pPr>
      <w:r w:rsidRPr="00AD3746">
        <w:t>In 202</w:t>
      </w:r>
      <w:r>
        <w:t>5</w:t>
      </w:r>
      <w:r w:rsidRPr="00AD3746">
        <w:t>, Provider</w:t>
      </w:r>
      <w:r w:rsidRPr="004D58A4">
        <w:t xml:space="preserve"> 1 had </w:t>
      </w:r>
      <w:r w:rsidRPr="00AB582E">
        <w:rPr>
          <w:b/>
          <w:bCs/>
        </w:rPr>
        <w:t>400 overseas student enrolments (EFTSL)</w:t>
      </w:r>
      <w:r w:rsidRPr="004D58A4">
        <w:t xml:space="preserve"> and </w:t>
      </w:r>
      <w:r w:rsidRPr="00AB582E">
        <w:rPr>
          <w:b/>
          <w:bCs/>
        </w:rPr>
        <w:t>150 domestic student enrolments (EFTSL)</w:t>
      </w:r>
      <w:r w:rsidRPr="004D58A4">
        <w:t xml:space="preserve">. Therefore, Provider 1’s </w:t>
      </w:r>
      <w:r w:rsidRPr="00AB582E">
        <w:rPr>
          <w:b/>
          <w:bCs/>
        </w:rPr>
        <w:t>proportion of overseas student enrolments was 73% of its total student population</w:t>
      </w:r>
      <w:r w:rsidRPr="000018F5">
        <w:t xml:space="preserve"> in 202</w:t>
      </w:r>
      <w:r>
        <w:t>5</w:t>
      </w:r>
      <w:r w:rsidRPr="000018F5">
        <w:t>.</w:t>
      </w:r>
    </w:p>
    <w:p w:rsidRPr="004D58A4" w:rsidR="00E24E47" w:rsidP="00AB582E" w:rsidRDefault="00E24E47" w14:paraId="1753B7BF" w14:textId="77777777">
      <w:pPr>
        <w:pStyle w:val="ListParagraph"/>
        <w:numPr>
          <w:ilvl w:val="0"/>
          <w:numId w:val="40"/>
        </w:numPr>
      </w:pPr>
      <w:r w:rsidRPr="00DB6D1A">
        <w:t>In 202</w:t>
      </w:r>
      <w:r>
        <w:t>4</w:t>
      </w:r>
      <w:r w:rsidRPr="00DB6D1A">
        <w:t>, Provider 1 had 600 overseas student enrolments. Therefore, Provider 1’s</w:t>
      </w:r>
      <w:r>
        <w:t xml:space="preserve"> </w:t>
      </w:r>
      <w:r w:rsidRPr="00AB582E">
        <w:rPr>
          <w:b/>
          <w:bCs/>
        </w:rPr>
        <w:t>volatility in overseas student enrolments is -33%</w:t>
      </w:r>
      <w:r>
        <w:t>.</w:t>
      </w:r>
    </w:p>
    <w:p w:rsidRPr="004D58A4" w:rsidR="00E24E47" w:rsidP="00AB582E" w:rsidRDefault="00E24E47" w14:paraId="01BCDB5B" w14:textId="77777777">
      <w:pPr>
        <w:pStyle w:val="ListParagraph"/>
        <w:numPr>
          <w:ilvl w:val="0"/>
          <w:numId w:val="40"/>
        </w:numPr>
      </w:pPr>
      <w:r w:rsidRPr="004D58A4">
        <w:t>Of its 202</w:t>
      </w:r>
      <w:r>
        <w:t>5</w:t>
      </w:r>
      <w:r w:rsidRPr="004D58A4">
        <w:t xml:space="preserve"> overseas student enrolments, the largest number of enrolments for a country was </w:t>
      </w:r>
      <w:r>
        <w:t>5</w:t>
      </w:r>
      <w:r w:rsidRPr="004D58A4">
        <w:t xml:space="preserve">0 students. Therefore, Provider 1’s </w:t>
      </w:r>
      <w:r w:rsidRPr="00AB582E">
        <w:rPr>
          <w:b/>
          <w:bCs/>
        </w:rPr>
        <w:t>maximum overseas source country concentration is 13%</w:t>
      </w:r>
      <w:r w:rsidRPr="004D58A4">
        <w:t>.</w:t>
      </w:r>
    </w:p>
    <w:p w:rsidRPr="004D58A4" w:rsidR="00E24E47" w:rsidP="00AB582E" w:rsidRDefault="00E24E47" w14:paraId="4537D1AE" w14:textId="77777777">
      <w:pPr>
        <w:pStyle w:val="ListParagraph"/>
        <w:numPr>
          <w:ilvl w:val="0"/>
          <w:numId w:val="40"/>
        </w:numPr>
      </w:pPr>
      <w:r w:rsidRPr="004D58A4">
        <w:t xml:space="preserve">Provider </w:t>
      </w:r>
      <w:r>
        <w:t>1</w:t>
      </w:r>
      <w:r w:rsidRPr="004D58A4">
        <w:t xml:space="preserve">’s </w:t>
      </w:r>
      <w:r w:rsidRPr="00AB582E">
        <w:rPr>
          <w:b/>
          <w:bCs/>
        </w:rPr>
        <w:t>2023 Levy payment was received 5 days after the due date</w:t>
      </w:r>
      <w:r>
        <w:t xml:space="preserve"> and its</w:t>
      </w:r>
      <w:r w:rsidRPr="004D58A4">
        <w:t xml:space="preserve"> </w:t>
      </w:r>
      <w:r w:rsidRPr="00AB582E">
        <w:rPr>
          <w:b/>
          <w:bCs/>
        </w:rPr>
        <w:t>2024 CARC was received 3 days after the due date</w:t>
      </w:r>
      <w:r w:rsidRPr="004D58A4">
        <w:t xml:space="preserve">. Therefore, Provider </w:t>
      </w:r>
      <w:r>
        <w:t>1 has a</w:t>
      </w:r>
      <w:r w:rsidRPr="004D58A4">
        <w:t xml:space="preserve"> </w:t>
      </w:r>
      <w:r w:rsidRPr="00AB582E">
        <w:rPr>
          <w:b/>
          <w:bCs/>
        </w:rPr>
        <w:t>weighted late payment measure</w:t>
      </w:r>
      <w:r w:rsidRPr="004D58A4">
        <w:t xml:space="preserve"> </w:t>
      </w:r>
      <w:r>
        <w:t>of</w:t>
      </w:r>
      <w:r w:rsidRPr="004D58A4">
        <w:t xml:space="preserve"> [0.1 x </w:t>
      </w:r>
      <w:r>
        <w:t>5</w:t>
      </w:r>
      <w:r w:rsidRPr="004D58A4">
        <w:t xml:space="preserve"> days] + </w:t>
      </w:r>
      <w:r>
        <w:br/>
      </w:r>
      <w:r w:rsidRPr="004D58A4">
        <w:t>[0.2 x 3 days] = 0.</w:t>
      </w:r>
      <w:r>
        <w:t>5</w:t>
      </w:r>
      <w:r w:rsidRPr="004D58A4">
        <w:t xml:space="preserve"> + 0.6 = </w:t>
      </w:r>
      <w:r w:rsidRPr="00AB582E">
        <w:rPr>
          <w:b/>
          <w:bCs/>
        </w:rPr>
        <w:t>1.1 days</w:t>
      </w:r>
      <w:r w:rsidRPr="004003F2">
        <w:t>.</w:t>
      </w:r>
    </w:p>
    <w:p w:rsidRPr="004D58A4" w:rsidR="00E24E47" w:rsidP="00AB582E" w:rsidRDefault="00E24E47" w14:paraId="0973CCB8" w14:textId="77777777">
      <w:pPr>
        <w:pStyle w:val="ListParagraph"/>
        <w:numPr>
          <w:ilvl w:val="0"/>
          <w:numId w:val="40"/>
        </w:numPr>
      </w:pPr>
      <w:r w:rsidRPr="004D58A4">
        <w:t xml:space="preserve">Provider 1 </w:t>
      </w:r>
      <w:r w:rsidRPr="00AB582E">
        <w:rPr>
          <w:b/>
          <w:bCs/>
        </w:rPr>
        <w:t>did not have action mentioned in section 83 of the ESOS Act taken against it</w:t>
      </w:r>
      <w:r w:rsidRPr="004D58A4">
        <w:t xml:space="preserve"> in 202</w:t>
      </w:r>
      <w:r>
        <w:t>5</w:t>
      </w:r>
      <w:r w:rsidRPr="004D58A4">
        <w:t xml:space="preserve">. Provider 1 </w:t>
      </w:r>
      <w:r w:rsidRPr="00AB582E">
        <w:rPr>
          <w:b/>
          <w:bCs/>
        </w:rPr>
        <w:t>applied for registration renewal</w:t>
      </w:r>
      <w:r w:rsidRPr="004D58A4">
        <w:t xml:space="preserve"> under section 10D of the ESOS Act</w:t>
      </w:r>
      <w:r>
        <w:t xml:space="preserve"> and, </w:t>
      </w:r>
      <w:r w:rsidRPr="00AB582E">
        <w:rPr>
          <w:b/>
          <w:bCs/>
        </w:rPr>
        <w:t>due to risk management, the period of registration granted in 2025 was less than the maximum period allowed</w:t>
      </w:r>
      <w:r w:rsidRPr="004D58A4">
        <w:t>.</w:t>
      </w:r>
    </w:p>
    <w:tbl>
      <w:tblPr>
        <w:tblStyle w:val="TPSTable"/>
        <w:tblW w:w="5000" w:type="pct"/>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46"/>
        <w:gridCol w:w="6470"/>
      </w:tblGrid>
      <w:tr w:rsidRPr="00723E84" w:rsidR="00E24E47" w:rsidTr="007068F8" w14:paraId="4FE2DE32" w14:textId="77777777">
        <w:trPr>
          <w:cnfStyle w:val="100000000000" w:firstRow="1" w:lastRow="0" w:firstColumn="0" w:lastColumn="0" w:oddVBand="0" w:evenVBand="0" w:oddHBand="0" w:evenHBand="0" w:firstRowFirstColumn="0" w:firstRowLastColumn="0" w:lastRowFirstColumn="0" w:lastRowLastColumn="0"/>
          <w:trHeight w:val="482"/>
        </w:trPr>
        <w:tc>
          <w:tcPr>
            <w:tcW w:w="1412" w:type="pct"/>
            <w:shd w:val="clear" w:color="auto" w:fill="367079"/>
            <w:hideMark/>
          </w:tcPr>
          <w:p w:rsidRPr="00723E84" w:rsidR="00E24E47" w:rsidP="00EE0739" w:rsidRDefault="00E24E47" w14:paraId="3A81646B" w14:textId="77777777">
            <w:pPr>
              <w:pStyle w:val="TableHeader"/>
              <w:rPr>
                <w:rFonts w:ascii="Calibri" w:hAnsi="Calibri" w:cs="Calibri"/>
              </w:rPr>
            </w:pPr>
            <w:r w:rsidRPr="00723E84">
              <w:rPr>
                <w:rFonts w:ascii="Calibri" w:hAnsi="Calibri" w:cs="Calibri"/>
              </w:rPr>
              <w:t>Levy component</w:t>
            </w:r>
          </w:p>
        </w:tc>
        <w:tc>
          <w:tcPr>
            <w:tcW w:w="3588" w:type="pct"/>
            <w:shd w:val="clear" w:color="auto" w:fill="367079"/>
            <w:hideMark/>
          </w:tcPr>
          <w:p w:rsidRPr="00723E84" w:rsidR="00E24E47" w:rsidP="00EE0739" w:rsidRDefault="00E24E47" w14:paraId="10F631D8" w14:textId="77777777">
            <w:pPr>
              <w:pStyle w:val="TableHeader"/>
              <w:rPr>
                <w:rFonts w:ascii="Calibri" w:hAnsi="Calibri" w:cs="Calibri"/>
              </w:rPr>
            </w:pPr>
            <w:r w:rsidRPr="00723E84">
              <w:rPr>
                <w:rFonts w:ascii="Calibri" w:hAnsi="Calibri" w:cs="Calibri"/>
              </w:rPr>
              <w:t>Levy calculation</w:t>
            </w:r>
          </w:p>
        </w:tc>
      </w:tr>
      <w:tr w:rsidRPr="00723E84" w:rsidR="00E24E47" w:rsidTr="007068F8" w14:paraId="1C43844D" w14:textId="77777777">
        <w:trPr>
          <w:cnfStyle w:val="000000100000" w:firstRow="0" w:lastRow="0" w:firstColumn="0" w:lastColumn="0" w:oddVBand="0" w:evenVBand="0" w:oddHBand="1" w:evenHBand="0" w:firstRowFirstColumn="0" w:firstRowLastColumn="0" w:lastRowFirstColumn="0" w:lastRowLastColumn="0"/>
          <w:trHeight w:val="454"/>
        </w:trPr>
        <w:tc>
          <w:tcPr>
            <w:tcW w:w="1412" w:type="pct"/>
            <w:shd w:val="clear" w:color="auto" w:fill="D8EBEE"/>
            <w:hideMark/>
          </w:tcPr>
          <w:p w:rsidRPr="00173FF9" w:rsidR="00E24E47" w:rsidP="005F62E9" w:rsidRDefault="00E24E47" w14:paraId="4D72FCE1" w14:textId="62AF79E3">
            <w:pPr>
              <w:pStyle w:val="Tablecontents"/>
              <w:numPr>
                <w:ilvl w:val="0"/>
                <w:numId w:val="38"/>
              </w:numPr>
              <w:spacing w:before="0" w:after="0"/>
              <w:rPr>
                <w:rFonts w:cs="Calibri"/>
                <w:b/>
                <w:bCs/>
              </w:rPr>
            </w:pPr>
            <w:r w:rsidRPr="00173FF9">
              <w:rPr>
                <w:rFonts w:cs="Calibri"/>
                <w:b/>
                <w:bCs/>
              </w:rPr>
              <w:t>Administrative Fee</w:t>
            </w:r>
          </w:p>
        </w:tc>
        <w:tc>
          <w:tcPr>
            <w:tcW w:w="3588" w:type="pct"/>
            <w:shd w:val="clear" w:color="auto" w:fill="D8EBEE"/>
            <w:hideMark/>
          </w:tcPr>
          <w:p w:rsidRPr="00723E84" w:rsidR="00E24E47" w:rsidP="005F62E9" w:rsidRDefault="00E24E47" w14:paraId="4F5C1FF9" w14:textId="77777777">
            <w:pPr>
              <w:pStyle w:val="Tablecontents"/>
              <w:spacing w:before="0" w:after="0"/>
              <w:rPr>
                <w:rFonts w:cs="Calibri"/>
              </w:rPr>
            </w:pPr>
            <w:r w:rsidRPr="00723E84">
              <w:rPr>
                <w:rFonts w:cs="Calibri"/>
              </w:rPr>
              <w:t xml:space="preserve">$110 + (400 x $0.58) = </w:t>
            </w:r>
            <w:r w:rsidRPr="00723E84">
              <w:rPr>
                <w:rFonts w:cs="Calibri"/>
                <w:color w:val="C00000"/>
              </w:rPr>
              <w:t>$342</w:t>
            </w:r>
          </w:p>
        </w:tc>
      </w:tr>
      <w:tr w:rsidRPr="00723E84" w:rsidR="00E24E47" w:rsidTr="007068F8" w14:paraId="2B09EC56" w14:textId="77777777">
        <w:trPr>
          <w:cnfStyle w:val="000000010000" w:firstRow="0" w:lastRow="0" w:firstColumn="0" w:lastColumn="0" w:oddVBand="0" w:evenVBand="0" w:oddHBand="0" w:evenHBand="1" w:firstRowFirstColumn="0" w:firstRowLastColumn="0" w:lastRowFirstColumn="0" w:lastRowLastColumn="0"/>
          <w:trHeight w:val="454"/>
        </w:trPr>
        <w:tc>
          <w:tcPr>
            <w:tcW w:w="1412" w:type="pct"/>
          </w:tcPr>
          <w:p w:rsidRPr="00173FF9" w:rsidR="00E24E47" w:rsidP="0030210A" w:rsidRDefault="00E24E47" w14:paraId="65374694" w14:textId="01C48D55">
            <w:pPr>
              <w:pStyle w:val="Tablecontents"/>
              <w:numPr>
                <w:ilvl w:val="0"/>
                <w:numId w:val="38"/>
              </w:numPr>
              <w:spacing w:before="0" w:after="0"/>
              <w:rPr>
                <w:rFonts w:cs="Calibri"/>
                <w:b/>
                <w:bCs/>
              </w:rPr>
            </w:pPr>
            <w:r w:rsidRPr="00173FF9">
              <w:rPr>
                <w:rFonts w:cs="Calibri"/>
                <w:b/>
                <w:bCs/>
              </w:rPr>
              <w:t>Base Fee</w:t>
            </w:r>
          </w:p>
        </w:tc>
        <w:tc>
          <w:tcPr>
            <w:tcW w:w="3588" w:type="pct"/>
          </w:tcPr>
          <w:p w:rsidRPr="00723E84" w:rsidR="00E24E47" w:rsidP="00A40F13" w:rsidRDefault="00E24E47" w14:paraId="149B75FB" w14:textId="77777777">
            <w:pPr>
              <w:pStyle w:val="Tablecontents"/>
              <w:spacing w:before="0" w:after="0"/>
              <w:rPr>
                <w:rFonts w:cs="Calibri"/>
              </w:rPr>
            </w:pPr>
            <w:r w:rsidRPr="00723E84">
              <w:rPr>
                <w:rFonts w:cs="Calibri"/>
              </w:rPr>
              <w:t xml:space="preserve">$223 + (400 x $1.41) = </w:t>
            </w:r>
            <w:r w:rsidRPr="00723E84">
              <w:rPr>
                <w:rFonts w:cs="Calibri"/>
                <w:color w:val="C00000"/>
              </w:rPr>
              <w:t>$787</w:t>
            </w:r>
          </w:p>
        </w:tc>
      </w:tr>
      <w:tr w:rsidRPr="00723E84" w:rsidR="00E24E47" w:rsidTr="007068F8" w14:paraId="137DB071" w14:textId="77777777">
        <w:trPr>
          <w:cnfStyle w:val="000000100000" w:firstRow="0" w:lastRow="0" w:firstColumn="0" w:lastColumn="0" w:oddVBand="0" w:evenVBand="0" w:oddHBand="1" w:evenHBand="0" w:firstRowFirstColumn="0" w:firstRowLastColumn="0" w:lastRowFirstColumn="0" w:lastRowLastColumn="0"/>
          <w:trHeight w:val="454"/>
        </w:trPr>
        <w:tc>
          <w:tcPr>
            <w:tcW w:w="1412" w:type="pct"/>
            <w:shd w:val="clear" w:color="auto" w:fill="D8EBEE"/>
            <w:hideMark/>
          </w:tcPr>
          <w:p w:rsidRPr="00173FF9" w:rsidR="00E24E47" w:rsidP="00A8700F" w:rsidRDefault="00E24E47" w14:paraId="36BC6407" w14:textId="4F5C4625">
            <w:pPr>
              <w:pStyle w:val="Tablecontents"/>
              <w:numPr>
                <w:ilvl w:val="0"/>
                <w:numId w:val="39"/>
              </w:numPr>
              <w:rPr>
                <w:rFonts w:cs="Calibri"/>
                <w:b/>
                <w:bCs/>
              </w:rPr>
            </w:pPr>
            <w:r w:rsidRPr="00173FF9">
              <w:rPr>
                <w:rFonts w:cs="Calibri"/>
                <w:b/>
                <w:bCs/>
              </w:rPr>
              <w:t>Risk Rated Premium</w:t>
            </w:r>
          </w:p>
        </w:tc>
        <w:tc>
          <w:tcPr>
            <w:tcW w:w="3588" w:type="pct"/>
            <w:shd w:val="clear" w:color="auto" w:fill="D8EBEE"/>
            <w:hideMark/>
          </w:tcPr>
          <w:p w:rsidRPr="00157207" w:rsidR="00157207" w:rsidP="00157207" w:rsidRDefault="00157207" w14:paraId="6D17D8E2" w14:textId="77777777">
            <w:pPr>
              <w:pStyle w:val="Tablecontents"/>
              <w:spacing w:before="40" w:after="40" w:line="40" w:lineRule="atLeast"/>
              <w:rPr>
                <w:rFonts w:cs="Calibri" w:eastAsiaTheme="minorEastAsia"/>
                <w:sz w:val="16"/>
                <w:szCs w:val="16"/>
              </w:rPr>
            </w:pPr>
          </w:p>
          <w:p w:rsidRPr="004763AD" w:rsidR="004763AD" w:rsidP="00157207" w:rsidRDefault="004763AD" w14:paraId="64D555B0" w14:textId="52825586">
            <w:pPr>
              <w:pStyle w:val="Tablecontents"/>
              <w:spacing w:before="40" w:after="40" w:line="40" w:lineRule="atLeast"/>
              <w:rPr>
                <w:rFonts w:cs="Calibri"/>
              </w:rPr>
            </w:pPr>
            <m:oMathPara>
              <m:oMathParaPr>
                <m:jc m:val="center"/>
              </m:oMathParaPr>
              <m:oMath>
                <m:r>
                  <m:rPr>
                    <m:nor/>
                  </m:rPr>
                  <w:rPr>
                    <w:rFonts w:cs="Calibri"/>
                  </w:rPr>
                  <m:t xml:space="preserve">R = </m:t>
                </m:r>
                <m:d>
                  <m:dPr>
                    <m:ctrlPr>
                      <w:rPr>
                        <w:rFonts w:ascii="Cambria Math" w:hAnsi="Cambria Math" w:cs="Calibri"/>
                      </w:rPr>
                    </m:ctrlPr>
                  </m:dPr>
                  <m:e>
                    <m:r>
                      <m:rPr>
                        <m:nor/>
                      </m:rPr>
                      <w:rPr>
                        <w:rFonts w:cs="Calibri"/>
                      </w:rPr>
                      <m:t xml:space="preserve">0.05% × </m:t>
                    </m:r>
                    <m:m>
                      <m:mPr>
                        <m:mcs>
                          <m:mc>
                            <m:mcPr>
                              <m:count m:val="1"/>
                              <m:mcJc m:val="center"/>
                            </m:mcPr>
                          </m:mc>
                        </m:mcs>
                        <m:ctrlPr>
                          <w:rPr>
                            <w:rFonts w:ascii="Cambria Math" w:hAnsi="Cambria Math" w:cs="Calibri"/>
                          </w:rPr>
                        </m:ctrlPr>
                      </m:mPr>
                      <m:mr>
                        <m:e>
                          <m:r>
                            <m:rPr>
                              <m:nor/>
                            </m:rPr>
                            <w:rPr>
                              <w:rFonts w:cs="Calibri"/>
                            </w:rPr>
                            <m:t>Total risk factor</m:t>
                          </m:r>
                        </m:e>
                      </m:mr>
                      <m:mr>
                        <m:e>
                          <m:r>
                            <m:rPr>
                              <m:nor/>
                            </m:rPr>
                            <w:rPr>
                              <w:rFonts w:cs="Calibri"/>
                            </w:rPr>
                            <m:t>value for the year</m:t>
                          </m:r>
                        </m:e>
                      </m:mr>
                    </m:m>
                  </m:e>
                </m:d>
                <m:r>
                  <m:rPr>
                    <m:nor/>
                  </m:rPr>
                  <w:rPr>
                    <w:rFonts w:cs="Calibri"/>
                  </w:rPr>
                  <m:t xml:space="preserve"> × </m:t>
                </m:r>
                <m:m>
                  <m:mPr>
                    <m:mcs>
                      <m:mc>
                        <m:mcPr>
                          <m:count m:val="1"/>
                          <m:mcJc m:val="center"/>
                        </m:mcPr>
                      </m:mc>
                    </m:mcs>
                    <m:ctrlPr>
                      <w:rPr>
                        <w:rFonts w:ascii="Cambria Math" w:hAnsi="Cambria Math" w:cs="Calibri"/>
                      </w:rPr>
                    </m:ctrlPr>
                  </m:mPr>
                  <m:mr>
                    <m:e>
                      <m:r>
                        <m:rPr>
                          <m:nor/>
                        </m:rPr>
                        <w:rPr>
                          <w:rFonts w:cs="Calibri"/>
                        </w:rPr>
                        <m:t xml:space="preserve">2025 overseas </m:t>
                      </m:r>
                    </m:e>
                  </m:mr>
                  <m:mr>
                    <m:e>
                      <m:r>
                        <m:rPr>
                          <m:nor/>
                        </m:rPr>
                        <w:rPr>
                          <w:rFonts w:cs="Calibri"/>
                        </w:rPr>
                        <m:t>student tuition fees</m:t>
                      </m:r>
                    </m:e>
                  </m:mr>
                </m:m>
              </m:oMath>
            </m:oMathPara>
          </w:p>
          <w:p w:rsidRPr="00157207" w:rsidR="00157207" w:rsidP="00EE0739" w:rsidRDefault="00157207" w14:paraId="155AABED" w14:textId="77777777">
            <w:pPr>
              <w:pStyle w:val="Tablecontents"/>
              <w:spacing w:after="0"/>
              <w:rPr>
                <w:rFonts w:cs="Calibri"/>
                <w:b/>
                <w:bCs/>
                <w:sz w:val="16"/>
                <w:szCs w:val="16"/>
              </w:rPr>
            </w:pPr>
          </w:p>
          <w:p w:rsidRPr="00723E84" w:rsidR="00E24E47" w:rsidP="00EE0739" w:rsidRDefault="00E24E47" w14:paraId="745630A3" w14:textId="3ADB97C8">
            <w:pPr>
              <w:pStyle w:val="Tablecontents"/>
              <w:spacing w:after="0"/>
              <w:rPr>
                <w:rFonts w:cs="Calibri"/>
                <w:b/>
                <w:bCs/>
              </w:rPr>
            </w:pPr>
            <w:r w:rsidRPr="00723E84">
              <w:rPr>
                <w:rFonts w:cs="Calibri"/>
                <w:b/>
                <w:bCs/>
              </w:rPr>
              <w:t>Risk factor 1: Base risk factor</w:t>
            </w:r>
          </w:p>
          <w:p w:rsidRPr="00723E84" w:rsidR="00E24E47" w:rsidP="00EE0739" w:rsidRDefault="00E24E47" w14:paraId="2994E416" w14:textId="77777777">
            <w:pPr>
              <w:pStyle w:val="Tablecontents"/>
              <w:spacing w:before="0"/>
              <w:rPr>
                <w:rFonts w:cs="Calibri"/>
              </w:rPr>
            </w:pPr>
            <w:r w:rsidRPr="00723E84">
              <w:rPr>
                <w:rFonts w:cs="Calibri"/>
              </w:rPr>
              <w:t>Increase factor value: 1.0</w:t>
            </w:r>
          </w:p>
          <w:p w:rsidRPr="00723E84" w:rsidR="00E24E47" w:rsidP="00EE0739" w:rsidRDefault="00E24E47" w14:paraId="4FFEF808" w14:textId="77777777">
            <w:pPr>
              <w:pStyle w:val="Tablecontents"/>
              <w:spacing w:before="120" w:after="0"/>
              <w:rPr>
                <w:rFonts w:cs="Calibri"/>
                <w:b/>
                <w:bCs/>
              </w:rPr>
            </w:pPr>
            <w:r w:rsidRPr="00723E84">
              <w:rPr>
                <w:rFonts w:cs="Calibri"/>
                <w:b/>
                <w:bCs/>
              </w:rPr>
              <w:t>Risk factor 2: Length of operation</w:t>
            </w:r>
          </w:p>
          <w:p w:rsidRPr="00723E84" w:rsidR="00E24E47" w:rsidP="00EE0739" w:rsidRDefault="00E24E47" w14:paraId="037E3529" w14:textId="77777777">
            <w:pPr>
              <w:pStyle w:val="Tablecontents"/>
              <w:spacing w:before="0"/>
              <w:rPr>
                <w:rFonts w:cs="Calibri"/>
              </w:rPr>
            </w:pPr>
            <w:r w:rsidRPr="00723E84">
              <w:rPr>
                <w:rFonts w:cs="Calibri"/>
              </w:rPr>
              <w:t>Increase factor value: 0.0</w:t>
            </w:r>
          </w:p>
          <w:p w:rsidRPr="00723E84" w:rsidR="00E24E47" w:rsidP="00EE0739" w:rsidRDefault="00E24E47" w14:paraId="1BCA08BD" w14:textId="77777777">
            <w:pPr>
              <w:pStyle w:val="Tablecontents"/>
              <w:spacing w:before="120" w:after="0"/>
              <w:rPr>
                <w:rFonts w:cs="Calibri"/>
                <w:b/>
                <w:bCs/>
              </w:rPr>
            </w:pPr>
            <w:r w:rsidRPr="00723E84">
              <w:rPr>
                <w:rFonts w:cs="Calibri"/>
                <w:b/>
                <w:bCs/>
              </w:rPr>
              <w:t>Rick factor 3: Volatility in overseas student enrolments</w:t>
            </w:r>
          </w:p>
          <w:p w:rsidRPr="00723E84" w:rsidR="00E24E47" w:rsidP="00EE0739" w:rsidRDefault="00E24E47" w14:paraId="30BDFFE5" w14:textId="77777777">
            <w:pPr>
              <w:pStyle w:val="Tablecontents"/>
              <w:spacing w:before="0"/>
              <w:rPr>
                <w:rFonts w:cs="Calibri"/>
              </w:rPr>
            </w:pPr>
            <w:r w:rsidRPr="00723E84">
              <w:rPr>
                <w:rFonts w:cs="Calibri"/>
              </w:rPr>
              <w:t>Increase factor value: 2.0</w:t>
            </w:r>
          </w:p>
          <w:p w:rsidRPr="00723E84" w:rsidR="00E24E47" w:rsidP="00EE0739" w:rsidRDefault="00E24E47" w14:paraId="040EC7BE" w14:textId="77777777">
            <w:pPr>
              <w:pStyle w:val="Tablecontents"/>
              <w:spacing w:before="120" w:after="0"/>
              <w:rPr>
                <w:rFonts w:cs="Calibri"/>
                <w:b/>
                <w:bCs/>
              </w:rPr>
            </w:pPr>
            <w:r w:rsidRPr="00723E84">
              <w:rPr>
                <w:rFonts w:cs="Calibri"/>
                <w:b/>
                <w:bCs/>
              </w:rPr>
              <w:t>Risk factor 4: Maximum overseas source country concentration</w:t>
            </w:r>
          </w:p>
          <w:p w:rsidRPr="00723E84" w:rsidR="00E24E47" w:rsidP="00EE0739" w:rsidRDefault="00E24E47" w14:paraId="46116571" w14:textId="77777777">
            <w:pPr>
              <w:pStyle w:val="Tablecontents"/>
              <w:spacing w:before="0"/>
              <w:rPr>
                <w:rFonts w:cs="Calibri"/>
              </w:rPr>
            </w:pPr>
            <w:r w:rsidRPr="00723E84">
              <w:rPr>
                <w:rFonts w:cs="Calibri"/>
              </w:rPr>
              <w:t>Increase factor value: 0.0</w:t>
            </w:r>
          </w:p>
          <w:p w:rsidRPr="00723E84" w:rsidR="00E24E47" w:rsidP="00EE0739" w:rsidRDefault="00E24E47" w14:paraId="246D7A57" w14:textId="77777777">
            <w:pPr>
              <w:pStyle w:val="Tablecontents"/>
              <w:spacing w:before="120" w:after="0"/>
              <w:rPr>
                <w:rFonts w:cs="Calibri"/>
                <w:b/>
                <w:bCs/>
              </w:rPr>
            </w:pPr>
            <w:r w:rsidRPr="00723E84">
              <w:rPr>
                <w:rFonts w:cs="Calibri"/>
                <w:b/>
                <w:bCs/>
              </w:rPr>
              <w:t>Risk factor 5: Non-compliance and registration renewal</w:t>
            </w:r>
          </w:p>
          <w:p w:rsidRPr="00723E84" w:rsidR="00E24E47" w:rsidP="00EE0739" w:rsidRDefault="00E24E47" w14:paraId="16FB30BA" w14:textId="77777777">
            <w:pPr>
              <w:pStyle w:val="Tablecontents"/>
              <w:spacing w:before="0"/>
              <w:rPr>
                <w:rFonts w:cs="Calibri"/>
              </w:rPr>
            </w:pPr>
            <w:r w:rsidRPr="00723E84">
              <w:rPr>
                <w:rFonts w:cs="Calibri"/>
              </w:rPr>
              <w:t xml:space="preserve"> factor value: 0.7 + 1.0</w:t>
            </w:r>
          </w:p>
          <w:p w:rsidRPr="00723E84" w:rsidR="00E24E47" w:rsidP="00EE0739" w:rsidRDefault="00E24E47" w14:paraId="3D89103C" w14:textId="77777777">
            <w:pPr>
              <w:pStyle w:val="Tablecontents"/>
              <w:spacing w:before="120" w:after="0"/>
              <w:rPr>
                <w:rFonts w:cs="Calibri"/>
                <w:b/>
                <w:bCs/>
              </w:rPr>
            </w:pPr>
            <w:r w:rsidRPr="00723E84">
              <w:rPr>
                <w:rFonts w:cs="Calibri"/>
                <w:b/>
                <w:bCs/>
              </w:rPr>
              <w:t>Total Risk factor value</w:t>
            </w:r>
          </w:p>
          <w:p w:rsidRPr="00723E84" w:rsidR="00E24E47" w:rsidP="00EE0739" w:rsidRDefault="00E24E47" w14:paraId="4E409E45" w14:textId="77777777">
            <w:pPr>
              <w:pStyle w:val="Tablecontents"/>
              <w:spacing w:before="0"/>
              <w:rPr>
                <w:rFonts w:cs="Calibri"/>
              </w:rPr>
            </w:pPr>
            <w:r w:rsidRPr="00723E84">
              <w:rPr>
                <w:rFonts w:cs="Calibri"/>
              </w:rPr>
              <w:t>1.0 + 0.0 + 2.0 + 0.0 + 0.7 + 1.0 = 4.7</w:t>
            </w:r>
          </w:p>
          <w:p w:rsidRPr="00723E84" w:rsidR="00E24E47" w:rsidP="00EE0739" w:rsidRDefault="00E24E47" w14:paraId="20049A0E" w14:textId="77777777">
            <w:pPr>
              <w:pStyle w:val="Tablecontents"/>
              <w:spacing w:before="120" w:after="0"/>
              <w:rPr>
                <w:rFonts w:cs="Calibri"/>
                <w:b/>
                <w:bCs/>
              </w:rPr>
            </w:pPr>
            <w:r w:rsidRPr="00723E84">
              <w:rPr>
                <w:rFonts w:cs="Calibri"/>
                <w:b/>
                <w:bCs/>
              </w:rPr>
              <w:t>Risk Rated Premium component calculation</w:t>
            </w:r>
          </w:p>
          <w:p w:rsidRPr="00723E84" w:rsidR="00E24E47" w:rsidP="00EE0739" w:rsidRDefault="00E24E47" w14:paraId="6B96CE85" w14:textId="77777777">
            <w:pPr>
              <w:pStyle w:val="Tablecontents"/>
              <w:spacing w:before="0"/>
              <w:rPr>
                <w:rFonts w:cs="Calibri"/>
              </w:rPr>
            </w:pPr>
            <w:r w:rsidRPr="00723E84">
              <w:rPr>
                <w:rFonts w:cs="Calibri"/>
              </w:rPr>
              <w:t>(</w:t>
            </w:r>
            <w:r w:rsidRPr="00723E84">
              <w:rPr>
                <w:rFonts w:cs="Calibri"/>
                <w:b/>
                <w:bCs/>
              </w:rPr>
              <w:t>0.05%</w:t>
            </w:r>
            <w:r w:rsidRPr="00723E84">
              <w:rPr>
                <w:rFonts w:cs="Calibri"/>
              </w:rPr>
              <w:t xml:space="preserve"> x 4.7) x $3,000,000 = </w:t>
            </w:r>
            <w:r w:rsidRPr="00723E84">
              <w:rPr>
                <w:rFonts w:cs="Calibri"/>
                <w:color w:val="C00000"/>
              </w:rPr>
              <w:t>$7,050</w:t>
            </w:r>
          </w:p>
        </w:tc>
      </w:tr>
      <w:tr w:rsidRPr="00723E84" w:rsidR="00E24E47" w:rsidTr="007068F8" w14:paraId="292B6DC0" w14:textId="77777777">
        <w:trPr>
          <w:cnfStyle w:val="000000010000" w:firstRow="0" w:lastRow="0" w:firstColumn="0" w:lastColumn="0" w:oddVBand="0" w:evenVBand="0" w:oddHBand="0" w:evenHBand="1" w:firstRowFirstColumn="0" w:firstRowLastColumn="0" w:lastRowFirstColumn="0" w:lastRowLastColumn="0"/>
          <w:trHeight w:val="454"/>
        </w:trPr>
        <w:tc>
          <w:tcPr>
            <w:tcW w:w="1412" w:type="pct"/>
            <w:hideMark/>
          </w:tcPr>
          <w:p w:rsidRPr="00173FF9" w:rsidR="00E24E47" w:rsidP="00A40F13" w:rsidRDefault="00E24E47" w14:paraId="57E696B9" w14:textId="6A942625">
            <w:pPr>
              <w:pStyle w:val="Tablecontents"/>
              <w:numPr>
                <w:ilvl w:val="0"/>
                <w:numId w:val="39"/>
              </w:numPr>
              <w:spacing w:before="0" w:after="0"/>
              <w:rPr>
                <w:rFonts w:cs="Calibri"/>
                <w:b/>
                <w:bCs/>
              </w:rPr>
            </w:pPr>
            <w:r w:rsidRPr="00173FF9">
              <w:rPr>
                <w:rFonts w:cs="Calibri"/>
                <w:b/>
                <w:bCs/>
              </w:rPr>
              <w:t>Special Tuition Protection</w:t>
            </w:r>
          </w:p>
        </w:tc>
        <w:tc>
          <w:tcPr>
            <w:tcW w:w="3588" w:type="pct"/>
            <w:hideMark/>
          </w:tcPr>
          <w:p w:rsidRPr="00723E84" w:rsidR="00E24E47" w:rsidP="00A40F13" w:rsidRDefault="00E24E47" w14:paraId="44310F79" w14:textId="77777777">
            <w:pPr>
              <w:pStyle w:val="Tablecontents"/>
              <w:spacing w:before="0" w:after="0"/>
              <w:rPr>
                <w:rFonts w:cs="Calibri"/>
              </w:rPr>
            </w:pPr>
            <w:r w:rsidRPr="00723E84">
              <w:rPr>
                <w:rFonts w:cs="Calibri"/>
              </w:rPr>
              <w:t xml:space="preserve">$3,000,000 x </w:t>
            </w:r>
            <w:r w:rsidRPr="00723E84">
              <w:rPr>
                <w:rFonts w:cs="Calibri"/>
                <w:b/>
                <w:bCs/>
              </w:rPr>
              <w:t>0%</w:t>
            </w:r>
            <w:r w:rsidRPr="00723E84">
              <w:rPr>
                <w:rFonts w:cs="Calibri"/>
              </w:rPr>
              <w:t xml:space="preserve"> = </w:t>
            </w:r>
            <w:r w:rsidRPr="00723E84">
              <w:rPr>
                <w:rFonts w:cs="Calibri"/>
                <w:color w:val="C00000"/>
              </w:rPr>
              <w:t>$0</w:t>
            </w:r>
          </w:p>
        </w:tc>
      </w:tr>
      <w:tr w:rsidRPr="00723E84" w:rsidR="00E24E47" w:rsidTr="007068F8" w14:paraId="468D62C0" w14:textId="77777777">
        <w:trPr>
          <w:cnfStyle w:val="000000100000" w:firstRow="0" w:lastRow="0" w:firstColumn="0" w:lastColumn="0" w:oddVBand="0" w:evenVBand="0" w:oddHBand="1" w:evenHBand="0" w:firstRowFirstColumn="0" w:firstRowLastColumn="0" w:lastRowFirstColumn="0" w:lastRowLastColumn="0"/>
          <w:trHeight w:val="454"/>
        </w:trPr>
        <w:tc>
          <w:tcPr>
            <w:tcW w:w="1412" w:type="pct"/>
            <w:shd w:val="clear" w:color="auto" w:fill="D8EBEE"/>
            <w:hideMark/>
          </w:tcPr>
          <w:p w:rsidR="00E24E47" w:rsidP="00A40F13" w:rsidRDefault="00E24E47" w14:paraId="1A927C64" w14:textId="77777777">
            <w:pPr>
              <w:pStyle w:val="Tablecontents"/>
              <w:spacing w:before="0" w:after="0"/>
              <w:rPr>
                <w:rFonts w:cs="Calibri"/>
                <w:b/>
                <w:bCs/>
              </w:rPr>
            </w:pPr>
            <w:r w:rsidRPr="00173FF9">
              <w:rPr>
                <w:rFonts w:cs="Calibri"/>
                <w:b/>
                <w:bCs/>
              </w:rPr>
              <w:t>Total 2026 Levy</w:t>
            </w:r>
          </w:p>
          <w:p w:rsidRPr="00173FF9" w:rsidR="00A8700F" w:rsidP="00157207" w:rsidRDefault="00A8700F" w14:paraId="021E1B99" w14:textId="11F5965B">
            <w:pPr>
              <w:pStyle w:val="Tablecontents"/>
              <w:spacing w:before="0" w:after="0"/>
              <w:rPr>
                <w:rFonts w:cs="Calibri"/>
                <w:b/>
                <w:bCs/>
              </w:rPr>
            </w:pPr>
            <w:r>
              <w:rPr>
                <w:rFonts w:cs="Calibri"/>
                <w:b/>
                <w:bCs/>
              </w:rPr>
              <w:t>A + B + R + S</w:t>
            </w:r>
          </w:p>
        </w:tc>
        <w:tc>
          <w:tcPr>
            <w:tcW w:w="3588" w:type="pct"/>
            <w:shd w:val="clear" w:color="auto" w:fill="D8EBEE"/>
            <w:hideMark/>
          </w:tcPr>
          <w:p w:rsidRPr="00723E84" w:rsidR="00E24E47" w:rsidP="00EE0739" w:rsidRDefault="00E24E47" w14:paraId="58155C93" w14:textId="77777777">
            <w:pPr>
              <w:pStyle w:val="Tablecontents"/>
              <w:spacing w:before="160" w:after="160"/>
              <w:rPr>
                <w:rFonts w:cs="Calibri"/>
              </w:rPr>
            </w:pPr>
            <w:r w:rsidRPr="00723E84">
              <w:rPr>
                <w:rFonts w:cs="Calibri"/>
              </w:rPr>
              <w:t xml:space="preserve">$342 + $787 + $7,050 + $0 = </w:t>
            </w:r>
            <w:r w:rsidRPr="00723E84">
              <w:rPr>
                <w:rFonts w:cs="Calibri"/>
                <w:b/>
                <w:bCs/>
                <w:color w:val="C00000"/>
              </w:rPr>
              <w:t>$8,179</w:t>
            </w:r>
          </w:p>
        </w:tc>
      </w:tr>
    </w:tbl>
    <w:p w:rsidRPr="00436576" w:rsidR="00E24E47" w:rsidP="00B422F9" w:rsidRDefault="00E24E47" w14:paraId="08722779" w14:textId="06B0767D">
      <w:pPr>
        <w:spacing w:after="80"/>
        <w:rPr>
          <w:b/>
          <w:bCs/>
          <w:i/>
          <w:iCs/>
        </w:rPr>
      </w:pPr>
      <w:r>
        <w:br w:type="page"/>
      </w:r>
      <w:r w:rsidRPr="00436576">
        <w:rPr>
          <w:b/>
          <w:bCs/>
          <w:i/>
          <w:iCs/>
        </w:rPr>
        <w:t>Provider 2</w:t>
      </w:r>
      <w:r w:rsidRPr="00436576" w:rsidR="00B422F9">
        <w:rPr>
          <w:b/>
          <w:bCs/>
          <w:i/>
          <w:iCs/>
        </w:rPr>
        <w:t xml:space="preserve"> example</w:t>
      </w:r>
    </w:p>
    <w:p w:rsidRPr="004D58A4" w:rsidR="00E24E47" w:rsidP="00B422F9" w:rsidRDefault="00E24E47" w14:paraId="1E611471" w14:textId="77777777">
      <w:pPr>
        <w:pStyle w:val="ListParagraph"/>
        <w:numPr>
          <w:ilvl w:val="0"/>
          <w:numId w:val="41"/>
        </w:numPr>
      </w:pPr>
      <w:r w:rsidRPr="004D58A4">
        <w:t xml:space="preserve">Provider </w:t>
      </w:r>
      <w:r>
        <w:t>2</w:t>
      </w:r>
      <w:r w:rsidRPr="004D58A4">
        <w:t xml:space="preserve"> received </w:t>
      </w:r>
      <w:r w:rsidRPr="00B422F9">
        <w:rPr>
          <w:b/>
          <w:bCs/>
        </w:rPr>
        <w:t>$1,000,000 in overseas student tuition fees</w:t>
      </w:r>
      <w:r w:rsidRPr="004D58A4">
        <w:t xml:space="preserve"> in 202</w:t>
      </w:r>
      <w:r>
        <w:t>5</w:t>
      </w:r>
      <w:r w:rsidRPr="004D58A4">
        <w:t>.</w:t>
      </w:r>
    </w:p>
    <w:p w:rsidRPr="004D58A4" w:rsidR="00E24E47" w:rsidP="00B422F9" w:rsidRDefault="00E24E47" w14:paraId="0D59F178" w14:textId="77777777">
      <w:pPr>
        <w:pStyle w:val="ListParagraph"/>
        <w:numPr>
          <w:ilvl w:val="0"/>
          <w:numId w:val="41"/>
        </w:numPr>
      </w:pPr>
      <w:r w:rsidRPr="004D58A4">
        <w:t xml:space="preserve">Provider </w:t>
      </w:r>
      <w:r>
        <w:t>2</w:t>
      </w:r>
      <w:r w:rsidRPr="004D58A4">
        <w:t xml:space="preserve"> has been </w:t>
      </w:r>
      <w:r w:rsidRPr="00B422F9">
        <w:rPr>
          <w:b/>
          <w:bCs/>
        </w:rPr>
        <w:t>operating for 4.5 years</w:t>
      </w:r>
      <w:r w:rsidRPr="004D58A4">
        <w:t>.</w:t>
      </w:r>
    </w:p>
    <w:p w:rsidRPr="004D58A4" w:rsidR="00E24E47" w:rsidP="00B422F9" w:rsidRDefault="00E24E47" w14:paraId="4E9147D5" w14:textId="77777777">
      <w:pPr>
        <w:pStyle w:val="ListParagraph"/>
        <w:numPr>
          <w:ilvl w:val="0"/>
          <w:numId w:val="41"/>
        </w:numPr>
      </w:pPr>
      <w:r w:rsidRPr="00850393">
        <w:t>In 202</w:t>
      </w:r>
      <w:r>
        <w:t>5</w:t>
      </w:r>
      <w:r w:rsidRPr="00850393">
        <w:t>, Provider</w:t>
      </w:r>
      <w:r w:rsidRPr="004D58A4">
        <w:t xml:space="preserve"> </w:t>
      </w:r>
      <w:r>
        <w:t>2</w:t>
      </w:r>
      <w:r w:rsidRPr="004D58A4">
        <w:t xml:space="preserve"> had </w:t>
      </w:r>
      <w:r w:rsidRPr="00B422F9">
        <w:rPr>
          <w:b/>
          <w:bCs/>
        </w:rPr>
        <w:t>120 overseas student enrolments (EFTSL)</w:t>
      </w:r>
      <w:r w:rsidRPr="004D58A4">
        <w:t xml:space="preserve"> and </w:t>
      </w:r>
      <w:r w:rsidRPr="00B422F9">
        <w:rPr>
          <w:b/>
          <w:bCs/>
        </w:rPr>
        <w:t>0 domestic student enrolments (EFTSL)</w:t>
      </w:r>
      <w:r w:rsidRPr="004D58A4">
        <w:t xml:space="preserve">. Therefore, Provider </w:t>
      </w:r>
      <w:r>
        <w:t>2</w:t>
      </w:r>
      <w:r w:rsidRPr="004D58A4">
        <w:t xml:space="preserve">’s </w:t>
      </w:r>
      <w:r w:rsidRPr="00B422F9">
        <w:rPr>
          <w:b/>
          <w:bCs/>
        </w:rPr>
        <w:t>proportion of overseas student enrolments was 100% of its total student population</w:t>
      </w:r>
      <w:r>
        <w:t xml:space="preserve"> in 2024.</w:t>
      </w:r>
    </w:p>
    <w:p w:rsidRPr="004D58A4" w:rsidR="00E24E47" w:rsidP="00B422F9" w:rsidRDefault="00E24E47" w14:paraId="367D9BE8" w14:textId="77777777">
      <w:pPr>
        <w:pStyle w:val="ListParagraph"/>
        <w:numPr>
          <w:ilvl w:val="0"/>
          <w:numId w:val="41"/>
        </w:numPr>
      </w:pPr>
      <w:r w:rsidRPr="00DB6D1A">
        <w:t>In 202</w:t>
      </w:r>
      <w:r>
        <w:t>4</w:t>
      </w:r>
      <w:r w:rsidRPr="00DB6D1A">
        <w:t xml:space="preserve">, Provider </w:t>
      </w:r>
      <w:r>
        <w:t>2</w:t>
      </w:r>
      <w:r w:rsidRPr="00DB6D1A">
        <w:t xml:space="preserve"> had </w:t>
      </w:r>
      <w:r>
        <w:t>9</w:t>
      </w:r>
      <w:r w:rsidRPr="00DB6D1A">
        <w:t xml:space="preserve">0 overseas student enrolments. Therefore, Provider </w:t>
      </w:r>
      <w:r>
        <w:t>2</w:t>
      </w:r>
      <w:r w:rsidRPr="00DB6D1A">
        <w:t>’s</w:t>
      </w:r>
      <w:r>
        <w:t xml:space="preserve"> </w:t>
      </w:r>
      <w:r w:rsidRPr="00B422F9">
        <w:rPr>
          <w:b/>
          <w:bCs/>
        </w:rPr>
        <w:t>volatility in overseas student enrolments is 33%</w:t>
      </w:r>
      <w:r>
        <w:t>.</w:t>
      </w:r>
    </w:p>
    <w:p w:rsidRPr="004D58A4" w:rsidR="00E24E47" w:rsidP="00B422F9" w:rsidRDefault="00E24E47" w14:paraId="0BD2F1D8" w14:textId="77777777">
      <w:pPr>
        <w:pStyle w:val="ListParagraph"/>
        <w:numPr>
          <w:ilvl w:val="0"/>
          <w:numId w:val="41"/>
        </w:numPr>
      </w:pPr>
      <w:r w:rsidRPr="004D58A4">
        <w:t>Of its 202</w:t>
      </w:r>
      <w:r>
        <w:t>5</w:t>
      </w:r>
      <w:r w:rsidRPr="004D58A4">
        <w:t xml:space="preserve"> overseas student enrolments, the largest number of enrolments for a country was </w:t>
      </w:r>
      <w:r>
        <w:t>8</w:t>
      </w:r>
      <w:r w:rsidRPr="004D58A4">
        <w:t xml:space="preserve">0 students. Therefore, Provider </w:t>
      </w:r>
      <w:r>
        <w:t>2</w:t>
      </w:r>
      <w:r w:rsidRPr="004D58A4">
        <w:t xml:space="preserve">’s </w:t>
      </w:r>
      <w:r w:rsidRPr="00B422F9">
        <w:rPr>
          <w:b/>
          <w:bCs/>
        </w:rPr>
        <w:t>maximum overseas source country concentration is 67%</w:t>
      </w:r>
      <w:r w:rsidRPr="004D58A4">
        <w:t>.</w:t>
      </w:r>
    </w:p>
    <w:p w:rsidRPr="004D58A4" w:rsidR="00E24E47" w:rsidP="00B422F9" w:rsidRDefault="00E24E47" w14:paraId="3694A7C9" w14:textId="77777777">
      <w:pPr>
        <w:pStyle w:val="ListParagraph"/>
        <w:numPr>
          <w:ilvl w:val="0"/>
          <w:numId w:val="41"/>
        </w:numPr>
      </w:pPr>
      <w:r w:rsidRPr="004D58A4">
        <w:t xml:space="preserve">Provider </w:t>
      </w:r>
      <w:r>
        <w:t>2</w:t>
      </w:r>
      <w:r w:rsidRPr="004D58A4">
        <w:t xml:space="preserve">’s </w:t>
      </w:r>
      <w:r w:rsidRPr="00B422F9">
        <w:rPr>
          <w:b/>
          <w:bCs/>
        </w:rPr>
        <w:t>2025 Levy payment was received 22 days after the due date</w:t>
      </w:r>
      <w:r w:rsidRPr="004D58A4">
        <w:t xml:space="preserve">. Therefore, Provider </w:t>
      </w:r>
      <w:r>
        <w:t>2 has a</w:t>
      </w:r>
      <w:r w:rsidRPr="004D58A4">
        <w:t xml:space="preserve"> </w:t>
      </w:r>
      <w:r w:rsidRPr="00B422F9">
        <w:rPr>
          <w:b/>
          <w:bCs/>
        </w:rPr>
        <w:t>weighted late payment measure</w:t>
      </w:r>
      <w:r w:rsidRPr="004D58A4">
        <w:t xml:space="preserve"> </w:t>
      </w:r>
      <w:r>
        <w:t>of</w:t>
      </w:r>
      <w:r w:rsidRPr="004D58A4">
        <w:t xml:space="preserve"> [0.</w:t>
      </w:r>
      <w:r>
        <w:t>7</w:t>
      </w:r>
      <w:r w:rsidRPr="004D58A4">
        <w:t xml:space="preserve"> x </w:t>
      </w:r>
      <w:r>
        <w:t>22</w:t>
      </w:r>
      <w:r w:rsidRPr="004D58A4">
        <w:t xml:space="preserve"> days] = </w:t>
      </w:r>
      <w:r w:rsidRPr="00B422F9">
        <w:rPr>
          <w:b/>
          <w:bCs/>
        </w:rPr>
        <w:t>15.4 days</w:t>
      </w:r>
      <w:r w:rsidRPr="004003F2">
        <w:t>.</w:t>
      </w:r>
    </w:p>
    <w:p w:rsidRPr="004D58A4" w:rsidR="00E24E47" w:rsidP="00B422F9" w:rsidRDefault="00E24E47" w14:paraId="7FF5AC52" w14:textId="77777777">
      <w:pPr>
        <w:pStyle w:val="ListParagraph"/>
        <w:numPr>
          <w:ilvl w:val="0"/>
          <w:numId w:val="41"/>
        </w:numPr>
      </w:pPr>
      <w:r w:rsidRPr="004D58A4">
        <w:t xml:space="preserve">Provider </w:t>
      </w:r>
      <w:r>
        <w:t>2</w:t>
      </w:r>
      <w:r w:rsidRPr="004D58A4">
        <w:t xml:space="preserve"> </w:t>
      </w:r>
      <w:r w:rsidRPr="00B422F9">
        <w:rPr>
          <w:b/>
          <w:bCs/>
        </w:rPr>
        <w:t>had action mentioned in section 83 of the ESOS Act taken against it</w:t>
      </w:r>
      <w:r w:rsidRPr="004D58A4">
        <w:t xml:space="preserve"> in 202</w:t>
      </w:r>
      <w:r>
        <w:t>5</w:t>
      </w:r>
      <w:r w:rsidRPr="004D58A4">
        <w:t xml:space="preserve">. Provider </w:t>
      </w:r>
      <w:r>
        <w:t>2</w:t>
      </w:r>
      <w:r w:rsidRPr="004D58A4">
        <w:t xml:space="preserve"> </w:t>
      </w:r>
      <w:r w:rsidRPr="00B422F9">
        <w:rPr>
          <w:b/>
          <w:bCs/>
        </w:rPr>
        <w:t>did not apply for registration renewal</w:t>
      </w:r>
      <w:r w:rsidRPr="004D58A4">
        <w:t xml:space="preserve"> under section 10D of the ESOS Act in 202</w:t>
      </w:r>
      <w:r>
        <w:t>5</w:t>
      </w:r>
      <w:r w:rsidRPr="004D58A4">
        <w:t>.</w:t>
      </w:r>
    </w:p>
    <w:tbl>
      <w:tblPr>
        <w:tblStyle w:val="TPSTable"/>
        <w:tblW w:w="5131" w:type="pct"/>
        <w:tblBorders>
          <w:top w:val="single" w:color="367079" w:sz="4" w:space="0"/>
          <w:left w:val="single" w:color="367079" w:sz="4" w:space="0"/>
          <w:bottom w:val="single" w:color="367079" w:sz="4" w:space="0"/>
          <w:right w:val="single" w:color="367079" w:sz="4" w:space="0"/>
          <w:insideH w:val="single" w:color="367079" w:sz="4" w:space="0"/>
          <w:insideV w:val="single" w:color="367079" w:sz="4" w:space="0"/>
        </w:tblBorders>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689"/>
        <w:gridCol w:w="6563"/>
      </w:tblGrid>
      <w:tr w:rsidRPr="00723E84" w:rsidR="00E24E47" w:rsidTr="003130F5" w14:paraId="110395AF" w14:textId="77777777">
        <w:trPr>
          <w:cnfStyle w:val="100000000000" w:firstRow="1" w:lastRow="0" w:firstColumn="0" w:lastColumn="0" w:oddVBand="0" w:evenVBand="0" w:oddHBand="0" w:evenHBand="0" w:firstRowFirstColumn="0" w:firstRowLastColumn="0" w:lastRowFirstColumn="0" w:lastRowLastColumn="0"/>
          <w:trHeight w:val="482"/>
        </w:trPr>
        <w:tc>
          <w:tcPr>
            <w:tcW w:w="1453" w:type="pct"/>
            <w:shd w:val="clear" w:color="auto" w:fill="367079"/>
            <w:hideMark/>
          </w:tcPr>
          <w:p w:rsidRPr="00723E84" w:rsidR="00E24E47" w:rsidP="00EE0739" w:rsidRDefault="00E24E47" w14:paraId="0EE0D1FC" w14:textId="77777777">
            <w:pPr>
              <w:pStyle w:val="TableHeader"/>
              <w:rPr>
                <w:rFonts w:ascii="Calibri" w:hAnsi="Calibri" w:cs="Calibri"/>
              </w:rPr>
            </w:pPr>
            <w:r w:rsidRPr="00723E84">
              <w:rPr>
                <w:rFonts w:ascii="Calibri" w:hAnsi="Calibri" w:cs="Calibri"/>
              </w:rPr>
              <w:t>Levy component</w:t>
            </w:r>
          </w:p>
        </w:tc>
        <w:tc>
          <w:tcPr>
            <w:tcW w:w="3547" w:type="pct"/>
            <w:shd w:val="clear" w:color="auto" w:fill="367079"/>
            <w:hideMark/>
          </w:tcPr>
          <w:p w:rsidRPr="00723E84" w:rsidR="00E24E47" w:rsidP="00EE0739" w:rsidRDefault="00E24E47" w14:paraId="61E45E54" w14:textId="77777777">
            <w:pPr>
              <w:pStyle w:val="TableHeader"/>
              <w:rPr>
                <w:rFonts w:ascii="Calibri" w:hAnsi="Calibri" w:cs="Calibri"/>
              </w:rPr>
            </w:pPr>
            <w:r w:rsidRPr="00723E84">
              <w:rPr>
                <w:rFonts w:ascii="Calibri" w:hAnsi="Calibri" w:cs="Calibri"/>
              </w:rPr>
              <w:t>Levy calculation</w:t>
            </w:r>
          </w:p>
        </w:tc>
      </w:tr>
      <w:tr w:rsidRPr="00723E84" w:rsidR="00E24E47" w:rsidTr="003130F5" w14:paraId="0C08718E" w14:textId="77777777">
        <w:trPr>
          <w:cnfStyle w:val="000000100000" w:firstRow="0" w:lastRow="0" w:firstColumn="0" w:lastColumn="0" w:oddVBand="0" w:evenVBand="0" w:oddHBand="1" w:evenHBand="0" w:firstRowFirstColumn="0" w:firstRowLastColumn="0" w:lastRowFirstColumn="0" w:lastRowLastColumn="0"/>
          <w:trHeight w:val="454"/>
        </w:trPr>
        <w:tc>
          <w:tcPr>
            <w:tcW w:w="1453" w:type="pct"/>
            <w:shd w:val="clear" w:color="auto" w:fill="D8EBEE"/>
            <w:hideMark/>
          </w:tcPr>
          <w:p w:rsidRPr="00173FF9" w:rsidR="00E24E47" w:rsidP="00157207" w:rsidRDefault="00E24E47" w14:paraId="519213E5" w14:textId="31282AD9">
            <w:pPr>
              <w:pStyle w:val="Tablecontents"/>
              <w:numPr>
                <w:ilvl w:val="0"/>
                <w:numId w:val="42"/>
              </w:numPr>
              <w:spacing w:before="0" w:after="0"/>
              <w:rPr>
                <w:rFonts w:cs="Calibri"/>
                <w:b/>
                <w:bCs/>
              </w:rPr>
            </w:pPr>
            <w:r w:rsidRPr="00173FF9">
              <w:rPr>
                <w:rFonts w:cs="Calibri"/>
                <w:b/>
                <w:bCs/>
              </w:rPr>
              <w:t>Administrative Fee</w:t>
            </w:r>
          </w:p>
        </w:tc>
        <w:tc>
          <w:tcPr>
            <w:tcW w:w="3547" w:type="pct"/>
            <w:shd w:val="clear" w:color="auto" w:fill="D8EBEE"/>
            <w:hideMark/>
          </w:tcPr>
          <w:p w:rsidRPr="00723E84" w:rsidR="00E24E47" w:rsidP="00157207" w:rsidRDefault="00E24E47" w14:paraId="6C12104E" w14:textId="77777777">
            <w:pPr>
              <w:pStyle w:val="Tablecontents"/>
              <w:spacing w:before="0" w:after="0"/>
              <w:rPr>
                <w:rFonts w:cs="Calibri"/>
              </w:rPr>
            </w:pPr>
            <w:r w:rsidRPr="00723E84">
              <w:rPr>
                <w:rFonts w:cs="Calibri"/>
              </w:rPr>
              <w:t xml:space="preserve">$110 + (120 x $0.58) = </w:t>
            </w:r>
            <w:r w:rsidRPr="00723E84">
              <w:rPr>
                <w:rFonts w:cs="Calibri"/>
                <w:color w:val="C00000"/>
              </w:rPr>
              <w:t>$179.60</w:t>
            </w:r>
          </w:p>
        </w:tc>
      </w:tr>
      <w:tr w:rsidRPr="00723E84" w:rsidR="00E24E47" w:rsidTr="003130F5" w14:paraId="7B294FA1" w14:textId="77777777">
        <w:trPr>
          <w:cnfStyle w:val="000000010000" w:firstRow="0" w:lastRow="0" w:firstColumn="0" w:lastColumn="0" w:oddVBand="0" w:evenVBand="0" w:oddHBand="0" w:evenHBand="1" w:firstRowFirstColumn="0" w:firstRowLastColumn="0" w:lastRowFirstColumn="0" w:lastRowLastColumn="0"/>
          <w:trHeight w:val="454"/>
        </w:trPr>
        <w:tc>
          <w:tcPr>
            <w:tcW w:w="1453" w:type="pct"/>
          </w:tcPr>
          <w:p w:rsidRPr="00173FF9" w:rsidR="00E24E47" w:rsidP="00157207" w:rsidRDefault="00E24E47" w14:paraId="3AF919BF" w14:textId="009B5C4C">
            <w:pPr>
              <w:pStyle w:val="Tablecontents"/>
              <w:numPr>
                <w:ilvl w:val="0"/>
                <w:numId w:val="42"/>
              </w:numPr>
              <w:spacing w:before="0" w:after="0"/>
              <w:rPr>
                <w:rFonts w:cs="Calibri"/>
                <w:b/>
                <w:bCs/>
              </w:rPr>
            </w:pPr>
            <w:r w:rsidRPr="00173FF9">
              <w:rPr>
                <w:rFonts w:cs="Calibri"/>
                <w:b/>
                <w:bCs/>
              </w:rPr>
              <w:t>Base Fee</w:t>
            </w:r>
          </w:p>
        </w:tc>
        <w:tc>
          <w:tcPr>
            <w:tcW w:w="3547" w:type="pct"/>
          </w:tcPr>
          <w:p w:rsidRPr="00723E84" w:rsidR="00E24E47" w:rsidP="00157207" w:rsidRDefault="00E24E47" w14:paraId="015D80F8" w14:textId="77777777">
            <w:pPr>
              <w:pStyle w:val="Tablecontents"/>
              <w:spacing w:before="0" w:after="0"/>
              <w:rPr>
                <w:rFonts w:cs="Calibri"/>
              </w:rPr>
            </w:pPr>
            <w:r w:rsidRPr="00723E84">
              <w:rPr>
                <w:rFonts w:cs="Calibri"/>
              </w:rPr>
              <w:t xml:space="preserve">$223 + (120 x $1.41) = </w:t>
            </w:r>
            <w:r w:rsidRPr="00723E84">
              <w:rPr>
                <w:rFonts w:cs="Calibri"/>
                <w:color w:val="C00000"/>
              </w:rPr>
              <w:t>$392.20</w:t>
            </w:r>
          </w:p>
        </w:tc>
      </w:tr>
      <w:tr w:rsidRPr="00723E84" w:rsidR="00E24E47" w:rsidTr="003130F5" w14:paraId="7FFB74C4" w14:textId="77777777">
        <w:trPr>
          <w:cnfStyle w:val="000000100000" w:firstRow="0" w:lastRow="0" w:firstColumn="0" w:lastColumn="0" w:oddVBand="0" w:evenVBand="0" w:oddHBand="1" w:evenHBand="0" w:firstRowFirstColumn="0" w:firstRowLastColumn="0" w:lastRowFirstColumn="0" w:lastRowLastColumn="0"/>
          <w:trHeight w:val="454"/>
        </w:trPr>
        <w:tc>
          <w:tcPr>
            <w:tcW w:w="1453" w:type="pct"/>
            <w:shd w:val="clear" w:color="auto" w:fill="D8EBEE"/>
            <w:hideMark/>
          </w:tcPr>
          <w:p w:rsidRPr="00173FF9" w:rsidR="00E24E47" w:rsidP="00EE0739" w:rsidRDefault="00157207" w14:paraId="7AE0D3C3" w14:textId="5E46287F">
            <w:pPr>
              <w:pStyle w:val="Tablecontents"/>
              <w:rPr>
                <w:rFonts w:cs="Calibri"/>
                <w:b/>
                <w:bCs/>
              </w:rPr>
            </w:pPr>
            <w:r>
              <w:rPr>
                <w:rFonts w:cs="Calibri"/>
                <w:b/>
                <w:bCs/>
              </w:rPr>
              <w:t xml:space="preserve">(R) </w:t>
            </w:r>
            <w:r w:rsidRPr="00173FF9" w:rsidR="00E24E47">
              <w:rPr>
                <w:rFonts w:cs="Calibri"/>
                <w:b/>
                <w:bCs/>
              </w:rPr>
              <w:t>Risk Rated Premium</w:t>
            </w:r>
          </w:p>
        </w:tc>
        <w:tc>
          <w:tcPr>
            <w:tcW w:w="3547" w:type="pct"/>
            <w:shd w:val="clear" w:color="auto" w:fill="D8EBEE"/>
            <w:hideMark/>
          </w:tcPr>
          <w:p w:rsidRPr="00157207" w:rsidR="00157207" w:rsidP="00EE0739" w:rsidRDefault="00157207" w14:paraId="17A0E6C9" w14:textId="77777777">
            <w:pPr>
              <w:pStyle w:val="Tablecontents"/>
              <w:spacing w:after="0"/>
              <w:rPr>
                <w:rFonts w:cs="Calibri" w:eastAsiaTheme="minorEastAsia"/>
                <w:sz w:val="16"/>
                <w:szCs w:val="16"/>
              </w:rPr>
            </w:pPr>
          </w:p>
          <w:p w:rsidR="00157207" w:rsidP="00EE0739" w:rsidRDefault="00157207" w14:paraId="74A93A69" w14:textId="076DBAB8">
            <w:pPr>
              <w:pStyle w:val="Tablecontents"/>
              <w:spacing w:after="0"/>
              <w:rPr>
                <w:rFonts w:cs="Calibri"/>
                <w:b/>
                <w:bCs/>
              </w:rPr>
            </w:pPr>
            <m:oMathPara>
              <m:oMath>
                <m:r>
                  <m:rPr>
                    <m:nor/>
                  </m:rPr>
                  <w:rPr>
                    <w:rFonts w:cs="Calibri"/>
                  </w:rPr>
                  <m:t xml:space="preserve">R = </m:t>
                </m:r>
                <m:d>
                  <m:dPr>
                    <m:ctrlPr>
                      <w:rPr>
                        <w:rFonts w:ascii="Cambria Math" w:hAnsi="Cambria Math" w:cs="Calibri"/>
                      </w:rPr>
                    </m:ctrlPr>
                  </m:dPr>
                  <m:e>
                    <m:r>
                      <m:rPr>
                        <m:nor/>
                      </m:rPr>
                      <w:rPr>
                        <w:rFonts w:cs="Calibri"/>
                      </w:rPr>
                      <m:t xml:space="preserve">0.05% × </m:t>
                    </m:r>
                    <m:m>
                      <m:mPr>
                        <m:mcs>
                          <m:mc>
                            <m:mcPr>
                              <m:count m:val="1"/>
                              <m:mcJc m:val="center"/>
                            </m:mcPr>
                          </m:mc>
                        </m:mcs>
                        <m:ctrlPr>
                          <w:rPr>
                            <w:rFonts w:ascii="Cambria Math" w:hAnsi="Cambria Math" w:cs="Calibri"/>
                          </w:rPr>
                        </m:ctrlPr>
                      </m:mPr>
                      <m:mr>
                        <m:e>
                          <m:r>
                            <m:rPr>
                              <m:nor/>
                            </m:rPr>
                            <w:rPr>
                              <w:rFonts w:cs="Calibri"/>
                            </w:rPr>
                            <m:t>Total risk factor</m:t>
                          </m:r>
                        </m:e>
                      </m:mr>
                      <m:mr>
                        <m:e>
                          <m:r>
                            <m:rPr>
                              <m:nor/>
                            </m:rPr>
                            <w:rPr>
                              <w:rFonts w:cs="Calibri"/>
                            </w:rPr>
                            <m:t>value for the year</m:t>
                          </m:r>
                        </m:e>
                      </m:mr>
                    </m:m>
                  </m:e>
                </m:d>
                <m:r>
                  <m:rPr>
                    <m:nor/>
                  </m:rPr>
                  <w:rPr>
                    <w:rFonts w:cs="Calibri"/>
                  </w:rPr>
                  <m:t xml:space="preserve"> × </m:t>
                </m:r>
                <m:m>
                  <m:mPr>
                    <m:mcs>
                      <m:mc>
                        <m:mcPr>
                          <m:count m:val="1"/>
                          <m:mcJc m:val="center"/>
                        </m:mcPr>
                      </m:mc>
                    </m:mcs>
                    <m:ctrlPr>
                      <w:rPr>
                        <w:rFonts w:ascii="Cambria Math" w:hAnsi="Cambria Math" w:cs="Calibri"/>
                      </w:rPr>
                    </m:ctrlPr>
                  </m:mPr>
                  <m:mr>
                    <m:e>
                      <m:r>
                        <m:rPr>
                          <m:nor/>
                        </m:rPr>
                        <w:rPr>
                          <w:rFonts w:cs="Calibri"/>
                        </w:rPr>
                        <m:t xml:space="preserve">2025 overseas </m:t>
                      </m:r>
                    </m:e>
                  </m:mr>
                  <m:mr>
                    <m:e>
                      <m:r>
                        <m:rPr>
                          <m:nor/>
                        </m:rPr>
                        <w:rPr>
                          <w:rFonts w:cs="Calibri"/>
                        </w:rPr>
                        <m:t>student tuition fees</m:t>
                      </m:r>
                    </m:e>
                  </m:mr>
                </m:m>
              </m:oMath>
            </m:oMathPara>
          </w:p>
          <w:p w:rsidRPr="00157207" w:rsidR="00157207" w:rsidP="00EE0739" w:rsidRDefault="00157207" w14:paraId="4516C428" w14:textId="77777777">
            <w:pPr>
              <w:pStyle w:val="Tablecontents"/>
              <w:spacing w:after="0"/>
              <w:rPr>
                <w:rFonts w:cs="Calibri"/>
                <w:b/>
                <w:bCs/>
                <w:sz w:val="16"/>
                <w:szCs w:val="16"/>
              </w:rPr>
            </w:pPr>
          </w:p>
          <w:p w:rsidRPr="00723E84" w:rsidR="00E24E47" w:rsidP="00EE0739" w:rsidRDefault="00E24E47" w14:paraId="1E28EA62" w14:textId="12C25A81">
            <w:pPr>
              <w:pStyle w:val="Tablecontents"/>
              <w:spacing w:after="0"/>
              <w:rPr>
                <w:rFonts w:cs="Calibri"/>
                <w:b/>
                <w:bCs/>
              </w:rPr>
            </w:pPr>
            <w:r w:rsidRPr="00723E84">
              <w:rPr>
                <w:rFonts w:cs="Calibri"/>
                <w:b/>
                <w:bCs/>
              </w:rPr>
              <w:t>Risk Factor 1: Base risk factor</w:t>
            </w:r>
          </w:p>
          <w:p w:rsidRPr="00723E84" w:rsidR="00E24E47" w:rsidP="00EE0739" w:rsidRDefault="00E24E47" w14:paraId="22B485E6" w14:textId="77777777">
            <w:pPr>
              <w:pStyle w:val="Tablecontents"/>
              <w:spacing w:before="0"/>
              <w:rPr>
                <w:rFonts w:cs="Calibri"/>
              </w:rPr>
            </w:pPr>
            <w:r w:rsidRPr="00723E84">
              <w:rPr>
                <w:rFonts w:cs="Calibri"/>
              </w:rPr>
              <w:t>Risk factor value: 1.0</w:t>
            </w:r>
          </w:p>
          <w:p w:rsidRPr="00723E84" w:rsidR="00E24E47" w:rsidP="00EE0739" w:rsidRDefault="00E24E47" w14:paraId="0281894C" w14:textId="77777777">
            <w:pPr>
              <w:pStyle w:val="Tablecontents"/>
              <w:spacing w:before="120" w:after="0"/>
              <w:rPr>
                <w:rFonts w:cs="Calibri"/>
                <w:b/>
                <w:bCs/>
              </w:rPr>
            </w:pPr>
            <w:r w:rsidRPr="00723E84">
              <w:rPr>
                <w:rFonts w:cs="Calibri"/>
                <w:b/>
                <w:bCs/>
              </w:rPr>
              <w:t>Risk Factor 2: Length of operation</w:t>
            </w:r>
          </w:p>
          <w:p w:rsidRPr="00723E84" w:rsidR="00E24E47" w:rsidP="00EE0739" w:rsidRDefault="00E24E47" w14:paraId="3E7CD9B0" w14:textId="77777777">
            <w:pPr>
              <w:pStyle w:val="Tablecontents"/>
              <w:spacing w:before="0"/>
              <w:rPr>
                <w:rFonts w:cs="Calibri"/>
              </w:rPr>
            </w:pPr>
            <w:r w:rsidRPr="00723E84">
              <w:rPr>
                <w:rFonts w:cs="Calibri"/>
              </w:rPr>
              <w:t>Risk factor value: 0.0</w:t>
            </w:r>
          </w:p>
          <w:p w:rsidRPr="00723E84" w:rsidR="00E24E47" w:rsidP="00EE0739" w:rsidRDefault="00E24E47" w14:paraId="56B80DCE" w14:textId="77777777">
            <w:pPr>
              <w:pStyle w:val="Tablecontents"/>
              <w:spacing w:before="120" w:after="0"/>
              <w:rPr>
                <w:rFonts w:cs="Calibri"/>
                <w:b/>
                <w:bCs/>
              </w:rPr>
            </w:pPr>
            <w:r w:rsidRPr="00723E84">
              <w:rPr>
                <w:rFonts w:cs="Calibri"/>
                <w:b/>
                <w:bCs/>
              </w:rPr>
              <w:t>Risk Factor 3: Volatility in overseas student enrolments</w:t>
            </w:r>
          </w:p>
          <w:p w:rsidRPr="00723E84" w:rsidR="00E24E47" w:rsidP="00EE0739" w:rsidRDefault="00E24E47" w14:paraId="6DF672A6" w14:textId="77777777">
            <w:pPr>
              <w:pStyle w:val="Tablecontents"/>
              <w:spacing w:before="0"/>
              <w:rPr>
                <w:rFonts w:cs="Calibri"/>
              </w:rPr>
            </w:pPr>
            <w:r w:rsidRPr="00723E84">
              <w:rPr>
                <w:rFonts w:cs="Calibri"/>
              </w:rPr>
              <w:t>Risk factor value: [0.4 x 75%] = 0.3</w:t>
            </w:r>
          </w:p>
          <w:p w:rsidRPr="00723E84" w:rsidR="00E24E47" w:rsidP="00EE0739" w:rsidRDefault="00E24E47" w14:paraId="229929D7" w14:textId="77777777">
            <w:pPr>
              <w:pStyle w:val="Tablecontents"/>
              <w:spacing w:before="120" w:after="0"/>
              <w:rPr>
                <w:rFonts w:cs="Calibri"/>
                <w:b/>
                <w:bCs/>
              </w:rPr>
            </w:pPr>
            <w:r w:rsidRPr="00723E84">
              <w:rPr>
                <w:rFonts w:cs="Calibri"/>
                <w:b/>
                <w:bCs/>
              </w:rPr>
              <w:t>Risk Factor 4: Maximum overseas source country concentration</w:t>
            </w:r>
          </w:p>
          <w:p w:rsidRPr="00723E84" w:rsidR="00E24E47" w:rsidP="00EE0739" w:rsidRDefault="00E24E47" w14:paraId="68E6E75B" w14:textId="77777777">
            <w:pPr>
              <w:pStyle w:val="Tablecontents"/>
              <w:spacing w:before="0"/>
              <w:rPr>
                <w:rFonts w:cs="Calibri"/>
              </w:rPr>
            </w:pPr>
            <w:r w:rsidRPr="00723E84">
              <w:rPr>
                <w:rFonts w:cs="Calibri"/>
              </w:rPr>
              <w:t>Risk factor value: 0.7</w:t>
            </w:r>
          </w:p>
          <w:p w:rsidRPr="00723E84" w:rsidR="00E24E47" w:rsidP="00EE0739" w:rsidRDefault="00E24E47" w14:paraId="7D468E7B" w14:textId="77777777">
            <w:pPr>
              <w:pStyle w:val="Tablecontents"/>
              <w:spacing w:before="120" w:after="0"/>
              <w:rPr>
                <w:rFonts w:cs="Calibri"/>
                <w:b/>
                <w:bCs/>
              </w:rPr>
            </w:pPr>
            <w:r w:rsidRPr="00723E84">
              <w:rPr>
                <w:rFonts w:cs="Calibri"/>
                <w:b/>
                <w:bCs/>
              </w:rPr>
              <w:t>Risk Factor 5: Non-compliance and registration renewal</w:t>
            </w:r>
          </w:p>
          <w:p w:rsidRPr="00723E84" w:rsidR="00E24E47" w:rsidP="00EE0739" w:rsidRDefault="00E24E47" w14:paraId="16D511A0" w14:textId="77777777">
            <w:pPr>
              <w:pStyle w:val="Tablecontents"/>
              <w:spacing w:before="0"/>
              <w:rPr>
                <w:rFonts w:cs="Calibri"/>
              </w:rPr>
            </w:pPr>
            <w:r w:rsidRPr="00723E84">
              <w:rPr>
                <w:rFonts w:cs="Calibri"/>
              </w:rPr>
              <w:t>Risk factor value: 0.9 + 1.0</w:t>
            </w:r>
          </w:p>
          <w:p w:rsidRPr="00723E84" w:rsidR="00E24E47" w:rsidP="00EE0739" w:rsidRDefault="00E24E47" w14:paraId="0711F43B" w14:textId="77777777">
            <w:pPr>
              <w:pStyle w:val="Tablecontents"/>
              <w:spacing w:before="120" w:after="0"/>
              <w:rPr>
                <w:rFonts w:cs="Calibri"/>
                <w:b/>
                <w:bCs/>
              </w:rPr>
            </w:pPr>
            <w:r w:rsidRPr="00723E84">
              <w:rPr>
                <w:rFonts w:cs="Calibri"/>
                <w:b/>
                <w:bCs/>
              </w:rPr>
              <w:t>Total risk factor value</w:t>
            </w:r>
          </w:p>
          <w:p w:rsidRPr="00723E84" w:rsidR="00E24E47" w:rsidP="00EE0739" w:rsidRDefault="00E24E47" w14:paraId="56D32B63" w14:textId="77777777">
            <w:pPr>
              <w:pStyle w:val="Tablecontents"/>
              <w:spacing w:before="0"/>
              <w:rPr>
                <w:rFonts w:cs="Calibri"/>
              </w:rPr>
            </w:pPr>
            <w:r w:rsidRPr="00723E84">
              <w:rPr>
                <w:rFonts w:cs="Calibri"/>
              </w:rPr>
              <w:t>1.0 + 0.0 + 0.3 + 0.7 + 0.9 + 1.0 = 3.9</w:t>
            </w:r>
          </w:p>
          <w:p w:rsidRPr="00723E84" w:rsidR="00E24E47" w:rsidP="00EE0739" w:rsidRDefault="00E24E47" w14:paraId="7E345864" w14:textId="77777777">
            <w:pPr>
              <w:pStyle w:val="Tablecontents"/>
              <w:spacing w:before="120" w:after="0"/>
              <w:rPr>
                <w:rFonts w:cs="Calibri"/>
                <w:b/>
                <w:bCs/>
              </w:rPr>
            </w:pPr>
            <w:r w:rsidRPr="00723E84">
              <w:rPr>
                <w:rFonts w:cs="Calibri"/>
                <w:b/>
                <w:bCs/>
              </w:rPr>
              <w:t>Risk Rated Premium component calculation</w:t>
            </w:r>
          </w:p>
          <w:p w:rsidRPr="00723E84" w:rsidR="00E24E47" w:rsidP="00EE0739" w:rsidRDefault="00E24E47" w14:paraId="392FF5F4" w14:textId="77777777">
            <w:pPr>
              <w:pStyle w:val="Tablecontents"/>
              <w:spacing w:before="0"/>
              <w:rPr>
                <w:rFonts w:cs="Calibri"/>
              </w:rPr>
            </w:pPr>
            <w:r w:rsidRPr="00723E84">
              <w:rPr>
                <w:rFonts w:cs="Calibri"/>
              </w:rPr>
              <w:t>(</w:t>
            </w:r>
            <w:r w:rsidRPr="00723E84">
              <w:rPr>
                <w:rFonts w:cs="Calibri"/>
                <w:b/>
                <w:bCs/>
              </w:rPr>
              <w:t>0.05%</w:t>
            </w:r>
            <w:r w:rsidRPr="00723E84">
              <w:rPr>
                <w:rFonts w:cs="Calibri"/>
              </w:rPr>
              <w:t xml:space="preserve"> x 3.9) x $1,000,000 = </w:t>
            </w:r>
            <w:r w:rsidRPr="00723E84">
              <w:rPr>
                <w:rFonts w:cs="Calibri"/>
                <w:color w:val="C00000"/>
              </w:rPr>
              <w:t>$1,950</w:t>
            </w:r>
          </w:p>
        </w:tc>
      </w:tr>
      <w:tr w:rsidRPr="00723E84" w:rsidR="00E24E47" w:rsidTr="003130F5" w14:paraId="356C05F6" w14:textId="77777777">
        <w:trPr>
          <w:cnfStyle w:val="000000010000" w:firstRow="0" w:lastRow="0" w:firstColumn="0" w:lastColumn="0" w:oddVBand="0" w:evenVBand="0" w:oddHBand="0" w:evenHBand="1" w:firstRowFirstColumn="0" w:firstRowLastColumn="0" w:lastRowFirstColumn="0" w:lastRowLastColumn="0"/>
          <w:trHeight w:val="454"/>
        </w:trPr>
        <w:tc>
          <w:tcPr>
            <w:tcW w:w="1453" w:type="pct"/>
            <w:hideMark/>
          </w:tcPr>
          <w:p w:rsidRPr="00173FF9" w:rsidR="00E24E47" w:rsidP="003130F5" w:rsidRDefault="00E24E47" w14:paraId="6CBB8F51" w14:textId="7B718B93">
            <w:pPr>
              <w:pStyle w:val="Tablecontents"/>
              <w:numPr>
                <w:ilvl w:val="0"/>
                <w:numId w:val="43"/>
              </w:numPr>
              <w:spacing w:before="0" w:after="0"/>
              <w:rPr>
                <w:rFonts w:cs="Calibri"/>
                <w:b/>
                <w:bCs/>
              </w:rPr>
            </w:pPr>
            <w:r w:rsidRPr="00173FF9">
              <w:rPr>
                <w:rFonts w:cs="Calibri"/>
                <w:b/>
                <w:bCs/>
              </w:rPr>
              <w:t>Special Tuition Protection</w:t>
            </w:r>
          </w:p>
        </w:tc>
        <w:tc>
          <w:tcPr>
            <w:tcW w:w="3547" w:type="pct"/>
            <w:hideMark/>
          </w:tcPr>
          <w:p w:rsidRPr="00723E84" w:rsidR="00E24E47" w:rsidP="003130F5" w:rsidRDefault="00E24E47" w14:paraId="72760A0A" w14:textId="77777777">
            <w:pPr>
              <w:pStyle w:val="Tablecontents"/>
              <w:spacing w:before="0" w:after="0"/>
              <w:rPr>
                <w:rFonts w:cs="Calibri"/>
              </w:rPr>
            </w:pPr>
            <w:r w:rsidRPr="00723E84">
              <w:rPr>
                <w:rFonts w:cs="Calibri"/>
              </w:rPr>
              <w:t xml:space="preserve">$1,000,000 x </w:t>
            </w:r>
            <w:r w:rsidRPr="00723E84">
              <w:rPr>
                <w:rFonts w:cs="Calibri"/>
                <w:b/>
                <w:bCs/>
              </w:rPr>
              <w:t>0%</w:t>
            </w:r>
            <w:r w:rsidRPr="00723E84">
              <w:rPr>
                <w:rFonts w:cs="Calibri"/>
              </w:rPr>
              <w:t xml:space="preserve"> = </w:t>
            </w:r>
            <w:r w:rsidRPr="00723E84">
              <w:rPr>
                <w:rFonts w:cs="Calibri"/>
                <w:color w:val="C00000"/>
              </w:rPr>
              <w:t>$0</w:t>
            </w:r>
          </w:p>
        </w:tc>
      </w:tr>
      <w:tr w:rsidRPr="00723E84" w:rsidR="00E24E47" w:rsidTr="003130F5" w14:paraId="6A7CF33D" w14:textId="77777777">
        <w:trPr>
          <w:cnfStyle w:val="000000100000" w:firstRow="0" w:lastRow="0" w:firstColumn="0" w:lastColumn="0" w:oddVBand="0" w:evenVBand="0" w:oddHBand="1" w:evenHBand="0" w:firstRowFirstColumn="0" w:firstRowLastColumn="0" w:lastRowFirstColumn="0" w:lastRowLastColumn="0"/>
          <w:trHeight w:val="454"/>
        </w:trPr>
        <w:tc>
          <w:tcPr>
            <w:tcW w:w="1453" w:type="pct"/>
            <w:shd w:val="clear" w:color="auto" w:fill="D8EBEE"/>
            <w:hideMark/>
          </w:tcPr>
          <w:p w:rsidR="00E24E47" w:rsidP="00157207" w:rsidRDefault="00E24E47" w14:paraId="53714CEF" w14:textId="77777777">
            <w:pPr>
              <w:pStyle w:val="Tablecontents"/>
              <w:spacing w:before="0" w:after="0"/>
              <w:rPr>
                <w:rFonts w:cs="Calibri"/>
                <w:b/>
                <w:bCs/>
              </w:rPr>
            </w:pPr>
            <w:r w:rsidRPr="00173FF9">
              <w:rPr>
                <w:rFonts w:cs="Calibri"/>
                <w:b/>
                <w:bCs/>
              </w:rPr>
              <w:t>Total 2026 Levy</w:t>
            </w:r>
          </w:p>
          <w:p w:rsidRPr="00173FF9" w:rsidR="00157207" w:rsidP="00157207" w:rsidRDefault="00157207" w14:paraId="0C2D909A" w14:textId="048797D2">
            <w:pPr>
              <w:pStyle w:val="Tablecontents"/>
              <w:spacing w:before="0" w:after="0"/>
              <w:rPr>
                <w:rFonts w:cs="Calibri"/>
                <w:b/>
                <w:bCs/>
              </w:rPr>
            </w:pPr>
            <w:r>
              <w:rPr>
                <w:rFonts w:cs="Calibri"/>
                <w:b/>
                <w:bCs/>
              </w:rPr>
              <w:t>A + B + R + S</w:t>
            </w:r>
          </w:p>
        </w:tc>
        <w:tc>
          <w:tcPr>
            <w:tcW w:w="3547" w:type="pct"/>
            <w:shd w:val="clear" w:color="auto" w:fill="D8EBEE"/>
            <w:hideMark/>
          </w:tcPr>
          <w:p w:rsidRPr="00723E84" w:rsidR="00E24E47" w:rsidP="00157207" w:rsidRDefault="00E24E47" w14:paraId="4B111C71" w14:textId="77777777">
            <w:pPr>
              <w:pStyle w:val="Tablecontents"/>
              <w:spacing w:before="0" w:after="0"/>
              <w:rPr>
                <w:rFonts w:cs="Calibri"/>
              </w:rPr>
            </w:pPr>
            <w:r w:rsidRPr="00723E84">
              <w:rPr>
                <w:rFonts w:cs="Calibri"/>
              </w:rPr>
              <w:t xml:space="preserve">$179.60+ $392.20+ $1,950 + $0 = </w:t>
            </w:r>
            <w:r w:rsidRPr="00723E84">
              <w:rPr>
                <w:rFonts w:cs="Calibri"/>
                <w:b/>
                <w:bCs/>
                <w:color w:val="C00000"/>
              </w:rPr>
              <w:t>$2,521.80</w:t>
            </w:r>
          </w:p>
        </w:tc>
      </w:tr>
    </w:tbl>
    <w:p w:rsidRPr="00E24E47" w:rsidR="00454EC3" w:rsidP="00E24E47" w:rsidRDefault="00454EC3" w14:paraId="34AC9882" w14:textId="77777777">
      <w:pPr>
        <w:spacing w:after="0"/>
        <w:rPr>
          <w:b/>
          <w:bCs/>
          <w:kern w:val="0"/>
          <w:sz w:val="26"/>
          <w:szCs w:val="23"/>
          <w14:ligatures w14:val="none"/>
        </w:rPr>
      </w:pPr>
    </w:p>
    <w:sectPr w:rsidRPr="00E24E47" w:rsidR="00454EC3" w:rsidSect="007E551D">
      <w:footerReference w:type="default" r:id="rId13"/>
      <w:headerReference w:type="first" r:id="rId14"/>
      <w:footerReference w:type="first" r:id="rId15"/>
      <w:pgSz w:w="11906" w:h="16838" w:orient="portrait"/>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3BA" w:rsidP="007E7F41" w:rsidRDefault="009D03BA" w14:paraId="2225C013" w14:textId="77777777">
      <w:pPr>
        <w:spacing w:after="0" w:line="240" w:lineRule="auto"/>
      </w:pPr>
      <w:r>
        <w:separator/>
      </w:r>
    </w:p>
  </w:endnote>
  <w:endnote w:type="continuationSeparator" w:id="0">
    <w:p w:rsidR="009D03BA" w:rsidP="007E7F41" w:rsidRDefault="009D03BA" w14:paraId="2E79A511" w14:textId="77777777">
      <w:pPr>
        <w:spacing w:after="0" w:line="240" w:lineRule="auto"/>
      </w:pPr>
      <w:r>
        <w:continuationSeparator/>
      </w:r>
    </w:p>
  </w:endnote>
  <w:endnote w:type="continuationNotice" w:id="1">
    <w:p w:rsidR="009D03BA" w:rsidRDefault="009D03BA" w14:paraId="1B4EBD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B8" w:rsidP="003B1486" w:rsidRDefault="00AE5CC4" w14:paraId="43744ED0" w14:textId="00BD02A7">
    <w:pPr>
      <w:pStyle w:val="Footer"/>
      <w:jc w:val="right"/>
    </w:pPr>
    <w:r>
      <w:rPr>
        <w:rFonts w:cs="Calibri"/>
        <w:color w:val="3A3A3A" w:themeColor="background2" w:themeShade="40"/>
        <w:sz w:val="20"/>
        <w:szCs w:val="20"/>
      </w:rPr>
      <w:t>202</w:t>
    </w:r>
    <w:r w:rsidR="00927B19">
      <w:rPr>
        <w:rFonts w:cs="Calibri"/>
        <w:color w:val="3A3A3A" w:themeColor="background2" w:themeShade="40"/>
        <w:sz w:val="20"/>
        <w:szCs w:val="20"/>
      </w:rPr>
      <w:t>6</w:t>
    </w:r>
    <w:r>
      <w:rPr>
        <w:rFonts w:cs="Calibri"/>
        <w:color w:val="3A3A3A" w:themeColor="background2" w:themeShade="40"/>
        <w:sz w:val="20"/>
        <w:szCs w:val="20"/>
      </w:rPr>
      <w:t xml:space="preserve"> </w:t>
    </w:r>
    <w:r w:rsidR="00F55443">
      <w:rPr>
        <w:rFonts w:cs="Calibri"/>
        <w:color w:val="3A3A3A" w:themeColor="background2" w:themeShade="40"/>
        <w:sz w:val="20"/>
        <w:szCs w:val="20"/>
      </w:rPr>
      <w:t xml:space="preserve">International </w:t>
    </w:r>
    <w:r w:rsidR="00C87CB6">
      <w:rPr>
        <w:rFonts w:cs="Calibri"/>
        <w:color w:val="3A3A3A" w:themeColor="background2" w:themeShade="40"/>
        <w:sz w:val="20"/>
        <w:szCs w:val="20"/>
      </w:rPr>
      <w:t>TPS</w:t>
    </w:r>
    <w:r w:rsidRPr="00FF5612" w:rsidR="008E6FB8">
      <w:rPr>
        <w:rFonts w:cs="Calibri"/>
        <w:color w:val="3A3A3A" w:themeColor="background2" w:themeShade="40"/>
        <w:sz w:val="20"/>
        <w:szCs w:val="20"/>
      </w:rPr>
      <w:t xml:space="preserve"> Lev</w:t>
    </w:r>
    <w:r w:rsidR="00F55443">
      <w:rPr>
        <w:rFonts w:cs="Calibri"/>
        <w:color w:val="3A3A3A" w:themeColor="background2" w:themeShade="40"/>
        <w:sz w:val="20"/>
        <w:szCs w:val="20"/>
      </w:rPr>
      <w:t>y</w:t>
    </w:r>
    <w:r w:rsidRPr="00FF5612" w:rsidR="008E6FB8">
      <w:rPr>
        <w:rFonts w:cs="Calibri"/>
        <w:color w:val="3A3A3A" w:themeColor="background2" w:themeShade="40"/>
        <w:sz w:val="20"/>
        <w:szCs w:val="20"/>
      </w:rPr>
      <w:t xml:space="preserve"> </w:t>
    </w:r>
    <w:r w:rsidR="00A54C94">
      <w:rPr>
        <w:rFonts w:cs="Calibri"/>
        <w:color w:val="3A3A3A" w:themeColor="background2" w:themeShade="40"/>
        <w:sz w:val="20"/>
        <w:szCs w:val="20"/>
      </w:rPr>
      <w:t>Calculation Guidelines</w:t>
    </w:r>
    <w:r w:rsidRPr="00FF5612" w:rsidR="008E6FB8">
      <w:rPr>
        <w:rFonts w:cs="Calibri"/>
        <w:color w:val="3A3A3A" w:themeColor="background2" w:themeShade="40"/>
        <w:sz w:val="20"/>
        <w:szCs w:val="20"/>
      </w:rPr>
      <w:t xml:space="preserve"> | </w:t>
    </w:r>
    <w:sdt>
      <w:sdtPr>
        <w:rPr>
          <w:rFonts w:cs="Calibri"/>
          <w:color w:val="3A3A3A" w:themeColor="background2" w:themeShade="40"/>
          <w:sz w:val="20"/>
          <w:szCs w:val="20"/>
        </w:rPr>
        <w:id w:val="69163761"/>
        <w:docPartObj>
          <w:docPartGallery w:val="Page Numbers (Bottom of Page)"/>
          <w:docPartUnique/>
        </w:docPartObj>
      </w:sdtPr>
      <w:sdtEndPr>
        <w:rPr>
          <w:noProof/>
        </w:rPr>
      </w:sdtEndPr>
      <w:sdtContent>
        <w:r w:rsidRPr="00FF5612" w:rsidR="008E6FB8">
          <w:rPr>
            <w:rFonts w:cs="Calibri"/>
            <w:color w:val="3A3A3A" w:themeColor="background2" w:themeShade="40"/>
            <w:sz w:val="20"/>
            <w:szCs w:val="20"/>
          </w:rPr>
          <w:fldChar w:fldCharType="begin"/>
        </w:r>
        <w:r w:rsidRPr="00FF5612" w:rsidR="008E6FB8">
          <w:rPr>
            <w:rFonts w:cs="Calibri"/>
            <w:color w:val="3A3A3A" w:themeColor="background2" w:themeShade="40"/>
            <w:sz w:val="20"/>
            <w:szCs w:val="20"/>
          </w:rPr>
          <w:instrText xml:space="preserve"> PAGE   \* MERGEFORMAT </w:instrText>
        </w:r>
        <w:r w:rsidRPr="00FF5612" w:rsidR="008E6FB8">
          <w:rPr>
            <w:rFonts w:cs="Calibri"/>
            <w:color w:val="3A3A3A" w:themeColor="background2" w:themeShade="40"/>
            <w:sz w:val="20"/>
            <w:szCs w:val="20"/>
          </w:rPr>
          <w:fldChar w:fldCharType="separate"/>
        </w:r>
        <w:r w:rsidRPr="00FF5612" w:rsidR="008E6FB8">
          <w:rPr>
            <w:rFonts w:cs="Calibri"/>
            <w:noProof/>
            <w:color w:val="3A3A3A" w:themeColor="background2" w:themeShade="40"/>
            <w:sz w:val="20"/>
            <w:szCs w:val="20"/>
          </w:rPr>
          <w:t>2</w:t>
        </w:r>
        <w:r w:rsidRPr="00FF5612" w:rsidR="008E6FB8">
          <w:rPr>
            <w:rFonts w:cs="Calibri"/>
            <w:noProof/>
            <w:color w:val="3A3A3A" w:themeColor="background2" w:themeShade="4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E81" w:rsidP="003B1486" w:rsidRDefault="000123A1" w14:paraId="7A3A18A5" w14:textId="76EE3507">
    <w:pPr>
      <w:pStyle w:val="Footer"/>
      <w:jc w:val="right"/>
    </w:pPr>
    <w:r>
      <w:rPr>
        <w:rFonts w:cs="Calibri"/>
        <w:color w:val="3A3A3A" w:themeColor="background2" w:themeShade="40"/>
        <w:sz w:val="20"/>
        <w:szCs w:val="20"/>
      </w:rPr>
      <w:t>2</w:t>
    </w:r>
    <w:r w:rsidR="008D32E4">
      <w:rPr>
        <w:rFonts w:cs="Calibri"/>
        <w:color w:val="3A3A3A" w:themeColor="background2" w:themeShade="40"/>
        <w:sz w:val="20"/>
        <w:szCs w:val="20"/>
      </w:rPr>
      <w:t>02</w:t>
    </w:r>
    <w:r w:rsidR="00927B19">
      <w:rPr>
        <w:rFonts w:cs="Calibri"/>
        <w:color w:val="3A3A3A" w:themeColor="background2" w:themeShade="40"/>
        <w:sz w:val="20"/>
        <w:szCs w:val="20"/>
      </w:rPr>
      <w:t>6</w:t>
    </w:r>
    <w:r w:rsidR="008D32E4">
      <w:rPr>
        <w:rFonts w:cs="Calibri"/>
        <w:color w:val="3A3A3A" w:themeColor="background2" w:themeShade="40"/>
        <w:sz w:val="20"/>
        <w:szCs w:val="20"/>
      </w:rPr>
      <w:t xml:space="preserve"> </w:t>
    </w:r>
    <w:r w:rsidR="00F41A11">
      <w:rPr>
        <w:rFonts w:cs="Calibri"/>
        <w:color w:val="3A3A3A" w:themeColor="background2" w:themeShade="40"/>
        <w:sz w:val="20"/>
        <w:szCs w:val="20"/>
      </w:rPr>
      <w:t xml:space="preserve">International </w:t>
    </w:r>
    <w:r w:rsidR="00C87CB6">
      <w:rPr>
        <w:rFonts w:cs="Calibri"/>
        <w:color w:val="3A3A3A" w:themeColor="background2" w:themeShade="40"/>
        <w:sz w:val="20"/>
        <w:szCs w:val="20"/>
      </w:rPr>
      <w:t>TPS</w:t>
    </w:r>
    <w:r w:rsidRPr="00FF5612" w:rsidR="00F41A11">
      <w:rPr>
        <w:rFonts w:cs="Calibri"/>
        <w:color w:val="3A3A3A" w:themeColor="background2" w:themeShade="40"/>
        <w:sz w:val="20"/>
        <w:szCs w:val="20"/>
      </w:rPr>
      <w:t xml:space="preserve"> Lev</w:t>
    </w:r>
    <w:r w:rsidR="00F41A11">
      <w:rPr>
        <w:rFonts w:cs="Calibri"/>
        <w:color w:val="3A3A3A" w:themeColor="background2" w:themeShade="40"/>
        <w:sz w:val="20"/>
        <w:szCs w:val="20"/>
      </w:rPr>
      <w:t>y</w:t>
    </w:r>
    <w:r w:rsidRPr="00FF5612" w:rsidR="00F41A11">
      <w:rPr>
        <w:rFonts w:cs="Calibri"/>
        <w:color w:val="3A3A3A" w:themeColor="background2" w:themeShade="40"/>
        <w:sz w:val="20"/>
        <w:szCs w:val="20"/>
      </w:rPr>
      <w:t xml:space="preserve"> </w:t>
    </w:r>
    <w:r w:rsidR="00A54C94">
      <w:rPr>
        <w:rFonts w:cs="Calibri"/>
        <w:color w:val="3A3A3A" w:themeColor="background2" w:themeShade="40"/>
        <w:sz w:val="20"/>
        <w:szCs w:val="20"/>
      </w:rPr>
      <w:t>Calculation Guidelines</w:t>
    </w:r>
    <w:r w:rsidRPr="00FF5612" w:rsidR="00F41A11">
      <w:rPr>
        <w:rFonts w:cs="Calibri"/>
        <w:color w:val="3A3A3A" w:themeColor="background2" w:themeShade="40"/>
        <w:sz w:val="20"/>
        <w:szCs w:val="20"/>
      </w:rPr>
      <w:t xml:space="preserve"> </w:t>
    </w:r>
    <w:r w:rsidRPr="00FF5612" w:rsidR="00764A93">
      <w:rPr>
        <w:rFonts w:cs="Calibri"/>
        <w:color w:val="3A3A3A" w:themeColor="background2" w:themeShade="40"/>
        <w:sz w:val="20"/>
        <w:szCs w:val="20"/>
      </w:rPr>
      <w:t xml:space="preserve">| </w:t>
    </w:r>
    <w:sdt>
      <w:sdtPr>
        <w:rPr>
          <w:rFonts w:cs="Calibri"/>
          <w:color w:val="3A3A3A" w:themeColor="background2" w:themeShade="40"/>
          <w:sz w:val="20"/>
          <w:szCs w:val="20"/>
        </w:rPr>
        <w:id w:val="339052651"/>
        <w:docPartObj>
          <w:docPartGallery w:val="Page Numbers (Bottom of Page)"/>
          <w:docPartUnique/>
        </w:docPartObj>
      </w:sdtPr>
      <w:sdtEndPr>
        <w:rPr>
          <w:noProof/>
        </w:rPr>
      </w:sdtEndPr>
      <w:sdtContent>
        <w:r w:rsidRPr="00FF5612" w:rsidR="00764A93">
          <w:rPr>
            <w:rFonts w:cs="Calibri"/>
            <w:color w:val="3A3A3A" w:themeColor="background2" w:themeShade="40"/>
            <w:sz w:val="20"/>
            <w:szCs w:val="20"/>
          </w:rPr>
          <w:fldChar w:fldCharType="begin"/>
        </w:r>
        <w:r w:rsidRPr="00FF5612" w:rsidR="00764A93">
          <w:rPr>
            <w:rFonts w:cs="Calibri"/>
            <w:color w:val="3A3A3A" w:themeColor="background2" w:themeShade="40"/>
            <w:sz w:val="20"/>
            <w:szCs w:val="20"/>
          </w:rPr>
          <w:instrText xml:space="preserve"> PAGE   \* MERGEFORMAT </w:instrText>
        </w:r>
        <w:r w:rsidRPr="00FF5612" w:rsidR="00764A93">
          <w:rPr>
            <w:rFonts w:cs="Calibri"/>
            <w:color w:val="3A3A3A" w:themeColor="background2" w:themeShade="40"/>
            <w:sz w:val="20"/>
            <w:szCs w:val="20"/>
          </w:rPr>
          <w:fldChar w:fldCharType="separate"/>
        </w:r>
        <w:r w:rsidR="00764A93">
          <w:rPr>
            <w:rFonts w:cs="Calibri"/>
            <w:color w:val="3A3A3A" w:themeColor="background2" w:themeShade="40"/>
            <w:sz w:val="20"/>
            <w:szCs w:val="20"/>
          </w:rPr>
          <w:t>2</w:t>
        </w:r>
        <w:r w:rsidRPr="00FF5612" w:rsidR="00764A93">
          <w:rPr>
            <w:rFonts w:cs="Calibri"/>
            <w:noProof/>
            <w:color w:val="3A3A3A" w:themeColor="background2" w:themeShade="4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3BA" w:rsidP="007E7F41" w:rsidRDefault="009D03BA" w14:paraId="16E25CB1" w14:textId="77777777">
      <w:pPr>
        <w:spacing w:after="0" w:line="240" w:lineRule="auto"/>
      </w:pPr>
      <w:r>
        <w:separator/>
      </w:r>
    </w:p>
  </w:footnote>
  <w:footnote w:type="continuationSeparator" w:id="0">
    <w:p w:rsidR="009D03BA" w:rsidP="007E7F41" w:rsidRDefault="009D03BA" w14:paraId="066F3EFC" w14:textId="77777777">
      <w:pPr>
        <w:spacing w:after="0" w:line="240" w:lineRule="auto"/>
      </w:pPr>
      <w:r>
        <w:continuationSeparator/>
      </w:r>
    </w:p>
  </w:footnote>
  <w:footnote w:type="continuationNotice" w:id="1">
    <w:p w:rsidR="009D03BA" w:rsidRDefault="009D03BA" w14:paraId="689832F4" w14:textId="77777777">
      <w:pPr>
        <w:spacing w:after="0" w:line="240" w:lineRule="auto"/>
      </w:pPr>
    </w:p>
  </w:footnote>
  <w:footnote w:id="2">
    <w:p w:rsidR="00611415" w:rsidRDefault="00611415" w14:paraId="107C985F" w14:textId="4ED8C1DA">
      <w:pPr>
        <w:pStyle w:val="FootnoteText"/>
      </w:pPr>
      <w:r>
        <w:rPr>
          <w:rStyle w:val="FootnoteReference"/>
        </w:rPr>
        <w:footnoteRef/>
      </w:r>
      <w:r>
        <w:t xml:space="preserve"> </w:t>
      </w:r>
      <w:hyperlink w:history="1" r:id="rId1">
        <w:r w:rsidRPr="007E20D3" w:rsidR="00880901">
          <w:rPr>
            <w:rStyle w:val="Hyperlink"/>
          </w:rPr>
          <w:t>www.legislation.gov.au/C2012A00011/</w:t>
        </w:r>
        <w:bookmarkStart w:name="_Hlt216089026" w:id="0"/>
        <w:bookmarkStart w:name="_Hlt216089027" w:id="1"/>
        <w:r w:rsidRPr="007E20D3" w:rsidR="00880901">
          <w:rPr>
            <w:rStyle w:val="Hyperlink"/>
          </w:rPr>
          <w:t>l</w:t>
        </w:r>
        <w:bookmarkEnd w:id="0"/>
        <w:bookmarkEnd w:id="1"/>
        <w:r w:rsidRPr="007E20D3" w:rsidR="00880901">
          <w:rPr>
            <w:rStyle w:val="Hyperlink"/>
          </w:rPr>
          <w:t>atest/text</w:t>
        </w:r>
      </w:hyperlink>
    </w:p>
  </w:footnote>
  <w:footnote w:id="3">
    <w:p w:rsidR="00B447AF" w:rsidP="00B447AF" w:rsidRDefault="00B447AF" w14:paraId="3CFFA98F" w14:textId="069AC6CA">
      <w:pPr>
        <w:pStyle w:val="FootnoteText"/>
      </w:pPr>
      <w:r>
        <w:rPr>
          <w:rStyle w:val="FootnoteReference"/>
        </w:rPr>
        <w:footnoteRef/>
      </w:r>
      <w:r>
        <w:t xml:space="preserve"> </w:t>
      </w:r>
      <w:hyperlink w:history="1" r:id="rId2">
        <w:r w:rsidRPr="007E20D3" w:rsidR="00880901">
          <w:rPr>
            <w:rStyle w:val="Hyperlink"/>
          </w:rPr>
          <w:t>www.legislation.gov.au/F2022L</w:t>
        </w:r>
        <w:bookmarkStart w:name="_Hlt216089151" w:id="2"/>
        <w:bookmarkStart w:name="_Hlt216089152" w:id="3"/>
        <w:r w:rsidRPr="007E20D3" w:rsidR="00880901">
          <w:rPr>
            <w:rStyle w:val="Hyperlink"/>
          </w:rPr>
          <w:t>0</w:t>
        </w:r>
        <w:bookmarkEnd w:id="2"/>
        <w:bookmarkEnd w:id="3"/>
        <w:r w:rsidRPr="007E20D3" w:rsidR="00880901">
          <w:rPr>
            <w:rStyle w:val="Hyperlink"/>
          </w:rPr>
          <w:t>1727/asmade/text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46E81" w:rsidRDefault="00242B4E" w14:paraId="61D8BF65" w14:textId="536941A2">
    <w:pPr>
      <w:pStyle w:val="Header"/>
    </w:pPr>
    <w:r w:rsidRPr="00A023BC">
      <w:rPr>
        <w:noProof/>
      </w:rPr>
      <w:drawing>
        <wp:anchor distT="0" distB="0" distL="114300" distR="114300" simplePos="0" relativeHeight="251658240" behindDoc="1" locked="0" layoutInCell="1" allowOverlap="1" wp14:anchorId="741AC87C" wp14:editId="3A7BD01C">
          <wp:simplePos x="0" y="0"/>
          <wp:positionH relativeFrom="page">
            <wp:align>left</wp:align>
          </wp:positionH>
          <wp:positionV relativeFrom="page">
            <wp:align>top</wp:align>
          </wp:positionV>
          <wp:extent cx="7560000" cy="1267200"/>
          <wp:effectExtent l="0" t="0" r="3175" b="9525"/>
          <wp:wrapNone/>
          <wp:docPr id="457214627" name="Picture 457214627"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94408" name="Picture 660994408" descr="Australian Government crest and Tuition Protection Service logo."/>
                  <pic:cNvPicPr/>
                </pic:nvPicPr>
                <pic:blipFill>
                  <a:blip r:embed="rId1"/>
                  <a:stretch>
                    <a:fillRect/>
                  </a:stretch>
                </pic:blipFill>
                <pic:spPr>
                  <a:xfrm>
                    <a:off x="0" y="0"/>
                    <a:ext cx="7560000" cy="126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5BD"/>
    <w:multiLevelType w:val="hybridMultilevel"/>
    <w:tmpl w:val="D6B20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945EC"/>
    <w:multiLevelType w:val="hybridMultilevel"/>
    <w:tmpl w:val="5F2EE782"/>
    <w:lvl w:ilvl="0" w:tplc="0AB417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BF09B4"/>
    <w:multiLevelType w:val="hybridMultilevel"/>
    <w:tmpl w:val="E51E54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F32FF1"/>
    <w:multiLevelType w:val="hybridMultilevel"/>
    <w:tmpl w:val="31A26FBE"/>
    <w:lvl w:ilvl="0" w:tplc="A9BC4512">
      <w:start w:val="19"/>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2B17EB"/>
    <w:multiLevelType w:val="hybridMultilevel"/>
    <w:tmpl w:val="52D2D632"/>
    <w:lvl w:ilvl="0" w:tplc="9BCC4826">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090DB7"/>
    <w:multiLevelType w:val="hybridMultilevel"/>
    <w:tmpl w:val="B7E08B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7528D6"/>
    <w:multiLevelType w:val="hybridMultilevel"/>
    <w:tmpl w:val="C5BAEB78"/>
    <w:lvl w:ilvl="0" w:tplc="0C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0B0E16"/>
    <w:multiLevelType w:val="hybridMultilevel"/>
    <w:tmpl w:val="86F4D8CC"/>
    <w:lvl w:ilvl="0" w:tplc="C4209604">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0D43901"/>
    <w:multiLevelType w:val="hybridMultilevel"/>
    <w:tmpl w:val="BEE28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9B171D"/>
    <w:multiLevelType w:val="hybridMultilevel"/>
    <w:tmpl w:val="8FC279DC"/>
    <w:lvl w:ilvl="0" w:tplc="4450196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73F030B"/>
    <w:multiLevelType w:val="hybridMultilevel"/>
    <w:tmpl w:val="BC76949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1C5B0E2F"/>
    <w:multiLevelType w:val="hybridMultilevel"/>
    <w:tmpl w:val="3E5CC9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26510E"/>
    <w:multiLevelType w:val="hybridMultilevel"/>
    <w:tmpl w:val="9C02A5B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1E6D7588"/>
    <w:multiLevelType w:val="hybridMultilevel"/>
    <w:tmpl w:val="85BAB02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33F61E9"/>
    <w:multiLevelType w:val="hybridMultilevel"/>
    <w:tmpl w:val="51A0D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A36A36"/>
    <w:multiLevelType w:val="hybridMultilevel"/>
    <w:tmpl w:val="2670F2D0"/>
    <w:lvl w:ilvl="0" w:tplc="BEE28E6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9350EBB"/>
    <w:multiLevelType w:val="hybridMultilevel"/>
    <w:tmpl w:val="8126EB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E303263"/>
    <w:multiLevelType w:val="hybridMultilevel"/>
    <w:tmpl w:val="93221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AB0DCD"/>
    <w:multiLevelType w:val="hybridMultilevel"/>
    <w:tmpl w:val="BEE283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E04BDB"/>
    <w:multiLevelType w:val="hybridMultilevel"/>
    <w:tmpl w:val="0E52C852"/>
    <w:lvl w:ilvl="0" w:tplc="0C09000F">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652322"/>
    <w:multiLevelType w:val="hybridMultilevel"/>
    <w:tmpl w:val="62A4C0A2"/>
    <w:lvl w:ilvl="0" w:tplc="DF0ED566">
      <w:start w:val="18"/>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A44CB"/>
    <w:multiLevelType w:val="hybridMultilevel"/>
    <w:tmpl w:val="EB605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A56F52"/>
    <w:multiLevelType w:val="hybridMultilevel"/>
    <w:tmpl w:val="BEE283EE"/>
    <w:lvl w:ilvl="0" w:tplc="FFFFFFFF">
      <w:start w:val="1"/>
      <w:numFmt w:val="decimal"/>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3EC95688"/>
    <w:multiLevelType w:val="hybridMultilevel"/>
    <w:tmpl w:val="C666C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06578A"/>
    <w:multiLevelType w:val="hybridMultilevel"/>
    <w:tmpl w:val="1C462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6876B0"/>
    <w:multiLevelType w:val="hybridMultilevel"/>
    <w:tmpl w:val="1256F47E"/>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2C33B9A"/>
    <w:multiLevelType w:val="hybridMultilevel"/>
    <w:tmpl w:val="215C16CE"/>
    <w:lvl w:ilvl="0" w:tplc="D47074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36F06AA"/>
    <w:multiLevelType w:val="hybridMultilevel"/>
    <w:tmpl w:val="AF4EE3E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55B66D80"/>
    <w:multiLevelType w:val="hybridMultilevel"/>
    <w:tmpl w:val="88908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B93E9C"/>
    <w:multiLevelType w:val="hybridMultilevel"/>
    <w:tmpl w:val="6E3ED6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E24616D"/>
    <w:multiLevelType w:val="hybridMultilevel"/>
    <w:tmpl w:val="DC4A97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4708BB"/>
    <w:multiLevelType w:val="hybridMultilevel"/>
    <w:tmpl w:val="174ABC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54434E8"/>
    <w:multiLevelType w:val="hybridMultilevel"/>
    <w:tmpl w:val="702017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C13194"/>
    <w:multiLevelType w:val="hybridMultilevel"/>
    <w:tmpl w:val="9266D98E"/>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CC472AB"/>
    <w:multiLevelType w:val="hybridMultilevel"/>
    <w:tmpl w:val="B6BE09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571CD0"/>
    <w:multiLevelType w:val="hybridMultilevel"/>
    <w:tmpl w:val="36384BCE"/>
    <w:lvl w:ilvl="0" w:tplc="79E24B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CE2D63"/>
    <w:multiLevelType w:val="hybridMultilevel"/>
    <w:tmpl w:val="C81C98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5C44244"/>
    <w:multiLevelType w:val="hybridMultilevel"/>
    <w:tmpl w:val="D3562A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5D40C52"/>
    <w:multiLevelType w:val="multilevel"/>
    <w:tmpl w:val="ADFA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5E2D32"/>
    <w:multiLevelType w:val="hybridMultilevel"/>
    <w:tmpl w:val="57E66A44"/>
    <w:lvl w:ilvl="0" w:tplc="63EA968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FA507A"/>
    <w:multiLevelType w:val="hybridMultilevel"/>
    <w:tmpl w:val="76202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833390"/>
    <w:multiLevelType w:val="hybridMultilevel"/>
    <w:tmpl w:val="C914A7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AE08F4"/>
    <w:multiLevelType w:val="hybridMultilevel"/>
    <w:tmpl w:val="A2D08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1234510">
    <w:abstractNumId w:val="21"/>
  </w:num>
  <w:num w:numId="2" w16cid:durableId="1187404610">
    <w:abstractNumId w:val="13"/>
  </w:num>
  <w:num w:numId="3" w16cid:durableId="344136024">
    <w:abstractNumId w:val="19"/>
  </w:num>
  <w:num w:numId="4" w16cid:durableId="839656986">
    <w:abstractNumId w:val="18"/>
  </w:num>
  <w:num w:numId="5" w16cid:durableId="359818958">
    <w:abstractNumId w:val="32"/>
  </w:num>
  <w:num w:numId="6" w16cid:durableId="942374248">
    <w:abstractNumId w:val="27"/>
  </w:num>
  <w:num w:numId="7" w16cid:durableId="1951741812">
    <w:abstractNumId w:val="11"/>
  </w:num>
  <w:num w:numId="8" w16cid:durableId="557473918">
    <w:abstractNumId w:val="8"/>
  </w:num>
  <w:num w:numId="9" w16cid:durableId="1440834141">
    <w:abstractNumId w:val="42"/>
  </w:num>
  <w:num w:numId="10" w16cid:durableId="1665351937">
    <w:abstractNumId w:val="22"/>
  </w:num>
  <w:num w:numId="11" w16cid:durableId="653413473">
    <w:abstractNumId w:val="29"/>
  </w:num>
  <w:num w:numId="12" w16cid:durableId="1180125077">
    <w:abstractNumId w:val="6"/>
  </w:num>
  <w:num w:numId="13" w16cid:durableId="1283658760">
    <w:abstractNumId w:val="38"/>
  </w:num>
  <w:num w:numId="14" w16cid:durableId="2068449757">
    <w:abstractNumId w:val="5"/>
  </w:num>
  <w:num w:numId="15" w16cid:durableId="1970696842">
    <w:abstractNumId w:val="34"/>
  </w:num>
  <w:num w:numId="16" w16cid:durableId="45882958">
    <w:abstractNumId w:val="30"/>
  </w:num>
  <w:num w:numId="17" w16cid:durableId="681008987">
    <w:abstractNumId w:val="35"/>
  </w:num>
  <w:num w:numId="18" w16cid:durableId="1415206575">
    <w:abstractNumId w:val="40"/>
  </w:num>
  <w:num w:numId="19" w16cid:durableId="2055428307">
    <w:abstractNumId w:val="2"/>
  </w:num>
  <w:num w:numId="20" w16cid:durableId="691414304">
    <w:abstractNumId w:val="0"/>
  </w:num>
  <w:num w:numId="21" w16cid:durableId="1647737763">
    <w:abstractNumId w:val="23"/>
  </w:num>
  <w:num w:numId="22" w16cid:durableId="1091511691">
    <w:abstractNumId w:val="37"/>
  </w:num>
  <w:num w:numId="23" w16cid:durableId="338654808">
    <w:abstractNumId w:val="31"/>
  </w:num>
  <w:num w:numId="24" w16cid:durableId="2023849651">
    <w:abstractNumId w:val="15"/>
  </w:num>
  <w:num w:numId="25" w16cid:durableId="1303846581">
    <w:abstractNumId w:val="39"/>
  </w:num>
  <w:num w:numId="26" w16cid:durableId="1332684754">
    <w:abstractNumId w:val="26"/>
  </w:num>
  <w:num w:numId="27" w16cid:durableId="932317772">
    <w:abstractNumId w:val="28"/>
  </w:num>
  <w:num w:numId="28" w16cid:durableId="1839467887">
    <w:abstractNumId w:val="12"/>
  </w:num>
  <w:num w:numId="29" w16cid:durableId="1026097425">
    <w:abstractNumId w:val="1"/>
  </w:num>
  <w:num w:numId="30" w16cid:durableId="1228223521">
    <w:abstractNumId w:val="9"/>
  </w:num>
  <w:num w:numId="31" w16cid:durableId="64299703">
    <w:abstractNumId w:val="25"/>
  </w:num>
  <w:num w:numId="32" w16cid:durableId="123433081">
    <w:abstractNumId w:val="10"/>
  </w:num>
  <w:num w:numId="33" w16cid:durableId="1041369460">
    <w:abstractNumId w:val="33"/>
  </w:num>
  <w:num w:numId="34" w16cid:durableId="1618174403">
    <w:abstractNumId w:val="17"/>
  </w:num>
  <w:num w:numId="35" w16cid:durableId="739132377">
    <w:abstractNumId w:val="24"/>
  </w:num>
  <w:num w:numId="36" w16cid:durableId="539821952">
    <w:abstractNumId w:val="41"/>
  </w:num>
  <w:num w:numId="37" w16cid:durableId="481774584">
    <w:abstractNumId w:val="14"/>
  </w:num>
  <w:num w:numId="38" w16cid:durableId="1191183528">
    <w:abstractNumId w:val="4"/>
  </w:num>
  <w:num w:numId="39" w16cid:durableId="244271191">
    <w:abstractNumId w:val="20"/>
  </w:num>
  <w:num w:numId="40" w16cid:durableId="1400833380">
    <w:abstractNumId w:val="36"/>
  </w:num>
  <w:num w:numId="41" w16cid:durableId="1782217276">
    <w:abstractNumId w:val="16"/>
  </w:num>
  <w:num w:numId="42" w16cid:durableId="1937590886">
    <w:abstractNumId w:val="7"/>
  </w:num>
  <w:num w:numId="43" w16cid:durableId="110900735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6A"/>
    <w:rsid w:val="0000038B"/>
    <w:rsid w:val="00000BD5"/>
    <w:rsid w:val="00003341"/>
    <w:rsid w:val="0000615D"/>
    <w:rsid w:val="00007ABB"/>
    <w:rsid w:val="0001110A"/>
    <w:rsid w:val="00012024"/>
    <w:rsid w:val="000123A1"/>
    <w:rsid w:val="000126DA"/>
    <w:rsid w:val="00012C7D"/>
    <w:rsid w:val="00012D70"/>
    <w:rsid w:val="000149FF"/>
    <w:rsid w:val="00014A5D"/>
    <w:rsid w:val="00015FEE"/>
    <w:rsid w:val="00016923"/>
    <w:rsid w:val="00020A0D"/>
    <w:rsid w:val="000215F5"/>
    <w:rsid w:val="00024B52"/>
    <w:rsid w:val="00026F66"/>
    <w:rsid w:val="000277D9"/>
    <w:rsid w:val="00030016"/>
    <w:rsid w:val="00030949"/>
    <w:rsid w:val="0003109B"/>
    <w:rsid w:val="00032908"/>
    <w:rsid w:val="00032A1D"/>
    <w:rsid w:val="00035755"/>
    <w:rsid w:val="00036586"/>
    <w:rsid w:val="000367AE"/>
    <w:rsid w:val="00036D19"/>
    <w:rsid w:val="000370BC"/>
    <w:rsid w:val="0004034D"/>
    <w:rsid w:val="0004082D"/>
    <w:rsid w:val="000411FE"/>
    <w:rsid w:val="0004387E"/>
    <w:rsid w:val="00044793"/>
    <w:rsid w:val="000461F4"/>
    <w:rsid w:val="0004787E"/>
    <w:rsid w:val="00050E1F"/>
    <w:rsid w:val="000511CB"/>
    <w:rsid w:val="000513B7"/>
    <w:rsid w:val="000530E7"/>
    <w:rsid w:val="00053F49"/>
    <w:rsid w:val="00060C14"/>
    <w:rsid w:val="00060E1F"/>
    <w:rsid w:val="0006180F"/>
    <w:rsid w:val="00061D3E"/>
    <w:rsid w:val="000623B2"/>
    <w:rsid w:val="0006357D"/>
    <w:rsid w:val="00066095"/>
    <w:rsid w:val="0006698E"/>
    <w:rsid w:val="00066BA3"/>
    <w:rsid w:val="00067AB5"/>
    <w:rsid w:val="00070CE2"/>
    <w:rsid w:val="00071530"/>
    <w:rsid w:val="00071D6F"/>
    <w:rsid w:val="000725A2"/>
    <w:rsid w:val="0007376E"/>
    <w:rsid w:val="00073D68"/>
    <w:rsid w:val="00074840"/>
    <w:rsid w:val="00074885"/>
    <w:rsid w:val="000749F1"/>
    <w:rsid w:val="00075239"/>
    <w:rsid w:val="00076706"/>
    <w:rsid w:val="00081893"/>
    <w:rsid w:val="00083004"/>
    <w:rsid w:val="0008455F"/>
    <w:rsid w:val="00084850"/>
    <w:rsid w:val="0008519B"/>
    <w:rsid w:val="00086ADC"/>
    <w:rsid w:val="00090154"/>
    <w:rsid w:val="00090959"/>
    <w:rsid w:val="000918E5"/>
    <w:rsid w:val="00091B37"/>
    <w:rsid w:val="000929FD"/>
    <w:rsid w:val="0009327C"/>
    <w:rsid w:val="00093876"/>
    <w:rsid w:val="000977CB"/>
    <w:rsid w:val="000A2378"/>
    <w:rsid w:val="000A41F7"/>
    <w:rsid w:val="000A4C35"/>
    <w:rsid w:val="000A500A"/>
    <w:rsid w:val="000A51E8"/>
    <w:rsid w:val="000A5530"/>
    <w:rsid w:val="000A5E6B"/>
    <w:rsid w:val="000A75E1"/>
    <w:rsid w:val="000A7651"/>
    <w:rsid w:val="000A7B92"/>
    <w:rsid w:val="000B2BEB"/>
    <w:rsid w:val="000B2C7D"/>
    <w:rsid w:val="000B387C"/>
    <w:rsid w:val="000B3B04"/>
    <w:rsid w:val="000B6442"/>
    <w:rsid w:val="000B6CBC"/>
    <w:rsid w:val="000B7D61"/>
    <w:rsid w:val="000B7DA7"/>
    <w:rsid w:val="000C0484"/>
    <w:rsid w:val="000C17FA"/>
    <w:rsid w:val="000C25F6"/>
    <w:rsid w:val="000C2650"/>
    <w:rsid w:val="000C3F7B"/>
    <w:rsid w:val="000C5229"/>
    <w:rsid w:val="000C60C7"/>
    <w:rsid w:val="000C7D68"/>
    <w:rsid w:val="000D09B8"/>
    <w:rsid w:val="000D10F9"/>
    <w:rsid w:val="000D1847"/>
    <w:rsid w:val="000D1CF0"/>
    <w:rsid w:val="000D4279"/>
    <w:rsid w:val="000D46D8"/>
    <w:rsid w:val="000D495F"/>
    <w:rsid w:val="000D5761"/>
    <w:rsid w:val="000D7D59"/>
    <w:rsid w:val="000E1538"/>
    <w:rsid w:val="000E1C27"/>
    <w:rsid w:val="000E27FE"/>
    <w:rsid w:val="000E4277"/>
    <w:rsid w:val="000E71EA"/>
    <w:rsid w:val="000F0A0F"/>
    <w:rsid w:val="000F0D95"/>
    <w:rsid w:val="000F2A2F"/>
    <w:rsid w:val="000F2D06"/>
    <w:rsid w:val="000F752A"/>
    <w:rsid w:val="000F7D74"/>
    <w:rsid w:val="0010163D"/>
    <w:rsid w:val="00102B57"/>
    <w:rsid w:val="001036F8"/>
    <w:rsid w:val="00104C66"/>
    <w:rsid w:val="00110D1F"/>
    <w:rsid w:val="00112D4C"/>
    <w:rsid w:val="0011386D"/>
    <w:rsid w:val="00114B2C"/>
    <w:rsid w:val="00114FF0"/>
    <w:rsid w:val="00115DC8"/>
    <w:rsid w:val="00116659"/>
    <w:rsid w:val="001201EB"/>
    <w:rsid w:val="00121990"/>
    <w:rsid w:val="001221B2"/>
    <w:rsid w:val="00122BB0"/>
    <w:rsid w:val="00124091"/>
    <w:rsid w:val="00124797"/>
    <w:rsid w:val="001272B8"/>
    <w:rsid w:val="001319A8"/>
    <w:rsid w:val="00131BB8"/>
    <w:rsid w:val="0013338D"/>
    <w:rsid w:val="001333BB"/>
    <w:rsid w:val="0013662A"/>
    <w:rsid w:val="001368A9"/>
    <w:rsid w:val="00137E9B"/>
    <w:rsid w:val="0014056A"/>
    <w:rsid w:val="00140E62"/>
    <w:rsid w:val="0014108C"/>
    <w:rsid w:val="00142C5B"/>
    <w:rsid w:val="001435E6"/>
    <w:rsid w:val="001459BD"/>
    <w:rsid w:val="00145C51"/>
    <w:rsid w:val="00145F8E"/>
    <w:rsid w:val="001463D9"/>
    <w:rsid w:val="001478DA"/>
    <w:rsid w:val="0015006E"/>
    <w:rsid w:val="00150441"/>
    <w:rsid w:val="001531E9"/>
    <w:rsid w:val="0015469C"/>
    <w:rsid w:val="00157029"/>
    <w:rsid w:val="00157207"/>
    <w:rsid w:val="00157ACB"/>
    <w:rsid w:val="001610DA"/>
    <w:rsid w:val="00162050"/>
    <w:rsid w:val="001653D6"/>
    <w:rsid w:val="00166B66"/>
    <w:rsid w:val="00173FF9"/>
    <w:rsid w:val="001740D6"/>
    <w:rsid w:val="00176926"/>
    <w:rsid w:val="00176C10"/>
    <w:rsid w:val="00177383"/>
    <w:rsid w:val="00177A17"/>
    <w:rsid w:val="00180216"/>
    <w:rsid w:val="00180C0F"/>
    <w:rsid w:val="00181366"/>
    <w:rsid w:val="001817F9"/>
    <w:rsid w:val="001824D8"/>
    <w:rsid w:val="00182CCF"/>
    <w:rsid w:val="00183026"/>
    <w:rsid w:val="00184272"/>
    <w:rsid w:val="00184322"/>
    <w:rsid w:val="001848A2"/>
    <w:rsid w:val="00184A3A"/>
    <w:rsid w:val="001850DD"/>
    <w:rsid w:val="001900C3"/>
    <w:rsid w:val="001917CC"/>
    <w:rsid w:val="00191C07"/>
    <w:rsid w:val="0019208D"/>
    <w:rsid w:val="0019258B"/>
    <w:rsid w:val="001928F2"/>
    <w:rsid w:val="001930A1"/>
    <w:rsid w:val="0019500F"/>
    <w:rsid w:val="00195D05"/>
    <w:rsid w:val="001A1126"/>
    <w:rsid w:val="001A12D7"/>
    <w:rsid w:val="001A188F"/>
    <w:rsid w:val="001A2AFF"/>
    <w:rsid w:val="001A331D"/>
    <w:rsid w:val="001A4368"/>
    <w:rsid w:val="001A7D02"/>
    <w:rsid w:val="001B07C0"/>
    <w:rsid w:val="001B181A"/>
    <w:rsid w:val="001B1C5D"/>
    <w:rsid w:val="001B2E22"/>
    <w:rsid w:val="001B2F25"/>
    <w:rsid w:val="001B710A"/>
    <w:rsid w:val="001B7510"/>
    <w:rsid w:val="001B76DB"/>
    <w:rsid w:val="001B77DF"/>
    <w:rsid w:val="001B7828"/>
    <w:rsid w:val="001C0145"/>
    <w:rsid w:val="001C462D"/>
    <w:rsid w:val="001C4653"/>
    <w:rsid w:val="001C4852"/>
    <w:rsid w:val="001C5136"/>
    <w:rsid w:val="001C51AA"/>
    <w:rsid w:val="001C65D7"/>
    <w:rsid w:val="001C7EDB"/>
    <w:rsid w:val="001D2527"/>
    <w:rsid w:val="001D2658"/>
    <w:rsid w:val="001D38FB"/>
    <w:rsid w:val="001D41D6"/>
    <w:rsid w:val="001D437B"/>
    <w:rsid w:val="001D4466"/>
    <w:rsid w:val="001D5B00"/>
    <w:rsid w:val="001D6002"/>
    <w:rsid w:val="001D6294"/>
    <w:rsid w:val="001D6385"/>
    <w:rsid w:val="001D63CC"/>
    <w:rsid w:val="001D6A94"/>
    <w:rsid w:val="001D6D2F"/>
    <w:rsid w:val="001E07C8"/>
    <w:rsid w:val="001E0FA6"/>
    <w:rsid w:val="001E10BA"/>
    <w:rsid w:val="001E120A"/>
    <w:rsid w:val="001E1381"/>
    <w:rsid w:val="001E1E3C"/>
    <w:rsid w:val="001E3D6A"/>
    <w:rsid w:val="001E580D"/>
    <w:rsid w:val="001E5C43"/>
    <w:rsid w:val="001E7E24"/>
    <w:rsid w:val="001F0555"/>
    <w:rsid w:val="001F05F0"/>
    <w:rsid w:val="001F1654"/>
    <w:rsid w:val="001F2302"/>
    <w:rsid w:val="001F3930"/>
    <w:rsid w:val="001F4CB6"/>
    <w:rsid w:val="001F509A"/>
    <w:rsid w:val="001F6189"/>
    <w:rsid w:val="001F642A"/>
    <w:rsid w:val="001F6C55"/>
    <w:rsid w:val="001F6FC7"/>
    <w:rsid w:val="001F7370"/>
    <w:rsid w:val="00202486"/>
    <w:rsid w:val="00202BC2"/>
    <w:rsid w:val="002035EA"/>
    <w:rsid w:val="002040A7"/>
    <w:rsid w:val="00205088"/>
    <w:rsid w:val="00205693"/>
    <w:rsid w:val="002060F0"/>
    <w:rsid w:val="00207008"/>
    <w:rsid w:val="00207E15"/>
    <w:rsid w:val="00210646"/>
    <w:rsid w:val="00211263"/>
    <w:rsid w:val="0021226E"/>
    <w:rsid w:val="0021323A"/>
    <w:rsid w:val="002135E3"/>
    <w:rsid w:val="00214E37"/>
    <w:rsid w:val="00215169"/>
    <w:rsid w:val="00220969"/>
    <w:rsid w:val="00220DBF"/>
    <w:rsid w:val="00220FA3"/>
    <w:rsid w:val="00222793"/>
    <w:rsid w:val="0022550E"/>
    <w:rsid w:val="00226184"/>
    <w:rsid w:val="00226CE0"/>
    <w:rsid w:val="0022723C"/>
    <w:rsid w:val="00227CC3"/>
    <w:rsid w:val="00233699"/>
    <w:rsid w:val="00233757"/>
    <w:rsid w:val="00234E8F"/>
    <w:rsid w:val="00235C56"/>
    <w:rsid w:val="00236779"/>
    <w:rsid w:val="00236A89"/>
    <w:rsid w:val="00236C72"/>
    <w:rsid w:val="00237BF4"/>
    <w:rsid w:val="00240DED"/>
    <w:rsid w:val="00241FDE"/>
    <w:rsid w:val="00242915"/>
    <w:rsid w:val="00242B4E"/>
    <w:rsid w:val="00242CE6"/>
    <w:rsid w:val="00243D73"/>
    <w:rsid w:val="00244B51"/>
    <w:rsid w:val="002450ED"/>
    <w:rsid w:val="002456CA"/>
    <w:rsid w:val="00245FDB"/>
    <w:rsid w:val="002461C4"/>
    <w:rsid w:val="0024674E"/>
    <w:rsid w:val="00246825"/>
    <w:rsid w:val="00250EB1"/>
    <w:rsid w:val="002519E6"/>
    <w:rsid w:val="00251C1D"/>
    <w:rsid w:val="00255F5F"/>
    <w:rsid w:val="002578A6"/>
    <w:rsid w:val="002612B1"/>
    <w:rsid w:val="00261333"/>
    <w:rsid w:val="002619A0"/>
    <w:rsid w:val="00261D09"/>
    <w:rsid w:val="00263872"/>
    <w:rsid w:val="00266DC6"/>
    <w:rsid w:val="0027060F"/>
    <w:rsid w:val="002709E1"/>
    <w:rsid w:val="00271D01"/>
    <w:rsid w:val="002724D6"/>
    <w:rsid w:val="00272BC7"/>
    <w:rsid w:val="00272D75"/>
    <w:rsid w:val="00274BD2"/>
    <w:rsid w:val="002753B9"/>
    <w:rsid w:val="00275A34"/>
    <w:rsid w:val="00275C80"/>
    <w:rsid w:val="002769C0"/>
    <w:rsid w:val="002778B7"/>
    <w:rsid w:val="002778FC"/>
    <w:rsid w:val="00280472"/>
    <w:rsid w:val="00280EAD"/>
    <w:rsid w:val="002825B7"/>
    <w:rsid w:val="00282A2A"/>
    <w:rsid w:val="00283D9A"/>
    <w:rsid w:val="00283F3F"/>
    <w:rsid w:val="00284702"/>
    <w:rsid w:val="00285F45"/>
    <w:rsid w:val="0028750F"/>
    <w:rsid w:val="0029017C"/>
    <w:rsid w:val="00290FEE"/>
    <w:rsid w:val="002915C6"/>
    <w:rsid w:val="002922A3"/>
    <w:rsid w:val="002929E3"/>
    <w:rsid w:val="002931FE"/>
    <w:rsid w:val="00293CED"/>
    <w:rsid w:val="00294ED6"/>
    <w:rsid w:val="00295291"/>
    <w:rsid w:val="00295628"/>
    <w:rsid w:val="00296E6E"/>
    <w:rsid w:val="00297577"/>
    <w:rsid w:val="002A105B"/>
    <w:rsid w:val="002A690F"/>
    <w:rsid w:val="002A722F"/>
    <w:rsid w:val="002A7F12"/>
    <w:rsid w:val="002B0005"/>
    <w:rsid w:val="002B02AC"/>
    <w:rsid w:val="002B0C9C"/>
    <w:rsid w:val="002B0D72"/>
    <w:rsid w:val="002B18F6"/>
    <w:rsid w:val="002B2776"/>
    <w:rsid w:val="002B2C58"/>
    <w:rsid w:val="002B306A"/>
    <w:rsid w:val="002B3B4C"/>
    <w:rsid w:val="002B5B05"/>
    <w:rsid w:val="002B6E00"/>
    <w:rsid w:val="002C02A2"/>
    <w:rsid w:val="002C3782"/>
    <w:rsid w:val="002C4824"/>
    <w:rsid w:val="002C5372"/>
    <w:rsid w:val="002C6772"/>
    <w:rsid w:val="002D0BCC"/>
    <w:rsid w:val="002D15D9"/>
    <w:rsid w:val="002D4649"/>
    <w:rsid w:val="002D5122"/>
    <w:rsid w:val="002D533F"/>
    <w:rsid w:val="002E0B70"/>
    <w:rsid w:val="002E59F4"/>
    <w:rsid w:val="002E6911"/>
    <w:rsid w:val="002E750F"/>
    <w:rsid w:val="002E799D"/>
    <w:rsid w:val="002E79AF"/>
    <w:rsid w:val="002F07D3"/>
    <w:rsid w:val="002F2DD1"/>
    <w:rsid w:val="002F546A"/>
    <w:rsid w:val="002F5FEE"/>
    <w:rsid w:val="002F7461"/>
    <w:rsid w:val="002F76B3"/>
    <w:rsid w:val="0030043C"/>
    <w:rsid w:val="003004D1"/>
    <w:rsid w:val="00300F80"/>
    <w:rsid w:val="00301EB6"/>
    <w:rsid w:val="0030210A"/>
    <w:rsid w:val="00305529"/>
    <w:rsid w:val="003069B7"/>
    <w:rsid w:val="00310B64"/>
    <w:rsid w:val="003130F5"/>
    <w:rsid w:val="00313BBE"/>
    <w:rsid w:val="00313EBB"/>
    <w:rsid w:val="00316BC9"/>
    <w:rsid w:val="00316E64"/>
    <w:rsid w:val="003220B8"/>
    <w:rsid w:val="00323C6F"/>
    <w:rsid w:val="00323FE3"/>
    <w:rsid w:val="003250E5"/>
    <w:rsid w:val="00325B90"/>
    <w:rsid w:val="00326788"/>
    <w:rsid w:val="003267CD"/>
    <w:rsid w:val="00327D39"/>
    <w:rsid w:val="00327D53"/>
    <w:rsid w:val="00330BE0"/>
    <w:rsid w:val="00332045"/>
    <w:rsid w:val="00332068"/>
    <w:rsid w:val="003345E8"/>
    <w:rsid w:val="00334F6A"/>
    <w:rsid w:val="0033551B"/>
    <w:rsid w:val="0033563C"/>
    <w:rsid w:val="00335F45"/>
    <w:rsid w:val="00337013"/>
    <w:rsid w:val="003372CD"/>
    <w:rsid w:val="00340189"/>
    <w:rsid w:val="003441AA"/>
    <w:rsid w:val="003445B2"/>
    <w:rsid w:val="00345145"/>
    <w:rsid w:val="00347C2C"/>
    <w:rsid w:val="0035060F"/>
    <w:rsid w:val="00350959"/>
    <w:rsid w:val="00351C82"/>
    <w:rsid w:val="003521AC"/>
    <w:rsid w:val="0035625D"/>
    <w:rsid w:val="00356289"/>
    <w:rsid w:val="00356E01"/>
    <w:rsid w:val="00360319"/>
    <w:rsid w:val="003627BD"/>
    <w:rsid w:val="00363A40"/>
    <w:rsid w:val="003646E7"/>
    <w:rsid w:val="00367027"/>
    <w:rsid w:val="00371656"/>
    <w:rsid w:val="00373C88"/>
    <w:rsid w:val="00373EC4"/>
    <w:rsid w:val="00373F5A"/>
    <w:rsid w:val="00374474"/>
    <w:rsid w:val="003750FC"/>
    <w:rsid w:val="003761BC"/>
    <w:rsid w:val="00376AA3"/>
    <w:rsid w:val="00377B4B"/>
    <w:rsid w:val="00380437"/>
    <w:rsid w:val="00380667"/>
    <w:rsid w:val="003806B9"/>
    <w:rsid w:val="00381F33"/>
    <w:rsid w:val="003821AA"/>
    <w:rsid w:val="003850EE"/>
    <w:rsid w:val="003865F4"/>
    <w:rsid w:val="00390377"/>
    <w:rsid w:val="00390581"/>
    <w:rsid w:val="00392350"/>
    <w:rsid w:val="00393B6B"/>
    <w:rsid w:val="00394321"/>
    <w:rsid w:val="00395153"/>
    <w:rsid w:val="003953A7"/>
    <w:rsid w:val="00395DE9"/>
    <w:rsid w:val="003963CD"/>
    <w:rsid w:val="00397B6B"/>
    <w:rsid w:val="003A06AB"/>
    <w:rsid w:val="003A3194"/>
    <w:rsid w:val="003A476F"/>
    <w:rsid w:val="003A7EDD"/>
    <w:rsid w:val="003B1486"/>
    <w:rsid w:val="003B19B4"/>
    <w:rsid w:val="003B2B12"/>
    <w:rsid w:val="003B381F"/>
    <w:rsid w:val="003B3B5E"/>
    <w:rsid w:val="003B4DDC"/>
    <w:rsid w:val="003B5142"/>
    <w:rsid w:val="003B656C"/>
    <w:rsid w:val="003B6FA0"/>
    <w:rsid w:val="003C0755"/>
    <w:rsid w:val="003C1CE9"/>
    <w:rsid w:val="003C1F7C"/>
    <w:rsid w:val="003C20CF"/>
    <w:rsid w:val="003C270F"/>
    <w:rsid w:val="003C4732"/>
    <w:rsid w:val="003C5676"/>
    <w:rsid w:val="003C6946"/>
    <w:rsid w:val="003D037C"/>
    <w:rsid w:val="003D1999"/>
    <w:rsid w:val="003D2437"/>
    <w:rsid w:val="003D2D75"/>
    <w:rsid w:val="003D32D5"/>
    <w:rsid w:val="003D3D67"/>
    <w:rsid w:val="003D3F26"/>
    <w:rsid w:val="003D54F5"/>
    <w:rsid w:val="003D6081"/>
    <w:rsid w:val="003D7017"/>
    <w:rsid w:val="003E4631"/>
    <w:rsid w:val="003E4EF6"/>
    <w:rsid w:val="003E66A1"/>
    <w:rsid w:val="003E6834"/>
    <w:rsid w:val="003E6AA3"/>
    <w:rsid w:val="003E7106"/>
    <w:rsid w:val="003E747A"/>
    <w:rsid w:val="003E7B86"/>
    <w:rsid w:val="003F0A96"/>
    <w:rsid w:val="003F26C9"/>
    <w:rsid w:val="003F33B4"/>
    <w:rsid w:val="003F3921"/>
    <w:rsid w:val="003F5642"/>
    <w:rsid w:val="003F5D2A"/>
    <w:rsid w:val="003F69F4"/>
    <w:rsid w:val="003F74BD"/>
    <w:rsid w:val="003F7D8D"/>
    <w:rsid w:val="004007B6"/>
    <w:rsid w:val="004011E4"/>
    <w:rsid w:val="00401AC0"/>
    <w:rsid w:val="00401B7C"/>
    <w:rsid w:val="0040328E"/>
    <w:rsid w:val="00407926"/>
    <w:rsid w:val="004120B4"/>
    <w:rsid w:val="00413D60"/>
    <w:rsid w:val="00414A33"/>
    <w:rsid w:val="00414BBF"/>
    <w:rsid w:val="00417AA7"/>
    <w:rsid w:val="00421310"/>
    <w:rsid w:val="004213BE"/>
    <w:rsid w:val="00422DD2"/>
    <w:rsid w:val="00424ECC"/>
    <w:rsid w:val="00432E4E"/>
    <w:rsid w:val="00435160"/>
    <w:rsid w:val="00436576"/>
    <w:rsid w:val="004366A2"/>
    <w:rsid w:val="00436901"/>
    <w:rsid w:val="0043778D"/>
    <w:rsid w:val="0043787A"/>
    <w:rsid w:val="00437E38"/>
    <w:rsid w:val="00443125"/>
    <w:rsid w:val="00446F05"/>
    <w:rsid w:val="004531A6"/>
    <w:rsid w:val="00453202"/>
    <w:rsid w:val="00454251"/>
    <w:rsid w:val="0045490A"/>
    <w:rsid w:val="00454EC3"/>
    <w:rsid w:val="0045575E"/>
    <w:rsid w:val="00455E85"/>
    <w:rsid w:val="00455F8A"/>
    <w:rsid w:val="00460561"/>
    <w:rsid w:val="00461798"/>
    <w:rsid w:val="00462D83"/>
    <w:rsid w:val="0046450A"/>
    <w:rsid w:val="00465D3C"/>
    <w:rsid w:val="004664C8"/>
    <w:rsid w:val="004715DE"/>
    <w:rsid w:val="00472F54"/>
    <w:rsid w:val="004732C3"/>
    <w:rsid w:val="004735BB"/>
    <w:rsid w:val="00473829"/>
    <w:rsid w:val="00473B14"/>
    <w:rsid w:val="00475D39"/>
    <w:rsid w:val="004763AD"/>
    <w:rsid w:val="004772A2"/>
    <w:rsid w:val="00480892"/>
    <w:rsid w:val="004810F9"/>
    <w:rsid w:val="004832E3"/>
    <w:rsid w:val="0048416B"/>
    <w:rsid w:val="004851DD"/>
    <w:rsid w:val="00485BC7"/>
    <w:rsid w:val="0048608E"/>
    <w:rsid w:val="00486C77"/>
    <w:rsid w:val="00487455"/>
    <w:rsid w:val="0048778D"/>
    <w:rsid w:val="004911AD"/>
    <w:rsid w:val="004911C3"/>
    <w:rsid w:val="00492161"/>
    <w:rsid w:val="00492AC0"/>
    <w:rsid w:val="004933C6"/>
    <w:rsid w:val="00494EFC"/>
    <w:rsid w:val="00495715"/>
    <w:rsid w:val="004A2362"/>
    <w:rsid w:val="004A2552"/>
    <w:rsid w:val="004A27EF"/>
    <w:rsid w:val="004A4528"/>
    <w:rsid w:val="004A454E"/>
    <w:rsid w:val="004A4B8E"/>
    <w:rsid w:val="004A4CBF"/>
    <w:rsid w:val="004A5BC5"/>
    <w:rsid w:val="004A7125"/>
    <w:rsid w:val="004A7130"/>
    <w:rsid w:val="004A7176"/>
    <w:rsid w:val="004A7791"/>
    <w:rsid w:val="004B11B0"/>
    <w:rsid w:val="004B1BAC"/>
    <w:rsid w:val="004B1FD4"/>
    <w:rsid w:val="004B3184"/>
    <w:rsid w:val="004B3C7A"/>
    <w:rsid w:val="004B6069"/>
    <w:rsid w:val="004B6426"/>
    <w:rsid w:val="004B6740"/>
    <w:rsid w:val="004B7149"/>
    <w:rsid w:val="004B7C56"/>
    <w:rsid w:val="004B7F9A"/>
    <w:rsid w:val="004C124B"/>
    <w:rsid w:val="004C139D"/>
    <w:rsid w:val="004C1ABC"/>
    <w:rsid w:val="004C2962"/>
    <w:rsid w:val="004C3BED"/>
    <w:rsid w:val="004C3E0C"/>
    <w:rsid w:val="004C3E36"/>
    <w:rsid w:val="004C5858"/>
    <w:rsid w:val="004C5A12"/>
    <w:rsid w:val="004C60CE"/>
    <w:rsid w:val="004C6CEF"/>
    <w:rsid w:val="004C7672"/>
    <w:rsid w:val="004C7C4E"/>
    <w:rsid w:val="004D32A3"/>
    <w:rsid w:val="004D37C9"/>
    <w:rsid w:val="004D37F1"/>
    <w:rsid w:val="004D4B68"/>
    <w:rsid w:val="004D4F27"/>
    <w:rsid w:val="004D5A76"/>
    <w:rsid w:val="004D6575"/>
    <w:rsid w:val="004D6751"/>
    <w:rsid w:val="004D729A"/>
    <w:rsid w:val="004D72E4"/>
    <w:rsid w:val="004E1A8F"/>
    <w:rsid w:val="004E1BEA"/>
    <w:rsid w:val="004E29F9"/>
    <w:rsid w:val="004E2B45"/>
    <w:rsid w:val="004E46C5"/>
    <w:rsid w:val="004E507A"/>
    <w:rsid w:val="004E59F8"/>
    <w:rsid w:val="004E68CC"/>
    <w:rsid w:val="004E751F"/>
    <w:rsid w:val="004F092D"/>
    <w:rsid w:val="004F1052"/>
    <w:rsid w:val="004F1FB3"/>
    <w:rsid w:val="004F2102"/>
    <w:rsid w:val="004F28F6"/>
    <w:rsid w:val="004F3EE7"/>
    <w:rsid w:val="004F449E"/>
    <w:rsid w:val="004F4AE3"/>
    <w:rsid w:val="004F7CF4"/>
    <w:rsid w:val="004F7D90"/>
    <w:rsid w:val="005005D6"/>
    <w:rsid w:val="00500931"/>
    <w:rsid w:val="00500ECF"/>
    <w:rsid w:val="005013A1"/>
    <w:rsid w:val="00501876"/>
    <w:rsid w:val="005021BD"/>
    <w:rsid w:val="005049D6"/>
    <w:rsid w:val="00505053"/>
    <w:rsid w:val="0051022C"/>
    <w:rsid w:val="005120F2"/>
    <w:rsid w:val="005133E4"/>
    <w:rsid w:val="00513DE5"/>
    <w:rsid w:val="00514B91"/>
    <w:rsid w:val="00514D57"/>
    <w:rsid w:val="005155FA"/>
    <w:rsid w:val="0051596F"/>
    <w:rsid w:val="00515D5E"/>
    <w:rsid w:val="0051621A"/>
    <w:rsid w:val="00516B69"/>
    <w:rsid w:val="00516F5C"/>
    <w:rsid w:val="00520040"/>
    <w:rsid w:val="00521130"/>
    <w:rsid w:val="00521C7D"/>
    <w:rsid w:val="00522250"/>
    <w:rsid w:val="0052255D"/>
    <w:rsid w:val="00522C1C"/>
    <w:rsid w:val="00523570"/>
    <w:rsid w:val="00524C2A"/>
    <w:rsid w:val="005262A5"/>
    <w:rsid w:val="00526573"/>
    <w:rsid w:val="005269D4"/>
    <w:rsid w:val="00526EBE"/>
    <w:rsid w:val="00527912"/>
    <w:rsid w:val="00530E09"/>
    <w:rsid w:val="00531378"/>
    <w:rsid w:val="00532314"/>
    <w:rsid w:val="005326D2"/>
    <w:rsid w:val="00532BB8"/>
    <w:rsid w:val="00532CC0"/>
    <w:rsid w:val="0053357C"/>
    <w:rsid w:val="00534B8F"/>
    <w:rsid w:val="00535A87"/>
    <w:rsid w:val="00536508"/>
    <w:rsid w:val="0053761C"/>
    <w:rsid w:val="0054109C"/>
    <w:rsid w:val="005425C4"/>
    <w:rsid w:val="005450ED"/>
    <w:rsid w:val="0054534B"/>
    <w:rsid w:val="00545E15"/>
    <w:rsid w:val="00554E56"/>
    <w:rsid w:val="005555B6"/>
    <w:rsid w:val="0056006A"/>
    <w:rsid w:val="00560DFE"/>
    <w:rsid w:val="00560F48"/>
    <w:rsid w:val="00561F68"/>
    <w:rsid w:val="00562B85"/>
    <w:rsid w:val="00564702"/>
    <w:rsid w:val="00564CBA"/>
    <w:rsid w:val="0056563A"/>
    <w:rsid w:val="005662E1"/>
    <w:rsid w:val="00566D19"/>
    <w:rsid w:val="0056775D"/>
    <w:rsid w:val="00570421"/>
    <w:rsid w:val="005705E1"/>
    <w:rsid w:val="00571706"/>
    <w:rsid w:val="00574E9E"/>
    <w:rsid w:val="00574F4A"/>
    <w:rsid w:val="005755A4"/>
    <w:rsid w:val="00580952"/>
    <w:rsid w:val="00582317"/>
    <w:rsid w:val="005825CE"/>
    <w:rsid w:val="005837B1"/>
    <w:rsid w:val="00585856"/>
    <w:rsid w:val="00585890"/>
    <w:rsid w:val="005862C4"/>
    <w:rsid w:val="005868A6"/>
    <w:rsid w:val="00590962"/>
    <w:rsid w:val="00590B62"/>
    <w:rsid w:val="00590E61"/>
    <w:rsid w:val="00591016"/>
    <w:rsid w:val="00592910"/>
    <w:rsid w:val="00592D08"/>
    <w:rsid w:val="00596091"/>
    <w:rsid w:val="0059614B"/>
    <w:rsid w:val="0059748F"/>
    <w:rsid w:val="005A07C1"/>
    <w:rsid w:val="005A1F7A"/>
    <w:rsid w:val="005A2A6F"/>
    <w:rsid w:val="005A4E56"/>
    <w:rsid w:val="005A687A"/>
    <w:rsid w:val="005A73A7"/>
    <w:rsid w:val="005A779F"/>
    <w:rsid w:val="005B080A"/>
    <w:rsid w:val="005B2223"/>
    <w:rsid w:val="005B3CC7"/>
    <w:rsid w:val="005B4DBA"/>
    <w:rsid w:val="005B50E0"/>
    <w:rsid w:val="005B5229"/>
    <w:rsid w:val="005B5568"/>
    <w:rsid w:val="005B59A5"/>
    <w:rsid w:val="005C0B14"/>
    <w:rsid w:val="005C0F68"/>
    <w:rsid w:val="005C11D9"/>
    <w:rsid w:val="005C1853"/>
    <w:rsid w:val="005C299A"/>
    <w:rsid w:val="005C2DC5"/>
    <w:rsid w:val="005C3147"/>
    <w:rsid w:val="005C4019"/>
    <w:rsid w:val="005C4DF2"/>
    <w:rsid w:val="005C508C"/>
    <w:rsid w:val="005C5144"/>
    <w:rsid w:val="005C7C26"/>
    <w:rsid w:val="005C7C2F"/>
    <w:rsid w:val="005D0643"/>
    <w:rsid w:val="005D2682"/>
    <w:rsid w:val="005D3267"/>
    <w:rsid w:val="005D3DB5"/>
    <w:rsid w:val="005D6505"/>
    <w:rsid w:val="005D708A"/>
    <w:rsid w:val="005D7354"/>
    <w:rsid w:val="005D796E"/>
    <w:rsid w:val="005E0E1A"/>
    <w:rsid w:val="005E18D4"/>
    <w:rsid w:val="005E2267"/>
    <w:rsid w:val="005E350F"/>
    <w:rsid w:val="005E4677"/>
    <w:rsid w:val="005E58E5"/>
    <w:rsid w:val="005E683B"/>
    <w:rsid w:val="005F0F53"/>
    <w:rsid w:val="005F44D2"/>
    <w:rsid w:val="005F486B"/>
    <w:rsid w:val="005F605E"/>
    <w:rsid w:val="005F62E9"/>
    <w:rsid w:val="005F63EB"/>
    <w:rsid w:val="005F7772"/>
    <w:rsid w:val="005F7DB6"/>
    <w:rsid w:val="00600695"/>
    <w:rsid w:val="00600DEC"/>
    <w:rsid w:val="0060133E"/>
    <w:rsid w:val="00602836"/>
    <w:rsid w:val="00603FCB"/>
    <w:rsid w:val="00604AAE"/>
    <w:rsid w:val="0060506B"/>
    <w:rsid w:val="006051E0"/>
    <w:rsid w:val="0060524A"/>
    <w:rsid w:val="00606D2A"/>
    <w:rsid w:val="00607E01"/>
    <w:rsid w:val="00611415"/>
    <w:rsid w:val="00611624"/>
    <w:rsid w:val="00613459"/>
    <w:rsid w:val="00614883"/>
    <w:rsid w:val="00614BB5"/>
    <w:rsid w:val="00615EA2"/>
    <w:rsid w:val="00616162"/>
    <w:rsid w:val="00617236"/>
    <w:rsid w:val="00617297"/>
    <w:rsid w:val="006174CC"/>
    <w:rsid w:val="00617DDE"/>
    <w:rsid w:val="006208F3"/>
    <w:rsid w:val="00621BF4"/>
    <w:rsid w:val="006224FF"/>
    <w:rsid w:val="00622925"/>
    <w:rsid w:val="006244EB"/>
    <w:rsid w:val="00624898"/>
    <w:rsid w:val="00624F71"/>
    <w:rsid w:val="00627153"/>
    <w:rsid w:val="00627B4A"/>
    <w:rsid w:val="00627BC4"/>
    <w:rsid w:val="00630113"/>
    <w:rsid w:val="00630A2C"/>
    <w:rsid w:val="00631B2B"/>
    <w:rsid w:val="00632443"/>
    <w:rsid w:val="00633F8E"/>
    <w:rsid w:val="00634319"/>
    <w:rsid w:val="00636B3A"/>
    <w:rsid w:val="006376A1"/>
    <w:rsid w:val="00641799"/>
    <w:rsid w:val="00642801"/>
    <w:rsid w:val="006432E9"/>
    <w:rsid w:val="006447C1"/>
    <w:rsid w:val="00645C70"/>
    <w:rsid w:val="00646065"/>
    <w:rsid w:val="0064664F"/>
    <w:rsid w:val="0064674F"/>
    <w:rsid w:val="00650619"/>
    <w:rsid w:val="0065077D"/>
    <w:rsid w:val="006514D4"/>
    <w:rsid w:val="00651A82"/>
    <w:rsid w:val="006524C2"/>
    <w:rsid w:val="00653678"/>
    <w:rsid w:val="00653E72"/>
    <w:rsid w:val="0065515C"/>
    <w:rsid w:val="00656313"/>
    <w:rsid w:val="006574BD"/>
    <w:rsid w:val="006576BC"/>
    <w:rsid w:val="00661E0C"/>
    <w:rsid w:val="00662EFC"/>
    <w:rsid w:val="00664FC4"/>
    <w:rsid w:val="00665253"/>
    <w:rsid w:val="00665488"/>
    <w:rsid w:val="0066798B"/>
    <w:rsid w:val="00670E46"/>
    <w:rsid w:val="006712B9"/>
    <w:rsid w:val="0067208E"/>
    <w:rsid w:val="00672147"/>
    <w:rsid w:val="00672C6E"/>
    <w:rsid w:val="00674FB4"/>
    <w:rsid w:val="00674FB5"/>
    <w:rsid w:val="00680E8B"/>
    <w:rsid w:val="0068148A"/>
    <w:rsid w:val="0068240F"/>
    <w:rsid w:val="00683D29"/>
    <w:rsid w:val="00687BBD"/>
    <w:rsid w:val="0069121E"/>
    <w:rsid w:val="006928BF"/>
    <w:rsid w:val="00693847"/>
    <w:rsid w:val="00693AD9"/>
    <w:rsid w:val="00693ED5"/>
    <w:rsid w:val="0069448B"/>
    <w:rsid w:val="006949E1"/>
    <w:rsid w:val="00695CBA"/>
    <w:rsid w:val="0069746B"/>
    <w:rsid w:val="00697876"/>
    <w:rsid w:val="006A0254"/>
    <w:rsid w:val="006A0351"/>
    <w:rsid w:val="006A037C"/>
    <w:rsid w:val="006A1127"/>
    <w:rsid w:val="006A334E"/>
    <w:rsid w:val="006A4511"/>
    <w:rsid w:val="006A5824"/>
    <w:rsid w:val="006B338A"/>
    <w:rsid w:val="006B55BF"/>
    <w:rsid w:val="006B5D93"/>
    <w:rsid w:val="006B7C50"/>
    <w:rsid w:val="006C21C4"/>
    <w:rsid w:val="006C2E5E"/>
    <w:rsid w:val="006C33F2"/>
    <w:rsid w:val="006C3B9F"/>
    <w:rsid w:val="006C4F60"/>
    <w:rsid w:val="006C6332"/>
    <w:rsid w:val="006D08AE"/>
    <w:rsid w:val="006D0AC2"/>
    <w:rsid w:val="006D114F"/>
    <w:rsid w:val="006D66E3"/>
    <w:rsid w:val="006D6E3F"/>
    <w:rsid w:val="006D777C"/>
    <w:rsid w:val="006E47BA"/>
    <w:rsid w:val="006E503A"/>
    <w:rsid w:val="006E59D7"/>
    <w:rsid w:val="006E6FF0"/>
    <w:rsid w:val="006E73E4"/>
    <w:rsid w:val="006E7F3E"/>
    <w:rsid w:val="006F0F14"/>
    <w:rsid w:val="006F14AA"/>
    <w:rsid w:val="006F195B"/>
    <w:rsid w:val="006F2401"/>
    <w:rsid w:val="006F39D9"/>
    <w:rsid w:val="006F3ECE"/>
    <w:rsid w:val="006F7600"/>
    <w:rsid w:val="00700C4A"/>
    <w:rsid w:val="00700E9B"/>
    <w:rsid w:val="00702DF1"/>
    <w:rsid w:val="007039B0"/>
    <w:rsid w:val="00703E46"/>
    <w:rsid w:val="00704B70"/>
    <w:rsid w:val="0070612D"/>
    <w:rsid w:val="0070666F"/>
    <w:rsid w:val="007068F8"/>
    <w:rsid w:val="00706D3E"/>
    <w:rsid w:val="007103A9"/>
    <w:rsid w:val="007110FA"/>
    <w:rsid w:val="007116BA"/>
    <w:rsid w:val="00712992"/>
    <w:rsid w:val="00713578"/>
    <w:rsid w:val="00713F78"/>
    <w:rsid w:val="007157FB"/>
    <w:rsid w:val="00716297"/>
    <w:rsid w:val="007170F0"/>
    <w:rsid w:val="00717DA8"/>
    <w:rsid w:val="00721775"/>
    <w:rsid w:val="00722AD4"/>
    <w:rsid w:val="00723C34"/>
    <w:rsid w:val="00723E84"/>
    <w:rsid w:val="00725038"/>
    <w:rsid w:val="0073160F"/>
    <w:rsid w:val="007326DC"/>
    <w:rsid w:val="00732B9F"/>
    <w:rsid w:val="00734A82"/>
    <w:rsid w:val="0073619C"/>
    <w:rsid w:val="00736A82"/>
    <w:rsid w:val="00736BAD"/>
    <w:rsid w:val="0074024C"/>
    <w:rsid w:val="00740645"/>
    <w:rsid w:val="007415DB"/>
    <w:rsid w:val="00742358"/>
    <w:rsid w:val="00744C82"/>
    <w:rsid w:val="00744E25"/>
    <w:rsid w:val="00745095"/>
    <w:rsid w:val="007457E5"/>
    <w:rsid w:val="0074688A"/>
    <w:rsid w:val="00747092"/>
    <w:rsid w:val="007541ED"/>
    <w:rsid w:val="00754851"/>
    <w:rsid w:val="00754AE5"/>
    <w:rsid w:val="00754DEC"/>
    <w:rsid w:val="00755FC6"/>
    <w:rsid w:val="0075640D"/>
    <w:rsid w:val="0075650D"/>
    <w:rsid w:val="00756F0D"/>
    <w:rsid w:val="0076106B"/>
    <w:rsid w:val="00761410"/>
    <w:rsid w:val="007614EA"/>
    <w:rsid w:val="0076161E"/>
    <w:rsid w:val="00763B14"/>
    <w:rsid w:val="00763B71"/>
    <w:rsid w:val="00764A44"/>
    <w:rsid w:val="00764A93"/>
    <w:rsid w:val="00764C03"/>
    <w:rsid w:val="00764DBE"/>
    <w:rsid w:val="007657A8"/>
    <w:rsid w:val="00765829"/>
    <w:rsid w:val="00770525"/>
    <w:rsid w:val="00770A9C"/>
    <w:rsid w:val="0077250A"/>
    <w:rsid w:val="007730C7"/>
    <w:rsid w:val="0077392C"/>
    <w:rsid w:val="0077424C"/>
    <w:rsid w:val="00774998"/>
    <w:rsid w:val="00780309"/>
    <w:rsid w:val="00781244"/>
    <w:rsid w:val="00781EAC"/>
    <w:rsid w:val="00782CF8"/>
    <w:rsid w:val="00783195"/>
    <w:rsid w:val="007837C8"/>
    <w:rsid w:val="00783AEF"/>
    <w:rsid w:val="00785B8F"/>
    <w:rsid w:val="00786774"/>
    <w:rsid w:val="007877B0"/>
    <w:rsid w:val="00790F00"/>
    <w:rsid w:val="00792790"/>
    <w:rsid w:val="007945CA"/>
    <w:rsid w:val="007952A3"/>
    <w:rsid w:val="007A08D6"/>
    <w:rsid w:val="007A1882"/>
    <w:rsid w:val="007A43F7"/>
    <w:rsid w:val="007A7FD8"/>
    <w:rsid w:val="007B098A"/>
    <w:rsid w:val="007B0CCE"/>
    <w:rsid w:val="007B1B7B"/>
    <w:rsid w:val="007B32D1"/>
    <w:rsid w:val="007B3E44"/>
    <w:rsid w:val="007B4BA3"/>
    <w:rsid w:val="007B51B4"/>
    <w:rsid w:val="007B6424"/>
    <w:rsid w:val="007C0913"/>
    <w:rsid w:val="007C267A"/>
    <w:rsid w:val="007C3DF9"/>
    <w:rsid w:val="007C47E7"/>
    <w:rsid w:val="007C7AFC"/>
    <w:rsid w:val="007C7D9B"/>
    <w:rsid w:val="007D05CE"/>
    <w:rsid w:val="007D09CF"/>
    <w:rsid w:val="007D1EA0"/>
    <w:rsid w:val="007D22BC"/>
    <w:rsid w:val="007D5653"/>
    <w:rsid w:val="007D6682"/>
    <w:rsid w:val="007D6773"/>
    <w:rsid w:val="007E06E3"/>
    <w:rsid w:val="007E1FB8"/>
    <w:rsid w:val="007E24A7"/>
    <w:rsid w:val="007E2DD2"/>
    <w:rsid w:val="007E3788"/>
    <w:rsid w:val="007E3F8D"/>
    <w:rsid w:val="007E405F"/>
    <w:rsid w:val="007E40B9"/>
    <w:rsid w:val="007E52ED"/>
    <w:rsid w:val="007E551D"/>
    <w:rsid w:val="007E7280"/>
    <w:rsid w:val="007E7F41"/>
    <w:rsid w:val="007F03D2"/>
    <w:rsid w:val="007F12DE"/>
    <w:rsid w:val="007F2510"/>
    <w:rsid w:val="007F3284"/>
    <w:rsid w:val="007F3B33"/>
    <w:rsid w:val="007F3DC6"/>
    <w:rsid w:val="007F4452"/>
    <w:rsid w:val="007F4B69"/>
    <w:rsid w:val="007F5083"/>
    <w:rsid w:val="007F789C"/>
    <w:rsid w:val="00800510"/>
    <w:rsid w:val="008014A2"/>
    <w:rsid w:val="00802301"/>
    <w:rsid w:val="00802F68"/>
    <w:rsid w:val="008031B0"/>
    <w:rsid w:val="00803833"/>
    <w:rsid w:val="008058B1"/>
    <w:rsid w:val="00805FE6"/>
    <w:rsid w:val="0080623F"/>
    <w:rsid w:val="00806EB0"/>
    <w:rsid w:val="00807E98"/>
    <w:rsid w:val="00815351"/>
    <w:rsid w:val="00815426"/>
    <w:rsid w:val="008162AE"/>
    <w:rsid w:val="0081666B"/>
    <w:rsid w:val="00816986"/>
    <w:rsid w:val="00817D22"/>
    <w:rsid w:val="00820364"/>
    <w:rsid w:val="00821301"/>
    <w:rsid w:val="00821DA4"/>
    <w:rsid w:val="008223F0"/>
    <w:rsid w:val="00823E5C"/>
    <w:rsid w:val="00824187"/>
    <w:rsid w:val="0082465F"/>
    <w:rsid w:val="00824F39"/>
    <w:rsid w:val="008259BB"/>
    <w:rsid w:val="00825A06"/>
    <w:rsid w:val="00825D93"/>
    <w:rsid w:val="00826060"/>
    <w:rsid w:val="00827F4E"/>
    <w:rsid w:val="0083253A"/>
    <w:rsid w:val="008352E9"/>
    <w:rsid w:val="00835E42"/>
    <w:rsid w:val="008363BD"/>
    <w:rsid w:val="00837395"/>
    <w:rsid w:val="008410E9"/>
    <w:rsid w:val="00842539"/>
    <w:rsid w:val="00843489"/>
    <w:rsid w:val="00843892"/>
    <w:rsid w:val="00844844"/>
    <w:rsid w:val="00844E1A"/>
    <w:rsid w:val="008450DF"/>
    <w:rsid w:val="0084627F"/>
    <w:rsid w:val="00847EFB"/>
    <w:rsid w:val="00850DF0"/>
    <w:rsid w:val="00851CE8"/>
    <w:rsid w:val="00851E3E"/>
    <w:rsid w:val="008534FB"/>
    <w:rsid w:val="00854052"/>
    <w:rsid w:val="00854169"/>
    <w:rsid w:val="008556B8"/>
    <w:rsid w:val="008570A6"/>
    <w:rsid w:val="008612D1"/>
    <w:rsid w:val="00861383"/>
    <w:rsid w:val="0086277B"/>
    <w:rsid w:val="00862B72"/>
    <w:rsid w:val="0086338A"/>
    <w:rsid w:val="00864088"/>
    <w:rsid w:val="008656EC"/>
    <w:rsid w:val="00865A00"/>
    <w:rsid w:val="00865F3B"/>
    <w:rsid w:val="0086603D"/>
    <w:rsid w:val="00867720"/>
    <w:rsid w:val="0087217B"/>
    <w:rsid w:val="00872AA6"/>
    <w:rsid w:val="00872E53"/>
    <w:rsid w:val="00872E67"/>
    <w:rsid w:val="00874054"/>
    <w:rsid w:val="00874F38"/>
    <w:rsid w:val="00876B03"/>
    <w:rsid w:val="00880901"/>
    <w:rsid w:val="008816E9"/>
    <w:rsid w:val="00881BA6"/>
    <w:rsid w:val="00882069"/>
    <w:rsid w:val="00884EBA"/>
    <w:rsid w:val="00885161"/>
    <w:rsid w:val="00885BC2"/>
    <w:rsid w:val="00885F24"/>
    <w:rsid w:val="0088679E"/>
    <w:rsid w:val="0089070C"/>
    <w:rsid w:val="00890AE8"/>
    <w:rsid w:val="008946F0"/>
    <w:rsid w:val="00895960"/>
    <w:rsid w:val="00896608"/>
    <w:rsid w:val="008972CE"/>
    <w:rsid w:val="00897463"/>
    <w:rsid w:val="008976BE"/>
    <w:rsid w:val="008A11E3"/>
    <w:rsid w:val="008A368C"/>
    <w:rsid w:val="008A3BCE"/>
    <w:rsid w:val="008A4DBE"/>
    <w:rsid w:val="008A5403"/>
    <w:rsid w:val="008A5482"/>
    <w:rsid w:val="008A5729"/>
    <w:rsid w:val="008A6DE6"/>
    <w:rsid w:val="008A79DF"/>
    <w:rsid w:val="008B2364"/>
    <w:rsid w:val="008B5035"/>
    <w:rsid w:val="008B5275"/>
    <w:rsid w:val="008B52A9"/>
    <w:rsid w:val="008B5BEA"/>
    <w:rsid w:val="008C0E3E"/>
    <w:rsid w:val="008C174D"/>
    <w:rsid w:val="008C5DF6"/>
    <w:rsid w:val="008C5FA5"/>
    <w:rsid w:val="008C6A65"/>
    <w:rsid w:val="008D04B1"/>
    <w:rsid w:val="008D1DD5"/>
    <w:rsid w:val="008D2E27"/>
    <w:rsid w:val="008D32E4"/>
    <w:rsid w:val="008D57EF"/>
    <w:rsid w:val="008D5CEF"/>
    <w:rsid w:val="008D7B1D"/>
    <w:rsid w:val="008E09F5"/>
    <w:rsid w:val="008E1448"/>
    <w:rsid w:val="008E20F8"/>
    <w:rsid w:val="008E3CBA"/>
    <w:rsid w:val="008E4171"/>
    <w:rsid w:val="008E6A05"/>
    <w:rsid w:val="008E6FB8"/>
    <w:rsid w:val="008F1293"/>
    <w:rsid w:val="008F3E00"/>
    <w:rsid w:val="008F4936"/>
    <w:rsid w:val="008F5193"/>
    <w:rsid w:val="008F57BB"/>
    <w:rsid w:val="008F595E"/>
    <w:rsid w:val="008F5FE4"/>
    <w:rsid w:val="008F7659"/>
    <w:rsid w:val="00900890"/>
    <w:rsid w:val="00901C01"/>
    <w:rsid w:val="0090357C"/>
    <w:rsid w:val="00904556"/>
    <w:rsid w:val="0090483D"/>
    <w:rsid w:val="009052B6"/>
    <w:rsid w:val="00907100"/>
    <w:rsid w:val="00910CEF"/>
    <w:rsid w:val="00911028"/>
    <w:rsid w:val="009118BF"/>
    <w:rsid w:val="009122D5"/>
    <w:rsid w:val="009129D6"/>
    <w:rsid w:val="009131E3"/>
    <w:rsid w:val="009135A2"/>
    <w:rsid w:val="00913708"/>
    <w:rsid w:val="0091396A"/>
    <w:rsid w:val="009139FC"/>
    <w:rsid w:val="00913F25"/>
    <w:rsid w:val="00914552"/>
    <w:rsid w:val="0091481F"/>
    <w:rsid w:val="00917A84"/>
    <w:rsid w:val="009232C2"/>
    <w:rsid w:val="00924486"/>
    <w:rsid w:val="00924A11"/>
    <w:rsid w:val="009266CE"/>
    <w:rsid w:val="00926CC9"/>
    <w:rsid w:val="0092721E"/>
    <w:rsid w:val="00927B19"/>
    <w:rsid w:val="009318B3"/>
    <w:rsid w:val="00932C75"/>
    <w:rsid w:val="00933D71"/>
    <w:rsid w:val="00936ABB"/>
    <w:rsid w:val="0093764B"/>
    <w:rsid w:val="00937B87"/>
    <w:rsid w:val="0094215F"/>
    <w:rsid w:val="00943B81"/>
    <w:rsid w:val="009440FD"/>
    <w:rsid w:val="009462F3"/>
    <w:rsid w:val="009536CA"/>
    <w:rsid w:val="00956513"/>
    <w:rsid w:val="00957CC8"/>
    <w:rsid w:val="00960503"/>
    <w:rsid w:val="00961D9C"/>
    <w:rsid w:val="00963621"/>
    <w:rsid w:val="00963905"/>
    <w:rsid w:val="00965EE3"/>
    <w:rsid w:val="00967099"/>
    <w:rsid w:val="00970788"/>
    <w:rsid w:val="00970A34"/>
    <w:rsid w:val="0097111F"/>
    <w:rsid w:val="00972488"/>
    <w:rsid w:val="00972CA1"/>
    <w:rsid w:val="009744D4"/>
    <w:rsid w:val="00974688"/>
    <w:rsid w:val="009764CF"/>
    <w:rsid w:val="00976D10"/>
    <w:rsid w:val="0097712B"/>
    <w:rsid w:val="00977408"/>
    <w:rsid w:val="00977FA1"/>
    <w:rsid w:val="00985007"/>
    <w:rsid w:val="0098565F"/>
    <w:rsid w:val="00985B52"/>
    <w:rsid w:val="00986CE0"/>
    <w:rsid w:val="0098793C"/>
    <w:rsid w:val="00991266"/>
    <w:rsid w:val="0099279E"/>
    <w:rsid w:val="00995252"/>
    <w:rsid w:val="009954C6"/>
    <w:rsid w:val="0099729F"/>
    <w:rsid w:val="009A010D"/>
    <w:rsid w:val="009A049B"/>
    <w:rsid w:val="009A0CCD"/>
    <w:rsid w:val="009A1091"/>
    <w:rsid w:val="009A192B"/>
    <w:rsid w:val="009A1C03"/>
    <w:rsid w:val="009A2DC0"/>
    <w:rsid w:val="009A3264"/>
    <w:rsid w:val="009A3391"/>
    <w:rsid w:val="009A39F0"/>
    <w:rsid w:val="009A3FF8"/>
    <w:rsid w:val="009A4BBA"/>
    <w:rsid w:val="009A52EC"/>
    <w:rsid w:val="009A5430"/>
    <w:rsid w:val="009A577D"/>
    <w:rsid w:val="009A6D98"/>
    <w:rsid w:val="009A6E51"/>
    <w:rsid w:val="009B12E0"/>
    <w:rsid w:val="009B1CE6"/>
    <w:rsid w:val="009B32F8"/>
    <w:rsid w:val="009B3A67"/>
    <w:rsid w:val="009B467B"/>
    <w:rsid w:val="009B59F2"/>
    <w:rsid w:val="009B65F8"/>
    <w:rsid w:val="009B6794"/>
    <w:rsid w:val="009B7A83"/>
    <w:rsid w:val="009C0B4A"/>
    <w:rsid w:val="009C0EE5"/>
    <w:rsid w:val="009C2521"/>
    <w:rsid w:val="009C300B"/>
    <w:rsid w:val="009C3292"/>
    <w:rsid w:val="009C3FFE"/>
    <w:rsid w:val="009C4048"/>
    <w:rsid w:val="009C648E"/>
    <w:rsid w:val="009C7B9D"/>
    <w:rsid w:val="009D03BA"/>
    <w:rsid w:val="009D1708"/>
    <w:rsid w:val="009D259D"/>
    <w:rsid w:val="009D444F"/>
    <w:rsid w:val="009D63EB"/>
    <w:rsid w:val="009D6827"/>
    <w:rsid w:val="009D7B60"/>
    <w:rsid w:val="009E0CD5"/>
    <w:rsid w:val="009E17F5"/>
    <w:rsid w:val="009E24A7"/>
    <w:rsid w:val="009E5789"/>
    <w:rsid w:val="009E6B68"/>
    <w:rsid w:val="009E7C3D"/>
    <w:rsid w:val="009F008F"/>
    <w:rsid w:val="009F0B9C"/>
    <w:rsid w:val="009F0D0B"/>
    <w:rsid w:val="009F37A2"/>
    <w:rsid w:val="009F3B87"/>
    <w:rsid w:val="009F3E37"/>
    <w:rsid w:val="009F5E4C"/>
    <w:rsid w:val="009F68FA"/>
    <w:rsid w:val="009F7740"/>
    <w:rsid w:val="00A005FD"/>
    <w:rsid w:val="00A02212"/>
    <w:rsid w:val="00A02294"/>
    <w:rsid w:val="00A03002"/>
    <w:rsid w:val="00A035F0"/>
    <w:rsid w:val="00A03D47"/>
    <w:rsid w:val="00A0546C"/>
    <w:rsid w:val="00A06DEB"/>
    <w:rsid w:val="00A10B01"/>
    <w:rsid w:val="00A11261"/>
    <w:rsid w:val="00A1296C"/>
    <w:rsid w:val="00A158EB"/>
    <w:rsid w:val="00A16D4E"/>
    <w:rsid w:val="00A21225"/>
    <w:rsid w:val="00A2135E"/>
    <w:rsid w:val="00A23F10"/>
    <w:rsid w:val="00A257D3"/>
    <w:rsid w:val="00A259FA"/>
    <w:rsid w:val="00A25B25"/>
    <w:rsid w:val="00A262E5"/>
    <w:rsid w:val="00A310D0"/>
    <w:rsid w:val="00A32BCC"/>
    <w:rsid w:val="00A3318A"/>
    <w:rsid w:val="00A33D91"/>
    <w:rsid w:val="00A347CA"/>
    <w:rsid w:val="00A34BAE"/>
    <w:rsid w:val="00A3576F"/>
    <w:rsid w:val="00A36318"/>
    <w:rsid w:val="00A40F13"/>
    <w:rsid w:val="00A41EDC"/>
    <w:rsid w:val="00A501C3"/>
    <w:rsid w:val="00A503FB"/>
    <w:rsid w:val="00A50DE2"/>
    <w:rsid w:val="00A513E8"/>
    <w:rsid w:val="00A5162D"/>
    <w:rsid w:val="00A5188B"/>
    <w:rsid w:val="00A529A6"/>
    <w:rsid w:val="00A53093"/>
    <w:rsid w:val="00A53EE9"/>
    <w:rsid w:val="00A54C94"/>
    <w:rsid w:val="00A5557C"/>
    <w:rsid w:val="00A561E3"/>
    <w:rsid w:val="00A566DC"/>
    <w:rsid w:val="00A568F1"/>
    <w:rsid w:val="00A56B43"/>
    <w:rsid w:val="00A605FE"/>
    <w:rsid w:val="00A615B0"/>
    <w:rsid w:val="00A63FFD"/>
    <w:rsid w:val="00A6589C"/>
    <w:rsid w:val="00A65F26"/>
    <w:rsid w:val="00A706BA"/>
    <w:rsid w:val="00A70A57"/>
    <w:rsid w:val="00A70F2B"/>
    <w:rsid w:val="00A737CA"/>
    <w:rsid w:val="00A76D6F"/>
    <w:rsid w:val="00A81BA7"/>
    <w:rsid w:val="00A81D4A"/>
    <w:rsid w:val="00A82426"/>
    <w:rsid w:val="00A836FB"/>
    <w:rsid w:val="00A857EF"/>
    <w:rsid w:val="00A86843"/>
    <w:rsid w:val="00A86921"/>
    <w:rsid w:val="00A8700F"/>
    <w:rsid w:val="00A917BC"/>
    <w:rsid w:val="00A91E45"/>
    <w:rsid w:val="00A91EB5"/>
    <w:rsid w:val="00A931D0"/>
    <w:rsid w:val="00A933A4"/>
    <w:rsid w:val="00A94F97"/>
    <w:rsid w:val="00A95125"/>
    <w:rsid w:val="00AA4199"/>
    <w:rsid w:val="00AA670C"/>
    <w:rsid w:val="00AA68CF"/>
    <w:rsid w:val="00AB1A3A"/>
    <w:rsid w:val="00AB29FF"/>
    <w:rsid w:val="00AB2B55"/>
    <w:rsid w:val="00AB376A"/>
    <w:rsid w:val="00AB3F55"/>
    <w:rsid w:val="00AB5149"/>
    <w:rsid w:val="00AB582E"/>
    <w:rsid w:val="00AB58D1"/>
    <w:rsid w:val="00AB5DC8"/>
    <w:rsid w:val="00AB72CF"/>
    <w:rsid w:val="00AC1F03"/>
    <w:rsid w:val="00AC28F1"/>
    <w:rsid w:val="00AC3299"/>
    <w:rsid w:val="00AC5840"/>
    <w:rsid w:val="00AC594A"/>
    <w:rsid w:val="00AC5DAB"/>
    <w:rsid w:val="00AC5FF5"/>
    <w:rsid w:val="00AC7289"/>
    <w:rsid w:val="00AC790B"/>
    <w:rsid w:val="00AC7AE6"/>
    <w:rsid w:val="00AD1135"/>
    <w:rsid w:val="00AD481D"/>
    <w:rsid w:val="00AD5AE4"/>
    <w:rsid w:val="00AD7143"/>
    <w:rsid w:val="00AD7B11"/>
    <w:rsid w:val="00AE0A8B"/>
    <w:rsid w:val="00AE0F17"/>
    <w:rsid w:val="00AE196A"/>
    <w:rsid w:val="00AE1BF4"/>
    <w:rsid w:val="00AE4522"/>
    <w:rsid w:val="00AE4E3D"/>
    <w:rsid w:val="00AE530E"/>
    <w:rsid w:val="00AE5740"/>
    <w:rsid w:val="00AE5CC4"/>
    <w:rsid w:val="00AE61D1"/>
    <w:rsid w:val="00AF1377"/>
    <w:rsid w:val="00AF165D"/>
    <w:rsid w:val="00AF1E3A"/>
    <w:rsid w:val="00AF23EB"/>
    <w:rsid w:val="00AF24E5"/>
    <w:rsid w:val="00AF2CDB"/>
    <w:rsid w:val="00AF2EEA"/>
    <w:rsid w:val="00AF54F3"/>
    <w:rsid w:val="00AF6261"/>
    <w:rsid w:val="00AF65AF"/>
    <w:rsid w:val="00AF6971"/>
    <w:rsid w:val="00AF727B"/>
    <w:rsid w:val="00B01391"/>
    <w:rsid w:val="00B04D97"/>
    <w:rsid w:val="00B1028C"/>
    <w:rsid w:val="00B10356"/>
    <w:rsid w:val="00B11854"/>
    <w:rsid w:val="00B12808"/>
    <w:rsid w:val="00B13C32"/>
    <w:rsid w:val="00B1481F"/>
    <w:rsid w:val="00B14D93"/>
    <w:rsid w:val="00B151DD"/>
    <w:rsid w:val="00B15FE8"/>
    <w:rsid w:val="00B17F31"/>
    <w:rsid w:val="00B2095C"/>
    <w:rsid w:val="00B20DD5"/>
    <w:rsid w:val="00B2124B"/>
    <w:rsid w:val="00B24DBF"/>
    <w:rsid w:val="00B2788D"/>
    <w:rsid w:val="00B27B10"/>
    <w:rsid w:val="00B30030"/>
    <w:rsid w:val="00B3016C"/>
    <w:rsid w:val="00B30FB0"/>
    <w:rsid w:val="00B320C1"/>
    <w:rsid w:val="00B32EC1"/>
    <w:rsid w:val="00B33CA0"/>
    <w:rsid w:val="00B33D6B"/>
    <w:rsid w:val="00B33E9E"/>
    <w:rsid w:val="00B342FE"/>
    <w:rsid w:val="00B351DB"/>
    <w:rsid w:val="00B353FC"/>
    <w:rsid w:val="00B35EE6"/>
    <w:rsid w:val="00B35F3F"/>
    <w:rsid w:val="00B371D7"/>
    <w:rsid w:val="00B40CD3"/>
    <w:rsid w:val="00B41801"/>
    <w:rsid w:val="00B422F9"/>
    <w:rsid w:val="00B42C9D"/>
    <w:rsid w:val="00B43197"/>
    <w:rsid w:val="00B447AF"/>
    <w:rsid w:val="00B46798"/>
    <w:rsid w:val="00B50DAB"/>
    <w:rsid w:val="00B51D47"/>
    <w:rsid w:val="00B544D2"/>
    <w:rsid w:val="00B54B88"/>
    <w:rsid w:val="00B55AA6"/>
    <w:rsid w:val="00B55B44"/>
    <w:rsid w:val="00B604BD"/>
    <w:rsid w:val="00B605B1"/>
    <w:rsid w:val="00B609B6"/>
    <w:rsid w:val="00B60ADF"/>
    <w:rsid w:val="00B60CE4"/>
    <w:rsid w:val="00B60EA1"/>
    <w:rsid w:val="00B64D36"/>
    <w:rsid w:val="00B67AFA"/>
    <w:rsid w:val="00B72ED1"/>
    <w:rsid w:val="00B753EA"/>
    <w:rsid w:val="00B7617E"/>
    <w:rsid w:val="00B76EEB"/>
    <w:rsid w:val="00B7773E"/>
    <w:rsid w:val="00B77BCF"/>
    <w:rsid w:val="00B81F36"/>
    <w:rsid w:val="00B826BC"/>
    <w:rsid w:val="00B83FF4"/>
    <w:rsid w:val="00B84306"/>
    <w:rsid w:val="00B85240"/>
    <w:rsid w:val="00B8651D"/>
    <w:rsid w:val="00B86B51"/>
    <w:rsid w:val="00B86D75"/>
    <w:rsid w:val="00B86F7B"/>
    <w:rsid w:val="00B87874"/>
    <w:rsid w:val="00B90BD1"/>
    <w:rsid w:val="00B90C72"/>
    <w:rsid w:val="00B91A0F"/>
    <w:rsid w:val="00B921D7"/>
    <w:rsid w:val="00B92831"/>
    <w:rsid w:val="00B92EBB"/>
    <w:rsid w:val="00B93D4F"/>
    <w:rsid w:val="00B95495"/>
    <w:rsid w:val="00B9627A"/>
    <w:rsid w:val="00BA072D"/>
    <w:rsid w:val="00BA240F"/>
    <w:rsid w:val="00BA340D"/>
    <w:rsid w:val="00BA4EC0"/>
    <w:rsid w:val="00BA5930"/>
    <w:rsid w:val="00BA738D"/>
    <w:rsid w:val="00BA7F13"/>
    <w:rsid w:val="00BB0BC6"/>
    <w:rsid w:val="00BB0CB9"/>
    <w:rsid w:val="00BB24B3"/>
    <w:rsid w:val="00BB256F"/>
    <w:rsid w:val="00BB4323"/>
    <w:rsid w:val="00BB5473"/>
    <w:rsid w:val="00BB615B"/>
    <w:rsid w:val="00BC1B14"/>
    <w:rsid w:val="00BC4F93"/>
    <w:rsid w:val="00BC6061"/>
    <w:rsid w:val="00BD0958"/>
    <w:rsid w:val="00BD13F4"/>
    <w:rsid w:val="00BD3F18"/>
    <w:rsid w:val="00BD402E"/>
    <w:rsid w:val="00BD580C"/>
    <w:rsid w:val="00BE018D"/>
    <w:rsid w:val="00BE0DB3"/>
    <w:rsid w:val="00BE187B"/>
    <w:rsid w:val="00BE1961"/>
    <w:rsid w:val="00BE1F88"/>
    <w:rsid w:val="00BE1FEB"/>
    <w:rsid w:val="00BE24CB"/>
    <w:rsid w:val="00BE3C3D"/>
    <w:rsid w:val="00BE4B2C"/>
    <w:rsid w:val="00BE76B9"/>
    <w:rsid w:val="00BE7F78"/>
    <w:rsid w:val="00BF0186"/>
    <w:rsid w:val="00BF1A95"/>
    <w:rsid w:val="00BF1DF1"/>
    <w:rsid w:val="00BF24FD"/>
    <w:rsid w:val="00BF32A0"/>
    <w:rsid w:val="00BF4EE7"/>
    <w:rsid w:val="00BF5209"/>
    <w:rsid w:val="00BF549B"/>
    <w:rsid w:val="00BF5577"/>
    <w:rsid w:val="00BF592E"/>
    <w:rsid w:val="00BF6154"/>
    <w:rsid w:val="00BF69B7"/>
    <w:rsid w:val="00BF6BDA"/>
    <w:rsid w:val="00BF6BF4"/>
    <w:rsid w:val="00BF799B"/>
    <w:rsid w:val="00BF79E7"/>
    <w:rsid w:val="00C00C68"/>
    <w:rsid w:val="00C00D91"/>
    <w:rsid w:val="00C011CD"/>
    <w:rsid w:val="00C04BFD"/>
    <w:rsid w:val="00C05A82"/>
    <w:rsid w:val="00C07BB4"/>
    <w:rsid w:val="00C07E9F"/>
    <w:rsid w:val="00C11455"/>
    <w:rsid w:val="00C117BA"/>
    <w:rsid w:val="00C15DA1"/>
    <w:rsid w:val="00C176C5"/>
    <w:rsid w:val="00C179BE"/>
    <w:rsid w:val="00C203FE"/>
    <w:rsid w:val="00C20D72"/>
    <w:rsid w:val="00C21B8D"/>
    <w:rsid w:val="00C221D8"/>
    <w:rsid w:val="00C22A03"/>
    <w:rsid w:val="00C2461B"/>
    <w:rsid w:val="00C25F96"/>
    <w:rsid w:val="00C26052"/>
    <w:rsid w:val="00C26920"/>
    <w:rsid w:val="00C30FD6"/>
    <w:rsid w:val="00C31825"/>
    <w:rsid w:val="00C31835"/>
    <w:rsid w:val="00C32057"/>
    <w:rsid w:val="00C3269C"/>
    <w:rsid w:val="00C32E45"/>
    <w:rsid w:val="00C32F4B"/>
    <w:rsid w:val="00C3379C"/>
    <w:rsid w:val="00C33A55"/>
    <w:rsid w:val="00C36AD3"/>
    <w:rsid w:val="00C36F5E"/>
    <w:rsid w:val="00C378C1"/>
    <w:rsid w:val="00C41400"/>
    <w:rsid w:val="00C42A7F"/>
    <w:rsid w:val="00C42D20"/>
    <w:rsid w:val="00C44945"/>
    <w:rsid w:val="00C4674F"/>
    <w:rsid w:val="00C4717F"/>
    <w:rsid w:val="00C479DB"/>
    <w:rsid w:val="00C5101C"/>
    <w:rsid w:val="00C5130F"/>
    <w:rsid w:val="00C514D3"/>
    <w:rsid w:val="00C51A16"/>
    <w:rsid w:val="00C5204F"/>
    <w:rsid w:val="00C53A66"/>
    <w:rsid w:val="00C542F8"/>
    <w:rsid w:val="00C5477D"/>
    <w:rsid w:val="00C54D7F"/>
    <w:rsid w:val="00C57FF6"/>
    <w:rsid w:val="00C60C22"/>
    <w:rsid w:val="00C61CF2"/>
    <w:rsid w:val="00C61EF8"/>
    <w:rsid w:val="00C623EF"/>
    <w:rsid w:val="00C63150"/>
    <w:rsid w:val="00C63A4C"/>
    <w:rsid w:val="00C63EE6"/>
    <w:rsid w:val="00C64500"/>
    <w:rsid w:val="00C65239"/>
    <w:rsid w:val="00C66597"/>
    <w:rsid w:val="00C6715D"/>
    <w:rsid w:val="00C708D0"/>
    <w:rsid w:val="00C70C9C"/>
    <w:rsid w:val="00C7360E"/>
    <w:rsid w:val="00C73D28"/>
    <w:rsid w:val="00C74788"/>
    <w:rsid w:val="00C7533F"/>
    <w:rsid w:val="00C7630D"/>
    <w:rsid w:val="00C80506"/>
    <w:rsid w:val="00C81188"/>
    <w:rsid w:val="00C81711"/>
    <w:rsid w:val="00C81B49"/>
    <w:rsid w:val="00C82D57"/>
    <w:rsid w:val="00C847CF"/>
    <w:rsid w:val="00C85B4D"/>
    <w:rsid w:val="00C86835"/>
    <w:rsid w:val="00C87CB6"/>
    <w:rsid w:val="00C92BF1"/>
    <w:rsid w:val="00C93419"/>
    <w:rsid w:val="00C97404"/>
    <w:rsid w:val="00CA04B8"/>
    <w:rsid w:val="00CA1723"/>
    <w:rsid w:val="00CA2DA2"/>
    <w:rsid w:val="00CA2DF3"/>
    <w:rsid w:val="00CA68E4"/>
    <w:rsid w:val="00CA79CF"/>
    <w:rsid w:val="00CB0B01"/>
    <w:rsid w:val="00CB0FB5"/>
    <w:rsid w:val="00CB1C5E"/>
    <w:rsid w:val="00CB5315"/>
    <w:rsid w:val="00CB61E1"/>
    <w:rsid w:val="00CB6B44"/>
    <w:rsid w:val="00CC0AA8"/>
    <w:rsid w:val="00CC1E6D"/>
    <w:rsid w:val="00CC2D9E"/>
    <w:rsid w:val="00CC4D9C"/>
    <w:rsid w:val="00CC7E8A"/>
    <w:rsid w:val="00CD1A15"/>
    <w:rsid w:val="00CD20AE"/>
    <w:rsid w:val="00CD2ADB"/>
    <w:rsid w:val="00CD3355"/>
    <w:rsid w:val="00CD50C3"/>
    <w:rsid w:val="00CD7098"/>
    <w:rsid w:val="00CD72E6"/>
    <w:rsid w:val="00CD7694"/>
    <w:rsid w:val="00CE0A63"/>
    <w:rsid w:val="00CE414D"/>
    <w:rsid w:val="00CE41D5"/>
    <w:rsid w:val="00CE5BB9"/>
    <w:rsid w:val="00CE6A0F"/>
    <w:rsid w:val="00CF0BA2"/>
    <w:rsid w:val="00CF0BCC"/>
    <w:rsid w:val="00CF1A32"/>
    <w:rsid w:val="00CF20E1"/>
    <w:rsid w:val="00CF3445"/>
    <w:rsid w:val="00CF42BC"/>
    <w:rsid w:val="00CF6093"/>
    <w:rsid w:val="00CF630A"/>
    <w:rsid w:val="00D0030B"/>
    <w:rsid w:val="00D00AE7"/>
    <w:rsid w:val="00D01768"/>
    <w:rsid w:val="00D04DDA"/>
    <w:rsid w:val="00D05B98"/>
    <w:rsid w:val="00D061F8"/>
    <w:rsid w:val="00D07121"/>
    <w:rsid w:val="00D1057A"/>
    <w:rsid w:val="00D1064B"/>
    <w:rsid w:val="00D10BAA"/>
    <w:rsid w:val="00D118D7"/>
    <w:rsid w:val="00D11971"/>
    <w:rsid w:val="00D13488"/>
    <w:rsid w:val="00D14901"/>
    <w:rsid w:val="00D14CE7"/>
    <w:rsid w:val="00D1551B"/>
    <w:rsid w:val="00D165C2"/>
    <w:rsid w:val="00D17A52"/>
    <w:rsid w:val="00D200C1"/>
    <w:rsid w:val="00D22E01"/>
    <w:rsid w:val="00D236AD"/>
    <w:rsid w:val="00D2417C"/>
    <w:rsid w:val="00D24F42"/>
    <w:rsid w:val="00D25223"/>
    <w:rsid w:val="00D257A3"/>
    <w:rsid w:val="00D25E89"/>
    <w:rsid w:val="00D267CA"/>
    <w:rsid w:val="00D26B72"/>
    <w:rsid w:val="00D274CB"/>
    <w:rsid w:val="00D30079"/>
    <w:rsid w:val="00D308F8"/>
    <w:rsid w:val="00D321EA"/>
    <w:rsid w:val="00D34275"/>
    <w:rsid w:val="00D34776"/>
    <w:rsid w:val="00D36512"/>
    <w:rsid w:val="00D36E60"/>
    <w:rsid w:val="00D4029A"/>
    <w:rsid w:val="00D4286A"/>
    <w:rsid w:val="00D43473"/>
    <w:rsid w:val="00D434F0"/>
    <w:rsid w:val="00D4416B"/>
    <w:rsid w:val="00D444B2"/>
    <w:rsid w:val="00D445E7"/>
    <w:rsid w:val="00D468E9"/>
    <w:rsid w:val="00D46A80"/>
    <w:rsid w:val="00D47493"/>
    <w:rsid w:val="00D47B13"/>
    <w:rsid w:val="00D5004B"/>
    <w:rsid w:val="00D540A9"/>
    <w:rsid w:val="00D55201"/>
    <w:rsid w:val="00D5572F"/>
    <w:rsid w:val="00D55C9D"/>
    <w:rsid w:val="00D55CFC"/>
    <w:rsid w:val="00D56E4C"/>
    <w:rsid w:val="00D571D1"/>
    <w:rsid w:val="00D57400"/>
    <w:rsid w:val="00D57919"/>
    <w:rsid w:val="00D57D43"/>
    <w:rsid w:val="00D607D1"/>
    <w:rsid w:val="00D619A0"/>
    <w:rsid w:val="00D6486B"/>
    <w:rsid w:val="00D652EF"/>
    <w:rsid w:val="00D65884"/>
    <w:rsid w:val="00D66772"/>
    <w:rsid w:val="00D66ACD"/>
    <w:rsid w:val="00D7150B"/>
    <w:rsid w:val="00D71732"/>
    <w:rsid w:val="00D723B4"/>
    <w:rsid w:val="00D72C7A"/>
    <w:rsid w:val="00D74279"/>
    <w:rsid w:val="00D74F26"/>
    <w:rsid w:val="00D7619F"/>
    <w:rsid w:val="00D76625"/>
    <w:rsid w:val="00D76B9C"/>
    <w:rsid w:val="00D802FF"/>
    <w:rsid w:val="00D803F1"/>
    <w:rsid w:val="00D81543"/>
    <w:rsid w:val="00D8334A"/>
    <w:rsid w:val="00D83647"/>
    <w:rsid w:val="00D838E0"/>
    <w:rsid w:val="00D83A60"/>
    <w:rsid w:val="00D84E4A"/>
    <w:rsid w:val="00D86129"/>
    <w:rsid w:val="00D86281"/>
    <w:rsid w:val="00D94E23"/>
    <w:rsid w:val="00D95D84"/>
    <w:rsid w:val="00DA33BE"/>
    <w:rsid w:val="00DA3FDF"/>
    <w:rsid w:val="00DA4849"/>
    <w:rsid w:val="00DA5C0E"/>
    <w:rsid w:val="00DA70A2"/>
    <w:rsid w:val="00DA779F"/>
    <w:rsid w:val="00DA7E04"/>
    <w:rsid w:val="00DB00EE"/>
    <w:rsid w:val="00DB1657"/>
    <w:rsid w:val="00DB274D"/>
    <w:rsid w:val="00DB312B"/>
    <w:rsid w:val="00DB3A2B"/>
    <w:rsid w:val="00DB5388"/>
    <w:rsid w:val="00DB7697"/>
    <w:rsid w:val="00DB7C62"/>
    <w:rsid w:val="00DB7F5D"/>
    <w:rsid w:val="00DC12FC"/>
    <w:rsid w:val="00DC16F2"/>
    <w:rsid w:val="00DC3BB5"/>
    <w:rsid w:val="00DC51A9"/>
    <w:rsid w:val="00DC5678"/>
    <w:rsid w:val="00DC6A33"/>
    <w:rsid w:val="00DC7450"/>
    <w:rsid w:val="00DC7E74"/>
    <w:rsid w:val="00DD1BEB"/>
    <w:rsid w:val="00DD3896"/>
    <w:rsid w:val="00DD4FFD"/>
    <w:rsid w:val="00DD54FB"/>
    <w:rsid w:val="00DD5A6E"/>
    <w:rsid w:val="00DD6B4D"/>
    <w:rsid w:val="00DE0246"/>
    <w:rsid w:val="00DE1AF6"/>
    <w:rsid w:val="00DE2B37"/>
    <w:rsid w:val="00DE4D2B"/>
    <w:rsid w:val="00DE4D60"/>
    <w:rsid w:val="00DE4F58"/>
    <w:rsid w:val="00DE6467"/>
    <w:rsid w:val="00DE68F1"/>
    <w:rsid w:val="00DE6E7E"/>
    <w:rsid w:val="00DF050B"/>
    <w:rsid w:val="00DF0BC6"/>
    <w:rsid w:val="00DF1A91"/>
    <w:rsid w:val="00DF1AEB"/>
    <w:rsid w:val="00DF2141"/>
    <w:rsid w:val="00DF3178"/>
    <w:rsid w:val="00DF4B91"/>
    <w:rsid w:val="00DF4F34"/>
    <w:rsid w:val="00DF6C1A"/>
    <w:rsid w:val="00E0010F"/>
    <w:rsid w:val="00E015D5"/>
    <w:rsid w:val="00E01A42"/>
    <w:rsid w:val="00E029CE"/>
    <w:rsid w:val="00E07178"/>
    <w:rsid w:val="00E11EE9"/>
    <w:rsid w:val="00E122E3"/>
    <w:rsid w:val="00E1326E"/>
    <w:rsid w:val="00E138C5"/>
    <w:rsid w:val="00E15308"/>
    <w:rsid w:val="00E209A9"/>
    <w:rsid w:val="00E214BA"/>
    <w:rsid w:val="00E21EA0"/>
    <w:rsid w:val="00E21EAD"/>
    <w:rsid w:val="00E2330D"/>
    <w:rsid w:val="00E235DB"/>
    <w:rsid w:val="00E240F4"/>
    <w:rsid w:val="00E24E47"/>
    <w:rsid w:val="00E2585A"/>
    <w:rsid w:val="00E26396"/>
    <w:rsid w:val="00E27226"/>
    <w:rsid w:val="00E27AD3"/>
    <w:rsid w:val="00E3016F"/>
    <w:rsid w:val="00E30681"/>
    <w:rsid w:val="00E30A57"/>
    <w:rsid w:val="00E30E06"/>
    <w:rsid w:val="00E3264E"/>
    <w:rsid w:val="00E331CB"/>
    <w:rsid w:val="00E34B2A"/>
    <w:rsid w:val="00E35258"/>
    <w:rsid w:val="00E359CD"/>
    <w:rsid w:val="00E36FE6"/>
    <w:rsid w:val="00E37C94"/>
    <w:rsid w:val="00E4204D"/>
    <w:rsid w:val="00E42647"/>
    <w:rsid w:val="00E42693"/>
    <w:rsid w:val="00E42A4E"/>
    <w:rsid w:val="00E42ABB"/>
    <w:rsid w:val="00E42FD0"/>
    <w:rsid w:val="00E43979"/>
    <w:rsid w:val="00E443B5"/>
    <w:rsid w:val="00E4629C"/>
    <w:rsid w:val="00E47B79"/>
    <w:rsid w:val="00E50FD4"/>
    <w:rsid w:val="00E5141A"/>
    <w:rsid w:val="00E5263E"/>
    <w:rsid w:val="00E5306D"/>
    <w:rsid w:val="00E5330D"/>
    <w:rsid w:val="00E53F83"/>
    <w:rsid w:val="00E543AB"/>
    <w:rsid w:val="00E550EF"/>
    <w:rsid w:val="00E57FBE"/>
    <w:rsid w:val="00E60046"/>
    <w:rsid w:val="00E60289"/>
    <w:rsid w:val="00E6192B"/>
    <w:rsid w:val="00E62CA2"/>
    <w:rsid w:val="00E63545"/>
    <w:rsid w:val="00E64035"/>
    <w:rsid w:val="00E66D44"/>
    <w:rsid w:val="00E67292"/>
    <w:rsid w:val="00E70F3F"/>
    <w:rsid w:val="00E714E1"/>
    <w:rsid w:val="00E720F1"/>
    <w:rsid w:val="00E73011"/>
    <w:rsid w:val="00E73838"/>
    <w:rsid w:val="00E7589F"/>
    <w:rsid w:val="00E76542"/>
    <w:rsid w:val="00E76E07"/>
    <w:rsid w:val="00E81641"/>
    <w:rsid w:val="00E81CE7"/>
    <w:rsid w:val="00E833BF"/>
    <w:rsid w:val="00E835B3"/>
    <w:rsid w:val="00E83F91"/>
    <w:rsid w:val="00E841F4"/>
    <w:rsid w:val="00E85B52"/>
    <w:rsid w:val="00E86B71"/>
    <w:rsid w:val="00E90456"/>
    <w:rsid w:val="00E908F2"/>
    <w:rsid w:val="00E90A7F"/>
    <w:rsid w:val="00E90BAD"/>
    <w:rsid w:val="00E915E5"/>
    <w:rsid w:val="00E91AA8"/>
    <w:rsid w:val="00E91FF9"/>
    <w:rsid w:val="00E948C2"/>
    <w:rsid w:val="00E950D2"/>
    <w:rsid w:val="00E954FD"/>
    <w:rsid w:val="00E966A8"/>
    <w:rsid w:val="00E97FEA"/>
    <w:rsid w:val="00EA0B9B"/>
    <w:rsid w:val="00EA1B12"/>
    <w:rsid w:val="00EA1D66"/>
    <w:rsid w:val="00EA1DA7"/>
    <w:rsid w:val="00EA2184"/>
    <w:rsid w:val="00EA29ED"/>
    <w:rsid w:val="00EA3064"/>
    <w:rsid w:val="00EA5125"/>
    <w:rsid w:val="00EA5302"/>
    <w:rsid w:val="00EA77E2"/>
    <w:rsid w:val="00EB09EE"/>
    <w:rsid w:val="00EB56DA"/>
    <w:rsid w:val="00EB61D3"/>
    <w:rsid w:val="00EB759F"/>
    <w:rsid w:val="00EC1726"/>
    <w:rsid w:val="00EC1ECA"/>
    <w:rsid w:val="00EC222C"/>
    <w:rsid w:val="00EC396B"/>
    <w:rsid w:val="00EC3CC9"/>
    <w:rsid w:val="00EC460B"/>
    <w:rsid w:val="00EC7C89"/>
    <w:rsid w:val="00ED05D7"/>
    <w:rsid w:val="00ED096C"/>
    <w:rsid w:val="00ED10EA"/>
    <w:rsid w:val="00ED1858"/>
    <w:rsid w:val="00ED1B04"/>
    <w:rsid w:val="00ED2775"/>
    <w:rsid w:val="00ED5299"/>
    <w:rsid w:val="00ED536E"/>
    <w:rsid w:val="00ED5506"/>
    <w:rsid w:val="00ED71D9"/>
    <w:rsid w:val="00EE0739"/>
    <w:rsid w:val="00EE0C57"/>
    <w:rsid w:val="00EE1305"/>
    <w:rsid w:val="00EE24AA"/>
    <w:rsid w:val="00EE34A9"/>
    <w:rsid w:val="00EE38EE"/>
    <w:rsid w:val="00EE5B5A"/>
    <w:rsid w:val="00EF00FF"/>
    <w:rsid w:val="00EF029A"/>
    <w:rsid w:val="00EF0327"/>
    <w:rsid w:val="00EF2714"/>
    <w:rsid w:val="00EF3C42"/>
    <w:rsid w:val="00EF4A2A"/>
    <w:rsid w:val="00EF53A2"/>
    <w:rsid w:val="00EF548C"/>
    <w:rsid w:val="00EF5EF8"/>
    <w:rsid w:val="00EF63A2"/>
    <w:rsid w:val="00EF65BF"/>
    <w:rsid w:val="00EF6D99"/>
    <w:rsid w:val="00EF7AB1"/>
    <w:rsid w:val="00F04209"/>
    <w:rsid w:val="00F0497C"/>
    <w:rsid w:val="00F05384"/>
    <w:rsid w:val="00F05756"/>
    <w:rsid w:val="00F105D8"/>
    <w:rsid w:val="00F1162F"/>
    <w:rsid w:val="00F13F53"/>
    <w:rsid w:val="00F14461"/>
    <w:rsid w:val="00F144E3"/>
    <w:rsid w:val="00F14A02"/>
    <w:rsid w:val="00F15384"/>
    <w:rsid w:val="00F1570C"/>
    <w:rsid w:val="00F15C3A"/>
    <w:rsid w:val="00F15FE0"/>
    <w:rsid w:val="00F16A92"/>
    <w:rsid w:val="00F210BA"/>
    <w:rsid w:val="00F213E6"/>
    <w:rsid w:val="00F21A7C"/>
    <w:rsid w:val="00F220C9"/>
    <w:rsid w:val="00F22283"/>
    <w:rsid w:val="00F22564"/>
    <w:rsid w:val="00F225A0"/>
    <w:rsid w:val="00F249C6"/>
    <w:rsid w:val="00F24D47"/>
    <w:rsid w:val="00F2791A"/>
    <w:rsid w:val="00F301A3"/>
    <w:rsid w:val="00F30572"/>
    <w:rsid w:val="00F3184E"/>
    <w:rsid w:val="00F3218E"/>
    <w:rsid w:val="00F321A1"/>
    <w:rsid w:val="00F356EB"/>
    <w:rsid w:val="00F36B44"/>
    <w:rsid w:val="00F37A3A"/>
    <w:rsid w:val="00F41A11"/>
    <w:rsid w:val="00F41A4E"/>
    <w:rsid w:val="00F4339B"/>
    <w:rsid w:val="00F43850"/>
    <w:rsid w:val="00F449D5"/>
    <w:rsid w:val="00F44A26"/>
    <w:rsid w:val="00F44FEE"/>
    <w:rsid w:val="00F465F5"/>
    <w:rsid w:val="00F46A4D"/>
    <w:rsid w:val="00F46E81"/>
    <w:rsid w:val="00F472D7"/>
    <w:rsid w:val="00F476DA"/>
    <w:rsid w:val="00F47A42"/>
    <w:rsid w:val="00F47B17"/>
    <w:rsid w:val="00F47DB6"/>
    <w:rsid w:val="00F47DBA"/>
    <w:rsid w:val="00F501EA"/>
    <w:rsid w:val="00F5040C"/>
    <w:rsid w:val="00F5069E"/>
    <w:rsid w:val="00F509EC"/>
    <w:rsid w:val="00F510F5"/>
    <w:rsid w:val="00F514B7"/>
    <w:rsid w:val="00F515BF"/>
    <w:rsid w:val="00F5179B"/>
    <w:rsid w:val="00F531C5"/>
    <w:rsid w:val="00F5357E"/>
    <w:rsid w:val="00F54983"/>
    <w:rsid w:val="00F55443"/>
    <w:rsid w:val="00F554FE"/>
    <w:rsid w:val="00F559C7"/>
    <w:rsid w:val="00F55FFF"/>
    <w:rsid w:val="00F56D5C"/>
    <w:rsid w:val="00F620A6"/>
    <w:rsid w:val="00F62AC9"/>
    <w:rsid w:val="00F65371"/>
    <w:rsid w:val="00F657A4"/>
    <w:rsid w:val="00F65F53"/>
    <w:rsid w:val="00F66901"/>
    <w:rsid w:val="00F67926"/>
    <w:rsid w:val="00F718C5"/>
    <w:rsid w:val="00F726CE"/>
    <w:rsid w:val="00F7286E"/>
    <w:rsid w:val="00F730CA"/>
    <w:rsid w:val="00F73ED0"/>
    <w:rsid w:val="00F77017"/>
    <w:rsid w:val="00F77C60"/>
    <w:rsid w:val="00F8058E"/>
    <w:rsid w:val="00F80D41"/>
    <w:rsid w:val="00F82E63"/>
    <w:rsid w:val="00F84763"/>
    <w:rsid w:val="00F84D57"/>
    <w:rsid w:val="00F860A1"/>
    <w:rsid w:val="00F87412"/>
    <w:rsid w:val="00F926F9"/>
    <w:rsid w:val="00F94435"/>
    <w:rsid w:val="00F9515A"/>
    <w:rsid w:val="00F95554"/>
    <w:rsid w:val="00F955B4"/>
    <w:rsid w:val="00F96F46"/>
    <w:rsid w:val="00FA04D4"/>
    <w:rsid w:val="00FA05EA"/>
    <w:rsid w:val="00FA1353"/>
    <w:rsid w:val="00FA1F7C"/>
    <w:rsid w:val="00FA5915"/>
    <w:rsid w:val="00FA760F"/>
    <w:rsid w:val="00FA7F11"/>
    <w:rsid w:val="00FB0DF9"/>
    <w:rsid w:val="00FB0EFA"/>
    <w:rsid w:val="00FB1438"/>
    <w:rsid w:val="00FB193E"/>
    <w:rsid w:val="00FB295D"/>
    <w:rsid w:val="00FB2F29"/>
    <w:rsid w:val="00FB43AF"/>
    <w:rsid w:val="00FB5250"/>
    <w:rsid w:val="00FB6769"/>
    <w:rsid w:val="00FB6E52"/>
    <w:rsid w:val="00FC1882"/>
    <w:rsid w:val="00FC31DB"/>
    <w:rsid w:val="00FC3833"/>
    <w:rsid w:val="00FC47F8"/>
    <w:rsid w:val="00FC5603"/>
    <w:rsid w:val="00FC5B26"/>
    <w:rsid w:val="00FC5C50"/>
    <w:rsid w:val="00FD18F7"/>
    <w:rsid w:val="00FD21D0"/>
    <w:rsid w:val="00FD45B9"/>
    <w:rsid w:val="00FD53C6"/>
    <w:rsid w:val="00FD7205"/>
    <w:rsid w:val="00FE0827"/>
    <w:rsid w:val="00FE0B4F"/>
    <w:rsid w:val="00FE0E2B"/>
    <w:rsid w:val="00FE0E57"/>
    <w:rsid w:val="00FE228F"/>
    <w:rsid w:val="00FE2409"/>
    <w:rsid w:val="00FE2D0D"/>
    <w:rsid w:val="00FE37AF"/>
    <w:rsid w:val="00FE38B8"/>
    <w:rsid w:val="00FE404A"/>
    <w:rsid w:val="00FE41B1"/>
    <w:rsid w:val="00FE53A5"/>
    <w:rsid w:val="00FE660E"/>
    <w:rsid w:val="00FF1C78"/>
    <w:rsid w:val="00FF3838"/>
    <w:rsid w:val="00FF5612"/>
    <w:rsid w:val="00FF6F87"/>
    <w:rsid w:val="00FF7431"/>
    <w:rsid w:val="01DFE5DF"/>
    <w:rsid w:val="0299BDFA"/>
    <w:rsid w:val="02C7701A"/>
    <w:rsid w:val="053542C6"/>
    <w:rsid w:val="062AF749"/>
    <w:rsid w:val="06973890"/>
    <w:rsid w:val="069CA345"/>
    <w:rsid w:val="07E32C99"/>
    <w:rsid w:val="086E650F"/>
    <w:rsid w:val="08FF3C2E"/>
    <w:rsid w:val="0A101AFE"/>
    <w:rsid w:val="0AC131E1"/>
    <w:rsid w:val="0DEF8B9B"/>
    <w:rsid w:val="0FB03E10"/>
    <w:rsid w:val="1074A700"/>
    <w:rsid w:val="10E018B5"/>
    <w:rsid w:val="10F76EA0"/>
    <w:rsid w:val="123F0EE3"/>
    <w:rsid w:val="12B92F62"/>
    <w:rsid w:val="12F9E166"/>
    <w:rsid w:val="15E48DB5"/>
    <w:rsid w:val="160850BC"/>
    <w:rsid w:val="16242987"/>
    <w:rsid w:val="16F7C5EB"/>
    <w:rsid w:val="17879678"/>
    <w:rsid w:val="18C2E27A"/>
    <w:rsid w:val="1ABC20DC"/>
    <w:rsid w:val="1B16F61A"/>
    <w:rsid w:val="1C894185"/>
    <w:rsid w:val="1D97A3A8"/>
    <w:rsid w:val="1ED9F026"/>
    <w:rsid w:val="1F164294"/>
    <w:rsid w:val="204AE33F"/>
    <w:rsid w:val="216F3EA6"/>
    <w:rsid w:val="230E3C59"/>
    <w:rsid w:val="23F0A34E"/>
    <w:rsid w:val="25166E23"/>
    <w:rsid w:val="25315D26"/>
    <w:rsid w:val="253A4FD4"/>
    <w:rsid w:val="25AFA570"/>
    <w:rsid w:val="260FF842"/>
    <w:rsid w:val="26CD3170"/>
    <w:rsid w:val="26FB10D6"/>
    <w:rsid w:val="27035CE7"/>
    <w:rsid w:val="2C237B74"/>
    <w:rsid w:val="2C7327D6"/>
    <w:rsid w:val="2CE3F1FB"/>
    <w:rsid w:val="2E3B0D58"/>
    <w:rsid w:val="2F714266"/>
    <w:rsid w:val="3453435C"/>
    <w:rsid w:val="35F5353B"/>
    <w:rsid w:val="367F4894"/>
    <w:rsid w:val="3715BA96"/>
    <w:rsid w:val="3797E427"/>
    <w:rsid w:val="3859E406"/>
    <w:rsid w:val="3A465B3D"/>
    <w:rsid w:val="3A7D43E1"/>
    <w:rsid w:val="3B24450B"/>
    <w:rsid w:val="3BA648AF"/>
    <w:rsid w:val="3C4C9565"/>
    <w:rsid w:val="3C5D68DB"/>
    <w:rsid w:val="3D18B7BF"/>
    <w:rsid w:val="3D760F91"/>
    <w:rsid w:val="3DCE1BA5"/>
    <w:rsid w:val="3E600E7B"/>
    <w:rsid w:val="3EDF7239"/>
    <w:rsid w:val="411D51C0"/>
    <w:rsid w:val="42A67717"/>
    <w:rsid w:val="4312CBDC"/>
    <w:rsid w:val="43D5B308"/>
    <w:rsid w:val="43E936C0"/>
    <w:rsid w:val="441196EE"/>
    <w:rsid w:val="45C3913D"/>
    <w:rsid w:val="47652DD0"/>
    <w:rsid w:val="489EA902"/>
    <w:rsid w:val="4977A210"/>
    <w:rsid w:val="4C3CD35A"/>
    <w:rsid w:val="4D6FCACF"/>
    <w:rsid w:val="4D789F76"/>
    <w:rsid w:val="4F077D06"/>
    <w:rsid w:val="4F41E1B2"/>
    <w:rsid w:val="50636485"/>
    <w:rsid w:val="51F05A51"/>
    <w:rsid w:val="52259321"/>
    <w:rsid w:val="5433ECFF"/>
    <w:rsid w:val="5457858A"/>
    <w:rsid w:val="55ED242F"/>
    <w:rsid w:val="55EF2103"/>
    <w:rsid w:val="565F4A39"/>
    <w:rsid w:val="5705F1DA"/>
    <w:rsid w:val="58570E3A"/>
    <w:rsid w:val="594115C6"/>
    <w:rsid w:val="5A62B95F"/>
    <w:rsid w:val="5C71105E"/>
    <w:rsid w:val="5CF04897"/>
    <w:rsid w:val="5E2704C3"/>
    <w:rsid w:val="5F5FB32F"/>
    <w:rsid w:val="604D0B12"/>
    <w:rsid w:val="60B1FBB9"/>
    <w:rsid w:val="60C13DAF"/>
    <w:rsid w:val="6124FAEA"/>
    <w:rsid w:val="61D55B93"/>
    <w:rsid w:val="61E28D52"/>
    <w:rsid w:val="62368C53"/>
    <w:rsid w:val="6265A60F"/>
    <w:rsid w:val="632D5D7B"/>
    <w:rsid w:val="6367CA11"/>
    <w:rsid w:val="64378B8E"/>
    <w:rsid w:val="65ED0D04"/>
    <w:rsid w:val="66465D8D"/>
    <w:rsid w:val="66B4CA25"/>
    <w:rsid w:val="68BC693D"/>
    <w:rsid w:val="68FB0CCC"/>
    <w:rsid w:val="6999B289"/>
    <w:rsid w:val="6AC722FC"/>
    <w:rsid w:val="6B34F37B"/>
    <w:rsid w:val="6B527EC0"/>
    <w:rsid w:val="6CB38A4E"/>
    <w:rsid w:val="6DBC5E06"/>
    <w:rsid w:val="6F48B344"/>
    <w:rsid w:val="70533E1A"/>
    <w:rsid w:val="70D634AA"/>
    <w:rsid w:val="718640B1"/>
    <w:rsid w:val="71F692C4"/>
    <w:rsid w:val="72170B5D"/>
    <w:rsid w:val="7451BC57"/>
    <w:rsid w:val="7827AAE5"/>
    <w:rsid w:val="7942CA4E"/>
    <w:rsid w:val="7A776993"/>
    <w:rsid w:val="7AABC16A"/>
    <w:rsid w:val="7B14736E"/>
    <w:rsid w:val="7BF62B10"/>
    <w:rsid w:val="7C114602"/>
    <w:rsid w:val="7C419473"/>
    <w:rsid w:val="7D68AC40"/>
    <w:rsid w:val="7DC50569"/>
    <w:rsid w:val="7EA09739"/>
    <w:rsid w:val="7F766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2528"/>
  <w15:chartTrackingRefBased/>
  <w15:docId w15:val="{5A879755-472A-415F-B27F-31B0891666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uiPriority="3" w:semiHidden="1" w:unhideWhenUsed="1" w:qFormat="1"/>
    <w:lsdException w:name="heading 3" w:uiPriority="4" w:semiHidden="1" w:unhideWhenUsed="1" w:qFormat="1"/>
    <w:lsdException w:name="heading 4" w:uiPriority="5"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qFormat/>
    <w:rsid w:val="0086277B"/>
    <w:pPr>
      <w:spacing w:line="259" w:lineRule="auto"/>
    </w:pPr>
    <w:rPr>
      <w:rFonts w:ascii="Calibri" w:hAnsi="Calibri"/>
      <w:sz w:val="22"/>
      <w:szCs w:val="22"/>
    </w:rPr>
  </w:style>
  <w:style w:type="paragraph" w:styleId="Heading1">
    <w:name w:val="heading 1"/>
    <w:basedOn w:val="Normal"/>
    <w:next w:val="Normal"/>
    <w:link w:val="Heading1Char"/>
    <w:qFormat/>
    <w:rsid w:val="009139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4E1BEA"/>
    <w:pPr>
      <w:keepNext/>
      <w:keepLines/>
      <w:spacing w:before="160" w:after="80"/>
      <w:outlineLvl w:val="1"/>
    </w:pPr>
    <w:rPr>
      <w:rFonts w:cs="Calibri" w:eastAsiaTheme="majorEastAsia"/>
      <w:b/>
      <w:bCs/>
      <w:color w:val="4897A2"/>
      <w:sz w:val="30"/>
      <w:szCs w:val="30"/>
    </w:rPr>
  </w:style>
  <w:style w:type="paragraph" w:styleId="Heading3">
    <w:name w:val="heading 3"/>
    <w:basedOn w:val="Normal"/>
    <w:next w:val="Normal"/>
    <w:link w:val="Heading3Char"/>
    <w:uiPriority w:val="4"/>
    <w:unhideWhenUsed/>
    <w:qFormat/>
    <w:rsid w:val="004E1BEA"/>
    <w:pPr>
      <w:keepNext/>
      <w:keepLines/>
      <w:spacing w:before="360" w:after="80"/>
      <w:outlineLvl w:val="2"/>
    </w:pPr>
    <w:rPr>
      <w:rFonts w:cs="Calibri" w:eastAsiaTheme="majorEastAsia"/>
      <w:b/>
      <w:bCs/>
      <w:color w:val="000000" w:themeColor="text1"/>
      <w:sz w:val="27"/>
      <w:szCs w:val="27"/>
    </w:rPr>
  </w:style>
  <w:style w:type="paragraph" w:styleId="Heading4">
    <w:name w:val="heading 4"/>
    <w:basedOn w:val="Normal"/>
    <w:next w:val="Normal"/>
    <w:link w:val="Heading4Char"/>
    <w:autoRedefine/>
    <w:uiPriority w:val="5"/>
    <w:unhideWhenUsed/>
    <w:qFormat/>
    <w:rsid w:val="007837C8"/>
    <w:pPr>
      <w:keepNext/>
      <w:keepLines/>
      <w:spacing w:after="80"/>
      <w:outlineLvl w:val="3"/>
    </w:pPr>
    <w:rPr>
      <w:rFonts w:cs="Calibri" w:eastAsiaTheme="majorEastAsia"/>
      <w:b/>
      <w:bCs/>
      <w:i/>
      <w:iCs/>
      <w:color w:val="000000" w:themeColor="text1"/>
      <w:szCs w:val="24"/>
    </w:rPr>
  </w:style>
  <w:style w:type="paragraph" w:styleId="Heading5">
    <w:name w:val="heading 5"/>
    <w:basedOn w:val="Normal"/>
    <w:next w:val="Normal"/>
    <w:link w:val="Heading5Char"/>
    <w:uiPriority w:val="9"/>
    <w:semiHidden/>
    <w:unhideWhenUsed/>
    <w:qFormat/>
    <w:rsid w:val="00913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9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139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3"/>
    <w:rsid w:val="004E1BEA"/>
    <w:rPr>
      <w:rFonts w:ascii="Calibri" w:hAnsi="Calibri" w:cs="Calibri" w:eastAsiaTheme="majorEastAsia"/>
      <w:b/>
      <w:bCs/>
      <w:color w:val="4897A2"/>
      <w:sz w:val="30"/>
      <w:szCs w:val="30"/>
    </w:rPr>
  </w:style>
  <w:style w:type="character" w:styleId="Heading3Char" w:customStyle="1">
    <w:name w:val="Heading 3 Char"/>
    <w:basedOn w:val="DefaultParagraphFont"/>
    <w:link w:val="Heading3"/>
    <w:uiPriority w:val="4"/>
    <w:rsid w:val="004E1BEA"/>
    <w:rPr>
      <w:rFonts w:ascii="Calibri" w:hAnsi="Calibri" w:cs="Calibri" w:eastAsiaTheme="majorEastAsia"/>
      <w:b/>
      <w:bCs/>
      <w:color w:val="000000" w:themeColor="text1"/>
      <w:sz w:val="27"/>
      <w:szCs w:val="27"/>
    </w:rPr>
  </w:style>
  <w:style w:type="character" w:styleId="Heading4Char" w:customStyle="1">
    <w:name w:val="Heading 4 Char"/>
    <w:basedOn w:val="DefaultParagraphFont"/>
    <w:link w:val="Heading4"/>
    <w:uiPriority w:val="5"/>
    <w:rsid w:val="007837C8"/>
    <w:rPr>
      <w:rFonts w:ascii="Calibri" w:hAnsi="Calibri" w:cs="Calibri" w:eastAsiaTheme="majorEastAsia"/>
      <w:b/>
      <w:bCs/>
      <w:i/>
      <w:iCs/>
      <w:color w:val="000000" w:themeColor="text1"/>
      <w:sz w:val="22"/>
    </w:rPr>
  </w:style>
  <w:style w:type="character" w:styleId="Heading5Char" w:customStyle="1">
    <w:name w:val="Heading 5 Char"/>
    <w:basedOn w:val="DefaultParagraphFont"/>
    <w:link w:val="Heading5"/>
    <w:uiPriority w:val="9"/>
    <w:semiHidden/>
    <w:rsid w:val="009139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39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39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39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396A"/>
    <w:rPr>
      <w:rFonts w:eastAsiaTheme="majorEastAsia" w:cstheme="majorBidi"/>
      <w:color w:val="272727" w:themeColor="text1" w:themeTint="D8"/>
    </w:rPr>
  </w:style>
  <w:style w:type="paragraph" w:styleId="Title">
    <w:name w:val="Title"/>
    <w:basedOn w:val="Normal"/>
    <w:next w:val="Normal"/>
    <w:link w:val="TitleChar"/>
    <w:uiPriority w:val="10"/>
    <w:qFormat/>
    <w:rsid w:val="0091396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39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
    <w:qFormat/>
    <w:rsid w:val="009139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
    <w:rsid w:val="00913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96A"/>
    <w:pPr>
      <w:spacing w:before="160"/>
      <w:jc w:val="center"/>
    </w:pPr>
    <w:rPr>
      <w:i/>
      <w:iCs/>
      <w:color w:val="404040" w:themeColor="text1" w:themeTint="BF"/>
    </w:rPr>
  </w:style>
  <w:style w:type="character" w:styleId="QuoteChar" w:customStyle="1">
    <w:name w:val="Quote Char"/>
    <w:basedOn w:val="DefaultParagraphFont"/>
    <w:link w:val="Quote"/>
    <w:uiPriority w:val="29"/>
    <w:rsid w:val="0091396A"/>
    <w:rPr>
      <w:i/>
      <w:iCs/>
      <w:color w:val="404040" w:themeColor="text1" w:themeTint="BF"/>
    </w:rPr>
  </w:style>
  <w:style w:type="paragraph" w:styleId="ListParagraph">
    <w:name w:val="List Paragraph"/>
    <w:basedOn w:val="Normal"/>
    <w:uiPriority w:val="34"/>
    <w:qFormat/>
    <w:rsid w:val="0091396A"/>
    <w:pPr>
      <w:ind w:left="720"/>
      <w:contextualSpacing/>
    </w:pPr>
  </w:style>
  <w:style w:type="character" w:styleId="IntenseEmphasis">
    <w:name w:val="Intense Emphasis"/>
    <w:basedOn w:val="DefaultParagraphFont"/>
    <w:uiPriority w:val="21"/>
    <w:qFormat/>
    <w:rsid w:val="0091396A"/>
    <w:rPr>
      <w:i/>
      <w:iCs/>
      <w:color w:val="0F4761" w:themeColor="accent1" w:themeShade="BF"/>
    </w:rPr>
  </w:style>
  <w:style w:type="paragraph" w:styleId="IntenseQuote">
    <w:name w:val="Intense Quote"/>
    <w:basedOn w:val="Normal"/>
    <w:next w:val="Normal"/>
    <w:link w:val="IntenseQuoteChar"/>
    <w:uiPriority w:val="30"/>
    <w:qFormat/>
    <w:rsid w:val="009139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396A"/>
    <w:rPr>
      <w:i/>
      <w:iCs/>
      <w:color w:val="0F4761" w:themeColor="accent1" w:themeShade="BF"/>
    </w:rPr>
  </w:style>
  <w:style w:type="character" w:styleId="IntenseReference">
    <w:name w:val="Intense Reference"/>
    <w:basedOn w:val="DefaultParagraphFont"/>
    <w:uiPriority w:val="32"/>
    <w:qFormat/>
    <w:rsid w:val="0091396A"/>
    <w:rPr>
      <w:b/>
      <w:bCs/>
      <w:smallCaps/>
      <w:color w:val="0F4761" w:themeColor="accent1" w:themeShade="BF"/>
      <w:spacing w:val="5"/>
    </w:rPr>
  </w:style>
  <w:style w:type="table" w:styleId="TPSTable" w:customStyle="1">
    <w:name w:val="TPS Table"/>
    <w:basedOn w:val="TableNormal"/>
    <w:uiPriority w:val="99"/>
    <w:rsid w:val="004B6426"/>
    <w:pPr>
      <w:spacing w:before="40" w:after="40" w:line="276" w:lineRule="auto"/>
    </w:pPr>
    <w:rPr>
      <w:kern w:val="0"/>
      <w:sz w:val="22"/>
      <w:szCs w:val="22"/>
      <w14:ligatures w14:val="none"/>
    </w:rPr>
    <w:tblPr>
      <w:tblStyleRow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cPr>
      <w:shd w:val="clear" w:color="auto" w:fill="auto"/>
    </w:tcPr>
    <w:tblStylePr w:type="firstRow">
      <w:pPr>
        <w:wordWrap/>
        <w:spacing w:before="100" w:beforeLines="0" w:beforeAutospacing="0" w:after="100" w:afterLines="0" w:afterAutospacing="0" w:line="240" w:lineRule="auto"/>
        <w:contextualSpacing w:val="0"/>
        <w:mirrorIndents w:val="0"/>
        <w:jc w:val="center"/>
      </w:pPr>
      <w:rPr>
        <w:b/>
      </w:rPr>
      <w:tblPr/>
      <w:tcPr>
        <w:shd w:val="clear" w:color="auto" w:fill="0F4761" w:themeFill="accent1" w:themeFillShade="BF"/>
        <w:vAlign w:val="center"/>
      </w:tcPr>
    </w:tblStylePr>
    <w:tblStylePr w:type="band1Horz">
      <w:pPr>
        <w:wordWrap/>
        <w:spacing w:before="80" w:beforeLines="0" w:beforeAutospacing="0" w:after="80" w:afterLines="0" w:afterAutospacing="0" w:line="240" w:lineRule="auto"/>
        <w:contextualSpacing w:val="0"/>
        <w:jc w:val="left"/>
      </w:pPr>
      <w:rPr>
        <w:rFonts w:asciiTheme="minorHAnsi" w:hAnsiTheme="minorHAnsi"/>
        <w:sz w:val="22"/>
      </w:rPr>
      <w:tblPr/>
      <w:tcPr>
        <w:shd w:val="clear" w:color="auto" w:fill="C1E4F5" w:themeFill="accent1" w:themeFillTint="33"/>
        <w:vAlign w:val="center"/>
      </w:tcPr>
    </w:tblStylePr>
    <w:tblStylePr w:type="band2Horz">
      <w:pPr>
        <w:wordWrap/>
        <w:spacing w:before="80" w:beforeLines="0" w:beforeAutospacing="0" w:after="80" w:afterLines="0" w:afterAutospacing="0" w:line="240" w:lineRule="auto"/>
        <w:contextualSpacing w:val="0"/>
        <w:jc w:val="left"/>
      </w:pPr>
      <w:rPr>
        <w:rFonts w:asciiTheme="minorHAnsi" w:hAnsiTheme="minorHAnsi"/>
        <w:color w:val="auto"/>
        <w:sz w:val="22"/>
      </w:rPr>
      <w:tblPr/>
      <w:tcPr>
        <w:vAlign w:val="center"/>
      </w:tcPr>
    </w:tblStylePr>
  </w:style>
  <w:style w:type="character" w:styleId="TablecontentsChar" w:customStyle="1">
    <w:name w:val="Table contents Char"/>
    <w:basedOn w:val="DefaultParagraphFont"/>
    <w:link w:val="Tablecontents"/>
    <w:locked/>
    <w:rsid w:val="004B6426"/>
    <w:rPr>
      <w:rFonts w:ascii="Calibri" w:hAnsi="Calibri" w:cstheme="minorHAnsi"/>
      <w:color w:val="000000" w:themeColor="text1"/>
      <w:kern w:val="24"/>
      <w14:ligatures w14:val="none"/>
    </w:rPr>
  </w:style>
  <w:style w:type="paragraph" w:styleId="Tablecontents" w:customStyle="1">
    <w:name w:val="Table contents"/>
    <w:link w:val="TablecontentsChar"/>
    <w:qFormat/>
    <w:rsid w:val="004B6426"/>
    <w:pPr>
      <w:spacing w:before="80" w:after="80" w:line="240" w:lineRule="auto"/>
    </w:pPr>
    <w:rPr>
      <w:rFonts w:ascii="Calibri" w:hAnsi="Calibri" w:cstheme="minorHAnsi"/>
      <w:color w:val="000000" w:themeColor="text1"/>
      <w:kern w:val="24"/>
      <w14:ligatures w14:val="none"/>
    </w:rPr>
  </w:style>
  <w:style w:type="paragraph" w:styleId="Header">
    <w:name w:val="header"/>
    <w:basedOn w:val="Normal"/>
    <w:link w:val="HeaderChar"/>
    <w:uiPriority w:val="99"/>
    <w:unhideWhenUsed/>
    <w:rsid w:val="007E7F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7F41"/>
    <w:rPr>
      <w:sz w:val="22"/>
      <w:szCs w:val="22"/>
    </w:rPr>
  </w:style>
  <w:style w:type="paragraph" w:styleId="Footer">
    <w:name w:val="footer"/>
    <w:basedOn w:val="Normal"/>
    <w:link w:val="FooterChar"/>
    <w:uiPriority w:val="99"/>
    <w:unhideWhenUsed/>
    <w:rsid w:val="007E7F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7F41"/>
    <w:rPr>
      <w:sz w:val="22"/>
      <w:szCs w:val="22"/>
    </w:rPr>
  </w:style>
  <w:style w:type="paragraph" w:styleId="NoSpacing">
    <w:name w:val="No Spacing"/>
    <w:uiPriority w:val="1"/>
    <w:qFormat/>
    <w:rsid w:val="00EF2714"/>
    <w:pPr>
      <w:spacing w:after="0" w:line="240" w:lineRule="auto"/>
    </w:pPr>
    <w:rPr>
      <w:sz w:val="22"/>
      <w:szCs w:val="22"/>
    </w:rPr>
  </w:style>
  <w:style w:type="character" w:styleId="Hyperlink">
    <w:name w:val="Hyperlink"/>
    <w:basedOn w:val="DefaultParagraphFont"/>
    <w:uiPriority w:val="99"/>
    <w:unhideWhenUsed/>
    <w:rsid w:val="000A7651"/>
    <w:rPr>
      <w:color w:val="467886" w:themeColor="hyperlink"/>
      <w:u w:val="single"/>
    </w:rPr>
  </w:style>
  <w:style w:type="character" w:styleId="UnresolvedMention">
    <w:name w:val="Unresolved Mention"/>
    <w:basedOn w:val="DefaultParagraphFont"/>
    <w:uiPriority w:val="99"/>
    <w:semiHidden/>
    <w:unhideWhenUsed/>
    <w:rsid w:val="000A7651"/>
    <w:rPr>
      <w:color w:val="605E5C"/>
      <w:shd w:val="clear" w:color="auto" w:fill="E1DFDD"/>
    </w:rPr>
  </w:style>
  <w:style w:type="table" w:styleId="TableGrid">
    <w:name w:val="Table Grid"/>
    <w:basedOn w:val="TableNormal"/>
    <w:uiPriority w:val="39"/>
    <w:rsid w:val="00A931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91B37"/>
    <w:rPr>
      <w:color w:val="666666"/>
    </w:rPr>
  </w:style>
  <w:style w:type="paragraph" w:styleId="FootnoteText">
    <w:name w:val="footnote text"/>
    <w:basedOn w:val="Normal"/>
    <w:link w:val="FootnoteTextChar"/>
    <w:uiPriority w:val="99"/>
    <w:semiHidden/>
    <w:unhideWhenUsed/>
    <w:rsid w:val="004B11B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B11B0"/>
    <w:rPr>
      <w:sz w:val="20"/>
      <w:szCs w:val="20"/>
    </w:rPr>
  </w:style>
  <w:style w:type="character" w:styleId="FootnoteReference">
    <w:name w:val="footnote reference"/>
    <w:basedOn w:val="DefaultParagraphFont"/>
    <w:uiPriority w:val="99"/>
    <w:semiHidden/>
    <w:unhideWhenUsed/>
    <w:rsid w:val="004B11B0"/>
    <w:rPr>
      <w:vertAlign w:val="superscript"/>
    </w:rPr>
  </w:style>
  <w:style w:type="character" w:styleId="FollowedHyperlink">
    <w:name w:val="FollowedHyperlink"/>
    <w:basedOn w:val="DefaultParagraphFont"/>
    <w:uiPriority w:val="99"/>
    <w:semiHidden/>
    <w:unhideWhenUsed/>
    <w:rsid w:val="00D43473"/>
    <w:rPr>
      <w:color w:val="96607D" w:themeColor="followedHyperlink"/>
      <w:u w:val="single"/>
    </w:rPr>
  </w:style>
  <w:style w:type="paragraph" w:styleId="TableHeader" w:customStyle="1">
    <w:name w:val="Table Header"/>
    <w:link w:val="TableHeaderChar"/>
    <w:qFormat/>
    <w:rsid w:val="00505053"/>
    <w:pPr>
      <w:spacing w:before="100" w:after="100" w:line="240" w:lineRule="auto"/>
      <w:jc w:val="center"/>
    </w:pPr>
    <w:rPr>
      <w:color w:val="FFFFFF" w:themeColor="background1"/>
      <w:szCs w:val="22"/>
    </w:rPr>
  </w:style>
  <w:style w:type="character" w:styleId="TableHeaderChar" w:customStyle="1">
    <w:name w:val="Table Header Char"/>
    <w:basedOn w:val="DefaultParagraphFont"/>
    <w:link w:val="TableHeader"/>
    <w:rsid w:val="00505053"/>
    <w:rPr>
      <w:color w:val="FFFFFF" w:themeColor="background1"/>
      <w:szCs w:val="22"/>
    </w:rPr>
  </w:style>
  <w:style w:type="paragraph" w:styleId="Revision">
    <w:name w:val="Revision"/>
    <w:hidden/>
    <w:uiPriority w:val="99"/>
    <w:semiHidden/>
    <w:rsid w:val="00D66772"/>
    <w:pPr>
      <w:spacing w:after="0" w:line="240" w:lineRule="auto"/>
    </w:pPr>
    <w:rPr>
      <w:sz w:val="22"/>
      <w:szCs w:val="22"/>
    </w:rPr>
  </w:style>
  <w:style w:type="character" w:styleId="CommentReference">
    <w:name w:val="annotation reference"/>
    <w:basedOn w:val="DefaultParagraphFont"/>
    <w:uiPriority w:val="99"/>
    <w:semiHidden/>
    <w:unhideWhenUsed/>
    <w:rsid w:val="0019500F"/>
    <w:rPr>
      <w:sz w:val="16"/>
      <w:szCs w:val="16"/>
    </w:rPr>
  </w:style>
  <w:style w:type="paragraph" w:styleId="CommentText">
    <w:name w:val="annotation text"/>
    <w:basedOn w:val="Normal"/>
    <w:link w:val="CommentTextChar"/>
    <w:uiPriority w:val="99"/>
    <w:unhideWhenUsed/>
    <w:rsid w:val="0019500F"/>
    <w:pPr>
      <w:spacing w:line="240" w:lineRule="auto"/>
    </w:pPr>
    <w:rPr>
      <w:sz w:val="20"/>
      <w:szCs w:val="20"/>
    </w:rPr>
  </w:style>
  <w:style w:type="character" w:styleId="CommentTextChar" w:customStyle="1">
    <w:name w:val="Comment Text Char"/>
    <w:basedOn w:val="DefaultParagraphFont"/>
    <w:link w:val="CommentText"/>
    <w:uiPriority w:val="99"/>
    <w:rsid w:val="0019500F"/>
    <w:rPr>
      <w:sz w:val="20"/>
      <w:szCs w:val="20"/>
    </w:rPr>
  </w:style>
  <w:style w:type="paragraph" w:styleId="CommentSubject">
    <w:name w:val="annotation subject"/>
    <w:basedOn w:val="CommentText"/>
    <w:next w:val="CommentText"/>
    <w:link w:val="CommentSubjectChar"/>
    <w:uiPriority w:val="99"/>
    <w:semiHidden/>
    <w:unhideWhenUsed/>
    <w:rsid w:val="0019500F"/>
    <w:rPr>
      <w:b/>
      <w:bCs/>
    </w:rPr>
  </w:style>
  <w:style w:type="character" w:styleId="CommentSubjectChar" w:customStyle="1">
    <w:name w:val="Comment Subject Char"/>
    <w:basedOn w:val="CommentTextChar"/>
    <w:link w:val="CommentSubject"/>
    <w:uiPriority w:val="99"/>
    <w:semiHidden/>
    <w:rsid w:val="00195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3070">
      <w:bodyDiv w:val="1"/>
      <w:marLeft w:val="0"/>
      <w:marRight w:val="0"/>
      <w:marTop w:val="0"/>
      <w:marBottom w:val="0"/>
      <w:divBdr>
        <w:top w:val="none" w:sz="0" w:space="0" w:color="auto"/>
        <w:left w:val="none" w:sz="0" w:space="0" w:color="auto"/>
        <w:bottom w:val="none" w:sz="0" w:space="0" w:color="auto"/>
        <w:right w:val="none" w:sz="0" w:space="0" w:color="auto"/>
      </w:divBdr>
    </w:div>
    <w:div w:id="305399801">
      <w:bodyDiv w:val="1"/>
      <w:marLeft w:val="0"/>
      <w:marRight w:val="0"/>
      <w:marTop w:val="0"/>
      <w:marBottom w:val="0"/>
      <w:divBdr>
        <w:top w:val="none" w:sz="0" w:space="0" w:color="auto"/>
        <w:left w:val="none" w:sz="0" w:space="0" w:color="auto"/>
        <w:bottom w:val="none" w:sz="0" w:space="0" w:color="auto"/>
        <w:right w:val="none" w:sz="0" w:space="0" w:color="auto"/>
      </w:divBdr>
    </w:div>
    <w:div w:id="360016628">
      <w:bodyDiv w:val="1"/>
      <w:marLeft w:val="0"/>
      <w:marRight w:val="0"/>
      <w:marTop w:val="0"/>
      <w:marBottom w:val="0"/>
      <w:divBdr>
        <w:top w:val="none" w:sz="0" w:space="0" w:color="auto"/>
        <w:left w:val="none" w:sz="0" w:space="0" w:color="auto"/>
        <w:bottom w:val="none" w:sz="0" w:space="0" w:color="auto"/>
        <w:right w:val="none" w:sz="0" w:space="0" w:color="auto"/>
      </w:divBdr>
    </w:div>
    <w:div w:id="533732989">
      <w:bodyDiv w:val="1"/>
      <w:marLeft w:val="0"/>
      <w:marRight w:val="0"/>
      <w:marTop w:val="0"/>
      <w:marBottom w:val="0"/>
      <w:divBdr>
        <w:top w:val="none" w:sz="0" w:space="0" w:color="auto"/>
        <w:left w:val="none" w:sz="0" w:space="0" w:color="auto"/>
        <w:bottom w:val="none" w:sz="0" w:space="0" w:color="auto"/>
        <w:right w:val="none" w:sz="0" w:space="0" w:color="auto"/>
      </w:divBdr>
    </w:div>
    <w:div w:id="621764349">
      <w:bodyDiv w:val="1"/>
      <w:marLeft w:val="0"/>
      <w:marRight w:val="0"/>
      <w:marTop w:val="0"/>
      <w:marBottom w:val="0"/>
      <w:divBdr>
        <w:top w:val="none" w:sz="0" w:space="0" w:color="auto"/>
        <w:left w:val="none" w:sz="0" w:space="0" w:color="auto"/>
        <w:bottom w:val="none" w:sz="0" w:space="0" w:color="auto"/>
        <w:right w:val="none" w:sz="0" w:space="0" w:color="auto"/>
      </w:divBdr>
    </w:div>
    <w:div w:id="630669359">
      <w:bodyDiv w:val="1"/>
      <w:marLeft w:val="0"/>
      <w:marRight w:val="0"/>
      <w:marTop w:val="0"/>
      <w:marBottom w:val="0"/>
      <w:divBdr>
        <w:top w:val="none" w:sz="0" w:space="0" w:color="auto"/>
        <w:left w:val="none" w:sz="0" w:space="0" w:color="auto"/>
        <w:bottom w:val="none" w:sz="0" w:space="0" w:color="auto"/>
        <w:right w:val="none" w:sz="0" w:space="0" w:color="auto"/>
      </w:divBdr>
    </w:div>
    <w:div w:id="658003325">
      <w:bodyDiv w:val="1"/>
      <w:marLeft w:val="0"/>
      <w:marRight w:val="0"/>
      <w:marTop w:val="0"/>
      <w:marBottom w:val="0"/>
      <w:divBdr>
        <w:top w:val="none" w:sz="0" w:space="0" w:color="auto"/>
        <w:left w:val="none" w:sz="0" w:space="0" w:color="auto"/>
        <w:bottom w:val="none" w:sz="0" w:space="0" w:color="auto"/>
        <w:right w:val="none" w:sz="0" w:space="0" w:color="auto"/>
      </w:divBdr>
    </w:div>
    <w:div w:id="681399390">
      <w:bodyDiv w:val="1"/>
      <w:marLeft w:val="0"/>
      <w:marRight w:val="0"/>
      <w:marTop w:val="0"/>
      <w:marBottom w:val="0"/>
      <w:divBdr>
        <w:top w:val="none" w:sz="0" w:space="0" w:color="auto"/>
        <w:left w:val="none" w:sz="0" w:space="0" w:color="auto"/>
        <w:bottom w:val="none" w:sz="0" w:space="0" w:color="auto"/>
        <w:right w:val="none" w:sz="0" w:space="0" w:color="auto"/>
      </w:divBdr>
    </w:div>
    <w:div w:id="690229828">
      <w:bodyDiv w:val="1"/>
      <w:marLeft w:val="0"/>
      <w:marRight w:val="0"/>
      <w:marTop w:val="0"/>
      <w:marBottom w:val="0"/>
      <w:divBdr>
        <w:top w:val="none" w:sz="0" w:space="0" w:color="auto"/>
        <w:left w:val="none" w:sz="0" w:space="0" w:color="auto"/>
        <w:bottom w:val="none" w:sz="0" w:space="0" w:color="auto"/>
        <w:right w:val="none" w:sz="0" w:space="0" w:color="auto"/>
      </w:divBdr>
    </w:div>
    <w:div w:id="875234668">
      <w:bodyDiv w:val="1"/>
      <w:marLeft w:val="0"/>
      <w:marRight w:val="0"/>
      <w:marTop w:val="0"/>
      <w:marBottom w:val="0"/>
      <w:divBdr>
        <w:top w:val="none" w:sz="0" w:space="0" w:color="auto"/>
        <w:left w:val="none" w:sz="0" w:space="0" w:color="auto"/>
        <w:bottom w:val="none" w:sz="0" w:space="0" w:color="auto"/>
        <w:right w:val="none" w:sz="0" w:space="0" w:color="auto"/>
      </w:divBdr>
    </w:div>
    <w:div w:id="881553223">
      <w:bodyDiv w:val="1"/>
      <w:marLeft w:val="0"/>
      <w:marRight w:val="0"/>
      <w:marTop w:val="0"/>
      <w:marBottom w:val="0"/>
      <w:divBdr>
        <w:top w:val="none" w:sz="0" w:space="0" w:color="auto"/>
        <w:left w:val="none" w:sz="0" w:space="0" w:color="auto"/>
        <w:bottom w:val="none" w:sz="0" w:space="0" w:color="auto"/>
        <w:right w:val="none" w:sz="0" w:space="0" w:color="auto"/>
      </w:divBdr>
    </w:div>
    <w:div w:id="988051265">
      <w:bodyDiv w:val="1"/>
      <w:marLeft w:val="0"/>
      <w:marRight w:val="0"/>
      <w:marTop w:val="0"/>
      <w:marBottom w:val="0"/>
      <w:divBdr>
        <w:top w:val="none" w:sz="0" w:space="0" w:color="auto"/>
        <w:left w:val="none" w:sz="0" w:space="0" w:color="auto"/>
        <w:bottom w:val="none" w:sz="0" w:space="0" w:color="auto"/>
        <w:right w:val="none" w:sz="0" w:space="0" w:color="auto"/>
      </w:divBdr>
    </w:div>
    <w:div w:id="1013848900">
      <w:bodyDiv w:val="1"/>
      <w:marLeft w:val="0"/>
      <w:marRight w:val="0"/>
      <w:marTop w:val="0"/>
      <w:marBottom w:val="0"/>
      <w:divBdr>
        <w:top w:val="none" w:sz="0" w:space="0" w:color="auto"/>
        <w:left w:val="none" w:sz="0" w:space="0" w:color="auto"/>
        <w:bottom w:val="none" w:sz="0" w:space="0" w:color="auto"/>
        <w:right w:val="none" w:sz="0" w:space="0" w:color="auto"/>
      </w:divBdr>
    </w:div>
    <w:div w:id="1196500701">
      <w:bodyDiv w:val="1"/>
      <w:marLeft w:val="0"/>
      <w:marRight w:val="0"/>
      <w:marTop w:val="0"/>
      <w:marBottom w:val="0"/>
      <w:divBdr>
        <w:top w:val="none" w:sz="0" w:space="0" w:color="auto"/>
        <w:left w:val="none" w:sz="0" w:space="0" w:color="auto"/>
        <w:bottom w:val="none" w:sz="0" w:space="0" w:color="auto"/>
        <w:right w:val="none" w:sz="0" w:space="0" w:color="auto"/>
      </w:divBdr>
    </w:div>
    <w:div w:id="1201431529">
      <w:bodyDiv w:val="1"/>
      <w:marLeft w:val="0"/>
      <w:marRight w:val="0"/>
      <w:marTop w:val="0"/>
      <w:marBottom w:val="0"/>
      <w:divBdr>
        <w:top w:val="none" w:sz="0" w:space="0" w:color="auto"/>
        <w:left w:val="none" w:sz="0" w:space="0" w:color="auto"/>
        <w:bottom w:val="none" w:sz="0" w:space="0" w:color="auto"/>
        <w:right w:val="none" w:sz="0" w:space="0" w:color="auto"/>
      </w:divBdr>
    </w:div>
    <w:div w:id="1255243140">
      <w:bodyDiv w:val="1"/>
      <w:marLeft w:val="0"/>
      <w:marRight w:val="0"/>
      <w:marTop w:val="0"/>
      <w:marBottom w:val="0"/>
      <w:divBdr>
        <w:top w:val="none" w:sz="0" w:space="0" w:color="auto"/>
        <w:left w:val="none" w:sz="0" w:space="0" w:color="auto"/>
        <w:bottom w:val="none" w:sz="0" w:space="0" w:color="auto"/>
        <w:right w:val="none" w:sz="0" w:space="0" w:color="auto"/>
      </w:divBdr>
    </w:div>
    <w:div w:id="1331710584">
      <w:bodyDiv w:val="1"/>
      <w:marLeft w:val="0"/>
      <w:marRight w:val="0"/>
      <w:marTop w:val="0"/>
      <w:marBottom w:val="0"/>
      <w:divBdr>
        <w:top w:val="none" w:sz="0" w:space="0" w:color="auto"/>
        <w:left w:val="none" w:sz="0" w:space="0" w:color="auto"/>
        <w:bottom w:val="none" w:sz="0" w:space="0" w:color="auto"/>
        <w:right w:val="none" w:sz="0" w:space="0" w:color="auto"/>
      </w:divBdr>
    </w:div>
    <w:div w:id="1542862003">
      <w:bodyDiv w:val="1"/>
      <w:marLeft w:val="0"/>
      <w:marRight w:val="0"/>
      <w:marTop w:val="0"/>
      <w:marBottom w:val="0"/>
      <w:divBdr>
        <w:top w:val="none" w:sz="0" w:space="0" w:color="auto"/>
        <w:left w:val="none" w:sz="0" w:space="0" w:color="auto"/>
        <w:bottom w:val="none" w:sz="0" w:space="0" w:color="auto"/>
        <w:right w:val="none" w:sz="0" w:space="0" w:color="auto"/>
      </w:divBdr>
    </w:div>
    <w:div w:id="1623540263">
      <w:bodyDiv w:val="1"/>
      <w:marLeft w:val="0"/>
      <w:marRight w:val="0"/>
      <w:marTop w:val="0"/>
      <w:marBottom w:val="0"/>
      <w:divBdr>
        <w:top w:val="none" w:sz="0" w:space="0" w:color="auto"/>
        <w:left w:val="none" w:sz="0" w:space="0" w:color="auto"/>
        <w:bottom w:val="none" w:sz="0" w:space="0" w:color="auto"/>
        <w:right w:val="none" w:sz="0" w:space="0" w:color="auto"/>
      </w:divBdr>
    </w:div>
    <w:div w:id="1681855153">
      <w:bodyDiv w:val="1"/>
      <w:marLeft w:val="0"/>
      <w:marRight w:val="0"/>
      <w:marTop w:val="0"/>
      <w:marBottom w:val="0"/>
      <w:divBdr>
        <w:top w:val="none" w:sz="0" w:space="0" w:color="auto"/>
        <w:left w:val="none" w:sz="0" w:space="0" w:color="auto"/>
        <w:bottom w:val="none" w:sz="0" w:space="0" w:color="auto"/>
        <w:right w:val="none" w:sz="0" w:space="0" w:color="auto"/>
      </w:divBdr>
    </w:div>
    <w:div w:id="1827042764">
      <w:bodyDiv w:val="1"/>
      <w:marLeft w:val="0"/>
      <w:marRight w:val="0"/>
      <w:marTop w:val="0"/>
      <w:marBottom w:val="0"/>
      <w:divBdr>
        <w:top w:val="none" w:sz="0" w:space="0" w:color="auto"/>
        <w:left w:val="none" w:sz="0" w:space="0" w:color="auto"/>
        <w:bottom w:val="none" w:sz="0" w:space="0" w:color="auto"/>
        <w:right w:val="none" w:sz="0" w:space="0" w:color="auto"/>
      </w:divBdr>
    </w:div>
    <w:div w:id="1836064755">
      <w:bodyDiv w:val="1"/>
      <w:marLeft w:val="0"/>
      <w:marRight w:val="0"/>
      <w:marTop w:val="0"/>
      <w:marBottom w:val="0"/>
      <w:divBdr>
        <w:top w:val="none" w:sz="0" w:space="0" w:color="auto"/>
        <w:left w:val="none" w:sz="0" w:space="0" w:color="auto"/>
        <w:bottom w:val="none" w:sz="0" w:space="0" w:color="auto"/>
        <w:right w:val="none" w:sz="0" w:space="0" w:color="auto"/>
      </w:divBdr>
    </w:div>
    <w:div w:id="20826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egislation.gov.au/F2022L01727/asmade/tex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au/C2012A00011/latest/tex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au/F2022L01727/asmade/text" TargetMode="External"/><Relationship Id="rId1" Type="http://schemas.openxmlformats.org/officeDocument/2006/relationships/hyperlink" Target="http://www.legislation.gov.au/C2012A00011/lates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D37A-3D5B-49D9-9EF1-DBB538DC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90889-FBB6-4793-9753-EC6FB72D3A4F}">
  <ds:schemaRefs>
    <ds:schemaRef ds:uri="http://schemas.microsoft.com/sharepoint/v3/contenttype/forms"/>
  </ds:schemaRefs>
</ds:datastoreItem>
</file>

<file path=customXml/itemProps3.xml><?xml version="1.0" encoding="utf-8"?>
<ds:datastoreItem xmlns:ds="http://schemas.openxmlformats.org/officeDocument/2006/customXml" ds:itemID="{BF94DF54-F563-4616-8121-801E41BCE723}">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4.xml><?xml version="1.0" encoding="utf-8"?>
<ds:datastoreItem xmlns:ds="http://schemas.openxmlformats.org/officeDocument/2006/customXml" ds:itemID="{6CAC4A2C-B4F8-48A1-AB36-0AEDE01F45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BENNETT,Nicole</dc:creator>
  <keywords/>
  <dc:description/>
  <lastModifiedBy>WALKER,Andrew</lastModifiedBy>
  <revision>3</revision>
  <lastPrinted>2025-07-19T15:45:00.0000000Z</lastPrinted>
  <dcterms:created xsi:type="dcterms:W3CDTF">2026-02-03T01:24:00.0000000Z</dcterms:created>
  <dcterms:modified xsi:type="dcterms:W3CDTF">2026-02-03T01:32:21.6099332Z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2024-11-01T00:03:21Z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e2b7ae73-3743-4dda-ac7c-ba511e7c0e3d</vt:lpwstr>
  </property>
  <property fmtid="{D5CDD505-2E9C-101B-9397-08002B2CF9AE}" pid="8" name="MSIP_Label_79d889eb-932f-4752-8739-64d25806ef64_ContentBits">
    <vt:lpwstr>0</vt:lpwstr>
  </property>
  <property fmtid="{D5CDD505-2E9C-101B-9397-08002B2CF9AE}" pid="9" name="ContentTypeId">
    <vt:lpwstr>0x010100D0A9CCE9CD21384385A19063B05DA87A</vt:lpwstr>
  </property>
  <property fmtid="{D5CDD505-2E9C-101B-9397-08002B2CF9AE}" pid="10" name="MediaServiceImageTags">
    <vt:lpwstr/>
  </property>
</Properties>
</file>