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0E4CA" w14:textId="5E05F5BC" w:rsidR="006E5D6E" w:rsidRDefault="00E754B5" w:rsidP="00350FFA">
      <w:pPr>
        <w:ind w:left="-1474"/>
      </w:pPr>
      <w:r>
        <w:rPr>
          <w:noProof/>
        </w:rPr>
        <w:drawing>
          <wp:anchor distT="0" distB="0" distL="114300" distR="114300" simplePos="0" relativeHeight="251659264" behindDoc="0" locked="0" layoutInCell="1" allowOverlap="1" wp14:anchorId="3A9B0A44" wp14:editId="2607017C">
            <wp:simplePos x="0" y="0"/>
            <wp:positionH relativeFrom="column">
              <wp:posOffset>819247</wp:posOffset>
            </wp:positionH>
            <wp:positionV relativeFrom="paragraph">
              <wp:posOffset>244</wp:posOffset>
            </wp:positionV>
            <wp:extent cx="2271600" cy="554400"/>
            <wp:effectExtent l="0" t="0" r="0" b="0"/>
            <wp:wrapThrough wrapText="bothSides">
              <wp:wrapPolygon edited="0">
                <wp:start x="3080" y="0"/>
                <wp:lineTo x="1087" y="2969"/>
                <wp:lineTo x="0" y="7423"/>
                <wp:lineTo x="0" y="16330"/>
                <wp:lineTo x="2355" y="20784"/>
                <wp:lineTo x="4710" y="20784"/>
                <wp:lineTo x="21377" y="20041"/>
                <wp:lineTo x="21377" y="5938"/>
                <wp:lineTo x="3804" y="0"/>
                <wp:lineTo x="3080" y="0"/>
              </wp:wrapPolygon>
            </wp:wrapThrough>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71600" cy="554400"/>
                    </a:xfrm>
                    <a:prstGeom prst="rect">
                      <a:avLst/>
                    </a:prstGeom>
                  </pic:spPr>
                </pic:pic>
              </a:graphicData>
            </a:graphic>
          </wp:anchor>
        </w:drawing>
      </w:r>
      <w:r w:rsidR="00350FFA" w:rsidRPr="00350FFA">
        <w:rPr>
          <w:noProof/>
          <w:lang w:eastAsia="en-AU"/>
        </w:rPr>
        <w:drawing>
          <wp:anchor distT="0" distB="0" distL="114300" distR="114300" simplePos="0" relativeHeight="251658240" behindDoc="1" locked="1" layoutInCell="1" allowOverlap="1" wp14:anchorId="44A2F6E6" wp14:editId="4E4BB097">
            <wp:simplePos x="0" y="0"/>
            <wp:positionH relativeFrom="page">
              <wp:align>right</wp:align>
            </wp:positionH>
            <wp:positionV relativeFrom="page">
              <wp:posOffset>34925</wp:posOffset>
            </wp:positionV>
            <wp:extent cx="7624445" cy="10785475"/>
            <wp:effectExtent l="0" t="0" r="0" b="0"/>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7624445" cy="10785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0C4B">
        <w:t xml:space="preserve">                                                                                                                                                                                                                                                                                                                                              </w:t>
      </w:r>
    </w:p>
    <w:p w14:paraId="4515EB81" w14:textId="3F299A64" w:rsidR="00930CDA" w:rsidRDefault="00930CDA" w:rsidP="00930CDA">
      <w:pPr>
        <w:spacing w:after="160" w:line="720" w:lineRule="auto"/>
        <w:rPr>
          <w:noProof/>
          <w:lang w:eastAsia="en-AU"/>
        </w:rPr>
      </w:pPr>
    </w:p>
    <w:p w14:paraId="626D6033" w14:textId="77777777" w:rsidR="00E754B5" w:rsidRDefault="00E754B5" w:rsidP="002B5C39">
      <w:pPr>
        <w:pStyle w:val="Title"/>
        <w:spacing w:line="240" w:lineRule="auto"/>
        <w:ind w:left="1276"/>
        <w:rPr>
          <w:noProof/>
          <w:lang w:eastAsia="en-AU"/>
        </w:rPr>
      </w:pPr>
    </w:p>
    <w:p w14:paraId="74F890B2" w14:textId="585514DB" w:rsidR="00930CDA" w:rsidRDefault="00A90923" w:rsidP="002B5C39">
      <w:pPr>
        <w:pStyle w:val="Title"/>
        <w:spacing w:line="240" w:lineRule="auto"/>
        <w:ind w:left="1276"/>
        <w:rPr>
          <w:noProof/>
          <w:lang w:eastAsia="en-AU"/>
        </w:rPr>
      </w:pPr>
      <w:r>
        <w:rPr>
          <w:noProof/>
          <w:lang w:eastAsia="en-AU"/>
        </w:rPr>
        <w:t>Undergraduate applications</w:t>
      </w:r>
      <w:r w:rsidR="00B43285">
        <w:rPr>
          <w:noProof/>
          <w:lang w:eastAsia="en-AU"/>
        </w:rPr>
        <w:t xml:space="preserve"> and </w:t>
      </w:r>
      <w:r>
        <w:rPr>
          <w:noProof/>
          <w:lang w:eastAsia="en-AU"/>
        </w:rPr>
        <w:t xml:space="preserve">offers </w:t>
      </w:r>
      <w:r w:rsidR="00C016F5">
        <w:rPr>
          <w:noProof/>
          <w:lang w:eastAsia="en-AU"/>
        </w:rPr>
        <w:t>2025</w:t>
      </w:r>
    </w:p>
    <w:p w14:paraId="0D0AE80C" w14:textId="0A0C8704" w:rsidR="00A13341" w:rsidRDefault="00E765B0" w:rsidP="00C561F2">
      <w:pPr>
        <w:pStyle w:val="Subtitle"/>
        <w:spacing w:before="240"/>
        <w:ind w:left="1276"/>
        <w:rPr>
          <w:noProof/>
          <w:lang w:eastAsia="en-AU"/>
        </w:rPr>
        <w:sectPr w:rsidR="00A13341" w:rsidSect="00EA67FC">
          <w:footerReference w:type="default" r:id="rId14"/>
          <w:type w:val="continuous"/>
          <w:pgSz w:w="11906" w:h="16838"/>
          <w:pgMar w:top="1418" w:right="1440" w:bottom="1560" w:left="1276" w:header="708" w:footer="708" w:gutter="0"/>
          <w:cols w:space="708"/>
          <w:titlePg/>
          <w:docGrid w:linePitch="360"/>
        </w:sectPr>
      </w:pPr>
      <w:r>
        <w:rPr>
          <w:noProof/>
          <w:lang w:eastAsia="en-AU"/>
        </w:rPr>
        <w:t>February</w:t>
      </w:r>
      <w:r w:rsidR="003B290C">
        <w:rPr>
          <w:noProof/>
          <w:lang w:eastAsia="en-AU"/>
        </w:rPr>
        <w:t xml:space="preserve"> </w:t>
      </w:r>
      <w:r w:rsidR="005D0DAC">
        <w:rPr>
          <w:noProof/>
          <w:lang w:eastAsia="en-AU"/>
        </w:rPr>
        <w:t>202</w:t>
      </w:r>
      <w:r w:rsidR="00200440">
        <w:rPr>
          <w:noProof/>
          <w:lang w:eastAsia="en-AU"/>
        </w:rPr>
        <w:t>6</w:t>
      </w:r>
    </w:p>
    <w:p w14:paraId="6E2819CE" w14:textId="77777777" w:rsidR="00A90923" w:rsidRPr="000462F1" w:rsidRDefault="00A90923" w:rsidP="00A90923">
      <w:r w:rsidRPr="000462F1">
        <w:lastRenderedPageBreak/>
        <w:t xml:space="preserve">With the exception of the Commonwealth Coat of Arms, the Department’s logo, any material protected by a trade mark and where otherwise noted all material presented in this document is provided under a </w:t>
      </w:r>
      <w:hyperlink r:id="rId15" w:history="1">
        <w:r w:rsidRPr="004164A2">
          <w:rPr>
            <w:rStyle w:val="Hyperlink"/>
          </w:rPr>
          <w:t>Creative Commons Attribution 4.0 International</w:t>
        </w:r>
      </w:hyperlink>
      <w:r>
        <w:t xml:space="preserve"> </w:t>
      </w:r>
      <w:r w:rsidRPr="000462F1">
        <w:t>(</w:t>
      </w:r>
      <w:r w:rsidRPr="00EC78E7">
        <w:t>http://creativecommons.org/licenses/by/3.0/au/</w:t>
      </w:r>
      <w:r w:rsidRPr="000462F1">
        <w:t xml:space="preserve">) licence. </w:t>
      </w:r>
    </w:p>
    <w:p w14:paraId="1372DD1D" w14:textId="77777777" w:rsidR="00A90923" w:rsidRPr="000462F1" w:rsidRDefault="00A90923" w:rsidP="00A90923">
      <w:r w:rsidRPr="000462F1">
        <w:t xml:space="preserve">The details of the relevant licence conditions are available on the Creative Commons website (accessible using the links provided) as is the full legal code for the </w:t>
      </w:r>
      <w:hyperlink r:id="rId16" w:history="1">
        <w:r w:rsidRPr="004164A2">
          <w:rPr>
            <w:rStyle w:val="Hyperlink"/>
          </w:rPr>
          <w:t>CC BY 4.0 International</w:t>
        </w:r>
      </w:hyperlink>
      <w:r w:rsidRPr="000462F1">
        <w:t xml:space="preserve"> (</w:t>
      </w:r>
      <w:r w:rsidRPr="00EC78E7">
        <w:t>http://creativecommons.org/licenses/by/</w:t>
      </w:r>
      <w:r>
        <w:t>4</w:t>
      </w:r>
      <w:r w:rsidRPr="00EC78E7">
        <w:t>.0</w:t>
      </w:r>
      <w:r>
        <w:t>/</w:t>
      </w:r>
      <w:r w:rsidRPr="00EC78E7">
        <w:t>legalcode</w:t>
      </w:r>
      <w:r w:rsidRPr="000462F1">
        <w:t xml:space="preserve">). </w:t>
      </w:r>
    </w:p>
    <w:p w14:paraId="38995CF4" w14:textId="76E6C9D6" w:rsidR="00A90923" w:rsidRDefault="00A90923" w:rsidP="00A90923">
      <w:pPr>
        <w:widowControl w:val="0"/>
        <w:rPr>
          <w:sz w:val="20"/>
          <w:szCs w:val="20"/>
        </w:rPr>
      </w:pPr>
      <w:r w:rsidRPr="000462F1">
        <w:t>The document must be attributed as the</w:t>
      </w:r>
      <w:r>
        <w:t xml:space="preserve"> Undergraduate applications</w:t>
      </w:r>
      <w:r w:rsidR="00414390">
        <w:t xml:space="preserve"> and </w:t>
      </w:r>
      <w:r>
        <w:t xml:space="preserve">offers </w:t>
      </w:r>
      <w:r w:rsidR="00181499">
        <w:t>202</w:t>
      </w:r>
      <w:r w:rsidR="00C016F5">
        <w:t>5</w:t>
      </w:r>
      <w:r>
        <w:t>.</w:t>
      </w:r>
    </w:p>
    <w:p w14:paraId="091ADE1A" w14:textId="77777777" w:rsidR="00A90923" w:rsidRDefault="00A90923" w:rsidP="00A90923">
      <w:pPr>
        <w:pStyle w:val="numberedpara"/>
        <w:numPr>
          <w:ilvl w:val="0"/>
          <w:numId w:val="0"/>
        </w:numPr>
        <w:tabs>
          <w:tab w:val="left" w:pos="720"/>
        </w:tabs>
        <w:spacing w:after="120"/>
        <w:rPr>
          <w:sz w:val="20"/>
          <w:szCs w:val="20"/>
        </w:rPr>
      </w:pPr>
    </w:p>
    <w:p w14:paraId="5CB7F320" w14:textId="77777777" w:rsidR="00003265" w:rsidRDefault="00003265" w:rsidP="00A90923">
      <w:pPr>
        <w:pStyle w:val="numberedpara"/>
        <w:numPr>
          <w:ilvl w:val="0"/>
          <w:numId w:val="0"/>
        </w:numPr>
        <w:tabs>
          <w:tab w:val="left" w:pos="720"/>
        </w:tabs>
        <w:spacing w:after="120"/>
        <w:rPr>
          <w:sz w:val="20"/>
          <w:szCs w:val="20"/>
        </w:rPr>
      </w:pPr>
    </w:p>
    <w:p w14:paraId="6E8FD80D" w14:textId="77777777" w:rsidR="00003265" w:rsidRDefault="00003265" w:rsidP="00A90923">
      <w:pPr>
        <w:pStyle w:val="numberedpara"/>
        <w:numPr>
          <w:ilvl w:val="0"/>
          <w:numId w:val="0"/>
        </w:numPr>
        <w:tabs>
          <w:tab w:val="left" w:pos="720"/>
        </w:tabs>
        <w:spacing w:after="120"/>
        <w:rPr>
          <w:sz w:val="20"/>
          <w:szCs w:val="20"/>
        </w:rPr>
        <w:sectPr w:rsidR="00003265" w:rsidSect="00A90923">
          <w:pgSz w:w="11906" w:h="16838"/>
          <w:pgMar w:top="10632" w:right="1440" w:bottom="1440" w:left="1440" w:header="708" w:footer="708" w:gutter="0"/>
          <w:cols w:space="708"/>
          <w:docGrid w:linePitch="360"/>
        </w:sectPr>
      </w:pPr>
    </w:p>
    <w:sdt>
      <w:sdtPr>
        <w:rPr>
          <w:rFonts w:asciiTheme="minorHAnsi" w:eastAsiaTheme="minorEastAsia" w:hAnsiTheme="minorHAnsi" w:cstheme="minorBidi"/>
          <w:b w:val="0"/>
          <w:bCs/>
          <w:color w:val="auto"/>
          <w:sz w:val="22"/>
          <w:szCs w:val="22"/>
        </w:rPr>
        <w:id w:val="-139263470"/>
        <w:docPartObj>
          <w:docPartGallery w:val="Table of Contents"/>
          <w:docPartUnique/>
        </w:docPartObj>
      </w:sdtPr>
      <w:sdtEndPr>
        <w:rPr>
          <w:rFonts w:eastAsiaTheme="minorHAnsi"/>
          <w:bCs w:val="0"/>
          <w:noProof/>
        </w:rPr>
      </w:sdtEndPr>
      <w:sdtContent>
        <w:p w14:paraId="1F605BA4" w14:textId="77777777" w:rsidR="00A90923" w:rsidRPr="00A90923" w:rsidRDefault="00A90923" w:rsidP="00A90923">
          <w:pPr>
            <w:pStyle w:val="TOCHeading"/>
            <w:rPr>
              <w:b w:val="0"/>
            </w:rPr>
          </w:pPr>
          <w:r w:rsidRPr="00A90923">
            <w:rPr>
              <w:b w:val="0"/>
            </w:rPr>
            <w:t>Contents</w:t>
          </w:r>
        </w:p>
        <w:p w14:paraId="56DC74D0" w14:textId="73B798DD" w:rsidR="009C4235" w:rsidRDefault="00A90923">
          <w:pPr>
            <w:pStyle w:val="TOC1"/>
            <w:tabs>
              <w:tab w:val="right" w:leader="dot" w:pos="9016"/>
            </w:tabs>
            <w:rPr>
              <w:rFonts w:eastAsiaTheme="minorEastAsia"/>
              <w:b w:val="0"/>
              <w:noProof/>
              <w:kern w:val="2"/>
              <w:sz w:val="24"/>
              <w:szCs w:val="24"/>
              <w:lang w:eastAsia="en-AU"/>
              <w14:ligatures w14:val="standardContextual"/>
            </w:rPr>
          </w:pPr>
          <w:r w:rsidRPr="00A90923">
            <w:rPr>
              <w:b w:val="0"/>
            </w:rPr>
            <w:fldChar w:fldCharType="begin"/>
          </w:r>
          <w:r w:rsidRPr="00A90923">
            <w:rPr>
              <w:b w:val="0"/>
            </w:rPr>
            <w:instrText xml:space="preserve"> TOC \o "1-3" \h \z \u </w:instrText>
          </w:r>
          <w:r w:rsidRPr="00A90923">
            <w:rPr>
              <w:b w:val="0"/>
            </w:rPr>
            <w:fldChar w:fldCharType="separate"/>
          </w:r>
          <w:hyperlink w:anchor="_Toc212734156" w:history="1">
            <w:r w:rsidR="009C4235" w:rsidRPr="00646AF0">
              <w:rPr>
                <w:rStyle w:val="Hyperlink"/>
                <w:noProof/>
              </w:rPr>
              <w:t>Introduction</w:t>
            </w:r>
            <w:r w:rsidR="009C4235">
              <w:rPr>
                <w:noProof/>
                <w:webHidden/>
              </w:rPr>
              <w:tab/>
            </w:r>
            <w:r w:rsidR="009C4235">
              <w:rPr>
                <w:noProof/>
                <w:webHidden/>
              </w:rPr>
              <w:fldChar w:fldCharType="begin"/>
            </w:r>
            <w:r w:rsidR="009C4235">
              <w:rPr>
                <w:noProof/>
                <w:webHidden/>
              </w:rPr>
              <w:instrText xml:space="preserve"> PAGEREF _Toc212734156 \h </w:instrText>
            </w:r>
            <w:r w:rsidR="009C4235">
              <w:rPr>
                <w:noProof/>
                <w:webHidden/>
              </w:rPr>
            </w:r>
            <w:r w:rsidR="009C4235">
              <w:rPr>
                <w:noProof/>
                <w:webHidden/>
              </w:rPr>
              <w:fldChar w:fldCharType="separate"/>
            </w:r>
            <w:r w:rsidR="00907FF1">
              <w:rPr>
                <w:noProof/>
                <w:webHidden/>
              </w:rPr>
              <w:t>4</w:t>
            </w:r>
            <w:r w:rsidR="009C4235">
              <w:rPr>
                <w:noProof/>
                <w:webHidden/>
              </w:rPr>
              <w:fldChar w:fldCharType="end"/>
            </w:r>
          </w:hyperlink>
        </w:p>
        <w:p w14:paraId="627A358A" w14:textId="0CD25C3F" w:rsidR="009C4235" w:rsidRDefault="009C4235">
          <w:pPr>
            <w:pStyle w:val="TOC2"/>
            <w:tabs>
              <w:tab w:val="right" w:leader="dot" w:pos="9016"/>
            </w:tabs>
            <w:rPr>
              <w:rFonts w:eastAsiaTheme="minorEastAsia"/>
              <w:noProof/>
              <w:kern w:val="2"/>
              <w:sz w:val="24"/>
              <w:szCs w:val="24"/>
              <w:lang w:eastAsia="en-AU"/>
              <w14:ligatures w14:val="standardContextual"/>
            </w:rPr>
          </w:pPr>
          <w:hyperlink w:anchor="_Toc212734157" w:history="1">
            <w:r w:rsidRPr="00646AF0">
              <w:rPr>
                <w:rStyle w:val="Hyperlink"/>
                <w:noProof/>
              </w:rPr>
              <w:t>Key terminology used in this report</w:t>
            </w:r>
            <w:r>
              <w:rPr>
                <w:noProof/>
                <w:webHidden/>
              </w:rPr>
              <w:tab/>
            </w:r>
            <w:r>
              <w:rPr>
                <w:noProof/>
                <w:webHidden/>
              </w:rPr>
              <w:fldChar w:fldCharType="begin"/>
            </w:r>
            <w:r>
              <w:rPr>
                <w:noProof/>
                <w:webHidden/>
              </w:rPr>
              <w:instrText xml:space="preserve"> PAGEREF _Toc212734157 \h </w:instrText>
            </w:r>
            <w:r>
              <w:rPr>
                <w:noProof/>
                <w:webHidden/>
              </w:rPr>
            </w:r>
            <w:r>
              <w:rPr>
                <w:noProof/>
                <w:webHidden/>
              </w:rPr>
              <w:fldChar w:fldCharType="separate"/>
            </w:r>
            <w:r w:rsidR="00907FF1">
              <w:rPr>
                <w:noProof/>
                <w:webHidden/>
              </w:rPr>
              <w:t>5</w:t>
            </w:r>
            <w:r>
              <w:rPr>
                <w:noProof/>
                <w:webHidden/>
              </w:rPr>
              <w:fldChar w:fldCharType="end"/>
            </w:r>
          </w:hyperlink>
        </w:p>
        <w:p w14:paraId="0564D125" w14:textId="3D7A5E22" w:rsidR="009C4235" w:rsidRDefault="009C4235">
          <w:pPr>
            <w:pStyle w:val="TOC2"/>
            <w:tabs>
              <w:tab w:val="right" w:leader="dot" w:pos="9016"/>
            </w:tabs>
            <w:rPr>
              <w:rFonts w:eastAsiaTheme="minorEastAsia"/>
              <w:noProof/>
              <w:kern w:val="2"/>
              <w:sz w:val="24"/>
              <w:szCs w:val="24"/>
              <w:lang w:eastAsia="en-AU"/>
              <w14:ligatures w14:val="standardContextual"/>
            </w:rPr>
          </w:pPr>
          <w:hyperlink w:anchor="_Toc212734158" w:history="1">
            <w:r w:rsidRPr="00646AF0">
              <w:rPr>
                <w:rStyle w:val="Hyperlink"/>
                <w:noProof/>
              </w:rPr>
              <w:t>Acknowledgements</w:t>
            </w:r>
            <w:r>
              <w:rPr>
                <w:noProof/>
                <w:webHidden/>
              </w:rPr>
              <w:tab/>
            </w:r>
            <w:r>
              <w:rPr>
                <w:noProof/>
                <w:webHidden/>
              </w:rPr>
              <w:fldChar w:fldCharType="begin"/>
            </w:r>
            <w:r>
              <w:rPr>
                <w:noProof/>
                <w:webHidden/>
              </w:rPr>
              <w:instrText xml:space="preserve"> PAGEREF _Toc212734158 \h </w:instrText>
            </w:r>
            <w:r>
              <w:rPr>
                <w:noProof/>
                <w:webHidden/>
              </w:rPr>
            </w:r>
            <w:r>
              <w:rPr>
                <w:noProof/>
                <w:webHidden/>
              </w:rPr>
              <w:fldChar w:fldCharType="separate"/>
            </w:r>
            <w:r w:rsidR="00907FF1">
              <w:rPr>
                <w:noProof/>
                <w:webHidden/>
              </w:rPr>
              <w:t>6</w:t>
            </w:r>
            <w:r>
              <w:rPr>
                <w:noProof/>
                <w:webHidden/>
              </w:rPr>
              <w:fldChar w:fldCharType="end"/>
            </w:r>
          </w:hyperlink>
        </w:p>
        <w:p w14:paraId="07B81C09" w14:textId="5636018B" w:rsidR="009C4235" w:rsidRDefault="009C4235">
          <w:pPr>
            <w:pStyle w:val="TOC1"/>
            <w:tabs>
              <w:tab w:val="right" w:leader="dot" w:pos="9016"/>
            </w:tabs>
            <w:rPr>
              <w:rFonts w:eastAsiaTheme="minorEastAsia"/>
              <w:b w:val="0"/>
              <w:noProof/>
              <w:kern w:val="2"/>
              <w:sz w:val="24"/>
              <w:szCs w:val="24"/>
              <w:lang w:eastAsia="en-AU"/>
              <w14:ligatures w14:val="standardContextual"/>
            </w:rPr>
          </w:pPr>
          <w:hyperlink w:anchor="_Toc212734159" w:history="1">
            <w:r w:rsidRPr="00646AF0">
              <w:rPr>
                <w:rStyle w:val="Hyperlink"/>
                <w:noProof/>
              </w:rPr>
              <w:t>Key Findings</w:t>
            </w:r>
            <w:r>
              <w:rPr>
                <w:noProof/>
                <w:webHidden/>
              </w:rPr>
              <w:tab/>
            </w:r>
            <w:r>
              <w:rPr>
                <w:noProof/>
                <w:webHidden/>
              </w:rPr>
              <w:fldChar w:fldCharType="begin"/>
            </w:r>
            <w:r>
              <w:rPr>
                <w:noProof/>
                <w:webHidden/>
              </w:rPr>
              <w:instrText xml:space="preserve"> PAGEREF _Toc212734159 \h </w:instrText>
            </w:r>
            <w:r>
              <w:rPr>
                <w:noProof/>
                <w:webHidden/>
              </w:rPr>
            </w:r>
            <w:r>
              <w:rPr>
                <w:noProof/>
                <w:webHidden/>
              </w:rPr>
              <w:fldChar w:fldCharType="separate"/>
            </w:r>
            <w:r w:rsidR="00907FF1">
              <w:rPr>
                <w:noProof/>
                <w:webHidden/>
              </w:rPr>
              <w:t>7</w:t>
            </w:r>
            <w:r>
              <w:rPr>
                <w:noProof/>
                <w:webHidden/>
              </w:rPr>
              <w:fldChar w:fldCharType="end"/>
            </w:r>
          </w:hyperlink>
        </w:p>
        <w:p w14:paraId="3D184376" w14:textId="47EB4A45" w:rsidR="009C4235" w:rsidRDefault="009C4235">
          <w:pPr>
            <w:pStyle w:val="TOC2"/>
            <w:tabs>
              <w:tab w:val="right" w:leader="dot" w:pos="9016"/>
            </w:tabs>
            <w:rPr>
              <w:rFonts w:eastAsiaTheme="minorEastAsia"/>
              <w:noProof/>
              <w:kern w:val="2"/>
              <w:sz w:val="24"/>
              <w:szCs w:val="24"/>
              <w:lang w:eastAsia="en-AU"/>
              <w14:ligatures w14:val="standardContextual"/>
            </w:rPr>
          </w:pPr>
          <w:hyperlink w:anchor="_Toc212734160" w:history="1">
            <w:r w:rsidRPr="00646AF0">
              <w:rPr>
                <w:rStyle w:val="Hyperlink"/>
                <w:noProof/>
              </w:rPr>
              <w:t>There are diverse pathways to university commencement</w:t>
            </w:r>
            <w:r>
              <w:rPr>
                <w:noProof/>
                <w:webHidden/>
              </w:rPr>
              <w:tab/>
            </w:r>
            <w:r>
              <w:rPr>
                <w:noProof/>
                <w:webHidden/>
              </w:rPr>
              <w:fldChar w:fldCharType="begin"/>
            </w:r>
            <w:r>
              <w:rPr>
                <w:noProof/>
                <w:webHidden/>
              </w:rPr>
              <w:instrText xml:space="preserve"> PAGEREF _Toc212734160 \h </w:instrText>
            </w:r>
            <w:r>
              <w:rPr>
                <w:noProof/>
                <w:webHidden/>
              </w:rPr>
            </w:r>
            <w:r>
              <w:rPr>
                <w:noProof/>
                <w:webHidden/>
              </w:rPr>
              <w:fldChar w:fldCharType="separate"/>
            </w:r>
            <w:r w:rsidR="00907FF1">
              <w:rPr>
                <w:noProof/>
                <w:webHidden/>
              </w:rPr>
              <w:t>7</w:t>
            </w:r>
            <w:r>
              <w:rPr>
                <w:noProof/>
                <w:webHidden/>
              </w:rPr>
              <w:fldChar w:fldCharType="end"/>
            </w:r>
          </w:hyperlink>
        </w:p>
        <w:p w14:paraId="66E0D690" w14:textId="49658592" w:rsidR="009C4235" w:rsidRDefault="009C4235">
          <w:pPr>
            <w:pStyle w:val="TOC2"/>
            <w:tabs>
              <w:tab w:val="right" w:leader="dot" w:pos="9016"/>
            </w:tabs>
            <w:rPr>
              <w:rFonts w:eastAsiaTheme="minorEastAsia"/>
              <w:noProof/>
              <w:kern w:val="2"/>
              <w:sz w:val="24"/>
              <w:szCs w:val="24"/>
              <w:lang w:eastAsia="en-AU"/>
              <w14:ligatures w14:val="standardContextual"/>
            </w:rPr>
          </w:pPr>
          <w:hyperlink w:anchor="_Toc212734161" w:history="1">
            <w:r w:rsidRPr="00646AF0">
              <w:rPr>
                <w:rStyle w:val="Hyperlink"/>
                <w:noProof/>
              </w:rPr>
              <w:t>Offer rate has been steadily increasing since 2010</w:t>
            </w:r>
            <w:r>
              <w:rPr>
                <w:noProof/>
                <w:webHidden/>
              </w:rPr>
              <w:tab/>
            </w:r>
            <w:r>
              <w:rPr>
                <w:noProof/>
                <w:webHidden/>
              </w:rPr>
              <w:fldChar w:fldCharType="begin"/>
            </w:r>
            <w:r>
              <w:rPr>
                <w:noProof/>
                <w:webHidden/>
              </w:rPr>
              <w:instrText xml:space="preserve"> PAGEREF _Toc212734161 \h </w:instrText>
            </w:r>
            <w:r>
              <w:rPr>
                <w:noProof/>
                <w:webHidden/>
              </w:rPr>
            </w:r>
            <w:r>
              <w:rPr>
                <w:noProof/>
                <w:webHidden/>
              </w:rPr>
              <w:fldChar w:fldCharType="separate"/>
            </w:r>
            <w:r w:rsidR="00907FF1">
              <w:rPr>
                <w:noProof/>
                <w:webHidden/>
              </w:rPr>
              <w:t>8</w:t>
            </w:r>
            <w:r>
              <w:rPr>
                <w:noProof/>
                <w:webHidden/>
              </w:rPr>
              <w:fldChar w:fldCharType="end"/>
            </w:r>
          </w:hyperlink>
        </w:p>
        <w:p w14:paraId="5A944434" w14:textId="6DBBC37E" w:rsidR="009C4235" w:rsidRDefault="009C4235">
          <w:pPr>
            <w:pStyle w:val="TOC3"/>
            <w:tabs>
              <w:tab w:val="right" w:leader="dot" w:pos="9016"/>
            </w:tabs>
            <w:rPr>
              <w:rFonts w:eastAsiaTheme="minorEastAsia"/>
              <w:noProof/>
              <w:kern w:val="2"/>
              <w:sz w:val="24"/>
              <w:szCs w:val="24"/>
              <w:lang w:eastAsia="en-AU"/>
              <w14:ligatures w14:val="standardContextual"/>
            </w:rPr>
          </w:pPr>
          <w:hyperlink w:anchor="_Toc212734162" w:history="1">
            <w:r w:rsidRPr="00646AF0">
              <w:rPr>
                <w:rStyle w:val="Hyperlink"/>
                <w:b/>
                <w:noProof/>
              </w:rPr>
              <w:t>Most applicants were not Year 12 students</w:t>
            </w:r>
            <w:r>
              <w:rPr>
                <w:noProof/>
                <w:webHidden/>
              </w:rPr>
              <w:tab/>
            </w:r>
            <w:r>
              <w:rPr>
                <w:noProof/>
                <w:webHidden/>
              </w:rPr>
              <w:fldChar w:fldCharType="begin"/>
            </w:r>
            <w:r>
              <w:rPr>
                <w:noProof/>
                <w:webHidden/>
              </w:rPr>
              <w:instrText xml:space="preserve"> PAGEREF _Toc212734162 \h </w:instrText>
            </w:r>
            <w:r>
              <w:rPr>
                <w:noProof/>
                <w:webHidden/>
              </w:rPr>
            </w:r>
            <w:r>
              <w:rPr>
                <w:noProof/>
                <w:webHidden/>
              </w:rPr>
              <w:fldChar w:fldCharType="separate"/>
            </w:r>
            <w:r w:rsidR="00907FF1">
              <w:rPr>
                <w:noProof/>
                <w:webHidden/>
              </w:rPr>
              <w:t>8</w:t>
            </w:r>
            <w:r>
              <w:rPr>
                <w:noProof/>
                <w:webHidden/>
              </w:rPr>
              <w:fldChar w:fldCharType="end"/>
            </w:r>
          </w:hyperlink>
        </w:p>
        <w:p w14:paraId="05095C55" w14:textId="750626C6" w:rsidR="009C4235" w:rsidRDefault="009C4235">
          <w:pPr>
            <w:pStyle w:val="TOC2"/>
            <w:tabs>
              <w:tab w:val="right" w:leader="dot" w:pos="9016"/>
            </w:tabs>
            <w:rPr>
              <w:rFonts w:eastAsiaTheme="minorEastAsia"/>
              <w:noProof/>
              <w:kern w:val="2"/>
              <w:sz w:val="24"/>
              <w:szCs w:val="24"/>
              <w:lang w:eastAsia="en-AU"/>
              <w14:ligatures w14:val="standardContextual"/>
            </w:rPr>
          </w:pPr>
          <w:hyperlink w:anchor="_Toc212734163" w:history="1">
            <w:r w:rsidRPr="00646AF0">
              <w:rPr>
                <w:rStyle w:val="Hyperlink"/>
                <w:noProof/>
              </w:rPr>
              <w:t>Breakdown by key factors</w:t>
            </w:r>
            <w:r>
              <w:rPr>
                <w:noProof/>
                <w:webHidden/>
              </w:rPr>
              <w:tab/>
            </w:r>
            <w:r>
              <w:rPr>
                <w:noProof/>
                <w:webHidden/>
              </w:rPr>
              <w:fldChar w:fldCharType="begin"/>
            </w:r>
            <w:r>
              <w:rPr>
                <w:noProof/>
                <w:webHidden/>
              </w:rPr>
              <w:instrText xml:space="preserve"> PAGEREF _Toc212734163 \h </w:instrText>
            </w:r>
            <w:r>
              <w:rPr>
                <w:noProof/>
                <w:webHidden/>
              </w:rPr>
            </w:r>
            <w:r>
              <w:rPr>
                <w:noProof/>
                <w:webHidden/>
              </w:rPr>
              <w:fldChar w:fldCharType="separate"/>
            </w:r>
            <w:r w:rsidR="00907FF1">
              <w:rPr>
                <w:noProof/>
                <w:webHidden/>
              </w:rPr>
              <w:t>10</w:t>
            </w:r>
            <w:r>
              <w:rPr>
                <w:noProof/>
                <w:webHidden/>
              </w:rPr>
              <w:fldChar w:fldCharType="end"/>
            </w:r>
          </w:hyperlink>
        </w:p>
        <w:p w14:paraId="5327C966" w14:textId="111C88CB" w:rsidR="009C4235" w:rsidRDefault="009C4235">
          <w:pPr>
            <w:pStyle w:val="TOC3"/>
            <w:tabs>
              <w:tab w:val="right" w:leader="dot" w:pos="9016"/>
            </w:tabs>
            <w:rPr>
              <w:rFonts w:eastAsiaTheme="minorEastAsia"/>
              <w:noProof/>
              <w:kern w:val="2"/>
              <w:sz w:val="24"/>
              <w:szCs w:val="24"/>
              <w:lang w:eastAsia="en-AU"/>
              <w14:ligatures w14:val="standardContextual"/>
            </w:rPr>
          </w:pPr>
          <w:hyperlink w:anchor="_Toc212734164" w:history="1">
            <w:r w:rsidRPr="00646AF0">
              <w:rPr>
                <w:rStyle w:val="Hyperlink"/>
                <w:b/>
                <w:noProof/>
              </w:rPr>
              <w:t>Health is the most popular field of education</w:t>
            </w:r>
            <w:r>
              <w:rPr>
                <w:noProof/>
                <w:webHidden/>
              </w:rPr>
              <w:tab/>
            </w:r>
            <w:r>
              <w:rPr>
                <w:noProof/>
                <w:webHidden/>
              </w:rPr>
              <w:fldChar w:fldCharType="begin"/>
            </w:r>
            <w:r>
              <w:rPr>
                <w:noProof/>
                <w:webHidden/>
              </w:rPr>
              <w:instrText xml:space="preserve"> PAGEREF _Toc212734164 \h </w:instrText>
            </w:r>
            <w:r>
              <w:rPr>
                <w:noProof/>
                <w:webHidden/>
              </w:rPr>
            </w:r>
            <w:r>
              <w:rPr>
                <w:noProof/>
                <w:webHidden/>
              </w:rPr>
              <w:fldChar w:fldCharType="separate"/>
            </w:r>
            <w:r w:rsidR="00907FF1">
              <w:rPr>
                <w:noProof/>
                <w:webHidden/>
              </w:rPr>
              <w:t>10</w:t>
            </w:r>
            <w:r>
              <w:rPr>
                <w:noProof/>
                <w:webHidden/>
              </w:rPr>
              <w:fldChar w:fldCharType="end"/>
            </w:r>
          </w:hyperlink>
        </w:p>
        <w:p w14:paraId="38662173" w14:textId="5A86EC17" w:rsidR="009C4235" w:rsidRDefault="009C4235">
          <w:pPr>
            <w:pStyle w:val="TOC3"/>
            <w:tabs>
              <w:tab w:val="right" w:leader="dot" w:pos="9016"/>
            </w:tabs>
            <w:rPr>
              <w:rFonts w:eastAsiaTheme="minorEastAsia"/>
              <w:noProof/>
              <w:kern w:val="2"/>
              <w:sz w:val="24"/>
              <w:szCs w:val="24"/>
              <w:lang w:eastAsia="en-AU"/>
              <w14:ligatures w14:val="standardContextual"/>
            </w:rPr>
          </w:pPr>
          <w:hyperlink w:anchor="_Toc212734165" w:history="1">
            <w:r w:rsidRPr="00646AF0">
              <w:rPr>
                <w:rStyle w:val="Hyperlink"/>
                <w:b/>
                <w:noProof/>
              </w:rPr>
              <w:t>Equity groups</w:t>
            </w:r>
            <w:r>
              <w:rPr>
                <w:noProof/>
                <w:webHidden/>
              </w:rPr>
              <w:tab/>
            </w:r>
            <w:r>
              <w:rPr>
                <w:noProof/>
                <w:webHidden/>
              </w:rPr>
              <w:fldChar w:fldCharType="begin"/>
            </w:r>
            <w:r>
              <w:rPr>
                <w:noProof/>
                <w:webHidden/>
              </w:rPr>
              <w:instrText xml:space="preserve"> PAGEREF _Toc212734165 \h </w:instrText>
            </w:r>
            <w:r>
              <w:rPr>
                <w:noProof/>
                <w:webHidden/>
              </w:rPr>
            </w:r>
            <w:r>
              <w:rPr>
                <w:noProof/>
                <w:webHidden/>
              </w:rPr>
              <w:fldChar w:fldCharType="separate"/>
            </w:r>
            <w:r w:rsidR="00907FF1">
              <w:rPr>
                <w:noProof/>
                <w:webHidden/>
              </w:rPr>
              <w:t>10</w:t>
            </w:r>
            <w:r>
              <w:rPr>
                <w:noProof/>
                <w:webHidden/>
              </w:rPr>
              <w:fldChar w:fldCharType="end"/>
            </w:r>
          </w:hyperlink>
        </w:p>
        <w:p w14:paraId="411E18FC" w14:textId="214D8280" w:rsidR="009C4235" w:rsidRDefault="009C4235">
          <w:pPr>
            <w:pStyle w:val="TOC3"/>
            <w:tabs>
              <w:tab w:val="right" w:leader="dot" w:pos="9016"/>
            </w:tabs>
            <w:rPr>
              <w:rFonts w:eastAsiaTheme="minorEastAsia"/>
              <w:noProof/>
              <w:kern w:val="2"/>
              <w:sz w:val="24"/>
              <w:szCs w:val="24"/>
              <w:lang w:eastAsia="en-AU"/>
              <w14:ligatures w14:val="standardContextual"/>
            </w:rPr>
          </w:pPr>
          <w:hyperlink w:anchor="_Toc212734166" w:history="1">
            <w:r w:rsidRPr="00646AF0">
              <w:rPr>
                <w:rStyle w:val="Hyperlink"/>
                <w:b/>
                <w:noProof/>
              </w:rPr>
              <w:t>Australian Tertiary Admission Rank (ATAR)</w:t>
            </w:r>
            <w:r>
              <w:rPr>
                <w:noProof/>
                <w:webHidden/>
              </w:rPr>
              <w:tab/>
            </w:r>
            <w:r>
              <w:rPr>
                <w:noProof/>
                <w:webHidden/>
              </w:rPr>
              <w:fldChar w:fldCharType="begin"/>
            </w:r>
            <w:r>
              <w:rPr>
                <w:noProof/>
                <w:webHidden/>
              </w:rPr>
              <w:instrText xml:space="preserve"> PAGEREF _Toc212734166 \h </w:instrText>
            </w:r>
            <w:r>
              <w:rPr>
                <w:noProof/>
                <w:webHidden/>
              </w:rPr>
            </w:r>
            <w:r>
              <w:rPr>
                <w:noProof/>
                <w:webHidden/>
              </w:rPr>
              <w:fldChar w:fldCharType="separate"/>
            </w:r>
            <w:r w:rsidR="00907FF1">
              <w:rPr>
                <w:noProof/>
                <w:webHidden/>
              </w:rPr>
              <w:t>12</w:t>
            </w:r>
            <w:r>
              <w:rPr>
                <w:noProof/>
                <w:webHidden/>
              </w:rPr>
              <w:fldChar w:fldCharType="end"/>
            </w:r>
          </w:hyperlink>
        </w:p>
        <w:p w14:paraId="3AB15E14" w14:textId="0F862609" w:rsidR="009C4235" w:rsidRDefault="009C4235">
          <w:pPr>
            <w:pStyle w:val="TOC3"/>
            <w:tabs>
              <w:tab w:val="right" w:leader="dot" w:pos="9016"/>
            </w:tabs>
            <w:rPr>
              <w:rFonts w:eastAsiaTheme="minorEastAsia"/>
              <w:noProof/>
              <w:kern w:val="2"/>
              <w:sz w:val="24"/>
              <w:szCs w:val="24"/>
              <w:lang w:eastAsia="en-AU"/>
              <w14:ligatures w14:val="standardContextual"/>
            </w:rPr>
          </w:pPr>
          <w:hyperlink w:anchor="_Toc212734167" w:history="1">
            <w:r w:rsidRPr="00646AF0">
              <w:rPr>
                <w:rStyle w:val="Hyperlink"/>
                <w:b/>
                <w:noProof/>
              </w:rPr>
              <w:t>Propensity to apply to university by Current Year 12 students</w:t>
            </w:r>
            <w:r>
              <w:rPr>
                <w:noProof/>
                <w:webHidden/>
              </w:rPr>
              <w:tab/>
            </w:r>
            <w:r>
              <w:rPr>
                <w:noProof/>
                <w:webHidden/>
              </w:rPr>
              <w:fldChar w:fldCharType="begin"/>
            </w:r>
            <w:r>
              <w:rPr>
                <w:noProof/>
                <w:webHidden/>
              </w:rPr>
              <w:instrText xml:space="preserve"> PAGEREF _Toc212734167 \h </w:instrText>
            </w:r>
            <w:r>
              <w:rPr>
                <w:noProof/>
                <w:webHidden/>
              </w:rPr>
            </w:r>
            <w:r>
              <w:rPr>
                <w:noProof/>
                <w:webHidden/>
              </w:rPr>
              <w:fldChar w:fldCharType="separate"/>
            </w:r>
            <w:r w:rsidR="00907FF1">
              <w:rPr>
                <w:noProof/>
                <w:webHidden/>
              </w:rPr>
              <w:t>13</w:t>
            </w:r>
            <w:r>
              <w:rPr>
                <w:noProof/>
                <w:webHidden/>
              </w:rPr>
              <w:fldChar w:fldCharType="end"/>
            </w:r>
          </w:hyperlink>
        </w:p>
        <w:p w14:paraId="4172F9A3" w14:textId="1C3962DC" w:rsidR="009C4235" w:rsidRDefault="009C4235">
          <w:pPr>
            <w:pStyle w:val="TOC3"/>
            <w:tabs>
              <w:tab w:val="right" w:leader="dot" w:pos="9016"/>
            </w:tabs>
            <w:rPr>
              <w:rFonts w:eastAsiaTheme="minorEastAsia"/>
              <w:noProof/>
              <w:kern w:val="2"/>
              <w:sz w:val="24"/>
              <w:szCs w:val="24"/>
              <w:lang w:eastAsia="en-AU"/>
              <w14:ligatures w14:val="standardContextual"/>
            </w:rPr>
          </w:pPr>
          <w:hyperlink w:anchor="_Toc212734168" w:history="1">
            <w:r w:rsidRPr="00646AF0">
              <w:rPr>
                <w:rStyle w:val="Hyperlink"/>
                <w:b/>
                <w:noProof/>
              </w:rPr>
              <w:t>University groups</w:t>
            </w:r>
            <w:r>
              <w:rPr>
                <w:noProof/>
                <w:webHidden/>
              </w:rPr>
              <w:tab/>
            </w:r>
            <w:r>
              <w:rPr>
                <w:noProof/>
                <w:webHidden/>
              </w:rPr>
              <w:fldChar w:fldCharType="begin"/>
            </w:r>
            <w:r>
              <w:rPr>
                <w:noProof/>
                <w:webHidden/>
              </w:rPr>
              <w:instrText xml:space="preserve"> PAGEREF _Toc212734168 \h </w:instrText>
            </w:r>
            <w:r>
              <w:rPr>
                <w:noProof/>
                <w:webHidden/>
              </w:rPr>
            </w:r>
            <w:r>
              <w:rPr>
                <w:noProof/>
                <w:webHidden/>
              </w:rPr>
              <w:fldChar w:fldCharType="separate"/>
            </w:r>
            <w:r w:rsidR="00907FF1">
              <w:rPr>
                <w:noProof/>
                <w:webHidden/>
              </w:rPr>
              <w:t>13</w:t>
            </w:r>
            <w:r>
              <w:rPr>
                <w:noProof/>
                <w:webHidden/>
              </w:rPr>
              <w:fldChar w:fldCharType="end"/>
            </w:r>
          </w:hyperlink>
        </w:p>
        <w:p w14:paraId="72DFA9EB" w14:textId="67DEBBD1" w:rsidR="009C4235" w:rsidRDefault="009C4235">
          <w:pPr>
            <w:pStyle w:val="TOC3"/>
            <w:tabs>
              <w:tab w:val="right" w:leader="dot" w:pos="9016"/>
            </w:tabs>
            <w:rPr>
              <w:rFonts w:eastAsiaTheme="minorEastAsia"/>
              <w:noProof/>
              <w:kern w:val="2"/>
              <w:sz w:val="24"/>
              <w:szCs w:val="24"/>
              <w:lang w:eastAsia="en-AU"/>
              <w14:ligatures w14:val="standardContextual"/>
            </w:rPr>
          </w:pPr>
          <w:hyperlink w:anchor="_Toc212734169" w:history="1">
            <w:r w:rsidRPr="00646AF0">
              <w:rPr>
                <w:rStyle w:val="Hyperlink"/>
                <w:b/>
                <w:noProof/>
              </w:rPr>
              <w:t>State and territory</w:t>
            </w:r>
            <w:r>
              <w:rPr>
                <w:noProof/>
                <w:webHidden/>
              </w:rPr>
              <w:tab/>
            </w:r>
            <w:r>
              <w:rPr>
                <w:noProof/>
                <w:webHidden/>
              </w:rPr>
              <w:fldChar w:fldCharType="begin"/>
            </w:r>
            <w:r>
              <w:rPr>
                <w:noProof/>
                <w:webHidden/>
              </w:rPr>
              <w:instrText xml:space="preserve"> PAGEREF _Toc212734169 \h </w:instrText>
            </w:r>
            <w:r>
              <w:rPr>
                <w:noProof/>
                <w:webHidden/>
              </w:rPr>
            </w:r>
            <w:r>
              <w:rPr>
                <w:noProof/>
                <w:webHidden/>
              </w:rPr>
              <w:fldChar w:fldCharType="separate"/>
            </w:r>
            <w:r w:rsidR="00907FF1">
              <w:rPr>
                <w:noProof/>
                <w:webHidden/>
              </w:rPr>
              <w:t>14</w:t>
            </w:r>
            <w:r>
              <w:rPr>
                <w:noProof/>
                <w:webHidden/>
              </w:rPr>
              <w:fldChar w:fldCharType="end"/>
            </w:r>
          </w:hyperlink>
        </w:p>
        <w:p w14:paraId="0986960F" w14:textId="0FFCCF89" w:rsidR="009C4235" w:rsidRDefault="009C4235">
          <w:pPr>
            <w:pStyle w:val="TOC1"/>
            <w:tabs>
              <w:tab w:val="right" w:leader="dot" w:pos="9016"/>
            </w:tabs>
            <w:rPr>
              <w:rFonts w:eastAsiaTheme="minorEastAsia"/>
              <w:b w:val="0"/>
              <w:noProof/>
              <w:kern w:val="2"/>
              <w:sz w:val="24"/>
              <w:szCs w:val="24"/>
              <w:lang w:eastAsia="en-AU"/>
              <w14:ligatures w14:val="standardContextual"/>
            </w:rPr>
          </w:pPr>
          <w:hyperlink w:anchor="_Toc212734170" w:history="1">
            <w:r w:rsidRPr="00646AF0">
              <w:rPr>
                <w:rStyle w:val="Hyperlink"/>
                <w:noProof/>
              </w:rPr>
              <w:t>Some key analytical findings from the 2025 report</w:t>
            </w:r>
            <w:r>
              <w:rPr>
                <w:noProof/>
                <w:webHidden/>
              </w:rPr>
              <w:tab/>
            </w:r>
            <w:r>
              <w:rPr>
                <w:noProof/>
                <w:webHidden/>
              </w:rPr>
              <w:fldChar w:fldCharType="begin"/>
            </w:r>
            <w:r>
              <w:rPr>
                <w:noProof/>
                <w:webHidden/>
              </w:rPr>
              <w:instrText xml:space="preserve"> PAGEREF _Toc212734170 \h </w:instrText>
            </w:r>
            <w:r>
              <w:rPr>
                <w:noProof/>
                <w:webHidden/>
              </w:rPr>
            </w:r>
            <w:r>
              <w:rPr>
                <w:noProof/>
                <w:webHidden/>
              </w:rPr>
              <w:fldChar w:fldCharType="separate"/>
            </w:r>
            <w:r w:rsidR="00907FF1">
              <w:rPr>
                <w:noProof/>
                <w:webHidden/>
              </w:rPr>
              <w:t>15</w:t>
            </w:r>
            <w:r>
              <w:rPr>
                <w:noProof/>
                <w:webHidden/>
              </w:rPr>
              <w:fldChar w:fldCharType="end"/>
            </w:r>
          </w:hyperlink>
        </w:p>
        <w:p w14:paraId="0B377054" w14:textId="0A3341EE" w:rsidR="009C4235" w:rsidRDefault="009C4235">
          <w:pPr>
            <w:pStyle w:val="TOC2"/>
            <w:tabs>
              <w:tab w:val="left" w:pos="720"/>
              <w:tab w:val="right" w:leader="dot" w:pos="9016"/>
            </w:tabs>
            <w:rPr>
              <w:rFonts w:eastAsiaTheme="minorEastAsia"/>
              <w:noProof/>
              <w:kern w:val="2"/>
              <w:sz w:val="24"/>
              <w:szCs w:val="24"/>
              <w:lang w:eastAsia="en-AU"/>
              <w14:ligatures w14:val="standardContextual"/>
            </w:rPr>
          </w:pPr>
          <w:hyperlink w:anchor="_Toc212734171" w:history="1">
            <w:r w:rsidRPr="00646AF0">
              <w:rPr>
                <w:rStyle w:val="Hyperlink"/>
                <w:noProof/>
              </w:rPr>
              <w:t>1.</w:t>
            </w:r>
            <w:r>
              <w:rPr>
                <w:rFonts w:eastAsiaTheme="minorEastAsia"/>
                <w:noProof/>
                <w:kern w:val="2"/>
                <w:sz w:val="24"/>
                <w:szCs w:val="24"/>
                <w:lang w:eastAsia="en-AU"/>
                <w14:ligatures w14:val="standardContextual"/>
              </w:rPr>
              <w:tab/>
            </w:r>
            <w:r w:rsidRPr="00646AF0">
              <w:rPr>
                <w:rStyle w:val="Hyperlink"/>
                <w:noProof/>
              </w:rPr>
              <w:t>Applications are closely related to the economic cycle</w:t>
            </w:r>
            <w:r>
              <w:rPr>
                <w:noProof/>
                <w:webHidden/>
              </w:rPr>
              <w:tab/>
            </w:r>
            <w:r>
              <w:rPr>
                <w:noProof/>
                <w:webHidden/>
              </w:rPr>
              <w:fldChar w:fldCharType="begin"/>
            </w:r>
            <w:r>
              <w:rPr>
                <w:noProof/>
                <w:webHidden/>
              </w:rPr>
              <w:instrText xml:space="preserve"> PAGEREF _Toc212734171 \h </w:instrText>
            </w:r>
            <w:r>
              <w:rPr>
                <w:noProof/>
                <w:webHidden/>
              </w:rPr>
            </w:r>
            <w:r>
              <w:rPr>
                <w:noProof/>
                <w:webHidden/>
              </w:rPr>
              <w:fldChar w:fldCharType="separate"/>
            </w:r>
            <w:r w:rsidR="00907FF1">
              <w:rPr>
                <w:noProof/>
                <w:webHidden/>
              </w:rPr>
              <w:t>15</w:t>
            </w:r>
            <w:r>
              <w:rPr>
                <w:noProof/>
                <w:webHidden/>
              </w:rPr>
              <w:fldChar w:fldCharType="end"/>
            </w:r>
          </w:hyperlink>
        </w:p>
        <w:p w14:paraId="68DD06CD" w14:textId="02E54E31" w:rsidR="009C4235" w:rsidRDefault="009C4235">
          <w:pPr>
            <w:pStyle w:val="TOC2"/>
            <w:tabs>
              <w:tab w:val="left" w:pos="720"/>
              <w:tab w:val="right" w:leader="dot" w:pos="9016"/>
            </w:tabs>
            <w:rPr>
              <w:rFonts w:eastAsiaTheme="minorEastAsia"/>
              <w:noProof/>
              <w:kern w:val="2"/>
              <w:sz w:val="24"/>
              <w:szCs w:val="24"/>
              <w:lang w:eastAsia="en-AU"/>
              <w14:ligatures w14:val="standardContextual"/>
            </w:rPr>
          </w:pPr>
          <w:hyperlink w:anchor="_Toc212734172" w:history="1">
            <w:r w:rsidRPr="00646AF0">
              <w:rPr>
                <w:rStyle w:val="Hyperlink"/>
                <w:noProof/>
              </w:rPr>
              <w:t>2.</w:t>
            </w:r>
            <w:r>
              <w:rPr>
                <w:rFonts w:eastAsiaTheme="minorEastAsia"/>
                <w:noProof/>
                <w:kern w:val="2"/>
                <w:sz w:val="24"/>
                <w:szCs w:val="24"/>
                <w:lang w:eastAsia="en-AU"/>
                <w14:ligatures w14:val="standardContextual"/>
              </w:rPr>
              <w:tab/>
            </w:r>
            <w:r w:rsidRPr="00646AF0">
              <w:rPr>
                <w:rStyle w:val="Hyperlink"/>
                <w:noProof/>
              </w:rPr>
              <w:t>Share of offers by ATAR band and field of education</w:t>
            </w:r>
            <w:r>
              <w:rPr>
                <w:noProof/>
                <w:webHidden/>
              </w:rPr>
              <w:tab/>
            </w:r>
            <w:r>
              <w:rPr>
                <w:noProof/>
                <w:webHidden/>
              </w:rPr>
              <w:fldChar w:fldCharType="begin"/>
            </w:r>
            <w:r>
              <w:rPr>
                <w:noProof/>
                <w:webHidden/>
              </w:rPr>
              <w:instrText xml:space="preserve"> PAGEREF _Toc212734172 \h </w:instrText>
            </w:r>
            <w:r>
              <w:rPr>
                <w:noProof/>
                <w:webHidden/>
              </w:rPr>
            </w:r>
            <w:r>
              <w:rPr>
                <w:noProof/>
                <w:webHidden/>
              </w:rPr>
              <w:fldChar w:fldCharType="separate"/>
            </w:r>
            <w:r w:rsidR="00907FF1">
              <w:rPr>
                <w:noProof/>
                <w:webHidden/>
              </w:rPr>
              <w:t>16</w:t>
            </w:r>
            <w:r>
              <w:rPr>
                <w:noProof/>
                <w:webHidden/>
              </w:rPr>
              <w:fldChar w:fldCharType="end"/>
            </w:r>
          </w:hyperlink>
        </w:p>
        <w:p w14:paraId="025AE0D6" w14:textId="2A88562A" w:rsidR="009C4235" w:rsidRDefault="009C4235">
          <w:pPr>
            <w:pStyle w:val="TOC2"/>
            <w:tabs>
              <w:tab w:val="left" w:pos="720"/>
              <w:tab w:val="right" w:leader="dot" w:pos="9016"/>
            </w:tabs>
            <w:rPr>
              <w:rFonts w:eastAsiaTheme="minorEastAsia"/>
              <w:noProof/>
              <w:kern w:val="2"/>
              <w:sz w:val="24"/>
              <w:szCs w:val="24"/>
              <w:lang w:eastAsia="en-AU"/>
              <w14:ligatures w14:val="standardContextual"/>
            </w:rPr>
          </w:pPr>
          <w:hyperlink w:anchor="_Toc212734173" w:history="1">
            <w:r w:rsidRPr="00646AF0">
              <w:rPr>
                <w:rStyle w:val="Hyperlink"/>
                <w:noProof/>
              </w:rPr>
              <w:t>3.</w:t>
            </w:r>
            <w:r>
              <w:rPr>
                <w:rFonts w:eastAsiaTheme="minorEastAsia"/>
                <w:noProof/>
                <w:kern w:val="2"/>
                <w:sz w:val="24"/>
                <w:szCs w:val="24"/>
                <w:lang w:eastAsia="en-AU"/>
                <w14:ligatures w14:val="standardContextual"/>
              </w:rPr>
              <w:tab/>
            </w:r>
            <w:r w:rsidRPr="00646AF0">
              <w:rPr>
                <w:rStyle w:val="Hyperlink"/>
                <w:noProof/>
              </w:rPr>
              <w:t>Applications and offers for undergraduate Initial Teacher Education</w:t>
            </w:r>
            <w:r>
              <w:rPr>
                <w:noProof/>
                <w:webHidden/>
              </w:rPr>
              <w:tab/>
            </w:r>
            <w:r>
              <w:rPr>
                <w:noProof/>
                <w:webHidden/>
              </w:rPr>
              <w:fldChar w:fldCharType="begin"/>
            </w:r>
            <w:r>
              <w:rPr>
                <w:noProof/>
                <w:webHidden/>
              </w:rPr>
              <w:instrText xml:space="preserve"> PAGEREF _Toc212734173 \h </w:instrText>
            </w:r>
            <w:r>
              <w:rPr>
                <w:noProof/>
                <w:webHidden/>
              </w:rPr>
            </w:r>
            <w:r>
              <w:rPr>
                <w:noProof/>
                <w:webHidden/>
              </w:rPr>
              <w:fldChar w:fldCharType="separate"/>
            </w:r>
            <w:r w:rsidR="00907FF1">
              <w:rPr>
                <w:noProof/>
                <w:webHidden/>
              </w:rPr>
              <w:t>17</w:t>
            </w:r>
            <w:r>
              <w:rPr>
                <w:noProof/>
                <w:webHidden/>
              </w:rPr>
              <w:fldChar w:fldCharType="end"/>
            </w:r>
          </w:hyperlink>
        </w:p>
        <w:p w14:paraId="7370169B" w14:textId="7AA89A51" w:rsidR="009C4235" w:rsidRDefault="009C4235">
          <w:pPr>
            <w:pStyle w:val="TOC2"/>
            <w:tabs>
              <w:tab w:val="left" w:pos="720"/>
              <w:tab w:val="right" w:leader="dot" w:pos="9016"/>
            </w:tabs>
            <w:rPr>
              <w:rFonts w:eastAsiaTheme="minorEastAsia"/>
              <w:noProof/>
              <w:kern w:val="2"/>
              <w:sz w:val="24"/>
              <w:szCs w:val="24"/>
              <w:lang w:eastAsia="en-AU"/>
              <w14:ligatures w14:val="standardContextual"/>
            </w:rPr>
          </w:pPr>
          <w:hyperlink w:anchor="_Toc212734174" w:history="1">
            <w:r w:rsidRPr="00646AF0">
              <w:rPr>
                <w:rStyle w:val="Hyperlink"/>
                <w:noProof/>
              </w:rPr>
              <w:t>4.</w:t>
            </w:r>
            <w:r>
              <w:rPr>
                <w:rFonts w:eastAsiaTheme="minorEastAsia"/>
                <w:noProof/>
                <w:kern w:val="2"/>
                <w:sz w:val="24"/>
                <w:szCs w:val="24"/>
                <w:lang w:eastAsia="en-AU"/>
                <w14:ligatures w14:val="standardContextual"/>
              </w:rPr>
              <w:tab/>
            </w:r>
            <w:r w:rsidRPr="00646AF0">
              <w:rPr>
                <w:rStyle w:val="Hyperlink"/>
                <w:noProof/>
              </w:rPr>
              <w:t>Applications and offers for Nursing</w:t>
            </w:r>
            <w:r>
              <w:rPr>
                <w:noProof/>
                <w:webHidden/>
              </w:rPr>
              <w:tab/>
            </w:r>
            <w:r>
              <w:rPr>
                <w:noProof/>
                <w:webHidden/>
              </w:rPr>
              <w:fldChar w:fldCharType="begin"/>
            </w:r>
            <w:r>
              <w:rPr>
                <w:noProof/>
                <w:webHidden/>
              </w:rPr>
              <w:instrText xml:space="preserve"> PAGEREF _Toc212734174 \h </w:instrText>
            </w:r>
            <w:r>
              <w:rPr>
                <w:noProof/>
                <w:webHidden/>
              </w:rPr>
            </w:r>
            <w:r>
              <w:rPr>
                <w:noProof/>
                <w:webHidden/>
              </w:rPr>
              <w:fldChar w:fldCharType="separate"/>
            </w:r>
            <w:r w:rsidR="00907FF1">
              <w:rPr>
                <w:noProof/>
                <w:webHidden/>
              </w:rPr>
              <w:t>18</w:t>
            </w:r>
            <w:r>
              <w:rPr>
                <w:noProof/>
                <w:webHidden/>
              </w:rPr>
              <w:fldChar w:fldCharType="end"/>
            </w:r>
          </w:hyperlink>
        </w:p>
        <w:p w14:paraId="2E20203D" w14:textId="5C7D33F5" w:rsidR="009C4235" w:rsidRDefault="009C4235">
          <w:pPr>
            <w:pStyle w:val="TOC1"/>
            <w:tabs>
              <w:tab w:val="right" w:leader="dot" w:pos="9016"/>
            </w:tabs>
            <w:rPr>
              <w:rFonts w:eastAsiaTheme="minorEastAsia"/>
              <w:b w:val="0"/>
              <w:noProof/>
              <w:kern w:val="2"/>
              <w:sz w:val="24"/>
              <w:szCs w:val="24"/>
              <w:lang w:eastAsia="en-AU"/>
              <w14:ligatures w14:val="standardContextual"/>
            </w:rPr>
          </w:pPr>
          <w:hyperlink w:anchor="_Toc212734175" w:history="1">
            <w:r w:rsidRPr="00646AF0">
              <w:rPr>
                <w:rStyle w:val="Hyperlink"/>
                <w:noProof/>
              </w:rPr>
              <w:t>Explanatory Notes</w:t>
            </w:r>
            <w:r>
              <w:rPr>
                <w:noProof/>
                <w:webHidden/>
              </w:rPr>
              <w:tab/>
            </w:r>
            <w:r>
              <w:rPr>
                <w:noProof/>
                <w:webHidden/>
              </w:rPr>
              <w:fldChar w:fldCharType="begin"/>
            </w:r>
            <w:r>
              <w:rPr>
                <w:noProof/>
                <w:webHidden/>
              </w:rPr>
              <w:instrText xml:space="preserve"> PAGEREF _Toc212734175 \h </w:instrText>
            </w:r>
            <w:r>
              <w:rPr>
                <w:noProof/>
                <w:webHidden/>
              </w:rPr>
            </w:r>
            <w:r>
              <w:rPr>
                <w:noProof/>
                <w:webHidden/>
              </w:rPr>
              <w:fldChar w:fldCharType="separate"/>
            </w:r>
            <w:r w:rsidR="00907FF1">
              <w:rPr>
                <w:noProof/>
                <w:webHidden/>
              </w:rPr>
              <w:t>20</w:t>
            </w:r>
            <w:r>
              <w:rPr>
                <w:noProof/>
                <w:webHidden/>
              </w:rPr>
              <w:fldChar w:fldCharType="end"/>
            </w:r>
          </w:hyperlink>
        </w:p>
        <w:p w14:paraId="5F769959" w14:textId="21818C2B" w:rsidR="00A90923" w:rsidRDefault="00A90923" w:rsidP="00A90923">
          <w:r w:rsidRPr="00A90923">
            <w:rPr>
              <w:bCs/>
              <w:noProof/>
            </w:rPr>
            <w:fldChar w:fldCharType="end"/>
          </w:r>
        </w:p>
      </w:sdtContent>
    </w:sdt>
    <w:p w14:paraId="63E5CA1D" w14:textId="77777777" w:rsidR="00A90923" w:rsidRDefault="00A90923" w:rsidP="00A90923">
      <w:pPr>
        <w:pStyle w:val="numberedpara"/>
        <w:numPr>
          <w:ilvl w:val="0"/>
          <w:numId w:val="0"/>
        </w:numPr>
        <w:tabs>
          <w:tab w:val="left" w:pos="720"/>
        </w:tabs>
        <w:spacing w:after="120"/>
        <w:rPr>
          <w:sz w:val="20"/>
          <w:szCs w:val="20"/>
        </w:rPr>
        <w:sectPr w:rsidR="00A90923" w:rsidSect="00AF191F">
          <w:type w:val="continuous"/>
          <w:pgSz w:w="11906" w:h="16838"/>
          <w:pgMar w:top="1560" w:right="1440" w:bottom="1440" w:left="1440" w:header="708" w:footer="708" w:gutter="0"/>
          <w:cols w:space="708"/>
          <w:docGrid w:linePitch="360"/>
        </w:sectPr>
      </w:pPr>
    </w:p>
    <w:p w14:paraId="0187B220" w14:textId="77777777" w:rsidR="00A90923" w:rsidRDefault="00A90923" w:rsidP="00A90923">
      <w:pPr>
        <w:rPr>
          <w:rFonts w:ascii="Calibri" w:eastAsiaTheme="majorEastAsia" w:hAnsi="Calibri" w:cstheme="majorBidi"/>
          <w:b/>
          <w:spacing w:val="5"/>
          <w:sz w:val="56"/>
          <w:szCs w:val="52"/>
        </w:rPr>
      </w:pPr>
      <w:r>
        <w:br w:type="page"/>
      </w:r>
    </w:p>
    <w:p w14:paraId="32368D70" w14:textId="02E7D9AE" w:rsidR="00A90923" w:rsidRDefault="00A90923" w:rsidP="00A90923">
      <w:pPr>
        <w:pStyle w:val="Heading1"/>
      </w:pPr>
      <w:bookmarkStart w:id="0" w:name="_Toc212734156"/>
      <w:r>
        <w:lastRenderedPageBreak/>
        <w:t>Introductio</w:t>
      </w:r>
      <w:r w:rsidR="00F13218">
        <w:t>n</w:t>
      </w:r>
      <w:bookmarkEnd w:id="0"/>
    </w:p>
    <w:p w14:paraId="2442BAC6" w14:textId="40BA3717" w:rsidR="009A7998" w:rsidRDefault="00CD1679" w:rsidP="00C94527">
      <w:r w:rsidRPr="003B290C">
        <w:t xml:space="preserve">This report </w:t>
      </w:r>
      <w:r w:rsidR="00EA36F2">
        <w:t>explores</w:t>
      </w:r>
      <w:r w:rsidR="00EA36F2" w:rsidRPr="003B290C">
        <w:t xml:space="preserve"> </w:t>
      </w:r>
      <w:r w:rsidR="00A90923" w:rsidRPr="003B290C">
        <w:t xml:space="preserve">trends in </w:t>
      </w:r>
      <w:r w:rsidR="00F93761" w:rsidRPr="003B290C">
        <w:t xml:space="preserve">the </w:t>
      </w:r>
      <w:r w:rsidR="00A90923" w:rsidRPr="003B290C">
        <w:t>number of applications</w:t>
      </w:r>
      <w:r w:rsidR="00B43285" w:rsidRPr="003B290C">
        <w:t xml:space="preserve"> and </w:t>
      </w:r>
      <w:r w:rsidR="00A90923" w:rsidRPr="003B290C">
        <w:t>offers</w:t>
      </w:r>
      <w:r w:rsidR="00622562">
        <w:t xml:space="preserve"> for</w:t>
      </w:r>
      <w:r w:rsidR="00A90923" w:rsidRPr="003B290C">
        <w:t xml:space="preserve"> </w:t>
      </w:r>
      <w:r w:rsidR="00622562" w:rsidRPr="003B290C">
        <w:t xml:space="preserve">university admission to Commonwealth Supported </w:t>
      </w:r>
      <w:r w:rsidR="00BD18F6">
        <w:t>P</w:t>
      </w:r>
      <w:r w:rsidR="00622562" w:rsidRPr="003B290C">
        <w:t xml:space="preserve">laces </w:t>
      </w:r>
      <w:r w:rsidR="00622562">
        <w:t>in</w:t>
      </w:r>
      <w:r w:rsidR="00F93761" w:rsidRPr="003B290C">
        <w:t xml:space="preserve"> undergraduate higher education courses by domestic students in Australia</w:t>
      </w:r>
      <w:r w:rsidR="009A7998">
        <w:t xml:space="preserve"> </w:t>
      </w:r>
      <w:r w:rsidR="00BD18F6" w:rsidRPr="003B290C">
        <w:t>for the first semester of the 202</w:t>
      </w:r>
      <w:r w:rsidR="00BD18F6">
        <w:t>5</w:t>
      </w:r>
      <w:r w:rsidR="00BD18F6" w:rsidRPr="003B290C">
        <w:t xml:space="preserve"> academic </w:t>
      </w:r>
      <w:r w:rsidR="00BD18F6">
        <w:t>year</w:t>
      </w:r>
      <w:r w:rsidR="00A90923" w:rsidRPr="003B290C">
        <w:t>.</w:t>
      </w:r>
      <w:r w:rsidR="004058F1" w:rsidRPr="003B290C">
        <w:t xml:space="preserve"> </w:t>
      </w:r>
      <w:r w:rsidR="00895C07" w:rsidRPr="00895C07">
        <w:t>The data in this report provide an indicator of demand for higher education, measured through applications, and corresponding sector response, measured through offers</w:t>
      </w:r>
    </w:p>
    <w:p w14:paraId="3587FA5F" w14:textId="42089356" w:rsidR="00C94527" w:rsidRPr="003B290C" w:rsidRDefault="00C94527" w:rsidP="00C94527">
      <w:r w:rsidRPr="003B290C">
        <w:t>It is important to bear in mind that this report does not provide a complete picture of higher education demand</w:t>
      </w:r>
      <w:r w:rsidR="00F34DD1">
        <w:t xml:space="preserve">. </w:t>
      </w:r>
      <w:r w:rsidR="007D5FFC">
        <w:t>The</w:t>
      </w:r>
      <w:r w:rsidRPr="003B290C">
        <w:t xml:space="preserve"> collection is limited to </w:t>
      </w:r>
      <w:r w:rsidR="00B63297" w:rsidRPr="003B290C">
        <w:rPr>
          <w:lang w:val="en-US"/>
        </w:rPr>
        <w:t>undergraduate</w:t>
      </w:r>
      <w:r w:rsidR="00D85F10" w:rsidRPr="003B290C">
        <w:rPr>
          <w:lang w:val="en-US"/>
        </w:rPr>
        <w:t xml:space="preserve"> level study</w:t>
      </w:r>
      <w:r w:rsidR="00B63297" w:rsidRPr="003B290C">
        <w:rPr>
          <w:lang w:val="en-US"/>
        </w:rPr>
        <w:t xml:space="preserve"> </w:t>
      </w:r>
      <w:r w:rsidR="007D5FFC">
        <w:rPr>
          <w:lang w:val="en-US"/>
        </w:rPr>
        <w:t>at</w:t>
      </w:r>
      <w:r w:rsidR="00605BBB" w:rsidRPr="00605BBB">
        <w:rPr>
          <w:lang w:val="en-US"/>
        </w:rPr>
        <w:t xml:space="preserve"> Table A universities </w:t>
      </w:r>
      <w:r w:rsidR="00B63297" w:rsidRPr="003B290C">
        <w:rPr>
          <w:lang w:val="en-US"/>
        </w:rPr>
        <w:t>in the first</w:t>
      </w:r>
      <w:r w:rsidR="00605BBB">
        <w:rPr>
          <w:lang w:val="en-US"/>
        </w:rPr>
        <w:t xml:space="preserve"> study</w:t>
      </w:r>
      <w:r w:rsidR="00B63297" w:rsidRPr="003B290C">
        <w:rPr>
          <w:lang w:val="en-US"/>
        </w:rPr>
        <w:t xml:space="preserve"> </w:t>
      </w:r>
      <w:r w:rsidR="00605BBB">
        <w:rPr>
          <w:lang w:val="en-US"/>
        </w:rPr>
        <w:t xml:space="preserve">period </w:t>
      </w:r>
      <w:r w:rsidR="00B63297" w:rsidRPr="003B290C">
        <w:rPr>
          <w:lang w:val="en-US"/>
        </w:rPr>
        <w:t>of each year</w:t>
      </w:r>
      <w:r w:rsidR="00F34DD1">
        <w:rPr>
          <w:lang w:val="en-US"/>
        </w:rPr>
        <w:t xml:space="preserve">, as </w:t>
      </w:r>
      <w:r w:rsidR="00016250">
        <w:rPr>
          <w:lang w:val="en-US"/>
        </w:rPr>
        <w:t>of</w:t>
      </w:r>
      <w:r w:rsidR="00F34DD1">
        <w:rPr>
          <w:lang w:val="en-US"/>
        </w:rPr>
        <w:t xml:space="preserve"> 15 May each year</w:t>
      </w:r>
      <w:r w:rsidR="00B63297" w:rsidRPr="003B290C">
        <w:rPr>
          <w:lang w:val="en-US"/>
        </w:rPr>
        <w:t>.</w:t>
      </w:r>
      <w:r w:rsidRPr="003B290C">
        <w:rPr>
          <w:lang w:val="en-US"/>
        </w:rPr>
        <w:t xml:space="preserve"> </w:t>
      </w:r>
      <w:r w:rsidRPr="003B290C">
        <w:t xml:space="preserve">This data collection contains no information on applications and offers for postgraduate level study and no information in relation to international students. It contains no information on second (or third) </w:t>
      </w:r>
      <w:r w:rsidR="00605BBB">
        <w:t xml:space="preserve">study period </w:t>
      </w:r>
      <w:r w:rsidRPr="003B290C">
        <w:t>undergraduate study and so does not capture the full cohort of prospective students for each academic year.</w:t>
      </w:r>
    </w:p>
    <w:p w14:paraId="43FE79CB" w14:textId="376042ED" w:rsidR="00276099" w:rsidRPr="003B290C" w:rsidRDefault="00276099" w:rsidP="00276099">
      <w:pPr>
        <w:rPr>
          <w:b/>
          <w:bCs/>
        </w:rPr>
      </w:pPr>
      <w:r w:rsidRPr="003B290C">
        <w:rPr>
          <w:b/>
          <w:bCs/>
        </w:rPr>
        <w:t>Applications and offers do not align precisely with subsequent enrolments in higher education.</w:t>
      </w:r>
    </w:p>
    <w:p w14:paraId="270BC18B" w14:textId="61725105" w:rsidR="002E3BEE" w:rsidRPr="003B290C" w:rsidRDefault="002E3BEE" w:rsidP="00A90923">
      <w:r w:rsidRPr="003B290C">
        <w:t xml:space="preserve">In reading this report it is important to </w:t>
      </w:r>
      <w:r w:rsidR="00756E10">
        <w:t>bear in mind</w:t>
      </w:r>
      <w:r w:rsidR="00756E10" w:rsidRPr="003B290C">
        <w:t xml:space="preserve"> </w:t>
      </w:r>
      <w:r w:rsidRPr="003B290C">
        <w:t>that students in Australia can make multiple applications as well as receive multiple offers for entrance to university degrees. This report presents data on a per student basis and applies various treatment rules to the data</w:t>
      </w:r>
      <w:r w:rsidR="005563BF" w:rsidRPr="003B290C">
        <w:t xml:space="preserve"> </w:t>
      </w:r>
      <w:r w:rsidR="003B290C" w:rsidRPr="003B290C">
        <w:t>based on</w:t>
      </w:r>
      <w:r w:rsidR="005563BF" w:rsidRPr="003B290C">
        <w:t xml:space="preserve"> assumptions about student decision making</w:t>
      </w:r>
      <w:r w:rsidRPr="003B290C">
        <w:t xml:space="preserve"> (as detailed in the explanatory notes). The </w:t>
      </w:r>
      <w:r w:rsidR="00590D6F" w:rsidRPr="003B290C">
        <w:t xml:space="preserve">data </w:t>
      </w:r>
      <w:r w:rsidRPr="003B290C">
        <w:t xml:space="preserve">reflect </w:t>
      </w:r>
      <w:r w:rsidR="00590D6F" w:rsidRPr="003B290C">
        <w:t xml:space="preserve">students’ </w:t>
      </w:r>
      <w:r w:rsidR="00D27F44" w:rsidRPr="003B290C">
        <w:t>highest</w:t>
      </w:r>
      <w:r w:rsidRPr="003B290C">
        <w:t xml:space="preserve"> preference </w:t>
      </w:r>
      <w:r w:rsidR="003D575B">
        <w:t>when applying</w:t>
      </w:r>
      <w:r w:rsidRPr="003B290C">
        <w:t xml:space="preserve"> and </w:t>
      </w:r>
      <w:r w:rsidR="00590D6F" w:rsidRPr="003B290C">
        <w:t xml:space="preserve">the </w:t>
      </w:r>
      <w:r w:rsidRPr="003B290C">
        <w:t>latest offer</w:t>
      </w:r>
      <w:r w:rsidR="00590D6F" w:rsidRPr="003B290C">
        <w:t xml:space="preserve"> they </w:t>
      </w:r>
      <w:r w:rsidR="003D575B">
        <w:t>subsequently</w:t>
      </w:r>
      <w:r w:rsidR="003D575B" w:rsidRPr="003B290C">
        <w:t xml:space="preserve"> </w:t>
      </w:r>
      <w:r w:rsidRPr="003B290C">
        <w:t>receive</w:t>
      </w:r>
      <w:r w:rsidR="003D575B">
        <w:t>.</w:t>
      </w:r>
      <w:r w:rsidR="00244C9B">
        <w:t xml:space="preserve"> </w:t>
      </w:r>
    </w:p>
    <w:p w14:paraId="68CA4A7E" w14:textId="7D08E62F" w:rsidR="00590D6F" w:rsidRPr="003B290C" w:rsidRDefault="00590D6F" w:rsidP="00A90923">
      <w:r w:rsidRPr="003B290C">
        <w:t>The relationship between applications and offers and subsequent enrolments should be considered indicative only. Not all offers result in a student commencing a course and not all</w:t>
      </w:r>
      <w:r w:rsidR="003D575B">
        <w:t xml:space="preserve"> applicants</w:t>
      </w:r>
      <w:r w:rsidRPr="003B290C">
        <w:t xml:space="preserve"> receive an offer for their </w:t>
      </w:r>
      <w:r w:rsidR="00D27F44" w:rsidRPr="003B290C">
        <w:t>highest</w:t>
      </w:r>
      <w:r w:rsidRPr="003B290C">
        <w:t xml:space="preserve"> preference for study. </w:t>
      </w:r>
      <w:r w:rsidR="00D85F10" w:rsidRPr="003B290C">
        <w:t>The most recent offer made may not be the one the student accepts</w:t>
      </w:r>
      <w:r w:rsidR="003D575B">
        <w:t xml:space="preserve"> and up to 10</w:t>
      </w:r>
      <w:r w:rsidR="0004619F">
        <w:t>%</w:t>
      </w:r>
      <w:r w:rsidR="003D575B">
        <w:t xml:space="preserve"> of offers may be deferred to a future year</w:t>
      </w:r>
      <w:r w:rsidR="00D85F10" w:rsidRPr="003B290C">
        <w:t xml:space="preserve">. </w:t>
      </w:r>
      <w:r w:rsidRPr="003B290C">
        <w:t xml:space="preserve">Therefore, </w:t>
      </w:r>
      <w:r w:rsidRPr="003B290C">
        <w:rPr>
          <w:u w:val="single"/>
        </w:rPr>
        <w:t>enrolments</w:t>
      </w:r>
      <w:r w:rsidRPr="003B290C">
        <w:t xml:space="preserve"> at the field of education level may differ substantially from patterns reported in these applications and offers data.</w:t>
      </w:r>
    </w:p>
    <w:p w14:paraId="44F3935E" w14:textId="059CB48A" w:rsidR="008C6EE3" w:rsidRDefault="003D575B" w:rsidP="008C6EE3">
      <w:pPr>
        <w:rPr>
          <w:lang w:val="en-US"/>
        </w:rPr>
      </w:pPr>
      <w:r>
        <w:t>E</w:t>
      </w:r>
      <w:r w:rsidR="00D85F10" w:rsidRPr="003B290C">
        <w:t xml:space="preserve">nrolment statistics, as </w:t>
      </w:r>
      <w:r w:rsidR="005563BF" w:rsidRPr="003B290C">
        <w:t xml:space="preserve">published in the Higher Education Statistics – Student Data collection cover a broader scope of higher education </w:t>
      </w:r>
      <w:r>
        <w:t xml:space="preserve">providers and </w:t>
      </w:r>
      <w:r w:rsidR="005563BF" w:rsidRPr="003B290C">
        <w:t xml:space="preserve">students. </w:t>
      </w:r>
      <w:r w:rsidR="00703C4C" w:rsidRPr="003B290C">
        <w:t>Readers should particularly bear in mind</w:t>
      </w:r>
      <w:r w:rsidR="008C6EE3" w:rsidRPr="003B290C">
        <w:t xml:space="preserve"> the </w:t>
      </w:r>
      <w:r w:rsidR="007E385E" w:rsidRPr="003B290C">
        <w:t xml:space="preserve">important </w:t>
      </w:r>
      <w:r w:rsidR="008C6EE3" w:rsidRPr="003B290C">
        <w:t xml:space="preserve">contribution of postgraduate level study on </w:t>
      </w:r>
      <w:r w:rsidR="00703C4C" w:rsidRPr="003B290C">
        <w:t xml:space="preserve">overall </w:t>
      </w:r>
      <w:r w:rsidR="008C6EE3" w:rsidRPr="003B290C">
        <w:t>provider and field of education enrolments</w:t>
      </w:r>
      <w:r w:rsidR="00703C4C" w:rsidRPr="003B290C">
        <w:t>.</w:t>
      </w:r>
      <w:r w:rsidR="008C6EE3" w:rsidRPr="003B290C">
        <w:t xml:space="preserve"> </w:t>
      </w:r>
      <w:r w:rsidR="007B308A" w:rsidRPr="003B290C">
        <w:t>This varies year to year</w:t>
      </w:r>
      <w:r w:rsidR="007E385E" w:rsidRPr="003B290C">
        <w:t xml:space="preserve">, </w:t>
      </w:r>
      <w:r w:rsidR="007B308A" w:rsidRPr="003B290C">
        <w:t xml:space="preserve">across </w:t>
      </w:r>
      <w:r w:rsidR="007E385E" w:rsidRPr="003B290C">
        <w:t xml:space="preserve">and within different </w:t>
      </w:r>
      <w:r w:rsidR="007B308A" w:rsidRPr="003B290C">
        <w:t>fields of study</w:t>
      </w:r>
      <w:r w:rsidR="00365E94" w:rsidRPr="003B290C">
        <w:t>, and these students are not reflected in these data</w:t>
      </w:r>
      <w:r w:rsidR="007B308A" w:rsidRPr="003B290C">
        <w:t>.</w:t>
      </w:r>
    </w:p>
    <w:p w14:paraId="0C0E6F3A" w14:textId="0A90C3B5" w:rsidR="00A90923" w:rsidRDefault="00A90923" w:rsidP="003B290C">
      <w:pPr>
        <w:spacing w:after="0"/>
      </w:pPr>
      <w:r>
        <w:t xml:space="preserve">Data are derived from the University Applications and Offers Data Collection. </w:t>
      </w:r>
      <w:r w:rsidR="00F93761">
        <w:t>The collection</w:t>
      </w:r>
      <w:r>
        <w:t xml:space="preserve"> consists of data on:</w:t>
      </w:r>
    </w:p>
    <w:p w14:paraId="20CDB7EC" w14:textId="77777777" w:rsidR="00A90923" w:rsidRDefault="00A90923" w:rsidP="00DF3625">
      <w:pPr>
        <w:pStyle w:val="ListBullet"/>
        <w:numPr>
          <w:ilvl w:val="0"/>
          <w:numId w:val="5"/>
        </w:numPr>
        <w:spacing w:after="120" w:line="276" w:lineRule="auto"/>
      </w:pPr>
      <w:r w:rsidRPr="001D20E1">
        <w:t>applications and offers processed through Tertiary Admissions Centres (TACs)</w:t>
      </w:r>
      <w:r>
        <w:t xml:space="preserve">, </w:t>
      </w:r>
      <w:r w:rsidRPr="001D20E1">
        <w:t xml:space="preserve">and </w:t>
      </w:r>
    </w:p>
    <w:p w14:paraId="0F15A6E3" w14:textId="77777777" w:rsidR="00A90923" w:rsidRDefault="00A90923" w:rsidP="00DF3625">
      <w:pPr>
        <w:pStyle w:val="ListBullet"/>
        <w:numPr>
          <w:ilvl w:val="0"/>
          <w:numId w:val="5"/>
        </w:numPr>
        <w:spacing w:after="120" w:line="276" w:lineRule="auto"/>
      </w:pPr>
      <w:r w:rsidRPr="001D20E1">
        <w:t>applications made directly to universities</w:t>
      </w:r>
      <w:r>
        <w:t xml:space="preserve"> </w:t>
      </w:r>
      <w:r w:rsidRPr="001D20E1">
        <w:t xml:space="preserve">and </w:t>
      </w:r>
      <w:r>
        <w:t xml:space="preserve">resulting </w:t>
      </w:r>
      <w:r w:rsidRPr="001D20E1">
        <w:t xml:space="preserve">offers. </w:t>
      </w:r>
    </w:p>
    <w:p w14:paraId="5FEAB1FD" w14:textId="29038F23" w:rsidR="00E86825" w:rsidRDefault="00A90923" w:rsidP="00E86825">
      <w:pPr>
        <w:rPr>
          <w:rStyle w:val="Hyperlink"/>
        </w:rPr>
      </w:pPr>
      <w:r>
        <w:t xml:space="preserve">The full data </w:t>
      </w:r>
      <w:r w:rsidR="00F93761">
        <w:t xml:space="preserve">are </w:t>
      </w:r>
      <w:r>
        <w:t xml:space="preserve">available in </w:t>
      </w:r>
      <w:r w:rsidR="00003E60">
        <w:t xml:space="preserve">tables and </w:t>
      </w:r>
      <w:r>
        <w:t xml:space="preserve">visual analytics form on the department’s website, along with previous Applications and </w:t>
      </w:r>
      <w:r w:rsidR="00F677B7">
        <w:t>O</w:t>
      </w:r>
      <w:r>
        <w:t>ffers reports and data at</w:t>
      </w:r>
      <w:r w:rsidR="00E86825">
        <w:t xml:space="preserve"> </w:t>
      </w:r>
      <w:r w:rsidR="00E86825">
        <w:rPr>
          <w:rStyle w:val="Hyperlink"/>
        </w:rPr>
        <w:t xml:space="preserve"> </w:t>
      </w:r>
      <w:hyperlink r:id="rId17" w:history="1">
        <w:r w:rsidR="00E86825" w:rsidRPr="008052B7">
          <w:rPr>
            <w:rStyle w:val="Hyperlink"/>
          </w:rPr>
          <w:t>https://www.education.gov.au/undergraduate-applications-offers-and-acceptances-publications</w:t>
        </w:r>
      </w:hyperlink>
    </w:p>
    <w:p w14:paraId="5F7F275C" w14:textId="4779F599" w:rsidR="009C4235" w:rsidRDefault="003C070D" w:rsidP="00956C6A">
      <w:pPr>
        <w:rPr>
          <w:rStyle w:val="Hyperlink"/>
          <w:color w:val="auto"/>
          <w:u w:val="none"/>
        </w:rPr>
      </w:pPr>
      <w:r>
        <w:rPr>
          <w:rStyle w:val="Hyperlink"/>
          <w:color w:val="auto"/>
          <w:u w:val="none"/>
        </w:rPr>
        <w:t xml:space="preserve">Prior to 2022, </w:t>
      </w:r>
      <w:r w:rsidRPr="003C070D">
        <w:rPr>
          <w:rStyle w:val="Hyperlink"/>
          <w:color w:val="auto"/>
          <w:u w:val="none"/>
        </w:rPr>
        <w:t>data for the University Applications and Offers collection were collated in the Higher Education Information Management System (HEIMS)</w:t>
      </w:r>
      <w:r>
        <w:rPr>
          <w:rStyle w:val="Hyperlink"/>
          <w:color w:val="auto"/>
          <w:u w:val="none"/>
        </w:rPr>
        <w:t>. From 202</w:t>
      </w:r>
      <w:r w:rsidR="00E43FA3">
        <w:rPr>
          <w:rStyle w:val="Hyperlink"/>
          <w:color w:val="auto"/>
          <w:u w:val="none"/>
        </w:rPr>
        <w:t>2</w:t>
      </w:r>
      <w:r>
        <w:rPr>
          <w:rStyle w:val="Hyperlink"/>
          <w:color w:val="auto"/>
          <w:u w:val="none"/>
        </w:rPr>
        <w:t xml:space="preserve">, </w:t>
      </w:r>
      <w:r w:rsidRPr="003C070D">
        <w:rPr>
          <w:rStyle w:val="Hyperlink"/>
          <w:color w:val="auto"/>
          <w:u w:val="none"/>
        </w:rPr>
        <w:t xml:space="preserve">applications and offers data were </w:t>
      </w:r>
      <w:r w:rsidRPr="003C070D">
        <w:rPr>
          <w:rStyle w:val="Hyperlink"/>
          <w:color w:val="auto"/>
          <w:u w:val="none"/>
        </w:rPr>
        <w:lastRenderedPageBreak/>
        <w:t xml:space="preserve">collected in Tertiary Collection of Student Information </w:t>
      </w:r>
      <w:r>
        <w:rPr>
          <w:rStyle w:val="Hyperlink"/>
          <w:color w:val="auto"/>
          <w:u w:val="none"/>
        </w:rPr>
        <w:t>(</w:t>
      </w:r>
      <w:r w:rsidRPr="003C070D">
        <w:rPr>
          <w:rStyle w:val="Hyperlink"/>
          <w:color w:val="auto"/>
          <w:u w:val="none"/>
        </w:rPr>
        <w:t>TCSI</w:t>
      </w:r>
      <w:r>
        <w:rPr>
          <w:rStyle w:val="Hyperlink"/>
          <w:color w:val="auto"/>
          <w:u w:val="none"/>
        </w:rPr>
        <w:t xml:space="preserve">). </w:t>
      </w:r>
      <w:r w:rsidR="00956C6A" w:rsidRPr="000E0EC9">
        <w:rPr>
          <w:rStyle w:val="Hyperlink"/>
          <w:color w:val="auto"/>
          <w:u w:val="none"/>
        </w:rPr>
        <w:t>Most of the applications and offer</w:t>
      </w:r>
      <w:r w:rsidR="00C43937" w:rsidRPr="000E0EC9">
        <w:rPr>
          <w:rStyle w:val="Hyperlink"/>
          <w:color w:val="auto"/>
          <w:u w:val="none"/>
        </w:rPr>
        <w:t>s</w:t>
      </w:r>
      <w:r w:rsidR="00956C6A" w:rsidRPr="000E0EC9">
        <w:rPr>
          <w:rStyle w:val="Hyperlink"/>
          <w:color w:val="auto"/>
          <w:u w:val="none"/>
        </w:rPr>
        <w:t xml:space="preserve"> data collected through T</w:t>
      </w:r>
      <w:r w:rsidR="000E0EC9">
        <w:rPr>
          <w:rStyle w:val="Hyperlink"/>
          <w:color w:val="auto"/>
          <w:u w:val="none"/>
        </w:rPr>
        <w:t xml:space="preserve">CSI </w:t>
      </w:r>
      <w:r w:rsidR="000E0EC9" w:rsidRPr="000E0EC9">
        <w:rPr>
          <w:rStyle w:val="Hyperlink"/>
          <w:color w:val="auto"/>
          <w:u w:val="none"/>
        </w:rPr>
        <w:t xml:space="preserve">are </w:t>
      </w:r>
      <w:r w:rsidR="00956C6A" w:rsidRPr="000E0EC9">
        <w:rPr>
          <w:rStyle w:val="Hyperlink"/>
          <w:color w:val="auto"/>
          <w:u w:val="none"/>
        </w:rPr>
        <w:t>consistent with the data previously collected via HEIMS</w:t>
      </w:r>
      <w:r w:rsidR="00412380" w:rsidRPr="000E0EC9">
        <w:rPr>
          <w:rStyle w:val="Hyperlink"/>
          <w:color w:val="auto"/>
          <w:u w:val="none"/>
        </w:rPr>
        <w:t xml:space="preserve">. However, there are some differences </w:t>
      </w:r>
      <w:r w:rsidR="000E0EC9">
        <w:rPr>
          <w:rStyle w:val="Hyperlink"/>
          <w:color w:val="auto"/>
          <w:u w:val="none"/>
        </w:rPr>
        <w:t>(</w:t>
      </w:r>
      <w:r w:rsidR="007C05CA">
        <w:rPr>
          <w:rStyle w:val="Hyperlink"/>
          <w:color w:val="auto"/>
          <w:u w:val="none"/>
        </w:rPr>
        <w:t>e.g</w:t>
      </w:r>
      <w:r w:rsidR="00651FA2">
        <w:rPr>
          <w:rStyle w:val="Hyperlink"/>
          <w:color w:val="auto"/>
          <w:u w:val="none"/>
        </w:rPr>
        <w:t>.</w:t>
      </w:r>
      <w:r w:rsidR="00553D19">
        <w:rPr>
          <w:rStyle w:val="Hyperlink"/>
          <w:color w:val="auto"/>
          <w:u w:val="none"/>
        </w:rPr>
        <w:t xml:space="preserve"> </w:t>
      </w:r>
      <w:r w:rsidR="00651FA2">
        <w:rPr>
          <w:rStyle w:val="Hyperlink"/>
          <w:color w:val="auto"/>
          <w:u w:val="none"/>
        </w:rPr>
        <w:t xml:space="preserve">under TCSI </w:t>
      </w:r>
      <w:r w:rsidR="007C05CA">
        <w:rPr>
          <w:rStyle w:val="Hyperlink"/>
          <w:color w:val="auto"/>
          <w:u w:val="none"/>
        </w:rPr>
        <w:t>CHESSN is not collected</w:t>
      </w:r>
      <w:r w:rsidR="00553D19">
        <w:rPr>
          <w:rStyle w:val="Hyperlink"/>
          <w:color w:val="auto"/>
          <w:u w:val="none"/>
        </w:rPr>
        <w:t xml:space="preserve">, Basis for Admission has different outcomes) </w:t>
      </w:r>
      <w:r w:rsidR="000E0EC9" w:rsidRPr="000E0EC9">
        <w:rPr>
          <w:rStyle w:val="Hyperlink"/>
          <w:color w:val="auto"/>
          <w:u w:val="none"/>
        </w:rPr>
        <w:t>which means that caution should be taken in the interpretation of time series data</w:t>
      </w:r>
      <w:r w:rsidR="000E0EC9">
        <w:rPr>
          <w:rStyle w:val="Hyperlink"/>
          <w:color w:val="auto"/>
          <w:u w:val="none"/>
        </w:rPr>
        <w:t xml:space="preserve"> due to the series break in the collection system</w:t>
      </w:r>
      <w:r w:rsidR="00412380" w:rsidRPr="000E0EC9">
        <w:rPr>
          <w:rStyle w:val="Hyperlink"/>
          <w:color w:val="auto"/>
          <w:u w:val="none"/>
        </w:rPr>
        <w:t xml:space="preserve">. </w:t>
      </w:r>
    </w:p>
    <w:p w14:paraId="5C4EA9BC" w14:textId="6DC8634B" w:rsidR="009C4235" w:rsidRDefault="009C4235" w:rsidP="009C4235">
      <w:pPr>
        <w:pStyle w:val="Heading2"/>
        <w:spacing w:after="240"/>
      </w:pPr>
      <w:bookmarkStart w:id="1" w:name="_Toc212734157"/>
      <w:r w:rsidRPr="009C4235">
        <w:t>Key term</w:t>
      </w:r>
      <w:r>
        <w:t>s</w:t>
      </w:r>
      <w:r w:rsidRPr="009C4235">
        <w:t xml:space="preserve"> used in this report</w:t>
      </w:r>
      <w:bookmarkEnd w:id="1"/>
    </w:p>
    <w:tbl>
      <w:tblPr>
        <w:tblStyle w:val="EducationTable"/>
        <w:tblW w:w="8931" w:type="dxa"/>
        <w:tblLayout w:type="fixed"/>
        <w:tblLook w:val="0020" w:firstRow="1" w:lastRow="0" w:firstColumn="0" w:lastColumn="0" w:noHBand="0" w:noVBand="0"/>
      </w:tblPr>
      <w:tblGrid>
        <w:gridCol w:w="2802"/>
        <w:gridCol w:w="6129"/>
      </w:tblGrid>
      <w:tr w:rsidR="009C4235" w:rsidRPr="00F920B8" w14:paraId="3E0F317E" w14:textId="77777777" w:rsidTr="007971BA">
        <w:trPr>
          <w:cnfStyle w:val="100000000000" w:firstRow="1" w:lastRow="0" w:firstColumn="0" w:lastColumn="0" w:oddVBand="0" w:evenVBand="0" w:oddHBand="0" w:evenHBand="0" w:firstRowFirstColumn="0" w:firstRowLastColumn="0" w:lastRowFirstColumn="0" w:lastRowLastColumn="0"/>
          <w:trHeight w:val="60"/>
          <w:tblHeader/>
        </w:trPr>
        <w:tc>
          <w:tcPr>
            <w:tcW w:w="2802" w:type="dxa"/>
            <w:tcBorders>
              <w:bottom w:val="single" w:sz="4" w:space="0" w:color="auto"/>
            </w:tcBorders>
            <w:shd w:val="clear" w:color="auto" w:fill="FFC000"/>
          </w:tcPr>
          <w:p w14:paraId="65BD8E75" w14:textId="77777777" w:rsidR="009C4235" w:rsidRPr="00F920B8" w:rsidRDefault="009C4235" w:rsidP="007971BA">
            <w:pPr>
              <w:spacing w:after="120"/>
              <w:rPr>
                <w:color w:val="auto"/>
              </w:rPr>
            </w:pPr>
            <w:r w:rsidRPr="00F920B8">
              <w:rPr>
                <w:color w:val="auto"/>
              </w:rPr>
              <w:t xml:space="preserve">Term </w:t>
            </w:r>
          </w:p>
        </w:tc>
        <w:tc>
          <w:tcPr>
            <w:tcW w:w="6129" w:type="dxa"/>
            <w:tcBorders>
              <w:bottom w:val="single" w:sz="4" w:space="0" w:color="auto"/>
            </w:tcBorders>
            <w:shd w:val="clear" w:color="auto" w:fill="FFC000"/>
          </w:tcPr>
          <w:p w14:paraId="340EFD11" w14:textId="77777777" w:rsidR="009C4235" w:rsidRPr="00F920B8" w:rsidRDefault="009C4235" w:rsidP="007971BA">
            <w:pPr>
              <w:spacing w:after="120"/>
              <w:rPr>
                <w:color w:val="auto"/>
              </w:rPr>
            </w:pPr>
            <w:r w:rsidRPr="00F920B8">
              <w:rPr>
                <w:color w:val="auto"/>
              </w:rPr>
              <w:t>Definition</w:t>
            </w:r>
          </w:p>
        </w:tc>
      </w:tr>
      <w:tr w:rsidR="009C4235" w:rsidRPr="003F2447" w14:paraId="3F0D76CA" w14:textId="77777777" w:rsidTr="007971BA">
        <w:trPr>
          <w:trHeight w:val="60"/>
        </w:trPr>
        <w:tc>
          <w:tcPr>
            <w:tcW w:w="2802" w:type="dxa"/>
            <w:tcBorders>
              <w:top w:val="single" w:sz="4" w:space="0" w:color="auto"/>
              <w:left w:val="single" w:sz="4" w:space="0" w:color="auto"/>
              <w:bottom w:val="single" w:sz="4" w:space="0" w:color="auto"/>
              <w:right w:val="single" w:sz="4" w:space="0" w:color="auto"/>
            </w:tcBorders>
          </w:tcPr>
          <w:p w14:paraId="67EA9114" w14:textId="77777777" w:rsidR="009C4235" w:rsidRDefault="009C4235" w:rsidP="007971BA">
            <w:pPr>
              <w:spacing w:after="120"/>
            </w:pPr>
            <w:r>
              <w:t>Tertiary Admission Centre (TAC)</w:t>
            </w:r>
          </w:p>
        </w:tc>
        <w:tc>
          <w:tcPr>
            <w:tcW w:w="6129" w:type="dxa"/>
            <w:tcBorders>
              <w:top w:val="single" w:sz="4" w:space="0" w:color="auto"/>
              <w:left w:val="single" w:sz="4" w:space="0" w:color="auto"/>
              <w:bottom w:val="single" w:sz="4" w:space="0" w:color="auto"/>
              <w:right w:val="single" w:sz="4" w:space="0" w:color="auto"/>
            </w:tcBorders>
          </w:tcPr>
          <w:p w14:paraId="2CCC9218" w14:textId="77777777" w:rsidR="009C4235" w:rsidRPr="003F2447" w:rsidRDefault="009C4235" w:rsidP="007971BA">
            <w:pPr>
              <w:contextualSpacing/>
            </w:pPr>
            <w:r>
              <w:t xml:space="preserve">Central agencies which </w:t>
            </w:r>
            <w:r w:rsidRPr="00B24E6A">
              <w:t xml:space="preserve">manage the application and </w:t>
            </w:r>
            <w:proofErr w:type="gramStart"/>
            <w:r w:rsidRPr="00B24E6A">
              <w:t>offer</w:t>
            </w:r>
            <w:r>
              <w:t>s</w:t>
            </w:r>
            <w:proofErr w:type="gramEnd"/>
            <w:r w:rsidRPr="00B24E6A">
              <w:t xml:space="preserve"> on behalf of their member universitie</w:t>
            </w:r>
            <w:r>
              <w:t>s. They allow students to apply for multiple institutions in a single application by allowing for preferences.</w:t>
            </w:r>
          </w:p>
        </w:tc>
      </w:tr>
      <w:tr w:rsidR="009C4235" w:rsidRPr="007F205C" w14:paraId="61827215" w14:textId="77777777" w:rsidTr="007971BA">
        <w:trPr>
          <w:trHeight w:val="60"/>
        </w:trPr>
        <w:tc>
          <w:tcPr>
            <w:tcW w:w="2802" w:type="dxa"/>
            <w:tcBorders>
              <w:top w:val="single" w:sz="4" w:space="0" w:color="auto"/>
              <w:left w:val="single" w:sz="4" w:space="0" w:color="auto"/>
              <w:bottom w:val="single" w:sz="4" w:space="0" w:color="auto"/>
              <w:right w:val="single" w:sz="4" w:space="0" w:color="auto"/>
            </w:tcBorders>
          </w:tcPr>
          <w:p w14:paraId="0292F595" w14:textId="77777777" w:rsidR="009C4235" w:rsidRDefault="009C4235" w:rsidP="007971BA">
            <w:pPr>
              <w:spacing w:after="120"/>
            </w:pPr>
            <w:r w:rsidRPr="003F2447">
              <w:t xml:space="preserve">Australasian Curriculum Assessment Certification Authorities (ACACA) </w:t>
            </w:r>
            <w:r>
              <w:br/>
            </w:r>
            <w:r w:rsidRPr="003F2447">
              <w:t>Year 12 programs</w:t>
            </w:r>
          </w:p>
        </w:tc>
        <w:tc>
          <w:tcPr>
            <w:tcW w:w="6129" w:type="dxa"/>
            <w:tcBorders>
              <w:top w:val="single" w:sz="4" w:space="0" w:color="auto"/>
              <w:left w:val="single" w:sz="4" w:space="0" w:color="auto"/>
              <w:bottom w:val="single" w:sz="4" w:space="0" w:color="auto"/>
              <w:right w:val="single" w:sz="4" w:space="0" w:color="auto"/>
            </w:tcBorders>
          </w:tcPr>
          <w:p w14:paraId="5AE41292" w14:textId="77777777" w:rsidR="009C4235" w:rsidRDefault="009C4235" w:rsidP="007971BA">
            <w:pPr>
              <w:contextualSpacing/>
            </w:pPr>
            <w:r w:rsidRPr="003F2447">
              <w:t>Each State</w:t>
            </w:r>
            <w:r>
              <w:t xml:space="preserve"> and territory</w:t>
            </w:r>
            <w:r w:rsidRPr="003F2447">
              <w:t xml:space="preserve"> has its own approved Year 12 program. ACACA is the national body responsible for monitoring senior secondary curricula and certification in Australia and New Zealand. ACACA Year 12 programs may be undertaken in schools, VET institutions or </w:t>
            </w:r>
            <w:r>
              <w:t>higher education provider</w:t>
            </w:r>
            <w:r w:rsidRPr="003F2447">
              <w:t>s.</w:t>
            </w:r>
            <w:r>
              <w:t xml:space="preserve"> C</w:t>
            </w:r>
            <w:r w:rsidRPr="003F2447">
              <w:t xml:space="preserve">urrent programs by </w:t>
            </w:r>
            <w:r>
              <w:t>s</w:t>
            </w:r>
            <w:r w:rsidRPr="003F2447">
              <w:t xml:space="preserve">tate are: </w:t>
            </w:r>
          </w:p>
          <w:p w14:paraId="7AA942C7" w14:textId="77777777" w:rsidR="009C4235" w:rsidRDefault="009C4235" w:rsidP="007971BA">
            <w:pPr>
              <w:pStyle w:val="ListBullet"/>
              <w:numPr>
                <w:ilvl w:val="0"/>
                <w:numId w:val="5"/>
              </w:numPr>
              <w:spacing w:after="120" w:line="240" w:lineRule="auto"/>
            </w:pPr>
            <w:r w:rsidRPr="003F2447">
              <w:t xml:space="preserve">NSW Higher School Certificate </w:t>
            </w:r>
          </w:p>
          <w:p w14:paraId="4A73D809" w14:textId="77777777" w:rsidR="009C4235" w:rsidRDefault="009C4235" w:rsidP="007971BA">
            <w:pPr>
              <w:pStyle w:val="ListBullet"/>
              <w:numPr>
                <w:ilvl w:val="0"/>
                <w:numId w:val="5"/>
              </w:numPr>
              <w:spacing w:after="120" w:line="240" w:lineRule="auto"/>
            </w:pPr>
            <w:r w:rsidRPr="003F2447">
              <w:t xml:space="preserve">Victorian Certificate of Education, </w:t>
            </w:r>
          </w:p>
          <w:p w14:paraId="5933A1F7" w14:textId="77777777" w:rsidR="009C4235" w:rsidRDefault="009C4235" w:rsidP="007971BA">
            <w:pPr>
              <w:pStyle w:val="ListBullet"/>
              <w:numPr>
                <w:ilvl w:val="0"/>
                <w:numId w:val="5"/>
              </w:numPr>
              <w:spacing w:after="120" w:line="240" w:lineRule="auto"/>
            </w:pPr>
            <w:r w:rsidRPr="003F2447">
              <w:t xml:space="preserve">Queensland Certificate of Education </w:t>
            </w:r>
          </w:p>
          <w:p w14:paraId="2CD9729F" w14:textId="77777777" w:rsidR="009C4235" w:rsidRDefault="009C4235" w:rsidP="007971BA">
            <w:pPr>
              <w:pStyle w:val="ListBullet"/>
              <w:numPr>
                <w:ilvl w:val="0"/>
                <w:numId w:val="5"/>
              </w:numPr>
              <w:spacing w:after="120" w:line="240" w:lineRule="auto"/>
            </w:pPr>
            <w:r w:rsidRPr="003F2447">
              <w:t xml:space="preserve">Queensland Senior Certificate </w:t>
            </w:r>
          </w:p>
          <w:p w14:paraId="2D0F1B33" w14:textId="77777777" w:rsidR="009C4235" w:rsidRDefault="009C4235" w:rsidP="007971BA">
            <w:pPr>
              <w:pStyle w:val="ListBullet"/>
              <w:numPr>
                <w:ilvl w:val="0"/>
                <w:numId w:val="5"/>
              </w:numPr>
              <w:spacing w:after="120" w:line="240" w:lineRule="auto"/>
            </w:pPr>
            <w:r w:rsidRPr="003F2447">
              <w:t xml:space="preserve">Western Australian Certificate of Education </w:t>
            </w:r>
          </w:p>
          <w:p w14:paraId="37933A69" w14:textId="77777777" w:rsidR="009C4235" w:rsidRDefault="009C4235" w:rsidP="007971BA">
            <w:pPr>
              <w:pStyle w:val="ListBullet"/>
              <w:numPr>
                <w:ilvl w:val="0"/>
                <w:numId w:val="5"/>
              </w:numPr>
              <w:spacing w:after="120" w:line="240" w:lineRule="auto"/>
            </w:pPr>
            <w:r w:rsidRPr="003F2447">
              <w:t xml:space="preserve">South Australian Certificate of Education </w:t>
            </w:r>
          </w:p>
          <w:p w14:paraId="2634A18B" w14:textId="77777777" w:rsidR="009C4235" w:rsidRDefault="009C4235" w:rsidP="007971BA">
            <w:pPr>
              <w:pStyle w:val="ListBullet"/>
              <w:numPr>
                <w:ilvl w:val="0"/>
                <w:numId w:val="5"/>
              </w:numPr>
              <w:spacing w:after="120" w:line="240" w:lineRule="auto"/>
            </w:pPr>
            <w:r w:rsidRPr="003F2447">
              <w:t xml:space="preserve">Tasmanian Certificate of Education </w:t>
            </w:r>
          </w:p>
          <w:p w14:paraId="4C260B57" w14:textId="77777777" w:rsidR="009C4235" w:rsidRDefault="009C4235" w:rsidP="007971BA">
            <w:pPr>
              <w:pStyle w:val="ListBullet"/>
              <w:numPr>
                <w:ilvl w:val="0"/>
                <w:numId w:val="5"/>
              </w:numPr>
              <w:spacing w:after="120" w:line="240" w:lineRule="auto"/>
            </w:pPr>
            <w:r w:rsidRPr="003F2447">
              <w:t xml:space="preserve">ACT Year 12 Certificate </w:t>
            </w:r>
          </w:p>
          <w:p w14:paraId="6A8DEB22" w14:textId="77777777" w:rsidR="009C4235" w:rsidRPr="007F205C" w:rsidRDefault="009C4235" w:rsidP="007971BA">
            <w:pPr>
              <w:pStyle w:val="ListBullet"/>
              <w:numPr>
                <w:ilvl w:val="0"/>
                <w:numId w:val="5"/>
              </w:numPr>
              <w:spacing w:after="120" w:line="240" w:lineRule="auto"/>
            </w:pPr>
            <w:r w:rsidRPr="003F2447">
              <w:t>Northern Territory Certificate of Education</w:t>
            </w:r>
            <w:r>
              <w:t>.</w:t>
            </w:r>
          </w:p>
        </w:tc>
      </w:tr>
      <w:tr w:rsidR="00CC0A06" w:rsidRPr="00876311" w14:paraId="23A2074D" w14:textId="77777777" w:rsidTr="007971BA">
        <w:trPr>
          <w:trHeight w:val="60"/>
        </w:trPr>
        <w:tc>
          <w:tcPr>
            <w:tcW w:w="2802" w:type="dxa"/>
            <w:tcBorders>
              <w:top w:val="single" w:sz="4" w:space="0" w:color="auto"/>
              <w:left w:val="single" w:sz="4" w:space="0" w:color="auto"/>
              <w:bottom w:val="single" w:sz="4" w:space="0" w:color="auto"/>
              <w:right w:val="single" w:sz="4" w:space="0" w:color="auto"/>
            </w:tcBorders>
          </w:tcPr>
          <w:p w14:paraId="32547B49" w14:textId="16C55139" w:rsidR="00CC0A06" w:rsidRPr="00D265A4" w:rsidRDefault="00CC0A06" w:rsidP="007971BA">
            <w:pPr>
              <w:spacing w:after="120"/>
            </w:pPr>
            <w:r w:rsidRPr="00D265A4">
              <w:t>Applicant</w:t>
            </w:r>
          </w:p>
        </w:tc>
        <w:tc>
          <w:tcPr>
            <w:tcW w:w="6129" w:type="dxa"/>
            <w:tcBorders>
              <w:top w:val="single" w:sz="4" w:space="0" w:color="auto"/>
              <w:left w:val="single" w:sz="4" w:space="0" w:color="auto"/>
              <w:bottom w:val="single" w:sz="4" w:space="0" w:color="auto"/>
              <w:right w:val="single" w:sz="4" w:space="0" w:color="auto"/>
            </w:tcBorders>
          </w:tcPr>
          <w:p w14:paraId="6E0A7E74" w14:textId="55A66E42" w:rsidR="00CC0A06" w:rsidRPr="00D265A4" w:rsidRDefault="00CC0A06" w:rsidP="007971BA">
            <w:pPr>
              <w:spacing w:after="120"/>
            </w:pPr>
            <w:r w:rsidRPr="00D265A4">
              <w:t>Applicant refers to an Australian or New Zealand citizen, permanent resident or permanent humanitarian visa holder who has applied through a TAC or a Table A higher education provider and who expressed at least one preference for a Commonwealth supported place in higher education.</w:t>
            </w:r>
          </w:p>
        </w:tc>
      </w:tr>
      <w:tr w:rsidR="009C4235" w:rsidRPr="00876311" w14:paraId="6C67A292" w14:textId="77777777" w:rsidTr="007971BA">
        <w:trPr>
          <w:trHeight w:val="60"/>
        </w:trPr>
        <w:tc>
          <w:tcPr>
            <w:tcW w:w="2802" w:type="dxa"/>
            <w:tcBorders>
              <w:top w:val="single" w:sz="4" w:space="0" w:color="auto"/>
              <w:left w:val="single" w:sz="4" w:space="0" w:color="auto"/>
              <w:bottom w:val="single" w:sz="4" w:space="0" w:color="auto"/>
              <w:right w:val="single" w:sz="4" w:space="0" w:color="auto"/>
            </w:tcBorders>
          </w:tcPr>
          <w:p w14:paraId="645F7DB2" w14:textId="77777777" w:rsidR="009C4235" w:rsidRPr="003F2447" w:rsidRDefault="009C4235" w:rsidP="007971BA">
            <w:pPr>
              <w:spacing w:after="120"/>
              <w:rPr>
                <w:rFonts w:ascii="Calibri" w:hAnsi="Calibri"/>
              </w:rPr>
            </w:pPr>
            <w:r>
              <w:t>Application</w:t>
            </w:r>
          </w:p>
        </w:tc>
        <w:tc>
          <w:tcPr>
            <w:tcW w:w="6129" w:type="dxa"/>
            <w:tcBorders>
              <w:top w:val="single" w:sz="4" w:space="0" w:color="auto"/>
              <w:left w:val="single" w:sz="4" w:space="0" w:color="auto"/>
              <w:bottom w:val="single" w:sz="4" w:space="0" w:color="auto"/>
              <w:right w:val="single" w:sz="4" w:space="0" w:color="auto"/>
            </w:tcBorders>
          </w:tcPr>
          <w:p w14:paraId="3E660F59" w14:textId="77777777" w:rsidR="009C4235" w:rsidRPr="00876311" w:rsidRDefault="009C4235" w:rsidP="007971BA">
            <w:pPr>
              <w:spacing w:after="120"/>
            </w:pPr>
            <w:r>
              <w:t>A submission by an applicant directly to a university, or to a Tertiary Admission Centre (TAC) for admission to a particular course of study.</w:t>
            </w:r>
          </w:p>
        </w:tc>
      </w:tr>
      <w:tr w:rsidR="009C4235" w:rsidRPr="00876311" w14:paraId="5E950994" w14:textId="77777777" w:rsidTr="007971BA">
        <w:trPr>
          <w:trHeight w:val="60"/>
        </w:trPr>
        <w:tc>
          <w:tcPr>
            <w:tcW w:w="2802" w:type="dxa"/>
            <w:tcBorders>
              <w:top w:val="single" w:sz="4" w:space="0" w:color="auto"/>
              <w:left w:val="single" w:sz="4" w:space="0" w:color="auto"/>
              <w:bottom w:val="single" w:sz="4" w:space="0" w:color="auto"/>
              <w:right w:val="single" w:sz="4" w:space="0" w:color="auto"/>
            </w:tcBorders>
          </w:tcPr>
          <w:p w14:paraId="5ED4A1B0" w14:textId="77777777" w:rsidR="009C4235" w:rsidRPr="003F2447" w:rsidRDefault="009C4235" w:rsidP="007971BA">
            <w:pPr>
              <w:spacing w:after="120"/>
              <w:rPr>
                <w:rFonts w:ascii="Calibri" w:hAnsi="Calibri"/>
              </w:rPr>
            </w:pPr>
            <w:r>
              <w:t>Offer</w:t>
            </w:r>
          </w:p>
        </w:tc>
        <w:tc>
          <w:tcPr>
            <w:tcW w:w="6129" w:type="dxa"/>
            <w:tcBorders>
              <w:top w:val="single" w:sz="4" w:space="0" w:color="auto"/>
              <w:left w:val="single" w:sz="4" w:space="0" w:color="auto"/>
              <w:bottom w:val="single" w:sz="4" w:space="0" w:color="auto"/>
              <w:right w:val="single" w:sz="4" w:space="0" w:color="auto"/>
            </w:tcBorders>
          </w:tcPr>
          <w:p w14:paraId="1E4BD773" w14:textId="77777777" w:rsidR="009C4235" w:rsidRPr="00876311" w:rsidRDefault="009C4235" w:rsidP="007971BA">
            <w:pPr>
              <w:spacing w:after="120"/>
            </w:pPr>
            <w:r>
              <w:t>A formal notification from a university or a TAC to an applicant for an offer to study a particular course. This offer may be conditional or unconditional.</w:t>
            </w:r>
          </w:p>
        </w:tc>
      </w:tr>
      <w:tr w:rsidR="009C4235" w:rsidRPr="00876311" w14:paraId="00FD650D" w14:textId="77777777" w:rsidTr="007971BA">
        <w:trPr>
          <w:trHeight w:val="60"/>
        </w:trPr>
        <w:tc>
          <w:tcPr>
            <w:tcW w:w="2802" w:type="dxa"/>
            <w:tcBorders>
              <w:top w:val="single" w:sz="4" w:space="0" w:color="auto"/>
              <w:left w:val="single" w:sz="4" w:space="0" w:color="auto"/>
              <w:bottom w:val="single" w:sz="4" w:space="0" w:color="auto"/>
              <w:right w:val="single" w:sz="4" w:space="0" w:color="auto"/>
            </w:tcBorders>
          </w:tcPr>
          <w:p w14:paraId="169D5274" w14:textId="77777777" w:rsidR="009C4235" w:rsidRPr="003F2447" w:rsidRDefault="009C4235" w:rsidP="007971BA">
            <w:pPr>
              <w:spacing w:after="120"/>
              <w:rPr>
                <w:rFonts w:ascii="Calibri" w:hAnsi="Calibri"/>
              </w:rPr>
            </w:pPr>
            <w:r>
              <w:t>Preferences</w:t>
            </w:r>
          </w:p>
        </w:tc>
        <w:tc>
          <w:tcPr>
            <w:tcW w:w="6129" w:type="dxa"/>
            <w:tcBorders>
              <w:top w:val="single" w:sz="4" w:space="0" w:color="auto"/>
              <w:left w:val="single" w:sz="4" w:space="0" w:color="auto"/>
              <w:bottom w:val="single" w:sz="4" w:space="0" w:color="auto"/>
              <w:right w:val="single" w:sz="4" w:space="0" w:color="auto"/>
            </w:tcBorders>
          </w:tcPr>
          <w:p w14:paraId="2C70DDE5" w14:textId="77777777" w:rsidR="009C4235" w:rsidRPr="00876311" w:rsidRDefault="009C4235" w:rsidP="007971BA">
            <w:pPr>
              <w:spacing w:after="120"/>
            </w:pPr>
            <w:r>
              <w:t xml:space="preserve">TACs and some universities allow applicants to rank a range of courses within an application which reflects an applicant’s course of study preference. </w:t>
            </w:r>
          </w:p>
        </w:tc>
      </w:tr>
      <w:tr w:rsidR="009C4235" w14:paraId="4CC022B4" w14:textId="77777777" w:rsidTr="007971BA">
        <w:trPr>
          <w:trHeight w:val="60"/>
        </w:trPr>
        <w:tc>
          <w:tcPr>
            <w:tcW w:w="2802" w:type="dxa"/>
            <w:tcBorders>
              <w:top w:val="single" w:sz="4" w:space="0" w:color="auto"/>
              <w:left w:val="single" w:sz="4" w:space="0" w:color="auto"/>
              <w:bottom w:val="single" w:sz="4" w:space="0" w:color="auto"/>
              <w:right w:val="single" w:sz="4" w:space="0" w:color="auto"/>
            </w:tcBorders>
          </w:tcPr>
          <w:p w14:paraId="141A4272" w14:textId="77777777" w:rsidR="009C4235" w:rsidRDefault="009C4235" w:rsidP="007971BA">
            <w:pPr>
              <w:spacing w:after="120"/>
            </w:pPr>
            <w:r w:rsidRPr="003F2447">
              <w:rPr>
                <w:rFonts w:ascii="Calibri" w:hAnsi="Calibri"/>
              </w:rPr>
              <w:t>Offer rate</w:t>
            </w:r>
          </w:p>
        </w:tc>
        <w:tc>
          <w:tcPr>
            <w:tcW w:w="6129" w:type="dxa"/>
            <w:tcBorders>
              <w:top w:val="single" w:sz="4" w:space="0" w:color="auto"/>
              <w:left w:val="single" w:sz="4" w:space="0" w:color="auto"/>
              <w:bottom w:val="single" w:sz="4" w:space="0" w:color="auto"/>
              <w:right w:val="single" w:sz="4" w:space="0" w:color="auto"/>
            </w:tcBorders>
          </w:tcPr>
          <w:p w14:paraId="4E73D506" w14:textId="77777777" w:rsidR="009C4235" w:rsidRDefault="009C4235" w:rsidP="007971BA">
            <w:pPr>
              <w:spacing w:after="120"/>
            </w:pPr>
            <w:r w:rsidRPr="00876311">
              <w:t>The offer rate is a</w:t>
            </w:r>
            <w:r>
              <w:t> percentage</w:t>
            </w:r>
            <w:r w:rsidRPr="00876311">
              <w:t xml:space="preserve"> calculated as the number of valid offers made to applicants with at least one valid preference divided by the number of applicants with at least one valid preference.</w:t>
            </w:r>
          </w:p>
        </w:tc>
      </w:tr>
      <w:tr w:rsidR="009C4235" w:rsidRPr="00876311" w14:paraId="35EAA051" w14:textId="77777777" w:rsidTr="007971BA">
        <w:trPr>
          <w:trHeight w:val="60"/>
        </w:trPr>
        <w:tc>
          <w:tcPr>
            <w:tcW w:w="2802" w:type="dxa"/>
            <w:tcBorders>
              <w:top w:val="single" w:sz="4" w:space="0" w:color="auto"/>
              <w:left w:val="single" w:sz="4" w:space="0" w:color="auto"/>
              <w:bottom w:val="single" w:sz="4" w:space="0" w:color="auto"/>
              <w:right w:val="single" w:sz="4" w:space="0" w:color="auto"/>
            </w:tcBorders>
          </w:tcPr>
          <w:p w14:paraId="02003B8C" w14:textId="77777777" w:rsidR="009C4235" w:rsidRPr="003F2447" w:rsidRDefault="009C4235" w:rsidP="007971BA">
            <w:pPr>
              <w:spacing w:after="120"/>
              <w:rPr>
                <w:rFonts w:ascii="Calibri" w:hAnsi="Calibri"/>
              </w:rPr>
            </w:pPr>
            <w:r w:rsidRPr="003F2447">
              <w:lastRenderedPageBreak/>
              <w:t>Current Year 12 applicant</w:t>
            </w:r>
          </w:p>
        </w:tc>
        <w:tc>
          <w:tcPr>
            <w:tcW w:w="6129" w:type="dxa"/>
            <w:tcBorders>
              <w:top w:val="single" w:sz="4" w:space="0" w:color="auto"/>
              <w:left w:val="single" w:sz="4" w:space="0" w:color="auto"/>
              <w:bottom w:val="single" w:sz="4" w:space="0" w:color="auto"/>
              <w:right w:val="single" w:sz="4" w:space="0" w:color="auto"/>
            </w:tcBorders>
          </w:tcPr>
          <w:p w14:paraId="5DF90967" w14:textId="77777777" w:rsidR="009C4235" w:rsidRPr="00876311" w:rsidRDefault="009C4235" w:rsidP="007971BA">
            <w:pPr>
              <w:spacing w:after="120"/>
            </w:pPr>
            <w:r w:rsidRPr="003F2447">
              <w:t xml:space="preserve">An applicant who attempted </w:t>
            </w:r>
            <w:r>
              <w:t xml:space="preserve">an ACACA Year 12 program or the </w:t>
            </w:r>
            <w:r w:rsidRPr="003F2447">
              <w:t>Interna</w:t>
            </w:r>
            <w:r>
              <w:t>tional Baccalaureate</w:t>
            </w:r>
            <w:r w:rsidRPr="003F2447">
              <w:t xml:space="preserve"> </w:t>
            </w:r>
            <w:r>
              <w:t>in the year of application.</w:t>
            </w:r>
          </w:p>
        </w:tc>
      </w:tr>
      <w:tr w:rsidR="009C4235" w:rsidRPr="003F2447" w14:paraId="54941030" w14:textId="77777777" w:rsidTr="007971BA">
        <w:trPr>
          <w:trHeight w:val="60"/>
        </w:trPr>
        <w:tc>
          <w:tcPr>
            <w:tcW w:w="2802" w:type="dxa"/>
            <w:tcBorders>
              <w:top w:val="single" w:sz="4" w:space="0" w:color="auto"/>
              <w:left w:val="nil"/>
              <w:bottom w:val="nil"/>
              <w:right w:val="nil"/>
            </w:tcBorders>
          </w:tcPr>
          <w:p w14:paraId="0515237D" w14:textId="77777777" w:rsidR="009C4235" w:rsidRPr="003F2447" w:rsidRDefault="009C4235" w:rsidP="007971BA">
            <w:pPr>
              <w:spacing w:after="120"/>
            </w:pPr>
          </w:p>
        </w:tc>
        <w:tc>
          <w:tcPr>
            <w:tcW w:w="6129" w:type="dxa"/>
            <w:tcBorders>
              <w:top w:val="single" w:sz="4" w:space="0" w:color="auto"/>
              <w:left w:val="nil"/>
              <w:bottom w:val="nil"/>
              <w:right w:val="nil"/>
            </w:tcBorders>
          </w:tcPr>
          <w:p w14:paraId="16FF20A5" w14:textId="77777777" w:rsidR="009C4235" w:rsidRPr="003F2447" w:rsidRDefault="009C4235" w:rsidP="007971BA">
            <w:pPr>
              <w:spacing w:after="120"/>
            </w:pPr>
          </w:p>
        </w:tc>
      </w:tr>
    </w:tbl>
    <w:p w14:paraId="5E08D52B" w14:textId="18757B88" w:rsidR="00A90923" w:rsidRPr="00C75D49" w:rsidRDefault="00A90923" w:rsidP="00A90923">
      <w:pPr>
        <w:pStyle w:val="Heading2"/>
        <w:rPr>
          <w:color w:val="auto"/>
        </w:rPr>
      </w:pPr>
      <w:bookmarkStart w:id="2" w:name="_Toc212734158"/>
      <w:r w:rsidRPr="00C75D49">
        <w:rPr>
          <w:color w:val="auto"/>
        </w:rPr>
        <w:t>Acknowledgements</w:t>
      </w:r>
      <w:bookmarkEnd w:id="2"/>
    </w:p>
    <w:p w14:paraId="6A1C7F17" w14:textId="7835C42D" w:rsidR="00E86825" w:rsidRDefault="00A90923" w:rsidP="00A90923">
      <w:r w:rsidRPr="001D20E1">
        <w:t xml:space="preserve">The department would like to thank all officers of TACs and universities for </w:t>
      </w:r>
      <w:r w:rsidR="0097744B">
        <w:t>their submission of</w:t>
      </w:r>
      <w:r w:rsidRPr="001D20E1">
        <w:t xml:space="preserve"> applicati</w:t>
      </w:r>
      <w:r>
        <w:t xml:space="preserve">ons and offers data for the </w:t>
      </w:r>
      <w:r w:rsidR="007339EC">
        <w:t>202</w:t>
      </w:r>
      <w:r w:rsidR="00C016F5">
        <w:t>5</w:t>
      </w:r>
      <w:r w:rsidRPr="001D20E1">
        <w:t xml:space="preserve"> academic year</w:t>
      </w:r>
      <w:r w:rsidR="007339EC">
        <w:t>s</w:t>
      </w:r>
      <w:r w:rsidRPr="001D20E1">
        <w:t>.</w:t>
      </w:r>
    </w:p>
    <w:p w14:paraId="26CECC6F" w14:textId="43033F58" w:rsidR="00A90923" w:rsidRDefault="00A90923" w:rsidP="00CF56A8">
      <w:pPr>
        <w:pStyle w:val="Heading1"/>
      </w:pPr>
      <w:r>
        <w:br w:type="page"/>
      </w:r>
      <w:bookmarkStart w:id="3" w:name="_Toc212734159"/>
      <w:r w:rsidR="00887E4E">
        <w:lastRenderedPageBreak/>
        <w:t>Key Findings</w:t>
      </w:r>
      <w:bookmarkEnd w:id="3"/>
    </w:p>
    <w:p w14:paraId="1BE8DE31" w14:textId="77777777" w:rsidR="003D575B" w:rsidRPr="003D575B" w:rsidRDefault="003D575B" w:rsidP="001E2883">
      <w:pPr>
        <w:spacing w:after="0"/>
      </w:pPr>
    </w:p>
    <w:p w14:paraId="52A43362" w14:textId="1A62C9FC" w:rsidR="003D575B" w:rsidRPr="001E2883" w:rsidRDefault="00991C3D" w:rsidP="001E2883">
      <w:pPr>
        <w:pStyle w:val="Heading2"/>
        <w:spacing w:before="0"/>
        <w:rPr>
          <w:color w:val="auto"/>
        </w:rPr>
      </w:pPr>
      <w:bookmarkStart w:id="4" w:name="_Toc212734160"/>
      <w:r>
        <w:rPr>
          <w:color w:val="auto"/>
        </w:rPr>
        <w:t>There are diverse p</w:t>
      </w:r>
      <w:r w:rsidR="003D575B" w:rsidRPr="001E2883">
        <w:rPr>
          <w:color w:val="auto"/>
        </w:rPr>
        <w:t>athways to university commencement</w:t>
      </w:r>
      <w:bookmarkEnd w:id="4"/>
    </w:p>
    <w:p w14:paraId="4E096071" w14:textId="1CE85C9D" w:rsidR="009D63DF" w:rsidRPr="00397835" w:rsidRDefault="00EF4488" w:rsidP="001E2883">
      <w:pPr>
        <w:spacing w:before="120" w:after="0"/>
      </w:pPr>
      <w:r>
        <w:t xml:space="preserve">The 2024-2025 Applications &amp; Offers cycle </w:t>
      </w:r>
      <w:r w:rsidR="00B83BAE">
        <w:t>generally</w:t>
      </w:r>
      <w:r>
        <w:t xml:space="preserve"> starts around August 2024 whereby </w:t>
      </w:r>
      <w:r w:rsidR="0002512E" w:rsidRPr="0002512E">
        <w:t>Tertiary Admission Centre</w:t>
      </w:r>
      <w:r w:rsidR="0002512E">
        <w:t>s (</w:t>
      </w:r>
      <w:r>
        <w:t>TACs</w:t>
      </w:r>
      <w:r w:rsidR="0002512E">
        <w:t>)</w:t>
      </w:r>
      <w:r>
        <w:t xml:space="preserve"> open their admissions portal for university study commencing in 2025.</w:t>
      </w:r>
      <w:r w:rsidR="00832D75">
        <w:t xml:space="preserve"> Most current Year 12 applicants apply through TACs</w:t>
      </w:r>
      <w:r w:rsidR="00BC3DA3">
        <w:t xml:space="preserve"> although some will also apply directly to universities or through both routes</w:t>
      </w:r>
      <w:r w:rsidR="0002512E">
        <w:t>.</w:t>
      </w:r>
      <w:r w:rsidR="00832D75">
        <w:t xml:space="preserve"> </w:t>
      </w:r>
      <w:r>
        <w:t xml:space="preserve"> </w:t>
      </w:r>
      <w:r w:rsidR="00BC3DA3">
        <w:t>The m</w:t>
      </w:r>
      <w:r>
        <w:t xml:space="preserve">ajority of offers </w:t>
      </w:r>
      <w:r w:rsidR="00BC3DA3">
        <w:t xml:space="preserve">for entry to courses </w:t>
      </w:r>
      <w:r w:rsidR="00780F58">
        <w:t>are made</w:t>
      </w:r>
      <w:r>
        <w:t xml:space="preserve"> in December and January, soon after ATAR is released. </w:t>
      </w:r>
      <w:r w:rsidR="005B2E8E">
        <w:t>Depending on the</w:t>
      </w:r>
      <w:r>
        <w:t xml:space="preserve"> TACs and universities</w:t>
      </w:r>
      <w:r w:rsidR="005B2E8E">
        <w:t>, th</w:t>
      </w:r>
      <w:r w:rsidR="00FF6562">
        <w:t>e</w:t>
      </w:r>
      <w:r w:rsidR="005B2E8E">
        <w:t xml:space="preserve"> admissions period differ</w:t>
      </w:r>
      <w:r w:rsidR="00B83BAE">
        <w:t>s</w:t>
      </w:r>
      <w:r w:rsidR="005B2E8E">
        <w:t xml:space="preserve"> slightly.</w:t>
      </w:r>
      <w:r w:rsidR="00EE07E6">
        <w:t xml:space="preserve"> </w:t>
      </w:r>
      <w:r w:rsidR="00AA1606" w:rsidRPr="0002512E">
        <w:t xml:space="preserve">Mature age applicants are generally able to apply </w:t>
      </w:r>
      <w:r w:rsidR="009C3A0D" w:rsidRPr="0002512E">
        <w:t>and receive offers outside of this period</w:t>
      </w:r>
      <w:r w:rsidR="00AA1606" w:rsidRPr="0002512E">
        <w:t>.</w:t>
      </w:r>
      <w:r w:rsidR="00021D66">
        <w:t xml:space="preserve">  </w:t>
      </w:r>
    </w:p>
    <w:p w14:paraId="7F81C95A" w14:textId="71CC84A3" w:rsidR="00D152B1" w:rsidRPr="001E2883" w:rsidRDefault="00D152B1" w:rsidP="001E2883">
      <w:pPr>
        <w:spacing w:before="120" w:after="0"/>
        <w:rPr>
          <w:i/>
          <w:iCs/>
        </w:rPr>
      </w:pPr>
      <w:r w:rsidRPr="001E2883">
        <w:rPr>
          <w:i/>
          <w:iCs/>
        </w:rPr>
        <w:t>Applications</w:t>
      </w:r>
    </w:p>
    <w:p w14:paraId="00540D00" w14:textId="360E402B" w:rsidR="003D575B" w:rsidRDefault="003D575B" w:rsidP="003D575B">
      <w:r>
        <w:t xml:space="preserve">In the lead up to first semester 2025, 318,629 applicants submitted a total of </w:t>
      </w:r>
      <w:r w:rsidR="00562A87">
        <w:t xml:space="preserve">429,813 applications, consisting of a total of </w:t>
      </w:r>
      <w:r>
        <w:t xml:space="preserve">1,249,389 preferences for course commencement at different universities. Forty-two </w:t>
      </w:r>
      <w:r w:rsidR="00FF6562">
        <w:t>per cent</w:t>
      </w:r>
      <w:r>
        <w:t xml:space="preserve"> of </w:t>
      </w:r>
      <w:r w:rsidRPr="000174EB">
        <w:t xml:space="preserve">these applicants were Year 12 students in 2024. </w:t>
      </w:r>
      <w:proofErr w:type="gramStart"/>
      <w:r w:rsidRPr="000174EB">
        <w:t>The majority of</w:t>
      </w:r>
      <w:proofErr w:type="gramEnd"/>
      <w:r w:rsidRPr="000174EB">
        <w:t xml:space="preserve"> all </w:t>
      </w:r>
      <w:r w:rsidR="00895C07">
        <w:t xml:space="preserve">course </w:t>
      </w:r>
      <w:r w:rsidRPr="000174EB">
        <w:t xml:space="preserve">preferences were made by Year 12 students, </w:t>
      </w:r>
      <w:r w:rsidR="003675F6" w:rsidRPr="000174EB">
        <w:t>which</w:t>
      </w:r>
      <w:r w:rsidRPr="000174EB">
        <w:t xml:space="preserve"> is partly a reflection of </w:t>
      </w:r>
      <w:r w:rsidR="008B1A28" w:rsidRPr="000174EB">
        <w:t>TAC’s</w:t>
      </w:r>
      <w:r w:rsidRPr="000174EB">
        <w:t xml:space="preserve"> application process</w:t>
      </w:r>
      <w:r w:rsidR="00A5451F" w:rsidRPr="000174EB">
        <w:t xml:space="preserve">es, </w:t>
      </w:r>
      <w:r w:rsidR="000174EB" w:rsidRPr="000174EB">
        <w:t>which</w:t>
      </w:r>
      <w:r w:rsidR="00A5451F" w:rsidRPr="000174EB">
        <w:t xml:space="preserve"> allow</w:t>
      </w:r>
      <w:r w:rsidRPr="000174EB">
        <w:t xml:space="preserve"> </w:t>
      </w:r>
      <w:r w:rsidR="003675F6" w:rsidRPr="000174EB">
        <w:t xml:space="preserve">applicants </w:t>
      </w:r>
      <w:r w:rsidRPr="000174EB">
        <w:t>to</w:t>
      </w:r>
      <w:r w:rsidR="00267E11" w:rsidRPr="000174EB">
        <w:t xml:space="preserve"> rank a range of courses within one application.</w:t>
      </w:r>
      <w:r w:rsidR="00ED1F49" w:rsidRPr="000174EB">
        <w:t xml:space="preserve"> Not</w:t>
      </w:r>
      <w:r w:rsidR="00ED1F49">
        <w:t xml:space="preserve"> all universities have this process.</w:t>
      </w:r>
      <w:r>
        <w:t xml:space="preserve"> </w:t>
      </w:r>
      <w:r w:rsidR="00016250">
        <w:t>Ninety-four</w:t>
      </w:r>
      <w:r w:rsidR="00567674">
        <w:t xml:space="preserve"> per cent</w:t>
      </w:r>
      <w:r w:rsidR="00B83BAE">
        <w:t xml:space="preserve"> </w:t>
      </w:r>
      <w:r w:rsidR="00A5451F">
        <w:t>of Year 12 applicants applied through TACs</w:t>
      </w:r>
      <w:r w:rsidR="005674EA">
        <w:t xml:space="preserve"> and 16% of Year 12 applicants applied directly to universities.</w:t>
      </w:r>
      <w:r w:rsidR="00834250">
        <w:t xml:space="preserve"> </w:t>
      </w:r>
      <w:r w:rsidR="005E6035">
        <w:t>Around</w:t>
      </w:r>
      <w:r w:rsidR="00834250">
        <w:t xml:space="preserve"> 10</w:t>
      </w:r>
      <w:r w:rsidR="005E6035">
        <w:t>%</w:t>
      </w:r>
      <w:r w:rsidR="00834250">
        <w:t xml:space="preserve"> of Year 12 applicants applied through TACs and directly to universities.</w:t>
      </w:r>
    </w:p>
    <w:p w14:paraId="531B4CE8" w14:textId="5387EAEA" w:rsidR="00383539" w:rsidRDefault="003675F6" w:rsidP="007F40E1">
      <w:r>
        <w:t xml:space="preserve">The number of applicants (318,629) </w:t>
      </w:r>
      <w:r w:rsidR="007B53FB">
        <w:t xml:space="preserve">for 2025 </w:t>
      </w:r>
      <w:r>
        <w:t>was an increase of 5.4</w:t>
      </w:r>
      <w:r w:rsidR="0004619F">
        <w:t>%</w:t>
      </w:r>
      <w:r>
        <w:t xml:space="preserve"> on the previous year, following an increase of only 1% </w:t>
      </w:r>
      <w:r w:rsidR="007529B0">
        <w:t>between</w:t>
      </w:r>
      <w:r w:rsidR="00627FF6">
        <w:t xml:space="preserve"> </w:t>
      </w:r>
      <w:r>
        <w:t xml:space="preserve">2023 </w:t>
      </w:r>
      <w:r w:rsidR="007529B0">
        <w:t>and</w:t>
      </w:r>
      <w:r>
        <w:t xml:space="preserve"> 2024. </w:t>
      </w:r>
      <w:r w:rsidR="00383539">
        <w:t xml:space="preserve">The number of applicants in 2025 were at their highest since 2022 (see Table 1). </w:t>
      </w:r>
    </w:p>
    <w:p w14:paraId="6572F095" w14:textId="085540E7" w:rsidR="007F40E1" w:rsidRDefault="003675F6" w:rsidP="007F40E1">
      <w:r>
        <w:t xml:space="preserve">The number of </w:t>
      </w:r>
      <w:r w:rsidR="00E95952">
        <w:t xml:space="preserve">direct </w:t>
      </w:r>
      <w:r w:rsidR="00CB24FA">
        <w:t>applications</w:t>
      </w:r>
      <w:r w:rsidR="007F40E1" w:rsidRPr="004B3043">
        <w:t xml:space="preserve"> </w:t>
      </w:r>
      <w:r w:rsidR="00CB24FA">
        <w:t xml:space="preserve">to universities </w:t>
      </w:r>
      <w:r w:rsidR="00627FF6" w:rsidRPr="000174EB">
        <w:t>have</w:t>
      </w:r>
      <w:r w:rsidR="007B53FB" w:rsidRPr="000174EB">
        <w:t xml:space="preserve"> increas</w:t>
      </w:r>
      <w:r w:rsidR="000174EB" w:rsidRPr="000174EB">
        <w:t>ed</w:t>
      </w:r>
      <w:r w:rsidR="007B53FB" w:rsidRPr="000174EB">
        <w:t xml:space="preserve"> slowly</w:t>
      </w:r>
      <w:r w:rsidR="007B53FB">
        <w:t xml:space="preserve">. In 2025, they </w:t>
      </w:r>
      <w:r w:rsidR="007F40E1" w:rsidRPr="004B3043">
        <w:t>comprised 4</w:t>
      </w:r>
      <w:r w:rsidR="007F40E1">
        <w:t>1</w:t>
      </w:r>
      <w:r w:rsidR="0004619F">
        <w:t>%</w:t>
      </w:r>
      <w:r w:rsidR="007F40E1" w:rsidRPr="004B3043">
        <w:t xml:space="preserve"> of all </w:t>
      </w:r>
      <w:r w:rsidR="00CB24FA">
        <w:t>applications</w:t>
      </w:r>
      <w:r w:rsidR="007B53FB">
        <w:t xml:space="preserve">, </w:t>
      </w:r>
      <w:r w:rsidR="00FF6562">
        <w:t>increasing from</w:t>
      </w:r>
      <w:r w:rsidR="007F40E1" w:rsidRPr="004B3043">
        <w:t xml:space="preserve"> </w:t>
      </w:r>
      <w:r w:rsidR="007F40E1">
        <w:t>40</w:t>
      </w:r>
      <w:r w:rsidR="007F40E1" w:rsidRPr="004B3043">
        <w:t>% in 202</w:t>
      </w:r>
      <w:r w:rsidR="007F40E1">
        <w:t>4</w:t>
      </w:r>
      <w:r w:rsidR="007F40E1" w:rsidRPr="004B3043">
        <w:t xml:space="preserve"> and </w:t>
      </w:r>
      <w:r w:rsidR="007F40E1">
        <w:t xml:space="preserve">38% in </w:t>
      </w:r>
      <w:r w:rsidR="007F40E1" w:rsidRPr="004B3043">
        <w:t>2023.</w:t>
      </w:r>
    </w:p>
    <w:p w14:paraId="528D2903" w14:textId="2811EBB6" w:rsidR="00D152B1" w:rsidRPr="001E2883" w:rsidRDefault="004D36AD" w:rsidP="001E2883">
      <w:pPr>
        <w:spacing w:before="120" w:after="0"/>
        <w:rPr>
          <w:i/>
          <w:iCs/>
        </w:rPr>
      </w:pPr>
      <w:r w:rsidRPr="001E2883">
        <w:rPr>
          <w:i/>
          <w:iCs/>
        </w:rPr>
        <w:t>Offers</w:t>
      </w:r>
    </w:p>
    <w:p w14:paraId="5BB86716" w14:textId="18834A64" w:rsidR="004D36AD" w:rsidRPr="00397835" w:rsidRDefault="004D36AD" w:rsidP="007F40E1">
      <w:pPr>
        <w:rPr>
          <w:color w:val="000000" w:themeColor="text1"/>
        </w:rPr>
      </w:pPr>
      <w:r>
        <w:t xml:space="preserve">In the period up to </w:t>
      </w:r>
      <w:r w:rsidR="00B36A09">
        <w:t>the first study period</w:t>
      </w:r>
      <w:r>
        <w:t>, a total of</w:t>
      </w:r>
      <w:r w:rsidR="00753057">
        <w:t xml:space="preserve"> 429,813 </w:t>
      </w:r>
      <w:r w:rsidR="003927F8">
        <w:t>offers were made to the above applicants</w:t>
      </w:r>
      <w:r w:rsidR="00753057">
        <w:t xml:space="preserve"> (272,744 via TACs and 157,069 direct</w:t>
      </w:r>
      <w:r w:rsidR="008517D9">
        <w:t>ly</w:t>
      </w:r>
      <w:r w:rsidR="00753057">
        <w:t xml:space="preserve"> from universities)</w:t>
      </w:r>
      <w:r w:rsidR="003927F8">
        <w:t>. Some of these were declined or superseded leading to a final count of 270,179</w:t>
      </w:r>
      <w:r w:rsidR="003927F8" w:rsidRPr="009617BA">
        <w:t xml:space="preserve"> </w:t>
      </w:r>
      <w:r w:rsidR="003927F8">
        <w:t>‘latest’ offers to unique applicants</w:t>
      </w:r>
      <w:r w:rsidR="008B1A28">
        <w:t>. Around 79% of</w:t>
      </w:r>
      <w:r w:rsidR="0068587E">
        <w:t xml:space="preserve"> latest</w:t>
      </w:r>
      <w:r w:rsidR="008B1A28">
        <w:t xml:space="preserve"> offers to TAC applicants were </w:t>
      </w:r>
      <w:r w:rsidR="00C16FB6">
        <w:t xml:space="preserve">for </w:t>
      </w:r>
      <w:r w:rsidR="008B1A28">
        <w:t>their first preference</w:t>
      </w:r>
      <w:r w:rsidR="0068587E">
        <w:rPr>
          <w:color w:val="000000" w:themeColor="text1"/>
        </w:rPr>
        <w:t>. For direct offers from universities this was 9</w:t>
      </w:r>
      <w:r w:rsidR="00CB24FA">
        <w:rPr>
          <w:color w:val="000000" w:themeColor="text1"/>
        </w:rPr>
        <w:t>0</w:t>
      </w:r>
      <w:r w:rsidR="0068587E">
        <w:rPr>
          <w:color w:val="000000" w:themeColor="text1"/>
        </w:rPr>
        <w:t>%, though only 1</w:t>
      </w:r>
      <w:r w:rsidR="00571F1D">
        <w:rPr>
          <w:color w:val="000000" w:themeColor="text1"/>
        </w:rPr>
        <w:t>6</w:t>
      </w:r>
      <w:r w:rsidR="0068587E">
        <w:rPr>
          <w:color w:val="000000" w:themeColor="text1"/>
        </w:rPr>
        <w:t>% of direct applications had multiple preferences</w:t>
      </w:r>
      <w:r w:rsidR="00CB24FA">
        <w:rPr>
          <w:color w:val="000000" w:themeColor="text1"/>
        </w:rPr>
        <w:t>.</w:t>
      </w:r>
    </w:p>
    <w:p w14:paraId="335C5EA0" w14:textId="6E23B4BF" w:rsidR="008B1A28" w:rsidRDefault="00C16FB6" w:rsidP="007F40E1">
      <w:r>
        <w:t>Some offers made for commencement in 2025 were reported as deferred</w:t>
      </w:r>
      <w:r w:rsidR="009D290E">
        <w:t>, presumably</w:t>
      </w:r>
      <w:r>
        <w:t xml:space="preserve"> </w:t>
      </w:r>
      <w:proofErr w:type="gramStart"/>
      <w:r>
        <w:t>as a result of</w:t>
      </w:r>
      <w:proofErr w:type="gramEnd"/>
      <w:r>
        <w:t xml:space="preserve"> prior negotiation between applicant</w:t>
      </w:r>
      <w:r w:rsidR="009D290E">
        <w:t>s</w:t>
      </w:r>
      <w:r>
        <w:t xml:space="preserve"> and the offering university. </w:t>
      </w:r>
      <w:r w:rsidR="001B7C83">
        <w:t>Of most recent offers made through TACs</w:t>
      </w:r>
      <w:r w:rsidR="001B7C83" w:rsidRPr="0002512E">
        <w:t xml:space="preserve">, 9% were deferred, while </w:t>
      </w:r>
      <w:r w:rsidR="00D57033" w:rsidRPr="0002512E">
        <w:t xml:space="preserve">for </w:t>
      </w:r>
      <w:r w:rsidR="001B7C83" w:rsidRPr="0002512E">
        <w:t>direct offers from universities</w:t>
      </w:r>
      <w:r w:rsidR="00D57033" w:rsidRPr="0002512E">
        <w:t xml:space="preserve"> this was 5%</w:t>
      </w:r>
      <w:r w:rsidR="001B7C83" w:rsidRPr="0002512E">
        <w:t>.</w:t>
      </w:r>
      <w:r w:rsidR="00753057">
        <w:t xml:space="preserve"> Some latest offers were also reported as rejected by applicant</w:t>
      </w:r>
      <w:r w:rsidR="00D57033">
        <w:t>s</w:t>
      </w:r>
      <w:r w:rsidR="00753057">
        <w:t xml:space="preserve"> (20,148 of the 270,179).</w:t>
      </w:r>
    </w:p>
    <w:p w14:paraId="110F0657" w14:textId="21B56EFE" w:rsidR="00C16FB6" w:rsidRDefault="00EC233D" w:rsidP="001E2883">
      <w:pPr>
        <w:pStyle w:val="ListBullet"/>
        <w:numPr>
          <w:ilvl w:val="0"/>
          <w:numId w:val="0"/>
        </w:numPr>
        <w:spacing w:after="120" w:line="276" w:lineRule="auto"/>
      </w:pPr>
      <w:r>
        <w:t>The number of most-recent offers made to unique applicants (270,179)</w:t>
      </w:r>
      <w:r w:rsidRPr="009617BA">
        <w:t xml:space="preserve"> </w:t>
      </w:r>
      <w:r>
        <w:t>was an increase of 5</w:t>
      </w:r>
      <w:r w:rsidR="0004619F">
        <w:t>%</w:t>
      </w:r>
      <w:r>
        <w:t xml:space="preserve"> on the previous year. This follows an increase of 2</w:t>
      </w:r>
      <w:r w:rsidR="0004619F">
        <w:t>%</w:t>
      </w:r>
      <w:r>
        <w:t xml:space="preserve"> from 2023 to 2024. </w:t>
      </w:r>
      <w:r w:rsidRPr="00E128E7">
        <w:t>Direct offers accounted for 40</w:t>
      </w:r>
      <w:r w:rsidR="0004619F">
        <w:t>%</w:t>
      </w:r>
      <w:r w:rsidRPr="00E128E7">
        <w:t xml:space="preserve"> of total offers in 2025 (it was 39% in 2024 and 37% in 2023).</w:t>
      </w:r>
    </w:p>
    <w:p w14:paraId="59182F98" w14:textId="77777777" w:rsidR="00212670" w:rsidRDefault="00212670" w:rsidP="001E2883">
      <w:pPr>
        <w:pStyle w:val="ListBullet"/>
        <w:numPr>
          <w:ilvl w:val="0"/>
          <w:numId w:val="0"/>
        </w:numPr>
        <w:spacing w:after="120" w:line="276" w:lineRule="auto"/>
      </w:pPr>
    </w:p>
    <w:p w14:paraId="2A630EB2" w14:textId="6D5583D7" w:rsidR="00212670" w:rsidRPr="004B3043" w:rsidRDefault="00212670" w:rsidP="001E2883">
      <w:pPr>
        <w:pStyle w:val="ListBullet"/>
        <w:numPr>
          <w:ilvl w:val="0"/>
          <w:numId w:val="0"/>
        </w:numPr>
        <w:spacing w:after="120" w:line="276" w:lineRule="auto"/>
      </w:pPr>
      <w:r>
        <w:lastRenderedPageBreak/>
        <w:t>Of the 48,450</w:t>
      </w:r>
      <w:r w:rsidR="00C877E2">
        <w:t xml:space="preserve"> applicants who did not receive an offer, </w:t>
      </w:r>
      <w:r w:rsidR="00E95952">
        <w:t xml:space="preserve">the </w:t>
      </w:r>
      <w:r w:rsidR="00C877E2">
        <w:t>majority (74%) of these were non-year 12 applicants</w:t>
      </w:r>
      <w:r w:rsidR="00245E61">
        <w:t xml:space="preserve">. Of these applicants who had an ATAR, more than half (55%) had an ATAR of 60 or below. Health (37%) was the most </w:t>
      </w:r>
      <w:r w:rsidR="00E95952">
        <w:t>common</w:t>
      </w:r>
      <w:r w:rsidR="00245E61">
        <w:t xml:space="preserve"> field of </w:t>
      </w:r>
      <w:r w:rsidR="00245E61" w:rsidRPr="00313D4E">
        <w:t>education</w:t>
      </w:r>
      <w:r w:rsidR="009B1DD4" w:rsidRPr="00313D4E">
        <w:t xml:space="preserve"> </w:t>
      </w:r>
      <w:proofErr w:type="spellStart"/>
      <w:r w:rsidR="009B1DD4" w:rsidRPr="00313D4E">
        <w:t>preferenced</w:t>
      </w:r>
      <w:proofErr w:type="spellEnd"/>
      <w:r w:rsidR="00245E61">
        <w:t xml:space="preserve"> among this group. Applicants from low socio-economic status</w:t>
      </w:r>
      <w:r w:rsidR="002624C5">
        <w:t xml:space="preserve"> (SES) backgrou</w:t>
      </w:r>
      <w:r w:rsidR="008A3858">
        <w:t>n</w:t>
      </w:r>
      <w:r w:rsidR="002624C5">
        <w:t>d</w:t>
      </w:r>
      <w:r w:rsidR="00245E61">
        <w:t xml:space="preserve"> were </w:t>
      </w:r>
      <w:r w:rsidR="002624C5">
        <w:t>less</w:t>
      </w:r>
      <w:r w:rsidR="00245E61">
        <w:t xml:space="preserve"> likely </w:t>
      </w:r>
      <w:r w:rsidR="002624C5">
        <w:t xml:space="preserve">to </w:t>
      </w:r>
      <w:r w:rsidR="00245E61">
        <w:t>receive an offer (</w:t>
      </w:r>
      <w:r w:rsidR="002624C5">
        <w:t xml:space="preserve">18% of low SES applicants received no offer, compared with 16% from medium SES background and 12% from high SES background). </w:t>
      </w:r>
    </w:p>
    <w:p w14:paraId="483A3BC1" w14:textId="1B2CC049" w:rsidR="00A90923" w:rsidRPr="00C75D49" w:rsidRDefault="00A90923" w:rsidP="00D22F63">
      <w:pPr>
        <w:pStyle w:val="Heading2"/>
        <w:spacing w:before="0"/>
        <w:rPr>
          <w:color w:val="auto"/>
        </w:rPr>
      </w:pPr>
      <w:bookmarkStart w:id="5" w:name="_Toc212734161"/>
      <w:r w:rsidRPr="00C75D49">
        <w:rPr>
          <w:color w:val="auto"/>
        </w:rPr>
        <w:t>Offer rate</w:t>
      </w:r>
      <w:r w:rsidR="001E7A47">
        <w:rPr>
          <w:color w:val="auto"/>
        </w:rPr>
        <w:t>s</w:t>
      </w:r>
      <w:r w:rsidR="00F70177">
        <w:rPr>
          <w:color w:val="auto"/>
        </w:rPr>
        <w:t xml:space="preserve"> ha</w:t>
      </w:r>
      <w:r w:rsidR="001E7A47">
        <w:rPr>
          <w:color w:val="auto"/>
        </w:rPr>
        <w:t>ve</w:t>
      </w:r>
      <w:r w:rsidR="00F70177">
        <w:rPr>
          <w:color w:val="auto"/>
        </w:rPr>
        <w:t xml:space="preserve"> been increasing </w:t>
      </w:r>
      <w:r w:rsidR="001E7A47">
        <w:rPr>
          <w:color w:val="auto"/>
        </w:rPr>
        <w:t xml:space="preserve">steadily </w:t>
      </w:r>
      <w:r w:rsidR="00F70177">
        <w:rPr>
          <w:color w:val="auto"/>
        </w:rPr>
        <w:t>since 2010</w:t>
      </w:r>
      <w:bookmarkEnd w:id="5"/>
    </w:p>
    <w:p w14:paraId="67AF0C3C" w14:textId="486FC98F" w:rsidR="000350F6" w:rsidRPr="001B21F0" w:rsidRDefault="00A90923" w:rsidP="001B21F0">
      <w:pPr>
        <w:pStyle w:val="ListBullet"/>
        <w:numPr>
          <w:ilvl w:val="0"/>
          <w:numId w:val="5"/>
        </w:numPr>
        <w:spacing w:after="120" w:line="240" w:lineRule="auto"/>
        <w:ind w:left="357" w:hanging="357"/>
        <w:contextualSpacing w:val="0"/>
        <w:rPr>
          <w:rFonts w:ascii="Calibri" w:eastAsia="Times New Roman" w:hAnsi="Calibri" w:cs="Times New Roman"/>
          <w:b/>
          <w:bCs/>
          <w:lang w:eastAsia="en-AU"/>
        </w:rPr>
      </w:pPr>
      <w:r w:rsidRPr="00515534">
        <w:t>In 202</w:t>
      </w:r>
      <w:r w:rsidR="00F77CC3">
        <w:t>5</w:t>
      </w:r>
      <w:r w:rsidR="007E6F60" w:rsidRPr="00515534">
        <w:t>,</w:t>
      </w:r>
      <w:r w:rsidRPr="00515534">
        <w:t xml:space="preserve"> the offer rate </w:t>
      </w:r>
      <w:r w:rsidR="001B21F0">
        <w:t xml:space="preserve">(the proportion of unique applicants receiving </w:t>
      </w:r>
      <w:r w:rsidR="00D00D30">
        <w:t xml:space="preserve">at least one </w:t>
      </w:r>
      <w:r w:rsidR="001B21F0">
        <w:t xml:space="preserve">offer) </w:t>
      </w:r>
      <w:r w:rsidRPr="00515534">
        <w:t>was 8</w:t>
      </w:r>
      <w:r w:rsidR="00830DC3">
        <w:t>5</w:t>
      </w:r>
      <w:r w:rsidR="0004619F">
        <w:t>%</w:t>
      </w:r>
      <w:r w:rsidR="001B21F0">
        <w:t xml:space="preserve">, which </w:t>
      </w:r>
      <w:r w:rsidR="00212670">
        <w:t>is steady compared with</w:t>
      </w:r>
      <w:r w:rsidR="00D57033">
        <w:t xml:space="preserve"> </w:t>
      </w:r>
      <w:r w:rsidR="00F77CC3">
        <w:t>2024</w:t>
      </w:r>
      <w:r w:rsidR="00212670">
        <w:t>,</w:t>
      </w:r>
      <w:r w:rsidR="001B21F0">
        <w:t xml:space="preserve"> and the</w:t>
      </w:r>
      <w:bookmarkStart w:id="6" w:name="_Toc523920952"/>
      <w:r w:rsidR="00F93761">
        <w:t xml:space="preserve"> </w:t>
      </w:r>
      <w:r w:rsidR="000350F6">
        <w:t>highest since 20</w:t>
      </w:r>
      <w:r w:rsidR="00AF4A3D">
        <w:t>10</w:t>
      </w:r>
      <w:r w:rsidR="001B21F0">
        <w:t xml:space="preserve"> (see Table</w:t>
      </w:r>
      <w:r w:rsidR="00753057">
        <w:t xml:space="preserve"> </w:t>
      </w:r>
      <w:r w:rsidR="001B21F0">
        <w:t>1)</w:t>
      </w:r>
      <w:r w:rsidR="00F93761">
        <w:t>.</w:t>
      </w:r>
    </w:p>
    <w:p w14:paraId="3D7729D1" w14:textId="696CB20B" w:rsidR="00A90923" w:rsidRPr="000350F6" w:rsidRDefault="00D112AD" w:rsidP="000350F6">
      <w:pPr>
        <w:pStyle w:val="ListBullet"/>
        <w:numPr>
          <w:ilvl w:val="0"/>
          <w:numId w:val="0"/>
        </w:numPr>
        <w:spacing w:after="0" w:line="240" w:lineRule="auto"/>
        <w:ind w:left="357" w:hanging="357"/>
        <w:rPr>
          <w:rFonts w:ascii="Calibri" w:eastAsia="Times New Roman" w:hAnsi="Calibri" w:cs="Times New Roman"/>
          <w:b/>
          <w:bCs/>
          <w:lang w:eastAsia="en-AU"/>
        </w:rPr>
      </w:pPr>
      <w:r>
        <w:rPr>
          <w:rFonts w:ascii="Calibri" w:eastAsia="Times New Roman" w:hAnsi="Calibri" w:cs="Times New Roman"/>
          <w:b/>
          <w:bCs/>
          <w:lang w:eastAsia="en-AU"/>
        </w:rPr>
        <w:t>T</w:t>
      </w:r>
      <w:r w:rsidR="00A90923" w:rsidRPr="000350F6">
        <w:rPr>
          <w:rFonts w:ascii="Calibri" w:eastAsia="Times New Roman" w:hAnsi="Calibri" w:cs="Times New Roman"/>
          <w:b/>
          <w:bCs/>
          <w:lang w:eastAsia="en-AU"/>
        </w:rPr>
        <w:t xml:space="preserve">able </w:t>
      </w:r>
      <w:r w:rsidR="00A90923" w:rsidRPr="000350F6">
        <w:rPr>
          <w:rFonts w:ascii="Calibri" w:eastAsia="Times New Roman" w:hAnsi="Calibri" w:cs="Times New Roman"/>
          <w:b/>
          <w:bCs/>
          <w:lang w:eastAsia="en-AU"/>
        </w:rPr>
        <w:fldChar w:fldCharType="begin"/>
      </w:r>
      <w:r w:rsidR="00A90923" w:rsidRPr="000350F6">
        <w:rPr>
          <w:rFonts w:ascii="Calibri" w:eastAsia="Times New Roman" w:hAnsi="Calibri" w:cs="Times New Roman"/>
          <w:b/>
          <w:bCs/>
          <w:lang w:eastAsia="en-AU"/>
        </w:rPr>
        <w:instrText xml:space="preserve"> SEQ Table \* ARABIC </w:instrText>
      </w:r>
      <w:r w:rsidR="00A90923" w:rsidRPr="000350F6">
        <w:rPr>
          <w:rFonts w:ascii="Calibri" w:eastAsia="Times New Roman" w:hAnsi="Calibri" w:cs="Times New Roman"/>
          <w:b/>
          <w:bCs/>
          <w:lang w:eastAsia="en-AU"/>
        </w:rPr>
        <w:fldChar w:fldCharType="separate"/>
      </w:r>
      <w:r w:rsidR="00907FF1">
        <w:rPr>
          <w:rFonts w:ascii="Calibri" w:eastAsia="Times New Roman" w:hAnsi="Calibri" w:cs="Times New Roman"/>
          <w:b/>
          <w:bCs/>
          <w:noProof/>
          <w:lang w:eastAsia="en-AU"/>
        </w:rPr>
        <w:t>1</w:t>
      </w:r>
      <w:r w:rsidR="00A90923" w:rsidRPr="000350F6">
        <w:rPr>
          <w:rFonts w:ascii="Calibri" w:eastAsia="Times New Roman" w:hAnsi="Calibri" w:cs="Times New Roman"/>
          <w:b/>
          <w:bCs/>
          <w:lang w:eastAsia="en-AU"/>
        </w:rPr>
        <w:fldChar w:fldCharType="end"/>
      </w:r>
      <w:r w:rsidR="00A90923" w:rsidRPr="000350F6">
        <w:rPr>
          <w:rFonts w:ascii="Calibri" w:eastAsia="Times New Roman" w:hAnsi="Calibri" w:cs="Times New Roman"/>
          <w:b/>
          <w:bCs/>
          <w:lang w:eastAsia="en-AU"/>
        </w:rPr>
        <w:t>: Growth in applicants</w:t>
      </w:r>
      <w:r w:rsidR="0071574B" w:rsidRPr="000350F6">
        <w:rPr>
          <w:rFonts w:ascii="Calibri" w:eastAsia="Times New Roman" w:hAnsi="Calibri" w:cs="Times New Roman"/>
          <w:b/>
          <w:bCs/>
          <w:lang w:eastAsia="en-AU"/>
        </w:rPr>
        <w:t xml:space="preserve">, </w:t>
      </w:r>
      <w:r w:rsidR="00A90923" w:rsidRPr="000350F6">
        <w:rPr>
          <w:rFonts w:ascii="Calibri" w:eastAsia="Times New Roman" w:hAnsi="Calibri" w:cs="Times New Roman"/>
          <w:b/>
          <w:bCs/>
          <w:lang w:eastAsia="en-AU"/>
        </w:rPr>
        <w:t>offers and</w:t>
      </w:r>
      <w:r w:rsidR="0071574B" w:rsidRPr="000350F6">
        <w:rPr>
          <w:rFonts w:ascii="Calibri" w:eastAsia="Times New Roman" w:hAnsi="Calibri" w:cs="Times New Roman"/>
          <w:b/>
          <w:bCs/>
          <w:lang w:eastAsia="en-AU"/>
        </w:rPr>
        <w:t xml:space="preserve"> </w:t>
      </w:r>
      <w:r w:rsidR="00A90923" w:rsidRPr="000350F6">
        <w:rPr>
          <w:rFonts w:ascii="Calibri" w:eastAsia="Times New Roman" w:hAnsi="Calibri" w:cs="Times New Roman"/>
          <w:b/>
          <w:bCs/>
          <w:lang w:eastAsia="en-AU"/>
        </w:rPr>
        <w:t>offer rate, 2010-20</w:t>
      </w:r>
      <w:bookmarkEnd w:id="6"/>
      <w:r w:rsidR="00A90923" w:rsidRPr="000350F6">
        <w:rPr>
          <w:rFonts w:ascii="Calibri" w:eastAsia="Times New Roman" w:hAnsi="Calibri" w:cs="Times New Roman"/>
          <w:b/>
          <w:bCs/>
          <w:lang w:eastAsia="en-AU"/>
        </w:rPr>
        <w:t>2</w:t>
      </w:r>
      <w:r w:rsidR="00F77CC3">
        <w:rPr>
          <w:rFonts w:ascii="Calibri" w:eastAsia="Times New Roman" w:hAnsi="Calibri" w:cs="Times New Roman"/>
          <w:b/>
          <w:bCs/>
          <w:lang w:eastAsia="en-AU"/>
        </w:rPr>
        <w:t>5</w:t>
      </w:r>
      <w:r w:rsidR="005B0F58" w:rsidRPr="000350F6">
        <w:rPr>
          <w:rFonts w:ascii="Calibri" w:eastAsia="Times New Roman" w:hAnsi="Calibri" w:cs="Times New Roman"/>
          <w:b/>
          <w:bCs/>
          <w:lang w:eastAsia="en-AU"/>
        </w:rPr>
        <w:t>, Australia</w:t>
      </w:r>
    </w:p>
    <w:tbl>
      <w:tblPr>
        <w:tblW w:w="7839" w:type="dxa"/>
        <w:tblLook w:val="04A0" w:firstRow="1" w:lastRow="0" w:firstColumn="1" w:lastColumn="0" w:noHBand="0" w:noVBand="1"/>
      </w:tblPr>
      <w:tblGrid>
        <w:gridCol w:w="1128"/>
        <w:gridCol w:w="1209"/>
        <w:gridCol w:w="1646"/>
        <w:gridCol w:w="1148"/>
        <w:gridCol w:w="1451"/>
        <w:gridCol w:w="1257"/>
      </w:tblGrid>
      <w:tr w:rsidR="00292764" w:rsidRPr="00292764" w14:paraId="5120F3AA" w14:textId="77777777" w:rsidTr="00D265A4">
        <w:trPr>
          <w:trHeight w:val="589"/>
          <w:tblHeader/>
        </w:trPr>
        <w:tc>
          <w:tcPr>
            <w:tcW w:w="1128" w:type="dxa"/>
            <w:tcBorders>
              <w:top w:val="single" w:sz="12" w:space="0" w:color="auto"/>
              <w:left w:val="single" w:sz="12" w:space="0" w:color="auto"/>
              <w:bottom w:val="single" w:sz="12" w:space="0" w:color="auto"/>
              <w:right w:val="single" w:sz="8" w:space="0" w:color="auto"/>
            </w:tcBorders>
            <w:shd w:val="clear" w:color="000000" w:fill="FFC000"/>
            <w:vAlign w:val="center"/>
            <w:hideMark/>
          </w:tcPr>
          <w:p w14:paraId="769E91BE" w14:textId="77777777" w:rsidR="00292764" w:rsidRPr="00292764" w:rsidRDefault="00292764" w:rsidP="00292764">
            <w:pPr>
              <w:spacing w:after="0" w:line="240" w:lineRule="auto"/>
              <w:jc w:val="center"/>
              <w:rPr>
                <w:rFonts w:ascii="Calibri" w:eastAsia="Times New Roman" w:hAnsi="Calibri" w:cs="Calibri"/>
                <w:b/>
                <w:bCs/>
                <w:color w:val="000000"/>
                <w:sz w:val="20"/>
                <w:szCs w:val="20"/>
                <w:lang w:eastAsia="en-AU"/>
              </w:rPr>
            </w:pPr>
            <w:r w:rsidRPr="00292764">
              <w:rPr>
                <w:rFonts w:ascii="Calibri" w:eastAsia="Times New Roman" w:hAnsi="Calibri" w:cs="Calibri"/>
                <w:b/>
                <w:bCs/>
                <w:color w:val="000000"/>
                <w:sz w:val="20"/>
                <w:szCs w:val="20"/>
                <w:lang w:eastAsia="en-AU"/>
              </w:rPr>
              <w:t>Year</w:t>
            </w:r>
          </w:p>
        </w:tc>
        <w:tc>
          <w:tcPr>
            <w:tcW w:w="1209" w:type="dxa"/>
            <w:tcBorders>
              <w:top w:val="single" w:sz="12" w:space="0" w:color="auto"/>
              <w:left w:val="nil"/>
              <w:bottom w:val="single" w:sz="12" w:space="0" w:color="auto"/>
              <w:right w:val="single" w:sz="8" w:space="0" w:color="auto"/>
            </w:tcBorders>
            <w:shd w:val="clear" w:color="000000" w:fill="FFC000"/>
            <w:vAlign w:val="center"/>
            <w:hideMark/>
          </w:tcPr>
          <w:p w14:paraId="3C4A2A0C" w14:textId="77777777" w:rsidR="00292764" w:rsidRPr="00292764" w:rsidRDefault="00292764" w:rsidP="00292764">
            <w:pPr>
              <w:spacing w:after="0" w:line="240" w:lineRule="auto"/>
              <w:jc w:val="center"/>
              <w:rPr>
                <w:rFonts w:ascii="Calibri" w:eastAsia="Times New Roman" w:hAnsi="Calibri" w:cs="Calibri"/>
                <w:b/>
                <w:bCs/>
                <w:color w:val="000000"/>
                <w:sz w:val="20"/>
                <w:szCs w:val="20"/>
                <w:lang w:eastAsia="en-AU"/>
              </w:rPr>
            </w:pPr>
            <w:r w:rsidRPr="00292764">
              <w:rPr>
                <w:rFonts w:ascii="Calibri" w:eastAsia="Times New Roman" w:hAnsi="Calibri" w:cs="Calibri"/>
                <w:b/>
                <w:bCs/>
                <w:color w:val="000000"/>
                <w:sz w:val="20"/>
                <w:szCs w:val="20"/>
                <w:lang w:eastAsia="en-AU"/>
              </w:rPr>
              <w:t>Applicants</w:t>
            </w:r>
          </w:p>
        </w:tc>
        <w:tc>
          <w:tcPr>
            <w:tcW w:w="1646" w:type="dxa"/>
            <w:tcBorders>
              <w:top w:val="single" w:sz="12" w:space="0" w:color="auto"/>
              <w:left w:val="nil"/>
              <w:bottom w:val="single" w:sz="12" w:space="0" w:color="auto"/>
              <w:right w:val="single" w:sz="8" w:space="0" w:color="auto"/>
            </w:tcBorders>
            <w:shd w:val="clear" w:color="000000" w:fill="FFC000"/>
            <w:vAlign w:val="center"/>
            <w:hideMark/>
          </w:tcPr>
          <w:p w14:paraId="043BEA4D" w14:textId="77777777" w:rsidR="00292764" w:rsidRPr="00292764" w:rsidRDefault="00292764" w:rsidP="00292764">
            <w:pPr>
              <w:spacing w:after="0" w:line="240" w:lineRule="auto"/>
              <w:jc w:val="center"/>
              <w:rPr>
                <w:rFonts w:ascii="Calibri" w:eastAsia="Times New Roman" w:hAnsi="Calibri" w:cs="Calibri"/>
                <w:b/>
                <w:bCs/>
                <w:color w:val="000000"/>
                <w:sz w:val="20"/>
                <w:szCs w:val="20"/>
                <w:lang w:eastAsia="en-AU"/>
              </w:rPr>
            </w:pPr>
            <w:r w:rsidRPr="00292764">
              <w:rPr>
                <w:rFonts w:ascii="Calibri" w:eastAsia="Times New Roman" w:hAnsi="Calibri" w:cs="Calibri"/>
                <w:b/>
                <w:bCs/>
                <w:color w:val="000000"/>
                <w:sz w:val="20"/>
                <w:szCs w:val="20"/>
                <w:lang w:eastAsia="en-AU"/>
              </w:rPr>
              <w:t>Change in applicants on previous year</w:t>
            </w:r>
          </w:p>
        </w:tc>
        <w:tc>
          <w:tcPr>
            <w:tcW w:w="1148" w:type="dxa"/>
            <w:tcBorders>
              <w:top w:val="single" w:sz="12" w:space="0" w:color="auto"/>
              <w:left w:val="nil"/>
              <w:bottom w:val="single" w:sz="12" w:space="0" w:color="auto"/>
              <w:right w:val="single" w:sz="8" w:space="0" w:color="auto"/>
            </w:tcBorders>
            <w:shd w:val="clear" w:color="000000" w:fill="FFC000"/>
            <w:vAlign w:val="center"/>
            <w:hideMark/>
          </w:tcPr>
          <w:p w14:paraId="09983A95" w14:textId="77777777" w:rsidR="00292764" w:rsidRPr="00292764" w:rsidRDefault="00292764" w:rsidP="00292764">
            <w:pPr>
              <w:spacing w:after="0" w:line="240" w:lineRule="auto"/>
              <w:jc w:val="center"/>
              <w:rPr>
                <w:rFonts w:ascii="Calibri" w:eastAsia="Times New Roman" w:hAnsi="Calibri" w:cs="Calibri"/>
                <w:b/>
                <w:bCs/>
                <w:color w:val="000000"/>
                <w:sz w:val="20"/>
                <w:szCs w:val="20"/>
                <w:lang w:eastAsia="en-AU"/>
              </w:rPr>
            </w:pPr>
            <w:r w:rsidRPr="00292764">
              <w:rPr>
                <w:rFonts w:ascii="Calibri" w:eastAsia="Times New Roman" w:hAnsi="Calibri" w:cs="Calibri"/>
                <w:b/>
                <w:bCs/>
                <w:color w:val="000000"/>
                <w:sz w:val="20"/>
                <w:szCs w:val="20"/>
                <w:lang w:eastAsia="en-AU"/>
              </w:rPr>
              <w:t>Offers</w:t>
            </w:r>
          </w:p>
        </w:tc>
        <w:tc>
          <w:tcPr>
            <w:tcW w:w="1451" w:type="dxa"/>
            <w:tcBorders>
              <w:top w:val="single" w:sz="12" w:space="0" w:color="auto"/>
              <w:left w:val="nil"/>
              <w:bottom w:val="single" w:sz="12" w:space="0" w:color="auto"/>
              <w:right w:val="single" w:sz="8" w:space="0" w:color="auto"/>
            </w:tcBorders>
            <w:shd w:val="clear" w:color="000000" w:fill="FFC000"/>
            <w:vAlign w:val="center"/>
            <w:hideMark/>
          </w:tcPr>
          <w:p w14:paraId="300C18DB" w14:textId="77777777" w:rsidR="00292764" w:rsidRPr="00292764" w:rsidRDefault="00292764" w:rsidP="00292764">
            <w:pPr>
              <w:spacing w:after="0" w:line="240" w:lineRule="auto"/>
              <w:jc w:val="center"/>
              <w:rPr>
                <w:rFonts w:ascii="Calibri" w:eastAsia="Times New Roman" w:hAnsi="Calibri" w:cs="Calibri"/>
                <w:b/>
                <w:bCs/>
                <w:color w:val="000000"/>
                <w:sz w:val="20"/>
                <w:szCs w:val="20"/>
                <w:lang w:eastAsia="en-AU"/>
              </w:rPr>
            </w:pPr>
            <w:r w:rsidRPr="00292764">
              <w:rPr>
                <w:rFonts w:ascii="Calibri" w:eastAsia="Times New Roman" w:hAnsi="Calibri" w:cs="Calibri"/>
                <w:b/>
                <w:bCs/>
                <w:color w:val="000000"/>
                <w:sz w:val="20"/>
                <w:szCs w:val="20"/>
                <w:lang w:eastAsia="en-AU"/>
              </w:rPr>
              <w:t>Change in offers on previous year</w:t>
            </w:r>
          </w:p>
        </w:tc>
        <w:tc>
          <w:tcPr>
            <w:tcW w:w="1257" w:type="dxa"/>
            <w:tcBorders>
              <w:top w:val="single" w:sz="12" w:space="0" w:color="auto"/>
              <w:left w:val="nil"/>
              <w:bottom w:val="single" w:sz="12" w:space="0" w:color="auto"/>
              <w:right w:val="single" w:sz="12" w:space="0" w:color="auto"/>
            </w:tcBorders>
            <w:shd w:val="clear" w:color="000000" w:fill="FFC000"/>
            <w:vAlign w:val="center"/>
            <w:hideMark/>
          </w:tcPr>
          <w:p w14:paraId="5B226246" w14:textId="77777777" w:rsidR="00292764" w:rsidRPr="00292764" w:rsidRDefault="00292764" w:rsidP="00292764">
            <w:pPr>
              <w:spacing w:after="0" w:line="240" w:lineRule="auto"/>
              <w:jc w:val="center"/>
              <w:rPr>
                <w:rFonts w:ascii="Calibri" w:eastAsia="Times New Roman" w:hAnsi="Calibri" w:cs="Calibri"/>
                <w:b/>
                <w:bCs/>
                <w:color w:val="000000"/>
                <w:sz w:val="20"/>
                <w:szCs w:val="20"/>
                <w:lang w:eastAsia="en-AU"/>
              </w:rPr>
            </w:pPr>
            <w:r w:rsidRPr="00292764">
              <w:rPr>
                <w:rFonts w:ascii="Calibri" w:eastAsia="Times New Roman" w:hAnsi="Calibri" w:cs="Calibri"/>
                <w:b/>
                <w:bCs/>
                <w:color w:val="000000"/>
                <w:sz w:val="20"/>
                <w:szCs w:val="20"/>
                <w:lang w:eastAsia="en-AU"/>
              </w:rPr>
              <w:t>Offer rate</w:t>
            </w:r>
          </w:p>
        </w:tc>
      </w:tr>
      <w:tr w:rsidR="00292764" w:rsidRPr="00292764" w14:paraId="477B082D" w14:textId="77777777" w:rsidTr="0097744B">
        <w:trPr>
          <w:trHeight w:val="316"/>
        </w:trPr>
        <w:tc>
          <w:tcPr>
            <w:tcW w:w="1128" w:type="dxa"/>
            <w:tcBorders>
              <w:top w:val="nil"/>
              <w:left w:val="single" w:sz="12" w:space="0" w:color="auto"/>
              <w:bottom w:val="single" w:sz="8" w:space="0" w:color="auto"/>
              <w:right w:val="single" w:sz="8" w:space="0" w:color="auto"/>
            </w:tcBorders>
            <w:vAlign w:val="center"/>
            <w:hideMark/>
          </w:tcPr>
          <w:p w14:paraId="7830B199"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2010</w:t>
            </w:r>
          </w:p>
        </w:tc>
        <w:tc>
          <w:tcPr>
            <w:tcW w:w="1209" w:type="dxa"/>
            <w:tcBorders>
              <w:top w:val="nil"/>
              <w:left w:val="nil"/>
              <w:bottom w:val="single" w:sz="8" w:space="0" w:color="auto"/>
              <w:right w:val="single" w:sz="8" w:space="0" w:color="auto"/>
            </w:tcBorders>
            <w:vAlign w:val="center"/>
            <w:hideMark/>
          </w:tcPr>
          <w:p w14:paraId="7F1A298C"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292,854</w:t>
            </w:r>
          </w:p>
        </w:tc>
        <w:tc>
          <w:tcPr>
            <w:tcW w:w="1646" w:type="dxa"/>
            <w:tcBorders>
              <w:top w:val="nil"/>
              <w:left w:val="nil"/>
              <w:bottom w:val="single" w:sz="8" w:space="0" w:color="auto"/>
              <w:right w:val="single" w:sz="8" w:space="0" w:color="auto"/>
            </w:tcBorders>
            <w:vAlign w:val="center"/>
            <w:hideMark/>
          </w:tcPr>
          <w:p w14:paraId="29B8E083"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 </w:t>
            </w:r>
          </w:p>
        </w:tc>
        <w:tc>
          <w:tcPr>
            <w:tcW w:w="1148" w:type="dxa"/>
            <w:tcBorders>
              <w:top w:val="nil"/>
              <w:left w:val="nil"/>
              <w:bottom w:val="single" w:sz="8" w:space="0" w:color="auto"/>
              <w:right w:val="single" w:sz="8" w:space="0" w:color="auto"/>
            </w:tcBorders>
            <w:vAlign w:val="center"/>
            <w:hideMark/>
          </w:tcPr>
          <w:p w14:paraId="3489D6C9"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234,999</w:t>
            </w:r>
          </w:p>
        </w:tc>
        <w:tc>
          <w:tcPr>
            <w:tcW w:w="1451" w:type="dxa"/>
            <w:tcBorders>
              <w:top w:val="nil"/>
              <w:left w:val="nil"/>
              <w:bottom w:val="single" w:sz="8" w:space="0" w:color="auto"/>
              <w:right w:val="single" w:sz="8" w:space="0" w:color="auto"/>
            </w:tcBorders>
            <w:vAlign w:val="center"/>
            <w:hideMark/>
          </w:tcPr>
          <w:p w14:paraId="2701A4A7"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 </w:t>
            </w:r>
          </w:p>
        </w:tc>
        <w:tc>
          <w:tcPr>
            <w:tcW w:w="1257" w:type="dxa"/>
            <w:tcBorders>
              <w:top w:val="nil"/>
              <w:left w:val="nil"/>
              <w:bottom w:val="single" w:sz="8" w:space="0" w:color="auto"/>
              <w:right w:val="single" w:sz="12" w:space="0" w:color="auto"/>
            </w:tcBorders>
            <w:vAlign w:val="center"/>
            <w:hideMark/>
          </w:tcPr>
          <w:p w14:paraId="05166706"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80%</w:t>
            </w:r>
          </w:p>
        </w:tc>
      </w:tr>
      <w:tr w:rsidR="00292764" w:rsidRPr="00292764" w14:paraId="31582693" w14:textId="77777777" w:rsidTr="0097744B">
        <w:trPr>
          <w:trHeight w:val="302"/>
        </w:trPr>
        <w:tc>
          <w:tcPr>
            <w:tcW w:w="1128" w:type="dxa"/>
            <w:tcBorders>
              <w:top w:val="nil"/>
              <w:left w:val="single" w:sz="12" w:space="0" w:color="auto"/>
              <w:bottom w:val="single" w:sz="8" w:space="0" w:color="auto"/>
              <w:right w:val="single" w:sz="8" w:space="0" w:color="auto"/>
            </w:tcBorders>
            <w:vAlign w:val="center"/>
            <w:hideMark/>
          </w:tcPr>
          <w:p w14:paraId="55F58CA0"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2011</w:t>
            </w:r>
          </w:p>
        </w:tc>
        <w:tc>
          <w:tcPr>
            <w:tcW w:w="1209" w:type="dxa"/>
            <w:tcBorders>
              <w:top w:val="nil"/>
              <w:left w:val="nil"/>
              <w:bottom w:val="single" w:sz="8" w:space="0" w:color="auto"/>
              <w:right w:val="single" w:sz="8" w:space="0" w:color="auto"/>
            </w:tcBorders>
            <w:vAlign w:val="center"/>
            <w:hideMark/>
          </w:tcPr>
          <w:p w14:paraId="4820ADA4"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302,472</w:t>
            </w:r>
          </w:p>
        </w:tc>
        <w:tc>
          <w:tcPr>
            <w:tcW w:w="1646" w:type="dxa"/>
            <w:tcBorders>
              <w:top w:val="nil"/>
              <w:left w:val="nil"/>
              <w:bottom w:val="single" w:sz="8" w:space="0" w:color="auto"/>
              <w:right w:val="single" w:sz="8" w:space="0" w:color="auto"/>
            </w:tcBorders>
            <w:vAlign w:val="center"/>
            <w:hideMark/>
          </w:tcPr>
          <w:p w14:paraId="28B24C6A"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3%</w:t>
            </w:r>
          </w:p>
        </w:tc>
        <w:tc>
          <w:tcPr>
            <w:tcW w:w="1148" w:type="dxa"/>
            <w:tcBorders>
              <w:top w:val="nil"/>
              <w:left w:val="nil"/>
              <w:bottom w:val="single" w:sz="8" w:space="0" w:color="auto"/>
              <w:right w:val="single" w:sz="8" w:space="0" w:color="auto"/>
            </w:tcBorders>
            <w:vAlign w:val="center"/>
            <w:hideMark/>
          </w:tcPr>
          <w:p w14:paraId="5B2A3E32"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244,431</w:t>
            </w:r>
          </w:p>
        </w:tc>
        <w:tc>
          <w:tcPr>
            <w:tcW w:w="1451" w:type="dxa"/>
            <w:tcBorders>
              <w:top w:val="nil"/>
              <w:left w:val="nil"/>
              <w:bottom w:val="single" w:sz="8" w:space="0" w:color="auto"/>
              <w:right w:val="single" w:sz="8" w:space="0" w:color="auto"/>
            </w:tcBorders>
            <w:vAlign w:val="center"/>
            <w:hideMark/>
          </w:tcPr>
          <w:p w14:paraId="7EA0ED23"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4%</w:t>
            </w:r>
          </w:p>
        </w:tc>
        <w:tc>
          <w:tcPr>
            <w:tcW w:w="1257" w:type="dxa"/>
            <w:tcBorders>
              <w:top w:val="nil"/>
              <w:left w:val="nil"/>
              <w:bottom w:val="single" w:sz="8" w:space="0" w:color="auto"/>
              <w:right w:val="single" w:sz="12" w:space="0" w:color="auto"/>
            </w:tcBorders>
            <w:vAlign w:val="center"/>
            <w:hideMark/>
          </w:tcPr>
          <w:p w14:paraId="7EB643E8"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81%</w:t>
            </w:r>
          </w:p>
        </w:tc>
      </w:tr>
      <w:tr w:rsidR="00292764" w:rsidRPr="00292764" w14:paraId="10CA825C" w14:textId="77777777" w:rsidTr="0097744B">
        <w:trPr>
          <w:trHeight w:val="302"/>
        </w:trPr>
        <w:tc>
          <w:tcPr>
            <w:tcW w:w="1128" w:type="dxa"/>
            <w:tcBorders>
              <w:top w:val="nil"/>
              <w:left w:val="single" w:sz="12" w:space="0" w:color="auto"/>
              <w:bottom w:val="single" w:sz="8" w:space="0" w:color="auto"/>
              <w:right w:val="single" w:sz="8" w:space="0" w:color="auto"/>
            </w:tcBorders>
            <w:vAlign w:val="center"/>
            <w:hideMark/>
          </w:tcPr>
          <w:p w14:paraId="1DCCA2A8"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2012</w:t>
            </w:r>
          </w:p>
        </w:tc>
        <w:tc>
          <w:tcPr>
            <w:tcW w:w="1209" w:type="dxa"/>
            <w:tcBorders>
              <w:top w:val="nil"/>
              <w:left w:val="nil"/>
              <w:bottom w:val="single" w:sz="8" w:space="0" w:color="auto"/>
              <w:right w:val="single" w:sz="8" w:space="0" w:color="auto"/>
            </w:tcBorders>
            <w:vAlign w:val="center"/>
            <w:hideMark/>
          </w:tcPr>
          <w:p w14:paraId="4E88C4EC"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309,639</w:t>
            </w:r>
          </w:p>
        </w:tc>
        <w:tc>
          <w:tcPr>
            <w:tcW w:w="1646" w:type="dxa"/>
            <w:tcBorders>
              <w:top w:val="nil"/>
              <w:left w:val="nil"/>
              <w:bottom w:val="single" w:sz="8" w:space="0" w:color="auto"/>
              <w:right w:val="single" w:sz="8" w:space="0" w:color="auto"/>
            </w:tcBorders>
            <w:vAlign w:val="center"/>
            <w:hideMark/>
          </w:tcPr>
          <w:p w14:paraId="6FF76CEB"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w:t>
            </w:r>
          </w:p>
        </w:tc>
        <w:tc>
          <w:tcPr>
            <w:tcW w:w="1148" w:type="dxa"/>
            <w:tcBorders>
              <w:top w:val="nil"/>
              <w:left w:val="nil"/>
              <w:bottom w:val="single" w:sz="8" w:space="0" w:color="auto"/>
              <w:right w:val="single" w:sz="8" w:space="0" w:color="auto"/>
            </w:tcBorders>
            <w:vAlign w:val="center"/>
            <w:hideMark/>
          </w:tcPr>
          <w:p w14:paraId="021A75C0"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256,472</w:t>
            </w:r>
          </w:p>
        </w:tc>
        <w:tc>
          <w:tcPr>
            <w:tcW w:w="1451" w:type="dxa"/>
            <w:tcBorders>
              <w:top w:val="nil"/>
              <w:left w:val="nil"/>
              <w:bottom w:val="single" w:sz="8" w:space="0" w:color="auto"/>
              <w:right w:val="single" w:sz="8" w:space="0" w:color="auto"/>
            </w:tcBorders>
            <w:vAlign w:val="center"/>
            <w:hideMark/>
          </w:tcPr>
          <w:p w14:paraId="4C23FC53"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5%</w:t>
            </w:r>
          </w:p>
        </w:tc>
        <w:tc>
          <w:tcPr>
            <w:tcW w:w="1257" w:type="dxa"/>
            <w:tcBorders>
              <w:top w:val="nil"/>
              <w:left w:val="nil"/>
              <w:bottom w:val="single" w:sz="8" w:space="0" w:color="auto"/>
              <w:right w:val="single" w:sz="12" w:space="0" w:color="auto"/>
            </w:tcBorders>
            <w:vAlign w:val="center"/>
            <w:hideMark/>
          </w:tcPr>
          <w:p w14:paraId="1B93D120"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83%</w:t>
            </w:r>
          </w:p>
        </w:tc>
      </w:tr>
      <w:tr w:rsidR="00292764" w:rsidRPr="00292764" w14:paraId="7E198F91" w14:textId="77777777" w:rsidTr="0097744B">
        <w:trPr>
          <w:trHeight w:val="302"/>
        </w:trPr>
        <w:tc>
          <w:tcPr>
            <w:tcW w:w="1128" w:type="dxa"/>
            <w:tcBorders>
              <w:top w:val="nil"/>
              <w:left w:val="single" w:sz="12" w:space="0" w:color="auto"/>
              <w:bottom w:val="single" w:sz="8" w:space="0" w:color="auto"/>
              <w:right w:val="single" w:sz="8" w:space="0" w:color="auto"/>
            </w:tcBorders>
            <w:vAlign w:val="center"/>
            <w:hideMark/>
          </w:tcPr>
          <w:p w14:paraId="43F7ACB5"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2013</w:t>
            </w:r>
          </w:p>
        </w:tc>
        <w:tc>
          <w:tcPr>
            <w:tcW w:w="1209" w:type="dxa"/>
            <w:tcBorders>
              <w:top w:val="nil"/>
              <w:left w:val="nil"/>
              <w:bottom w:val="single" w:sz="8" w:space="0" w:color="auto"/>
              <w:right w:val="single" w:sz="8" w:space="0" w:color="auto"/>
            </w:tcBorders>
            <w:vAlign w:val="center"/>
            <w:hideMark/>
          </w:tcPr>
          <w:p w14:paraId="0FA978D1"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316,607</w:t>
            </w:r>
          </w:p>
        </w:tc>
        <w:tc>
          <w:tcPr>
            <w:tcW w:w="1646" w:type="dxa"/>
            <w:tcBorders>
              <w:top w:val="nil"/>
              <w:left w:val="nil"/>
              <w:bottom w:val="single" w:sz="8" w:space="0" w:color="auto"/>
              <w:right w:val="single" w:sz="8" w:space="0" w:color="auto"/>
            </w:tcBorders>
            <w:vAlign w:val="center"/>
            <w:hideMark/>
          </w:tcPr>
          <w:p w14:paraId="738CB454"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w:t>
            </w:r>
          </w:p>
        </w:tc>
        <w:tc>
          <w:tcPr>
            <w:tcW w:w="1148" w:type="dxa"/>
            <w:tcBorders>
              <w:top w:val="nil"/>
              <w:left w:val="nil"/>
              <w:bottom w:val="single" w:sz="8" w:space="0" w:color="auto"/>
              <w:right w:val="single" w:sz="8" w:space="0" w:color="auto"/>
            </w:tcBorders>
            <w:vAlign w:val="center"/>
            <w:hideMark/>
          </w:tcPr>
          <w:p w14:paraId="77EEE283"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267,244</w:t>
            </w:r>
          </w:p>
        </w:tc>
        <w:tc>
          <w:tcPr>
            <w:tcW w:w="1451" w:type="dxa"/>
            <w:tcBorders>
              <w:top w:val="nil"/>
              <w:left w:val="nil"/>
              <w:bottom w:val="single" w:sz="8" w:space="0" w:color="auto"/>
              <w:right w:val="single" w:sz="8" w:space="0" w:color="auto"/>
            </w:tcBorders>
            <w:vAlign w:val="center"/>
            <w:hideMark/>
          </w:tcPr>
          <w:p w14:paraId="2274C04A"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4%</w:t>
            </w:r>
          </w:p>
        </w:tc>
        <w:tc>
          <w:tcPr>
            <w:tcW w:w="1257" w:type="dxa"/>
            <w:tcBorders>
              <w:top w:val="nil"/>
              <w:left w:val="nil"/>
              <w:bottom w:val="single" w:sz="8" w:space="0" w:color="auto"/>
              <w:right w:val="single" w:sz="12" w:space="0" w:color="auto"/>
            </w:tcBorders>
            <w:vAlign w:val="center"/>
            <w:hideMark/>
          </w:tcPr>
          <w:p w14:paraId="7401A4BB"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84%</w:t>
            </w:r>
          </w:p>
        </w:tc>
      </w:tr>
      <w:tr w:rsidR="00292764" w:rsidRPr="00292764" w14:paraId="2C082456" w14:textId="77777777" w:rsidTr="0097744B">
        <w:trPr>
          <w:trHeight w:val="302"/>
        </w:trPr>
        <w:tc>
          <w:tcPr>
            <w:tcW w:w="1128" w:type="dxa"/>
            <w:tcBorders>
              <w:top w:val="nil"/>
              <w:left w:val="single" w:sz="12" w:space="0" w:color="auto"/>
              <w:bottom w:val="single" w:sz="8" w:space="0" w:color="auto"/>
              <w:right w:val="single" w:sz="8" w:space="0" w:color="auto"/>
            </w:tcBorders>
            <w:vAlign w:val="center"/>
            <w:hideMark/>
          </w:tcPr>
          <w:p w14:paraId="35A5B4C6" w14:textId="1B76ACF4"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2014</w:t>
            </w:r>
          </w:p>
        </w:tc>
        <w:tc>
          <w:tcPr>
            <w:tcW w:w="1209" w:type="dxa"/>
            <w:tcBorders>
              <w:top w:val="nil"/>
              <w:left w:val="nil"/>
              <w:bottom w:val="single" w:sz="8" w:space="0" w:color="auto"/>
              <w:right w:val="single" w:sz="8" w:space="0" w:color="auto"/>
            </w:tcBorders>
            <w:vAlign w:val="center"/>
            <w:hideMark/>
          </w:tcPr>
          <w:p w14:paraId="3114D697"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324,877</w:t>
            </w:r>
          </w:p>
        </w:tc>
        <w:tc>
          <w:tcPr>
            <w:tcW w:w="1646" w:type="dxa"/>
            <w:tcBorders>
              <w:top w:val="nil"/>
              <w:left w:val="nil"/>
              <w:bottom w:val="single" w:sz="8" w:space="0" w:color="auto"/>
              <w:right w:val="single" w:sz="8" w:space="0" w:color="auto"/>
            </w:tcBorders>
            <w:vAlign w:val="center"/>
            <w:hideMark/>
          </w:tcPr>
          <w:p w14:paraId="07791D59"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3%</w:t>
            </w:r>
          </w:p>
        </w:tc>
        <w:tc>
          <w:tcPr>
            <w:tcW w:w="1148" w:type="dxa"/>
            <w:tcBorders>
              <w:top w:val="nil"/>
              <w:left w:val="nil"/>
              <w:bottom w:val="single" w:sz="8" w:space="0" w:color="auto"/>
              <w:right w:val="single" w:sz="8" w:space="0" w:color="auto"/>
            </w:tcBorders>
            <w:vAlign w:val="center"/>
            <w:hideMark/>
          </w:tcPr>
          <w:p w14:paraId="4C67A58A"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272,155</w:t>
            </w:r>
          </w:p>
        </w:tc>
        <w:tc>
          <w:tcPr>
            <w:tcW w:w="1451" w:type="dxa"/>
            <w:tcBorders>
              <w:top w:val="nil"/>
              <w:left w:val="nil"/>
              <w:bottom w:val="single" w:sz="8" w:space="0" w:color="auto"/>
              <w:right w:val="single" w:sz="8" w:space="0" w:color="auto"/>
            </w:tcBorders>
            <w:vAlign w:val="center"/>
            <w:hideMark/>
          </w:tcPr>
          <w:p w14:paraId="3F46808A"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w:t>
            </w:r>
          </w:p>
        </w:tc>
        <w:tc>
          <w:tcPr>
            <w:tcW w:w="1257" w:type="dxa"/>
            <w:tcBorders>
              <w:top w:val="nil"/>
              <w:left w:val="nil"/>
              <w:bottom w:val="single" w:sz="8" w:space="0" w:color="auto"/>
              <w:right w:val="single" w:sz="12" w:space="0" w:color="auto"/>
            </w:tcBorders>
            <w:vAlign w:val="center"/>
            <w:hideMark/>
          </w:tcPr>
          <w:p w14:paraId="0EBE0D12"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84%</w:t>
            </w:r>
          </w:p>
        </w:tc>
      </w:tr>
      <w:tr w:rsidR="00292764" w:rsidRPr="00292764" w14:paraId="6F88CA24" w14:textId="77777777" w:rsidTr="0097744B">
        <w:trPr>
          <w:trHeight w:val="302"/>
        </w:trPr>
        <w:tc>
          <w:tcPr>
            <w:tcW w:w="1128" w:type="dxa"/>
            <w:tcBorders>
              <w:top w:val="nil"/>
              <w:left w:val="single" w:sz="12" w:space="0" w:color="auto"/>
              <w:bottom w:val="single" w:sz="8" w:space="0" w:color="auto"/>
              <w:right w:val="single" w:sz="8" w:space="0" w:color="auto"/>
            </w:tcBorders>
            <w:vAlign w:val="center"/>
            <w:hideMark/>
          </w:tcPr>
          <w:p w14:paraId="4F66C4F1"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2015*</w:t>
            </w:r>
          </w:p>
        </w:tc>
        <w:tc>
          <w:tcPr>
            <w:tcW w:w="1209" w:type="dxa"/>
            <w:tcBorders>
              <w:top w:val="nil"/>
              <w:left w:val="nil"/>
              <w:bottom w:val="single" w:sz="8" w:space="0" w:color="auto"/>
              <w:right w:val="single" w:sz="8" w:space="0" w:color="auto"/>
            </w:tcBorders>
            <w:vAlign w:val="center"/>
            <w:hideMark/>
          </w:tcPr>
          <w:p w14:paraId="349E3941"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333,514</w:t>
            </w:r>
          </w:p>
        </w:tc>
        <w:tc>
          <w:tcPr>
            <w:tcW w:w="1646" w:type="dxa"/>
            <w:tcBorders>
              <w:top w:val="nil"/>
              <w:left w:val="nil"/>
              <w:bottom w:val="single" w:sz="8" w:space="0" w:color="auto"/>
              <w:right w:val="single" w:sz="8" w:space="0" w:color="auto"/>
            </w:tcBorders>
            <w:vAlign w:val="center"/>
            <w:hideMark/>
          </w:tcPr>
          <w:p w14:paraId="35073513"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4%</w:t>
            </w:r>
          </w:p>
        </w:tc>
        <w:tc>
          <w:tcPr>
            <w:tcW w:w="1148" w:type="dxa"/>
            <w:tcBorders>
              <w:top w:val="nil"/>
              <w:left w:val="nil"/>
              <w:bottom w:val="single" w:sz="8" w:space="0" w:color="auto"/>
              <w:right w:val="single" w:sz="8" w:space="0" w:color="auto"/>
            </w:tcBorders>
            <w:vAlign w:val="center"/>
            <w:hideMark/>
          </w:tcPr>
          <w:p w14:paraId="708BF829"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280,672</w:t>
            </w:r>
          </w:p>
        </w:tc>
        <w:tc>
          <w:tcPr>
            <w:tcW w:w="1451" w:type="dxa"/>
            <w:tcBorders>
              <w:top w:val="nil"/>
              <w:left w:val="nil"/>
              <w:bottom w:val="single" w:sz="8" w:space="0" w:color="auto"/>
              <w:right w:val="single" w:sz="8" w:space="0" w:color="auto"/>
            </w:tcBorders>
            <w:vAlign w:val="center"/>
            <w:hideMark/>
          </w:tcPr>
          <w:p w14:paraId="44BC2A11"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3%</w:t>
            </w:r>
          </w:p>
        </w:tc>
        <w:tc>
          <w:tcPr>
            <w:tcW w:w="1257" w:type="dxa"/>
            <w:tcBorders>
              <w:top w:val="nil"/>
              <w:left w:val="nil"/>
              <w:bottom w:val="single" w:sz="8" w:space="0" w:color="auto"/>
              <w:right w:val="single" w:sz="12" w:space="0" w:color="auto"/>
            </w:tcBorders>
            <w:vAlign w:val="center"/>
            <w:hideMark/>
          </w:tcPr>
          <w:p w14:paraId="01A69AAF"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84%</w:t>
            </w:r>
          </w:p>
        </w:tc>
      </w:tr>
      <w:tr w:rsidR="00292764" w:rsidRPr="00292764" w14:paraId="6A41B0FF" w14:textId="77777777" w:rsidTr="0097744B">
        <w:trPr>
          <w:trHeight w:val="302"/>
        </w:trPr>
        <w:tc>
          <w:tcPr>
            <w:tcW w:w="1128" w:type="dxa"/>
            <w:tcBorders>
              <w:top w:val="nil"/>
              <w:left w:val="single" w:sz="12" w:space="0" w:color="auto"/>
              <w:bottom w:val="single" w:sz="8" w:space="0" w:color="auto"/>
              <w:right w:val="single" w:sz="8" w:space="0" w:color="auto"/>
            </w:tcBorders>
            <w:vAlign w:val="center"/>
            <w:hideMark/>
          </w:tcPr>
          <w:p w14:paraId="6DBFCB7A" w14:textId="32D5BBD9"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2016</w:t>
            </w:r>
          </w:p>
        </w:tc>
        <w:tc>
          <w:tcPr>
            <w:tcW w:w="1209" w:type="dxa"/>
            <w:tcBorders>
              <w:top w:val="nil"/>
              <w:left w:val="nil"/>
              <w:bottom w:val="single" w:sz="8" w:space="0" w:color="auto"/>
              <w:right w:val="single" w:sz="8" w:space="0" w:color="auto"/>
            </w:tcBorders>
            <w:vAlign w:val="center"/>
            <w:hideMark/>
          </w:tcPr>
          <w:p w14:paraId="71EDEB32"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341,421</w:t>
            </w:r>
          </w:p>
        </w:tc>
        <w:tc>
          <w:tcPr>
            <w:tcW w:w="1646" w:type="dxa"/>
            <w:tcBorders>
              <w:top w:val="nil"/>
              <w:left w:val="nil"/>
              <w:bottom w:val="single" w:sz="8" w:space="0" w:color="auto"/>
              <w:right w:val="single" w:sz="8" w:space="0" w:color="auto"/>
            </w:tcBorders>
            <w:vAlign w:val="center"/>
            <w:hideMark/>
          </w:tcPr>
          <w:p w14:paraId="4F64E250"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w:t>
            </w:r>
          </w:p>
        </w:tc>
        <w:tc>
          <w:tcPr>
            <w:tcW w:w="1148" w:type="dxa"/>
            <w:tcBorders>
              <w:top w:val="nil"/>
              <w:left w:val="nil"/>
              <w:bottom w:val="single" w:sz="8" w:space="0" w:color="auto"/>
              <w:right w:val="single" w:sz="8" w:space="0" w:color="auto"/>
            </w:tcBorders>
            <w:vAlign w:val="center"/>
            <w:hideMark/>
          </w:tcPr>
          <w:p w14:paraId="6C4AE85B"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285,846</w:t>
            </w:r>
          </w:p>
        </w:tc>
        <w:tc>
          <w:tcPr>
            <w:tcW w:w="1451" w:type="dxa"/>
            <w:tcBorders>
              <w:top w:val="nil"/>
              <w:left w:val="nil"/>
              <w:bottom w:val="single" w:sz="8" w:space="0" w:color="auto"/>
              <w:right w:val="single" w:sz="8" w:space="0" w:color="auto"/>
            </w:tcBorders>
            <w:vAlign w:val="center"/>
            <w:hideMark/>
          </w:tcPr>
          <w:p w14:paraId="10C0EE56"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w:t>
            </w:r>
          </w:p>
        </w:tc>
        <w:tc>
          <w:tcPr>
            <w:tcW w:w="1257" w:type="dxa"/>
            <w:tcBorders>
              <w:top w:val="nil"/>
              <w:left w:val="nil"/>
              <w:bottom w:val="single" w:sz="8" w:space="0" w:color="auto"/>
              <w:right w:val="single" w:sz="12" w:space="0" w:color="auto"/>
            </w:tcBorders>
            <w:vAlign w:val="center"/>
            <w:hideMark/>
          </w:tcPr>
          <w:p w14:paraId="548415B5"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84%</w:t>
            </w:r>
          </w:p>
        </w:tc>
      </w:tr>
      <w:tr w:rsidR="00292764" w:rsidRPr="00292764" w14:paraId="1F55BBE3" w14:textId="77777777" w:rsidTr="0097744B">
        <w:trPr>
          <w:trHeight w:val="302"/>
        </w:trPr>
        <w:tc>
          <w:tcPr>
            <w:tcW w:w="1128" w:type="dxa"/>
            <w:tcBorders>
              <w:top w:val="nil"/>
              <w:left w:val="single" w:sz="12" w:space="0" w:color="auto"/>
              <w:bottom w:val="single" w:sz="8" w:space="0" w:color="auto"/>
              <w:right w:val="single" w:sz="8" w:space="0" w:color="auto"/>
            </w:tcBorders>
            <w:vAlign w:val="center"/>
            <w:hideMark/>
          </w:tcPr>
          <w:p w14:paraId="75300438"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2017***</w:t>
            </w:r>
          </w:p>
        </w:tc>
        <w:tc>
          <w:tcPr>
            <w:tcW w:w="1209" w:type="dxa"/>
            <w:tcBorders>
              <w:top w:val="nil"/>
              <w:left w:val="nil"/>
              <w:bottom w:val="single" w:sz="8" w:space="0" w:color="auto"/>
              <w:right w:val="single" w:sz="8" w:space="0" w:color="auto"/>
            </w:tcBorders>
            <w:vAlign w:val="center"/>
            <w:hideMark/>
          </w:tcPr>
          <w:p w14:paraId="4E1ED386"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346,800</w:t>
            </w:r>
          </w:p>
        </w:tc>
        <w:tc>
          <w:tcPr>
            <w:tcW w:w="1646" w:type="dxa"/>
            <w:tcBorders>
              <w:top w:val="nil"/>
              <w:left w:val="nil"/>
              <w:bottom w:val="single" w:sz="8" w:space="0" w:color="auto"/>
              <w:right w:val="single" w:sz="8" w:space="0" w:color="auto"/>
            </w:tcBorders>
            <w:vAlign w:val="center"/>
            <w:hideMark/>
          </w:tcPr>
          <w:p w14:paraId="0FA5AD33"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w:t>
            </w:r>
          </w:p>
        </w:tc>
        <w:tc>
          <w:tcPr>
            <w:tcW w:w="1148" w:type="dxa"/>
            <w:tcBorders>
              <w:top w:val="nil"/>
              <w:left w:val="nil"/>
              <w:bottom w:val="single" w:sz="8" w:space="0" w:color="auto"/>
              <w:right w:val="single" w:sz="8" w:space="0" w:color="auto"/>
            </w:tcBorders>
            <w:vAlign w:val="center"/>
            <w:hideMark/>
          </w:tcPr>
          <w:p w14:paraId="61F2381F"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286,216</w:t>
            </w:r>
          </w:p>
        </w:tc>
        <w:tc>
          <w:tcPr>
            <w:tcW w:w="1451" w:type="dxa"/>
            <w:tcBorders>
              <w:top w:val="nil"/>
              <w:left w:val="nil"/>
              <w:bottom w:val="single" w:sz="8" w:space="0" w:color="auto"/>
              <w:right w:val="single" w:sz="8" w:space="0" w:color="auto"/>
            </w:tcBorders>
            <w:vAlign w:val="center"/>
            <w:hideMark/>
          </w:tcPr>
          <w:p w14:paraId="245FD8C0"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0.1%</w:t>
            </w:r>
          </w:p>
        </w:tc>
        <w:tc>
          <w:tcPr>
            <w:tcW w:w="1257" w:type="dxa"/>
            <w:tcBorders>
              <w:top w:val="nil"/>
              <w:left w:val="nil"/>
              <w:bottom w:val="single" w:sz="8" w:space="0" w:color="auto"/>
              <w:right w:val="single" w:sz="12" w:space="0" w:color="auto"/>
            </w:tcBorders>
            <w:vAlign w:val="center"/>
            <w:hideMark/>
          </w:tcPr>
          <w:p w14:paraId="0C0B0F47"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83%</w:t>
            </w:r>
          </w:p>
        </w:tc>
      </w:tr>
      <w:tr w:rsidR="00292764" w:rsidRPr="00292764" w14:paraId="3769C8B9" w14:textId="77777777" w:rsidTr="0097744B">
        <w:trPr>
          <w:trHeight w:val="302"/>
        </w:trPr>
        <w:tc>
          <w:tcPr>
            <w:tcW w:w="1128" w:type="dxa"/>
            <w:tcBorders>
              <w:top w:val="nil"/>
              <w:left w:val="single" w:sz="12" w:space="0" w:color="auto"/>
              <w:bottom w:val="single" w:sz="8" w:space="0" w:color="auto"/>
              <w:right w:val="single" w:sz="8" w:space="0" w:color="auto"/>
            </w:tcBorders>
            <w:vAlign w:val="center"/>
            <w:hideMark/>
          </w:tcPr>
          <w:p w14:paraId="3715A392"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2018</w:t>
            </w:r>
          </w:p>
        </w:tc>
        <w:tc>
          <w:tcPr>
            <w:tcW w:w="1209" w:type="dxa"/>
            <w:tcBorders>
              <w:top w:val="nil"/>
              <w:left w:val="nil"/>
              <w:bottom w:val="single" w:sz="8" w:space="0" w:color="auto"/>
              <w:right w:val="single" w:sz="8" w:space="0" w:color="auto"/>
            </w:tcBorders>
            <w:vAlign w:val="center"/>
            <w:hideMark/>
          </w:tcPr>
          <w:p w14:paraId="5430E30B"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335,100</w:t>
            </w:r>
          </w:p>
        </w:tc>
        <w:tc>
          <w:tcPr>
            <w:tcW w:w="1646" w:type="dxa"/>
            <w:tcBorders>
              <w:top w:val="nil"/>
              <w:left w:val="nil"/>
              <w:bottom w:val="single" w:sz="8" w:space="0" w:color="auto"/>
              <w:right w:val="single" w:sz="8" w:space="0" w:color="auto"/>
            </w:tcBorders>
            <w:vAlign w:val="center"/>
            <w:hideMark/>
          </w:tcPr>
          <w:p w14:paraId="7282F004"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-3%</w:t>
            </w:r>
          </w:p>
        </w:tc>
        <w:tc>
          <w:tcPr>
            <w:tcW w:w="1148" w:type="dxa"/>
            <w:tcBorders>
              <w:top w:val="nil"/>
              <w:left w:val="nil"/>
              <w:bottom w:val="single" w:sz="8" w:space="0" w:color="auto"/>
              <w:right w:val="single" w:sz="8" w:space="0" w:color="auto"/>
            </w:tcBorders>
            <w:vAlign w:val="center"/>
            <w:hideMark/>
          </w:tcPr>
          <w:p w14:paraId="243EAD2F"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280,733</w:t>
            </w:r>
          </w:p>
        </w:tc>
        <w:tc>
          <w:tcPr>
            <w:tcW w:w="1451" w:type="dxa"/>
            <w:tcBorders>
              <w:top w:val="nil"/>
              <w:left w:val="nil"/>
              <w:bottom w:val="single" w:sz="8" w:space="0" w:color="auto"/>
              <w:right w:val="single" w:sz="8" w:space="0" w:color="auto"/>
            </w:tcBorders>
            <w:vAlign w:val="center"/>
            <w:hideMark/>
          </w:tcPr>
          <w:p w14:paraId="1386B4ED"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w:t>
            </w:r>
          </w:p>
        </w:tc>
        <w:tc>
          <w:tcPr>
            <w:tcW w:w="1257" w:type="dxa"/>
            <w:tcBorders>
              <w:top w:val="nil"/>
              <w:left w:val="nil"/>
              <w:bottom w:val="single" w:sz="8" w:space="0" w:color="auto"/>
              <w:right w:val="single" w:sz="12" w:space="0" w:color="auto"/>
            </w:tcBorders>
            <w:vAlign w:val="center"/>
            <w:hideMark/>
          </w:tcPr>
          <w:p w14:paraId="31D79B33"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84%</w:t>
            </w:r>
          </w:p>
        </w:tc>
      </w:tr>
      <w:tr w:rsidR="00292764" w:rsidRPr="00292764" w14:paraId="7E62B1E7" w14:textId="77777777" w:rsidTr="0097744B">
        <w:trPr>
          <w:trHeight w:val="302"/>
        </w:trPr>
        <w:tc>
          <w:tcPr>
            <w:tcW w:w="1128" w:type="dxa"/>
            <w:tcBorders>
              <w:top w:val="nil"/>
              <w:left w:val="single" w:sz="12" w:space="0" w:color="auto"/>
              <w:bottom w:val="single" w:sz="8" w:space="0" w:color="auto"/>
              <w:right w:val="single" w:sz="8" w:space="0" w:color="auto"/>
            </w:tcBorders>
            <w:vAlign w:val="center"/>
            <w:hideMark/>
          </w:tcPr>
          <w:p w14:paraId="704628D6" w14:textId="6D32F6A9"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2019</w:t>
            </w:r>
          </w:p>
        </w:tc>
        <w:tc>
          <w:tcPr>
            <w:tcW w:w="1209" w:type="dxa"/>
            <w:tcBorders>
              <w:top w:val="nil"/>
              <w:left w:val="nil"/>
              <w:bottom w:val="single" w:sz="8" w:space="0" w:color="auto"/>
              <w:right w:val="single" w:sz="8" w:space="0" w:color="auto"/>
            </w:tcBorders>
            <w:vAlign w:val="center"/>
            <w:hideMark/>
          </w:tcPr>
          <w:p w14:paraId="4E998C75"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330,608</w:t>
            </w:r>
          </w:p>
        </w:tc>
        <w:tc>
          <w:tcPr>
            <w:tcW w:w="1646" w:type="dxa"/>
            <w:tcBorders>
              <w:top w:val="nil"/>
              <w:left w:val="nil"/>
              <w:bottom w:val="single" w:sz="8" w:space="0" w:color="auto"/>
              <w:right w:val="single" w:sz="8" w:space="0" w:color="auto"/>
            </w:tcBorders>
            <w:vAlign w:val="center"/>
            <w:hideMark/>
          </w:tcPr>
          <w:p w14:paraId="73AE41F0"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-1%</w:t>
            </w:r>
          </w:p>
        </w:tc>
        <w:tc>
          <w:tcPr>
            <w:tcW w:w="1148" w:type="dxa"/>
            <w:tcBorders>
              <w:top w:val="nil"/>
              <w:left w:val="nil"/>
              <w:bottom w:val="single" w:sz="8" w:space="0" w:color="auto"/>
              <w:right w:val="single" w:sz="8" w:space="0" w:color="auto"/>
            </w:tcBorders>
            <w:vAlign w:val="center"/>
            <w:hideMark/>
          </w:tcPr>
          <w:p w14:paraId="7F24816E"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276,489</w:t>
            </w:r>
          </w:p>
        </w:tc>
        <w:tc>
          <w:tcPr>
            <w:tcW w:w="1451" w:type="dxa"/>
            <w:tcBorders>
              <w:top w:val="nil"/>
              <w:left w:val="nil"/>
              <w:bottom w:val="single" w:sz="8" w:space="0" w:color="auto"/>
              <w:right w:val="single" w:sz="8" w:space="0" w:color="auto"/>
            </w:tcBorders>
            <w:vAlign w:val="center"/>
            <w:hideMark/>
          </w:tcPr>
          <w:p w14:paraId="368652DF"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w:t>
            </w:r>
          </w:p>
        </w:tc>
        <w:tc>
          <w:tcPr>
            <w:tcW w:w="1257" w:type="dxa"/>
            <w:tcBorders>
              <w:top w:val="nil"/>
              <w:left w:val="nil"/>
              <w:bottom w:val="single" w:sz="8" w:space="0" w:color="auto"/>
              <w:right w:val="single" w:sz="12" w:space="0" w:color="auto"/>
            </w:tcBorders>
            <w:vAlign w:val="center"/>
            <w:hideMark/>
          </w:tcPr>
          <w:p w14:paraId="5A25FCDE"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84%</w:t>
            </w:r>
          </w:p>
        </w:tc>
      </w:tr>
      <w:tr w:rsidR="00292764" w:rsidRPr="00292764" w14:paraId="3D9ADF07" w14:textId="77777777" w:rsidTr="0097744B">
        <w:trPr>
          <w:trHeight w:val="302"/>
        </w:trPr>
        <w:tc>
          <w:tcPr>
            <w:tcW w:w="1128" w:type="dxa"/>
            <w:tcBorders>
              <w:top w:val="nil"/>
              <w:left w:val="single" w:sz="12" w:space="0" w:color="auto"/>
              <w:bottom w:val="single" w:sz="8" w:space="0" w:color="auto"/>
              <w:right w:val="single" w:sz="8" w:space="0" w:color="auto"/>
            </w:tcBorders>
            <w:vAlign w:val="center"/>
            <w:hideMark/>
          </w:tcPr>
          <w:p w14:paraId="2B4FE248"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2020**</w:t>
            </w:r>
          </w:p>
        </w:tc>
        <w:tc>
          <w:tcPr>
            <w:tcW w:w="1209" w:type="dxa"/>
            <w:tcBorders>
              <w:top w:val="nil"/>
              <w:left w:val="nil"/>
              <w:bottom w:val="single" w:sz="8" w:space="0" w:color="auto"/>
              <w:right w:val="single" w:sz="8" w:space="0" w:color="auto"/>
            </w:tcBorders>
            <w:vAlign w:val="center"/>
            <w:hideMark/>
          </w:tcPr>
          <w:p w14:paraId="32A8A545"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327,332</w:t>
            </w:r>
          </w:p>
        </w:tc>
        <w:tc>
          <w:tcPr>
            <w:tcW w:w="1646" w:type="dxa"/>
            <w:tcBorders>
              <w:top w:val="nil"/>
              <w:left w:val="nil"/>
              <w:bottom w:val="single" w:sz="8" w:space="0" w:color="auto"/>
              <w:right w:val="single" w:sz="8" w:space="0" w:color="auto"/>
            </w:tcBorders>
            <w:vAlign w:val="center"/>
            <w:hideMark/>
          </w:tcPr>
          <w:p w14:paraId="0AD91BFD"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1%</w:t>
            </w:r>
          </w:p>
        </w:tc>
        <w:tc>
          <w:tcPr>
            <w:tcW w:w="1148" w:type="dxa"/>
            <w:tcBorders>
              <w:top w:val="nil"/>
              <w:left w:val="nil"/>
              <w:bottom w:val="single" w:sz="8" w:space="0" w:color="auto"/>
              <w:right w:val="single" w:sz="8" w:space="0" w:color="auto"/>
            </w:tcBorders>
            <w:vAlign w:val="center"/>
            <w:hideMark/>
          </w:tcPr>
          <w:p w14:paraId="46137D2B"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273,504</w:t>
            </w:r>
          </w:p>
        </w:tc>
        <w:tc>
          <w:tcPr>
            <w:tcW w:w="1451" w:type="dxa"/>
            <w:tcBorders>
              <w:top w:val="nil"/>
              <w:left w:val="nil"/>
              <w:bottom w:val="single" w:sz="8" w:space="0" w:color="auto"/>
              <w:right w:val="single" w:sz="8" w:space="0" w:color="auto"/>
            </w:tcBorders>
            <w:vAlign w:val="center"/>
            <w:hideMark/>
          </w:tcPr>
          <w:p w14:paraId="74B5C6AA"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1%</w:t>
            </w:r>
          </w:p>
        </w:tc>
        <w:tc>
          <w:tcPr>
            <w:tcW w:w="1257" w:type="dxa"/>
            <w:tcBorders>
              <w:top w:val="nil"/>
              <w:left w:val="nil"/>
              <w:bottom w:val="single" w:sz="8" w:space="0" w:color="auto"/>
              <w:right w:val="single" w:sz="12" w:space="0" w:color="auto"/>
            </w:tcBorders>
            <w:vAlign w:val="center"/>
            <w:hideMark/>
          </w:tcPr>
          <w:p w14:paraId="7C93651C"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83%</w:t>
            </w:r>
          </w:p>
        </w:tc>
      </w:tr>
      <w:tr w:rsidR="00292764" w:rsidRPr="00292764" w14:paraId="3D5706E5" w14:textId="77777777" w:rsidTr="0097744B">
        <w:trPr>
          <w:trHeight w:val="302"/>
        </w:trPr>
        <w:tc>
          <w:tcPr>
            <w:tcW w:w="1128" w:type="dxa"/>
            <w:tcBorders>
              <w:top w:val="nil"/>
              <w:left w:val="single" w:sz="12" w:space="0" w:color="auto"/>
              <w:bottom w:val="single" w:sz="8" w:space="0" w:color="auto"/>
              <w:right w:val="single" w:sz="8" w:space="0" w:color="auto"/>
            </w:tcBorders>
            <w:vAlign w:val="center"/>
            <w:hideMark/>
          </w:tcPr>
          <w:p w14:paraId="796AF31F" w14:textId="0A12453C"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2021</w:t>
            </w:r>
          </w:p>
        </w:tc>
        <w:tc>
          <w:tcPr>
            <w:tcW w:w="1209" w:type="dxa"/>
            <w:tcBorders>
              <w:top w:val="nil"/>
              <w:left w:val="nil"/>
              <w:bottom w:val="single" w:sz="8" w:space="0" w:color="auto"/>
              <w:right w:val="single" w:sz="8" w:space="0" w:color="auto"/>
            </w:tcBorders>
            <w:vAlign w:val="center"/>
            <w:hideMark/>
          </w:tcPr>
          <w:p w14:paraId="16FDD577"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341,983</w:t>
            </w:r>
          </w:p>
        </w:tc>
        <w:tc>
          <w:tcPr>
            <w:tcW w:w="1646" w:type="dxa"/>
            <w:tcBorders>
              <w:top w:val="nil"/>
              <w:left w:val="nil"/>
              <w:bottom w:val="single" w:sz="8" w:space="0" w:color="auto"/>
              <w:right w:val="single" w:sz="8" w:space="0" w:color="auto"/>
            </w:tcBorders>
            <w:vAlign w:val="center"/>
            <w:hideMark/>
          </w:tcPr>
          <w:p w14:paraId="22F2EA9C"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w:t>
            </w:r>
          </w:p>
        </w:tc>
        <w:tc>
          <w:tcPr>
            <w:tcW w:w="1148" w:type="dxa"/>
            <w:tcBorders>
              <w:top w:val="nil"/>
              <w:left w:val="nil"/>
              <w:bottom w:val="single" w:sz="8" w:space="0" w:color="auto"/>
              <w:right w:val="single" w:sz="8" w:space="0" w:color="auto"/>
            </w:tcBorders>
            <w:vAlign w:val="center"/>
            <w:hideMark/>
          </w:tcPr>
          <w:p w14:paraId="5C1F14DF"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280,662</w:t>
            </w:r>
          </w:p>
        </w:tc>
        <w:tc>
          <w:tcPr>
            <w:tcW w:w="1451" w:type="dxa"/>
            <w:tcBorders>
              <w:top w:val="nil"/>
              <w:left w:val="nil"/>
              <w:bottom w:val="single" w:sz="8" w:space="0" w:color="auto"/>
              <w:right w:val="single" w:sz="8" w:space="0" w:color="auto"/>
            </w:tcBorders>
            <w:vAlign w:val="center"/>
            <w:hideMark/>
          </w:tcPr>
          <w:p w14:paraId="2F70A3AD"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1%</w:t>
            </w:r>
          </w:p>
        </w:tc>
        <w:tc>
          <w:tcPr>
            <w:tcW w:w="1257" w:type="dxa"/>
            <w:tcBorders>
              <w:top w:val="nil"/>
              <w:left w:val="nil"/>
              <w:bottom w:val="single" w:sz="8" w:space="0" w:color="auto"/>
              <w:right w:val="single" w:sz="12" w:space="0" w:color="auto"/>
            </w:tcBorders>
            <w:vAlign w:val="center"/>
            <w:hideMark/>
          </w:tcPr>
          <w:p w14:paraId="0F43F692"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82%</w:t>
            </w:r>
          </w:p>
        </w:tc>
      </w:tr>
      <w:tr w:rsidR="00292764" w:rsidRPr="00292764" w14:paraId="5D908951" w14:textId="77777777" w:rsidTr="0097744B">
        <w:trPr>
          <w:trHeight w:val="302"/>
        </w:trPr>
        <w:tc>
          <w:tcPr>
            <w:tcW w:w="1128" w:type="dxa"/>
            <w:tcBorders>
              <w:top w:val="nil"/>
              <w:left w:val="single" w:sz="12" w:space="0" w:color="auto"/>
              <w:bottom w:val="single" w:sz="8" w:space="0" w:color="auto"/>
              <w:right w:val="single" w:sz="8" w:space="0" w:color="auto"/>
            </w:tcBorders>
            <w:vAlign w:val="center"/>
            <w:hideMark/>
          </w:tcPr>
          <w:p w14:paraId="4EB06073"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2022</w:t>
            </w:r>
          </w:p>
        </w:tc>
        <w:tc>
          <w:tcPr>
            <w:tcW w:w="1209" w:type="dxa"/>
            <w:tcBorders>
              <w:top w:val="nil"/>
              <w:left w:val="nil"/>
              <w:bottom w:val="single" w:sz="8" w:space="0" w:color="auto"/>
              <w:right w:val="single" w:sz="8" w:space="0" w:color="auto"/>
            </w:tcBorders>
            <w:vAlign w:val="center"/>
            <w:hideMark/>
          </w:tcPr>
          <w:p w14:paraId="5F70ECC6"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317,190</w:t>
            </w:r>
          </w:p>
        </w:tc>
        <w:tc>
          <w:tcPr>
            <w:tcW w:w="1646" w:type="dxa"/>
            <w:tcBorders>
              <w:top w:val="nil"/>
              <w:left w:val="nil"/>
              <w:bottom w:val="single" w:sz="8" w:space="0" w:color="auto"/>
              <w:right w:val="single" w:sz="8" w:space="0" w:color="auto"/>
            </w:tcBorders>
            <w:vAlign w:val="center"/>
            <w:hideMark/>
          </w:tcPr>
          <w:p w14:paraId="0A384F56"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-7%</w:t>
            </w:r>
          </w:p>
        </w:tc>
        <w:tc>
          <w:tcPr>
            <w:tcW w:w="1148" w:type="dxa"/>
            <w:tcBorders>
              <w:top w:val="nil"/>
              <w:left w:val="nil"/>
              <w:bottom w:val="single" w:sz="8" w:space="0" w:color="auto"/>
              <w:right w:val="single" w:sz="8" w:space="0" w:color="auto"/>
            </w:tcBorders>
            <w:vAlign w:val="center"/>
            <w:hideMark/>
          </w:tcPr>
          <w:p w14:paraId="2D483CD5"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263,555</w:t>
            </w:r>
          </w:p>
        </w:tc>
        <w:tc>
          <w:tcPr>
            <w:tcW w:w="1451" w:type="dxa"/>
            <w:tcBorders>
              <w:top w:val="nil"/>
              <w:left w:val="nil"/>
              <w:bottom w:val="single" w:sz="8" w:space="0" w:color="auto"/>
              <w:right w:val="single" w:sz="8" w:space="0" w:color="auto"/>
            </w:tcBorders>
            <w:vAlign w:val="center"/>
            <w:hideMark/>
          </w:tcPr>
          <w:p w14:paraId="47527FC2"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-6%</w:t>
            </w:r>
          </w:p>
        </w:tc>
        <w:tc>
          <w:tcPr>
            <w:tcW w:w="1257" w:type="dxa"/>
            <w:tcBorders>
              <w:top w:val="nil"/>
              <w:left w:val="nil"/>
              <w:bottom w:val="single" w:sz="8" w:space="0" w:color="auto"/>
              <w:right w:val="single" w:sz="12" w:space="0" w:color="auto"/>
            </w:tcBorders>
            <w:vAlign w:val="center"/>
            <w:hideMark/>
          </w:tcPr>
          <w:p w14:paraId="42FC2126"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83%</w:t>
            </w:r>
          </w:p>
        </w:tc>
      </w:tr>
      <w:tr w:rsidR="00292764" w:rsidRPr="00292764" w14:paraId="04036267" w14:textId="77777777" w:rsidTr="0097744B">
        <w:trPr>
          <w:trHeight w:val="302"/>
        </w:trPr>
        <w:tc>
          <w:tcPr>
            <w:tcW w:w="1128" w:type="dxa"/>
            <w:tcBorders>
              <w:top w:val="nil"/>
              <w:left w:val="single" w:sz="12" w:space="0" w:color="auto"/>
              <w:bottom w:val="single" w:sz="8" w:space="0" w:color="auto"/>
              <w:right w:val="single" w:sz="8" w:space="0" w:color="auto"/>
            </w:tcBorders>
            <w:vAlign w:val="center"/>
            <w:hideMark/>
          </w:tcPr>
          <w:p w14:paraId="0CF0D274"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2023</w:t>
            </w:r>
          </w:p>
        </w:tc>
        <w:tc>
          <w:tcPr>
            <w:tcW w:w="1209" w:type="dxa"/>
            <w:tcBorders>
              <w:top w:val="nil"/>
              <w:left w:val="nil"/>
              <w:bottom w:val="single" w:sz="8" w:space="0" w:color="auto"/>
              <w:right w:val="single" w:sz="8" w:space="0" w:color="auto"/>
            </w:tcBorders>
            <w:vAlign w:val="center"/>
            <w:hideMark/>
          </w:tcPr>
          <w:p w14:paraId="0DC66072"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300,111</w:t>
            </w:r>
          </w:p>
        </w:tc>
        <w:tc>
          <w:tcPr>
            <w:tcW w:w="1646" w:type="dxa"/>
            <w:tcBorders>
              <w:top w:val="nil"/>
              <w:left w:val="nil"/>
              <w:bottom w:val="single" w:sz="8" w:space="0" w:color="auto"/>
              <w:right w:val="single" w:sz="8" w:space="0" w:color="auto"/>
            </w:tcBorders>
            <w:vAlign w:val="center"/>
            <w:hideMark/>
          </w:tcPr>
          <w:p w14:paraId="0E6EA0A7"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-5%</w:t>
            </w:r>
          </w:p>
        </w:tc>
        <w:tc>
          <w:tcPr>
            <w:tcW w:w="1148" w:type="dxa"/>
            <w:tcBorders>
              <w:top w:val="nil"/>
              <w:left w:val="nil"/>
              <w:bottom w:val="single" w:sz="8" w:space="0" w:color="auto"/>
              <w:right w:val="single" w:sz="8" w:space="0" w:color="auto"/>
            </w:tcBorders>
            <w:vAlign w:val="center"/>
            <w:hideMark/>
          </w:tcPr>
          <w:p w14:paraId="4515D2BA"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250,551</w:t>
            </w:r>
          </w:p>
        </w:tc>
        <w:tc>
          <w:tcPr>
            <w:tcW w:w="1451" w:type="dxa"/>
            <w:tcBorders>
              <w:top w:val="nil"/>
              <w:left w:val="nil"/>
              <w:bottom w:val="single" w:sz="8" w:space="0" w:color="auto"/>
              <w:right w:val="single" w:sz="8" w:space="0" w:color="auto"/>
            </w:tcBorders>
            <w:vAlign w:val="center"/>
            <w:hideMark/>
          </w:tcPr>
          <w:p w14:paraId="7141FBEA"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-5%</w:t>
            </w:r>
          </w:p>
        </w:tc>
        <w:tc>
          <w:tcPr>
            <w:tcW w:w="1257" w:type="dxa"/>
            <w:tcBorders>
              <w:top w:val="nil"/>
              <w:left w:val="nil"/>
              <w:bottom w:val="single" w:sz="8" w:space="0" w:color="auto"/>
              <w:right w:val="single" w:sz="12" w:space="0" w:color="auto"/>
            </w:tcBorders>
            <w:vAlign w:val="center"/>
            <w:hideMark/>
          </w:tcPr>
          <w:p w14:paraId="0B6A31C1"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84%</w:t>
            </w:r>
          </w:p>
        </w:tc>
      </w:tr>
      <w:tr w:rsidR="00F77CC3" w:rsidRPr="00292764" w14:paraId="492CEE73" w14:textId="77777777" w:rsidTr="00AF191F">
        <w:trPr>
          <w:trHeight w:val="302"/>
        </w:trPr>
        <w:tc>
          <w:tcPr>
            <w:tcW w:w="1128" w:type="dxa"/>
            <w:tcBorders>
              <w:top w:val="nil"/>
              <w:left w:val="single" w:sz="12" w:space="0" w:color="auto"/>
              <w:bottom w:val="single" w:sz="8" w:space="0" w:color="auto"/>
              <w:right w:val="single" w:sz="8" w:space="0" w:color="auto"/>
            </w:tcBorders>
          </w:tcPr>
          <w:p w14:paraId="29FCCAA5" w14:textId="75899570" w:rsidR="00F77CC3" w:rsidRPr="00292764" w:rsidRDefault="00F77CC3" w:rsidP="00F77CC3">
            <w:pPr>
              <w:spacing w:after="0" w:line="240" w:lineRule="auto"/>
              <w:jc w:val="center"/>
              <w:rPr>
                <w:rFonts w:ascii="Calibri" w:eastAsia="Times New Roman" w:hAnsi="Calibri" w:cs="Calibri"/>
                <w:color w:val="000000"/>
                <w:sz w:val="20"/>
                <w:szCs w:val="20"/>
                <w:lang w:eastAsia="en-AU"/>
              </w:rPr>
            </w:pPr>
            <w:r w:rsidRPr="004C6856">
              <w:rPr>
                <w:rFonts w:ascii="Calibri" w:eastAsia="Times New Roman" w:hAnsi="Calibri" w:cs="Calibri"/>
                <w:color w:val="000000"/>
                <w:sz w:val="20"/>
                <w:szCs w:val="20"/>
                <w:lang w:eastAsia="en-AU"/>
              </w:rPr>
              <w:t>2024</w:t>
            </w:r>
          </w:p>
        </w:tc>
        <w:tc>
          <w:tcPr>
            <w:tcW w:w="1209" w:type="dxa"/>
            <w:tcBorders>
              <w:top w:val="nil"/>
              <w:left w:val="nil"/>
              <w:bottom w:val="single" w:sz="8" w:space="0" w:color="auto"/>
              <w:right w:val="single" w:sz="8" w:space="0" w:color="auto"/>
            </w:tcBorders>
          </w:tcPr>
          <w:p w14:paraId="61F6E0B9" w14:textId="3A36D68F" w:rsidR="00F77CC3" w:rsidRPr="00292764" w:rsidRDefault="00F77CC3" w:rsidP="00F77CC3">
            <w:pPr>
              <w:spacing w:after="0" w:line="240" w:lineRule="auto"/>
              <w:jc w:val="center"/>
              <w:rPr>
                <w:rFonts w:ascii="Calibri" w:eastAsia="Times New Roman" w:hAnsi="Calibri" w:cs="Calibri"/>
                <w:color w:val="000000"/>
                <w:sz w:val="20"/>
                <w:szCs w:val="20"/>
                <w:lang w:eastAsia="en-AU"/>
              </w:rPr>
            </w:pPr>
            <w:r w:rsidRPr="004C6856">
              <w:rPr>
                <w:rFonts w:ascii="Calibri" w:eastAsia="Times New Roman" w:hAnsi="Calibri" w:cs="Calibri"/>
                <w:color w:val="000000"/>
                <w:sz w:val="20"/>
                <w:szCs w:val="20"/>
                <w:lang w:eastAsia="en-AU"/>
              </w:rPr>
              <w:t>302,254</w:t>
            </w:r>
          </w:p>
        </w:tc>
        <w:tc>
          <w:tcPr>
            <w:tcW w:w="1646" w:type="dxa"/>
            <w:tcBorders>
              <w:top w:val="nil"/>
              <w:left w:val="nil"/>
              <w:bottom w:val="single" w:sz="8" w:space="0" w:color="auto"/>
              <w:right w:val="single" w:sz="8" w:space="0" w:color="auto"/>
            </w:tcBorders>
          </w:tcPr>
          <w:p w14:paraId="57180FAB" w14:textId="64D202F0" w:rsidR="00F77CC3" w:rsidRPr="00292764" w:rsidRDefault="00F77CC3" w:rsidP="00F77CC3">
            <w:pPr>
              <w:spacing w:after="0" w:line="240" w:lineRule="auto"/>
              <w:jc w:val="center"/>
              <w:rPr>
                <w:rFonts w:ascii="Calibri" w:eastAsia="Times New Roman" w:hAnsi="Calibri" w:cs="Calibri"/>
                <w:color w:val="000000"/>
                <w:sz w:val="20"/>
                <w:szCs w:val="20"/>
                <w:lang w:eastAsia="en-AU"/>
              </w:rPr>
            </w:pPr>
            <w:r w:rsidRPr="004C6856">
              <w:rPr>
                <w:rFonts w:ascii="Calibri" w:eastAsia="Times New Roman" w:hAnsi="Calibri" w:cs="Calibri"/>
                <w:color w:val="000000"/>
                <w:sz w:val="20"/>
                <w:szCs w:val="20"/>
                <w:lang w:eastAsia="en-AU"/>
              </w:rPr>
              <w:t>1%</w:t>
            </w:r>
          </w:p>
        </w:tc>
        <w:tc>
          <w:tcPr>
            <w:tcW w:w="1148" w:type="dxa"/>
            <w:tcBorders>
              <w:top w:val="nil"/>
              <w:left w:val="nil"/>
              <w:bottom w:val="single" w:sz="8" w:space="0" w:color="auto"/>
              <w:right w:val="single" w:sz="8" w:space="0" w:color="auto"/>
            </w:tcBorders>
          </w:tcPr>
          <w:p w14:paraId="511DF3A1" w14:textId="67C7ACF8" w:rsidR="00F77CC3" w:rsidRPr="00292764" w:rsidRDefault="00F77CC3" w:rsidP="00F77CC3">
            <w:pPr>
              <w:spacing w:after="0" w:line="240" w:lineRule="auto"/>
              <w:jc w:val="center"/>
              <w:rPr>
                <w:rFonts w:ascii="Calibri" w:eastAsia="Times New Roman" w:hAnsi="Calibri" w:cs="Calibri"/>
                <w:color w:val="000000"/>
                <w:sz w:val="20"/>
                <w:szCs w:val="20"/>
                <w:lang w:eastAsia="en-AU"/>
              </w:rPr>
            </w:pPr>
            <w:r w:rsidRPr="004C6856">
              <w:rPr>
                <w:rFonts w:ascii="Calibri" w:eastAsia="Times New Roman" w:hAnsi="Calibri" w:cs="Calibri"/>
                <w:color w:val="000000"/>
                <w:sz w:val="20"/>
                <w:szCs w:val="20"/>
                <w:lang w:eastAsia="en-AU"/>
              </w:rPr>
              <w:t>256,226</w:t>
            </w:r>
          </w:p>
        </w:tc>
        <w:tc>
          <w:tcPr>
            <w:tcW w:w="1451" w:type="dxa"/>
            <w:tcBorders>
              <w:top w:val="nil"/>
              <w:left w:val="nil"/>
              <w:bottom w:val="single" w:sz="8" w:space="0" w:color="auto"/>
              <w:right w:val="single" w:sz="8" w:space="0" w:color="auto"/>
            </w:tcBorders>
          </w:tcPr>
          <w:p w14:paraId="05183F88" w14:textId="724382A1" w:rsidR="00F77CC3" w:rsidRPr="00292764" w:rsidRDefault="00F77CC3" w:rsidP="00F77CC3">
            <w:pPr>
              <w:spacing w:after="0" w:line="240" w:lineRule="auto"/>
              <w:jc w:val="center"/>
              <w:rPr>
                <w:rFonts w:ascii="Calibri" w:eastAsia="Times New Roman" w:hAnsi="Calibri" w:cs="Calibri"/>
                <w:color w:val="000000"/>
                <w:sz w:val="20"/>
                <w:szCs w:val="20"/>
                <w:lang w:eastAsia="en-AU"/>
              </w:rPr>
            </w:pPr>
            <w:r w:rsidRPr="004C6856">
              <w:rPr>
                <w:rFonts w:ascii="Calibri" w:eastAsia="Times New Roman" w:hAnsi="Calibri" w:cs="Calibri"/>
                <w:color w:val="000000"/>
                <w:sz w:val="20"/>
                <w:szCs w:val="20"/>
                <w:lang w:eastAsia="en-AU"/>
              </w:rPr>
              <w:t>2%</w:t>
            </w:r>
          </w:p>
        </w:tc>
        <w:tc>
          <w:tcPr>
            <w:tcW w:w="1257" w:type="dxa"/>
            <w:tcBorders>
              <w:top w:val="nil"/>
              <w:left w:val="nil"/>
              <w:bottom w:val="single" w:sz="8" w:space="0" w:color="auto"/>
              <w:right w:val="single" w:sz="12" w:space="0" w:color="auto"/>
            </w:tcBorders>
          </w:tcPr>
          <w:p w14:paraId="0E4A084B" w14:textId="22F740D8" w:rsidR="00F77CC3" w:rsidRPr="00292764" w:rsidRDefault="00F77CC3" w:rsidP="00F77CC3">
            <w:pPr>
              <w:spacing w:after="0" w:line="240" w:lineRule="auto"/>
              <w:jc w:val="center"/>
              <w:rPr>
                <w:rFonts w:ascii="Calibri" w:eastAsia="Times New Roman" w:hAnsi="Calibri" w:cs="Calibri"/>
                <w:color w:val="000000"/>
                <w:sz w:val="20"/>
                <w:szCs w:val="20"/>
                <w:lang w:eastAsia="en-AU"/>
              </w:rPr>
            </w:pPr>
            <w:r w:rsidRPr="004C6856">
              <w:rPr>
                <w:rFonts w:ascii="Calibri" w:eastAsia="Times New Roman" w:hAnsi="Calibri" w:cs="Calibri"/>
                <w:color w:val="000000"/>
                <w:sz w:val="20"/>
                <w:szCs w:val="20"/>
                <w:lang w:eastAsia="en-AU"/>
              </w:rPr>
              <w:t>85%</w:t>
            </w:r>
          </w:p>
        </w:tc>
      </w:tr>
      <w:tr w:rsidR="00292764" w:rsidRPr="00292764" w14:paraId="452D3B24" w14:textId="77777777" w:rsidTr="0097744B">
        <w:trPr>
          <w:trHeight w:val="302"/>
        </w:trPr>
        <w:tc>
          <w:tcPr>
            <w:tcW w:w="1128" w:type="dxa"/>
            <w:tcBorders>
              <w:top w:val="nil"/>
              <w:left w:val="single" w:sz="12" w:space="0" w:color="auto"/>
              <w:bottom w:val="single" w:sz="12" w:space="0" w:color="auto"/>
              <w:right w:val="single" w:sz="8" w:space="0" w:color="auto"/>
            </w:tcBorders>
            <w:vAlign w:val="center"/>
            <w:hideMark/>
          </w:tcPr>
          <w:p w14:paraId="10E2C01E" w14:textId="6A2F7A4F"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202</w:t>
            </w:r>
            <w:r w:rsidR="00F77CC3">
              <w:rPr>
                <w:rFonts w:ascii="Calibri" w:eastAsia="Times New Roman" w:hAnsi="Calibri" w:cs="Calibri"/>
                <w:color w:val="000000"/>
                <w:sz w:val="20"/>
                <w:szCs w:val="20"/>
                <w:lang w:eastAsia="en-AU"/>
              </w:rPr>
              <w:t>5</w:t>
            </w:r>
          </w:p>
        </w:tc>
        <w:tc>
          <w:tcPr>
            <w:tcW w:w="1209" w:type="dxa"/>
            <w:tcBorders>
              <w:top w:val="nil"/>
              <w:left w:val="nil"/>
              <w:bottom w:val="single" w:sz="12" w:space="0" w:color="auto"/>
              <w:right w:val="single" w:sz="8" w:space="0" w:color="auto"/>
            </w:tcBorders>
            <w:vAlign w:val="center"/>
            <w:hideMark/>
          </w:tcPr>
          <w:p w14:paraId="65F1094D" w14:textId="6FF8F159" w:rsidR="00292764" w:rsidRPr="00292764" w:rsidRDefault="00F77CC3" w:rsidP="00292764">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318,629</w:t>
            </w:r>
          </w:p>
        </w:tc>
        <w:tc>
          <w:tcPr>
            <w:tcW w:w="1646" w:type="dxa"/>
            <w:tcBorders>
              <w:top w:val="nil"/>
              <w:left w:val="nil"/>
              <w:bottom w:val="single" w:sz="12" w:space="0" w:color="auto"/>
              <w:right w:val="single" w:sz="8" w:space="0" w:color="auto"/>
            </w:tcBorders>
            <w:vAlign w:val="center"/>
            <w:hideMark/>
          </w:tcPr>
          <w:p w14:paraId="6AFEB6F9" w14:textId="38BEB0BF" w:rsidR="00292764" w:rsidRPr="00292764" w:rsidRDefault="00F77CC3" w:rsidP="00292764">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5</w:t>
            </w:r>
            <w:r w:rsidR="00292764" w:rsidRPr="00292764">
              <w:rPr>
                <w:rFonts w:ascii="Calibri" w:eastAsia="Times New Roman" w:hAnsi="Calibri" w:cs="Calibri"/>
                <w:color w:val="000000"/>
                <w:sz w:val="20"/>
                <w:szCs w:val="20"/>
                <w:lang w:eastAsia="en-AU"/>
              </w:rPr>
              <w:t>%</w:t>
            </w:r>
          </w:p>
        </w:tc>
        <w:tc>
          <w:tcPr>
            <w:tcW w:w="1148" w:type="dxa"/>
            <w:tcBorders>
              <w:top w:val="nil"/>
              <w:left w:val="nil"/>
              <w:bottom w:val="single" w:sz="12" w:space="0" w:color="auto"/>
              <w:right w:val="single" w:sz="8" w:space="0" w:color="auto"/>
            </w:tcBorders>
            <w:vAlign w:val="center"/>
            <w:hideMark/>
          </w:tcPr>
          <w:p w14:paraId="48BE4CCB" w14:textId="2BED6A15" w:rsidR="00292764" w:rsidRPr="00292764" w:rsidRDefault="00F77CC3" w:rsidP="00292764">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270,179</w:t>
            </w:r>
          </w:p>
        </w:tc>
        <w:tc>
          <w:tcPr>
            <w:tcW w:w="1451" w:type="dxa"/>
            <w:tcBorders>
              <w:top w:val="nil"/>
              <w:left w:val="nil"/>
              <w:bottom w:val="single" w:sz="12" w:space="0" w:color="auto"/>
              <w:right w:val="single" w:sz="8" w:space="0" w:color="auto"/>
            </w:tcBorders>
            <w:vAlign w:val="center"/>
            <w:hideMark/>
          </w:tcPr>
          <w:p w14:paraId="4794D599" w14:textId="25C6E011" w:rsidR="00292764" w:rsidRPr="00292764" w:rsidRDefault="00F77CC3" w:rsidP="00292764">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5</w:t>
            </w:r>
            <w:r w:rsidR="00292764" w:rsidRPr="00292764">
              <w:rPr>
                <w:rFonts w:ascii="Calibri" w:eastAsia="Times New Roman" w:hAnsi="Calibri" w:cs="Calibri"/>
                <w:color w:val="000000"/>
                <w:sz w:val="20"/>
                <w:szCs w:val="20"/>
                <w:lang w:eastAsia="en-AU"/>
              </w:rPr>
              <w:t>%</w:t>
            </w:r>
          </w:p>
        </w:tc>
        <w:tc>
          <w:tcPr>
            <w:tcW w:w="1257" w:type="dxa"/>
            <w:tcBorders>
              <w:top w:val="nil"/>
              <w:left w:val="nil"/>
              <w:bottom w:val="single" w:sz="12" w:space="0" w:color="auto"/>
              <w:right w:val="single" w:sz="12" w:space="0" w:color="auto"/>
            </w:tcBorders>
            <w:vAlign w:val="center"/>
            <w:hideMark/>
          </w:tcPr>
          <w:p w14:paraId="33D31DDB"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85%</w:t>
            </w:r>
          </w:p>
        </w:tc>
      </w:tr>
    </w:tbl>
    <w:p w14:paraId="43496D15" w14:textId="797B6828" w:rsidR="004E0750" w:rsidRPr="00C57B79" w:rsidRDefault="0094690F" w:rsidP="00644B42">
      <w:pPr>
        <w:pStyle w:val="ListBullet"/>
        <w:numPr>
          <w:ilvl w:val="0"/>
          <w:numId w:val="0"/>
        </w:numPr>
        <w:spacing w:after="0" w:line="240" w:lineRule="auto"/>
        <w:rPr>
          <w:rFonts w:eastAsia="Times New Roman"/>
          <w:sz w:val="20"/>
          <w:szCs w:val="20"/>
          <w:lang w:eastAsia="en-AU"/>
        </w:rPr>
      </w:pPr>
      <w:r w:rsidRPr="0094690F">
        <w:rPr>
          <w:rFonts w:eastAsia="Times New Roman"/>
          <w:sz w:val="20"/>
          <w:szCs w:val="20"/>
          <w:lang w:eastAsia="en-AU"/>
        </w:rPr>
        <w:t xml:space="preserve">In 2015 * and 2020 ** applications and offers data were affected by the school year progression in Western Australia and Queensland, respectively. Hence, percentage changes are calculated: in 2014, 2015 and 2016 excluding WA TISC data and in 2019, 2020 and 2021 excluding Queensland TAC data. University of Notre Dame (UND) excluded medical applications from </w:t>
      </w:r>
      <w:proofErr w:type="gramStart"/>
      <w:r w:rsidRPr="0094690F">
        <w:rPr>
          <w:rFonts w:eastAsia="Times New Roman"/>
          <w:sz w:val="20"/>
          <w:szCs w:val="20"/>
          <w:lang w:eastAsia="en-AU"/>
        </w:rPr>
        <w:t>2018,</w:t>
      </w:r>
      <w:proofErr w:type="gramEnd"/>
      <w:r w:rsidRPr="0094690F">
        <w:rPr>
          <w:rFonts w:eastAsia="Times New Roman"/>
          <w:sz w:val="20"/>
          <w:szCs w:val="20"/>
          <w:lang w:eastAsia="en-AU"/>
        </w:rPr>
        <w:t xml:space="preserve"> hence percentage change is calculated excluding medical applications in 2017 ***. </w:t>
      </w:r>
      <w:r w:rsidR="0097744B">
        <w:rPr>
          <w:rFonts w:eastAsia="Times New Roman"/>
          <w:sz w:val="20"/>
          <w:szCs w:val="20"/>
          <w:lang w:eastAsia="en-AU"/>
        </w:rPr>
        <w:t>Please note, t</w:t>
      </w:r>
      <w:r w:rsidRPr="0094690F">
        <w:rPr>
          <w:rFonts w:eastAsia="Times New Roman"/>
          <w:sz w:val="20"/>
          <w:szCs w:val="20"/>
          <w:lang w:eastAsia="en-AU"/>
        </w:rPr>
        <w:t xml:space="preserve">he number of applicants has not been adjusted </w:t>
      </w:r>
      <w:r w:rsidR="0097744B">
        <w:rPr>
          <w:rFonts w:eastAsia="Times New Roman"/>
          <w:sz w:val="20"/>
          <w:szCs w:val="20"/>
          <w:lang w:eastAsia="en-AU"/>
        </w:rPr>
        <w:t xml:space="preserve">in this table, just the </w:t>
      </w:r>
      <w:r w:rsidRPr="0094690F">
        <w:rPr>
          <w:rFonts w:eastAsia="Times New Roman"/>
          <w:sz w:val="20"/>
          <w:szCs w:val="20"/>
          <w:lang w:eastAsia="en-AU"/>
        </w:rPr>
        <w:t>percentage changes.</w:t>
      </w:r>
      <w:r w:rsidR="004E0750" w:rsidRPr="00C57B79">
        <w:rPr>
          <w:rFonts w:eastAsia="Times New Roman"/>
          <w:sz w:val="20"/>
          <w:szCs w:val="20"/>
          <w:lang w:eastAsia="en-AU"/>
        </w:rPr>
        <w:tab/>
      </w:r>
    </w:p>
    <w:p w14:paraId="5EE24194" w14:textId="15375E27" w:rsidR="00A90923" w:rsidRPr="002D444C" w:rsidRDefault="001B21F0" w:rsidP="00A90923">
      <w:pPr>
        <w:pStyle w:val="Heading3"/>
        <w:rPr>
          <w:b/>
          <w:color w:val="auto"/>
        </w:rPr>
      </w:pPr>
      <w:bookmarkStart w:id="7" w:name="_Toc212734162"/>
      <w:r>
        <w:rPr>
          <w:b/>
          <w:color w:val="auto"/>
        </w:rPr>
        <w:t>Most applicants were not Year 12 students</w:t>
      </w:r>
      <w:bookmarkEnd w:id="7"/>
    </w:p>
    <w:p w14:paraId="3618D6FC" w14:textId="6BF96B8D" w:rsidR="00A90923" w:rsidRPr="004F2B5D" w:rsidRDefault="0075718F" w:rsidP="00DF3625">
      <w:pPr>
        <w:pStyle w:val="ListBullet"/>
        <w:numPr>
          <w:ilvl w:val="0"/>
          <w:numId w:val="5"/>
        </w:numPr>
        <w:spacing w:after="120" w:line="276" w:lineRule="auto"/>
      </w:pPr>
      <w:r>
        <w:t>In 2025,</w:t>
      </w:r>
      <w:r w:rsidR="00A90923" w:rsidRPr="004F2B5D">
        <w:t xml:space="preserve"> Year 12 applica</w:t>
      </w:r>
      <w:r w:rsidR="00140BC0">
        <w:t>nt</w:t>
      </w:r>
      <w:r w:rsidR="00A90923" w:rsidRPr="004F2B5D">
        <w:t>s represent</w:t>
      </w:r>
      <w:r w:rsidR="00A90923">
        <w:t xml:space="preserve">ed </w:t>
      </w:r>
      <w:r w:rsidR="001F40C0">
        <w:t>4</w:t>
      </w:r>
      <w:r w:rsidR="00042DDA">
        <w:t>2</w:t>
      </w:r>
      <w:r w:rsidR="0004619F">
        <w:t>%</w:t>
      </w:r>
      <w:r w:rsidR="0083445B">
        <w:t xml:space="preserve"> </w:t>
      </w:r>
      <w:r w:rsidR="00A90923">
        <w:t xml:space="preserve">of </w:t>
      </w:r>
      <w:r>
        <w:t xml:space="preserve">all unique applicants. </w:t>
      </w:r>
      <w:r w:rsidR="001F40C0">
        <w:t>In 202</w:t>
      </w:r>
      <w:r w:rsidR="00042DDA">
        <w:t>4,</w:t>
      </w:r>
      <w:r w:rsidR="00D00B3E">
        <w:t xml:space="preserve"> </w:t>
      </w:r>
      <w:r>
        <w:t>it was</w:t>
      </w:r>
      <w:r w:rsidR="001F40C0">
        <w:t xml:space="preserve"> around 4</w:t>
      </w:r>
      <w:r w:rsidR="00042DDA">
        <w:t>1</w:t>
      </w:r>
      <w:r w:rsidR="00273838">
        <w:t>%</w:t>
      </w:r>
      <w:r w:rsidR="001F40C0">
        <w:t>.</w:t>
      </w:r>
    </w:p>
    <w:p w14:paraId="78EBDAE7" w14:textId="052F35F8" w:rsidR="00A90923" w:rsidRDefault="006D3457" w:rsidP="00DF3625">
      <w:pPr>
        <w:pStyle w:val="ListBullet"/>
        <w:numPr>
          <w:ilvl w:val="0"/>
          <w:numId w:val="5"/>
        </w:numPr>
        <w:spacing w:after="120" w:line="276" w:lineRule="auto"/>
      </w:pPr>
      <w:r>
        <w:t xml:space="preserve">Nonetheless, </w:t>
      </w:r>
      <w:r w:rsidR="00A90923">
        <w:t xml:space="preserve">Year 12 </w:t>
      </w:r>
      <w:r>
        <w:t xml:space="preserve">applicants were more likely to receive an offer (92% offer rate) than non-Year 12 applicants </w:t>
      </w:r>
      <w:r w:rsidR="00016250">
        <w:t>offer</w:t>
      </w:r>
      <w:r>
        <w:t xml:space="preserve"> (80% offer rate) in 2025. Offers made to Year 12 applicants</w:t>
      </w:r>
      <w:r w:rsidR="00A90923">
        <w:t xml:space="preserve"> represented </w:t>
      </w:r>
      <w:r w:rsidR="00252636">
        <w:t>4</w:t>
      </w:r>
      <w:r w:rsidR="00042DDA">
        <w:t>5</w:t>
      </w:r>
      <w:r w:rsidR="0004619F">
        <w:t>%</w:t>
      </w:r>
      <w:r w:rsidR="0083445B">
        <w:t xml:space="preserve"> </w:t>
      </w:r>
      <w:r w:rsidR="00A90923">
        <w:t xml:space="preserve">of </w:t>
      </w:r>
      <w:r w:rsidR="0059438A">
        <w:t xml:space="preserve">the </w:t>
      </w:r>
      <w:r>
        <w:t xml:space="preserve">most-recent </w:t>
      </w:r>
      <w:r w:rsidR="00A90923">
        <w:t>offers</w:t>
      </w:r>
      <w:r w:rsidR="00B43285">
        <w:t xml:space="preserve"> in 202</w:t>
      </w:r>
      <w:r w:rsidR="00042DDA">
        <w:t>5</w:t>
      </w:r>
      <w:r w:rsidR="00A90923">
        <w:t>.</w:t>
      </w:r>
    </w:p>
    <w:p w14:paraId="76DD1098" w14:textId="380862A7" w:rsidR="00736273" w:rsidRDefault="00620B9E" w:rsidP="00016250">
      <w:pPr>
        <w:pStyle w:val="ListBullet"/>
        <w:numPr>
          <w:ilvl w:val="0"/>
          <w:numId w:val="5"/>
        </w:numPr>
        <w:spacing w:after="120" w:line="276" w:lineRule="auto"/>
      </w:pPr>
      <w:r>
        <w:lastRenderedPageBreak/>
        <w:t>Among the non-Year 12 applicants, 36% were male</w:t>
      </w:r>
      <w:r w:rsidR="00736273">
        <w:t xml:space="preserve"> (Figure </w:t>
      </w:r>
      <w:r w:rsidR="00016250">
        <w:t>1</w:t>
      </w:r>
      <w:r w:rsidR="00736273">
        <w:t>)</w:t>
      </w:r>
      <w:r>
        <w:t xml:space="preserve">, 23% were from </w:t>
      </w:r>
      <w:r w:rsidR="007D2B96">
        <w:t>non-metropolitan</w:t>
      </w:r>
      <w:r w:rsidR="00736273">
        <w:t xml:space="preserve"> </w:t>
      </w:r>
      <w:r w:rsidR="00E95952">
        <w:t xml:space="preserve">areas </w:t>
      </w:r>
      <w:r w:rsidR="00736273">
        <w:t xml:space="preserve">(Figure </w:t>
      </w:r>
      <w:r w:rsidR="00016250">
        <w:t>2</w:t>
      </w:r>
      <w:r w:rsidR="00736273">
        <w:t>)</w:t>
      </w:r>
      <w:r>
        <w:t xml:space="preserve">, and </w:t>
      </w:r>
      <w:r w:rsidR="00736273">
        <w:t>19% were from low SES background</w:t>
      </w:r>
      <w:r w:rsidR="00E95952">
        <w:t>s</w:t>
      </w:r>
      <w:r w:rsidR="00736273">
        <w:t xml:space="preserve"> (Figure </w:t>
      </w:r>
      <w:r w:rsidR="00016250">
        <w:t>3</w:t>
      </w:r>
      <w:r w:rsidR="00736273">
        <w:t>)</w:t>
      </w:r>
      <w:r w:rsidR="00E95952">
        <w:t>.</w:t>
      </w:r>
      <w:r w:rsidR="00D967ED">
        <w:t xml:space="preserve"> </w:t>
      </w:r>
    </w:p>
    <w:p w14:paraId="60B64BBB" w14:textId="77777777" w:rsidR="00016250" w:rsidRDefault="00016250" w:rsidP="00016250">
      <w:pPr>
        <w:pStyle w:val="ListBullet"/>
        <w:numPr>
          <w:ilvl w:val="0"/>
          <w:numId w:val="0"/>
        </w:numPr>
        <w:spacing w:after="120" w:line="276" w:lineRule="auto"/>
        <w:ind w:left="357" w:hanging="357"/>
      </w:pPr>
    </w:p>
    <w:p w14:paraId="5731076F" w14:textId="77777777" w:rsidR="0045178B" w:rsidRDefault="0045178B" w:rsidP="00016250">
      <w:pPr>
        <w:pStyle w:val="ListBullet"/>
        <w:numPr>
          <w:ilvl w:val="0"/>
          <w:numId w:val="0"/>
        </w:numPr>
        <w:spacing w:after="120" w:line="276" w:lineRule="auto"/>
        <w:ind w:left="357" w:hanging="357"/>
      </w:pPr>
    </w:p>
    <w:p w14:paraId="5ECEBC8B" w14:textId="2D9280B1" w:rsidR="0085293D" w:rsidRDefault="00620B9E" w:rsidP="0007148C">
      <w:pPr>
        <w:pStyle w:val="ListBullet"/>
        <w:numPr>
          <w:ilvl w:val="0"/>
          <w:numId w:val="0"/>
        </w:numPr>
        <w:spacing w:after="120" w:line="276" w:lineRule="auto"/>
        <w:ind w:left="357" w:hanging="357"/>
        <w:rPr>
          <w:b/>
          <w:bCs/>
        </w:rPr>
      </w:pPr>
      <w:r w:rsidRPr="00397835">
        <w:rPr>
          <w:b/>
          <w:bCs/>
        </w:rPr>
        <w:t xml:space="preserve">Figure </w:t>
      </w:r>
      <w:r w:rsidR="00016250">
        <w:rPr>
          <w:b/>
          <w:bCs/>
        </w:rPr>
        <w:t xml:space="preserve">1: </w:t>
      </w:r>
      <w:r w:rsidR="00141696">
        <w:rPr>
          <w:b/>
          <w:bCs/>
        </w:rPr>
        <w:t xml:space="preserve">Current </w:t>
      </w:r>
      <w:r w:rsidR="00016250">
        <w:rPr>
          <w:b/>
          <w:bCs/>
        </w:rPr>
        <w:t xml:space="preserve">Year </w:t>
      </w:r>
      <w:r w:rsidR="00141696">
        <w:rPr>
          <w:b/>
          <w:bCs/>
        </w:rPr>
        <w:t xml:space="preserve">12 </w:t>
      </w:r>
      <w:proofErr w:type="gramStart"/>
      <w:r w:rsidR="00141696">
        <w:rPr>
          <w:b/>
          <w:bCs/>
        </w:rPr>
        <w:t>applicants</w:t>
      </w:r>
      <w:proofErr w:type="gramEnd"/>
      <w:r w:rsidR="00141696">
        <w:rPr>
          <w:b/>
          <w:bCs/>
        </w:rPr>
        <w:t xml:space="preserve"> status</w:t>
      </w:r>
      <w:r w:rsidR="005C7B30">
        <w:rPr>
          <w:b/>
          <w:bCs/>
        </w:rPr>
        <w:t xml:space="preserve"> by gender</w:t>
      </w:r>
    </w:p>
    <w:tbl>
      <w:tblPr>
        <w:tblStyle w:val="TableGrid"/>
        <w:tblW w:w="0" w:type="auto"/>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9"/>
        <w:gridCol w:w="4330"/>
      </w:tblGrid>
      <w:tr w:rsidR="00C37AAA" w14:paraId="728C2ABC" w14:textId="77777777" w:rsidTr="00D16432">
        <w:trPr>
          <w:trHeight w:val="3897"/>
        </w:trPr>
        <w:tc>
          <w:tcPr>
            <w:tcW w:w="4329" w:type="dxa"/>
          </w:tcPr>
          <w:p w14:paraId="6A7B9373" w14:textId="76857364" w:rsidR="00C37AAA" w:rsidRDefault="00E061DE" w:rsidP="00620B9E">
            <w:pPr>
              <w:pStyle w:val="ListBullet"/>
              <w:numPr>
                <w:ilvl w:val="0"/>
                <w:numId w:val="0"/>
              </w:numPr>
              <w:spacing w:after="120" w:line="276" w:lineRule="auto"/>
              <w:rPr>
                <w:b/>
                <w:bCs/>
              </w:rPr>
            </w:pPr>
            <w:r>
              <w:rPr>
                <w:noProof/>
              </w:rPr>
              <w:drawing>
                <wp:inline distT="0" distB="0" distL="0" distR="0" wp14:anchorId="78A8B13F" wp14:editId="2F7369A1">
                  <wp:extent cx="2639447" cy="2289810"/>
                  <wp:effectExtent l="0" t="0" r="8890" b="15240"/>
                  <wp:docPr id="1965957295" name="Chart 1" descr="Figure 1 shows that among the non-Year 12 applicants, 36% were male. ">
                    <a:extLst xmlns:a="http://schemas.openxmlformats.org/drawingml/2006/main">
                      <a:ext uri="{FF2B5EF4-FFF2-40B4-BE49-F238E27FC236}">
                        <a16:creationId xmlns:a16="http://schemas.microsoft.com/office/drawing/2014/main" id="{D5099293-63AC-2360-C79B-2DCDAE9B6F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4330" w:type="dxa"/>
          </w:tcPr>
          <w:p w14:paraId="21D48F5A" w14:textId="139E0E4C" w:rsidR="00C37AAA" w:rsidRDefault="0007148C" w:rsidP="00620B9E">
            <w:pPr>
              <w:pStyle w:val="ListBullet"/>
              <w:numPr>
                <w:ilvl w:val="0"/>
                <w:numId w:val="0"/>
              </w:numPr>
              <w:spacing w:after="120" w:line="276" w:lineRule="auto"/>
              <w:rPr>
                <w:b/>
                <w:bCs/>
              </w:rPr>
            </w:pPr>
            <w:r>
              <w:rPr>
                <w:noProof/>
              </w:rPr>
              <w:drawing>
                <wp:inline distT="0" distB="0" distL="0" distR="0" wp14:anchorId="319728E4" wp14:editId="297CB647">
                  <wp:extent cx="2612390" cy="2289810"/>
                  <wp:effectExtent l="0" t="0" r="16510" b="15240"/>
                  <wp:docPr id="317277390" name="Chart 1" descr="Figure shows that among the Year 12 applicants, 44% were male. ">
                    <a:extLst xmlns:a="http://schemas.openxmlformats.org/drawingml/2006/main">
                      <a:ext uri="{FF2B5EF4-FFF2-40B4-BE49-F238E27FC236}">
                        <a16:creationId xmlns:a16="http://schemas.microsoft.com/office/drawing/2014/main" id="{817A269F-128B-EC37-A9FC-D50C7EC191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bl>
    <w:p w14:paraId="3748C444" w14:textId="77777777" w:rsidR="00C37AAA" w:rsidRDefault="00C37AAA" w:rsidP="00C37AAA">
      <w:pPr>
        <w:pStyle w:val="ListBullet"/>
        <w:numPr>
          <w:ilvl w:val="0"/>
          <w:numId w:val="0"/>
        </w:numPr>
        <w:spacing w:after="120" w:line="276" w:lineRule="auto"/>
        <w:rPr>
          <w:b/>
          <w:bCs/>
        </w:rPr>
      </w:pPr>
    </w:p>
    <w:p w14:paraId="1E1CFDD3" w14:textId="70C813F8" w:rsidR="0085293D" w:rsidRDefault="00620B9E" w:rsidP="00C37AAA">
      <w:pPr>
        <w:pStyle w:val="ListBullet"/>
        <w:numPr>
          <w:ilvl w:val="0"/>
          <w:numId w:val="0"/>
        </w:numPr>
        <w:spacing w:after="120" w:line="276" w:lineRule="auto"/>
        <w:rPr>
          <w:b/>
          <w:bCs/>
        </w:rPr>
      </w:pPr>
      <w:r w:rsidRPr="00397835">
        <w:rPr>
          <w:b/>
          <w:bCs/>
        </w:rPr>
        <w:t xml:space="preserve">Figure </w:t>
      </w:r>
      <w:r w:rsidR="00016250">
        <w:rPr>
          <w:b/>
          <w:bCs/>
        </w:rPr>
        <w:t>2</w:t>
      </w:r>
      <w:r w:rsidR="005C7B30">
        <w:rPr>
          <w:b/>
          <w:bCs/>
        </w:rPr>
        <w:t xml:space="preserve">: </w:t>
      </w:r>
      <w:r w:rsidR="00141696">
        <w:rPr>
          <w:b/>
          <w:bCs/>
        </w:rPr>
        <w:t>Current Y</w:t>
      </w:r>
      <w:r w:rsidR="005C7B30">
        <w:rPr>
          <w:b/>
          <w:bCs/>
        </w:rPr>
        <w:t xml:space="preserve">ear 12 </w:t>
      </w:r>
      <w:proofErr w:type="gramStart"/>
      <w:r w:rsidR="005C7B30">
        <w:rPr>
          <w:b/>
          <w:bCs/>
        </w:rPr>
        <w:t>applicants</w:t>
      </w:r>
      <w:proofErr w:type="gramEnd"/>
      <w:r w:rsidR="005C7B30">
        <w:rPr>
          <w:b/>
          <w:bCs/>
        </w:rPr>
        <w:t xml:space="preserve"> </w:t>
      </w:r>
      <w:r w:rsidR="00141696">
        <w:rPr>
          <w:b/>
          <w:bCs/>
        </w:rPr>
        <w:t xml:space="preserve">status </w:t>
      </w:r>
      <w:r w:rsidR="005C7B30">
        <w:rPr>
          <w:b/>
          <w:bCs/>
        </w:rPr>
        <w:t>by region</w:t>
      </w:r>
    </w:p>
    <w:tbl>
      <w:tblPr>
        <w:tblStyle w:val="TableGrid"/>
        <w:tblW w:w="8646"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2"/>
        <w:gridCol w:w="4394"/>
      </w:tblGrid>
      <w:tr w:rsidR="00C37AAA" w14:paraId="3EC43092" w14:textId="77777777" w:rsidTr="00D16432">
        <w:tc>
          <w:tcPr>
            <w:tcW w:w="4252" w:type="dxa"/>
          </w:tcPr>
          <w:p w14:paraId="10319635" w14:textId="6C95C3BA" w:rsidR="00C37AAA" w:rsidRDefault="00E061DE" w:rsidP="00C37AAA">
            <w:pPr>
              <w:pStyle w:val="ListBullet"/>
              <w:numPr>
                <w:ilvl w:val="0"/>
                <w:numId w:val="0"/>
              </w:numPr>
              <w:spacing w:after="120" w:line="276" w:lineRule="auto"/>
              <w:rPr>
                <w:b/>
                <w:bCs/>
              </w:rPr>
            </w:pPr>
            <w:r>
              <w:rPr>
                <w:noProof/>
              </w:rPr>
              <w:drawing>
                <wp:inline distT="0" distB="0" distL="0" distR="0" wp14:anchorId="48829CC6" wp14:editId="701F9F30">
                  <wp:extent cx="2600076" cy="2321560"/>
                  <wp:effectExtent l="0" t="0" r="10160" b="2540"/>
                  <wp:docPr id="588153164" name="Chart 1" descr="Figure 2 shows that among the non-Year 12 applicants, 23% were from Non-Metropolitan. ">
                    <a:extLst xmlns:a="http://schemas.openxmlformats.org/drawingml/2006/main">
                      <a:ext uri="{FF2B5EF4-FFF2-40B4-BE49-F238E27FC236}">
                        <a16:creationId xmlns:a16="http://schemas.microsoft.com/office/drawing/2014/main" id="{2BD73207-23B9-CAF3-537C-1B3DD730CF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c>
          <w:tcPr>
            <w:tcW w:w="4394" w:type="dxa"/>
          </w:tcPr>
          <w:p w14:paraId="595C2354" w14:textId="198D890D" w:rsidR="00C37AAA" w:rsidRDefault="00E01262" w:rsidP="00C37AAA">
            <w:pPr>
              <w:pStyle w:val="ListBullet"/>
              <w:numPr>
                <w:ilvl w:val="0"/>
                <w:numId w:val="0"/>
              </w:numPr>
              <w:spacing w:after="120" w:line="276" w:lineRule="auto"/>
              <w:rPr>
                <w:b/>
                <w:bCs/>
              </w:rPr>
            </w:pPr>
            <w:r>
              <w:rPr>
                <w:noProof/>
              </w:rPr>
              <w:drawing>
                <wp:inline distT="0" distB="0" distL="0" distR="0" wp14:anchorId="65CF7982" wp14:editId="2FF4BE90">
                  <wp:extent cx="2653030" cy="2321560"/>
                  <wp:effectExtent l="0" t="0" r="13970" b="2540"/>
                  <wp:docPr id="180954629" name="Chart 1" descr="Figure shows that among the Year 12 applicants, 17% were from Non-Metropolitan. ">
                    <a:extLst xmlns:a="http://schemas.openxmlformats.org/drawingml/2006/main">
                      <a:ext uri="{FF2B5EF4-FFF2-40B4-BE49-F238E27FC236}">
                        <a16:creationId xmlns:a16="http://schemas.microsoft.com/office/drawing/2014/main" id="{891C11BF-AC8E-A517-326E-FADCD14467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bl>
    <w:p w14:paraId="3AC98C8E" w14:textId="04D9C07C" w:rsidR="00C37AAA" w:rsidRDefault="00C37AAA" w:rsidP="00C37AAA">
      <w:pPr>
        <w:pStyle w:val="ListBullet"/>
        <w:numPr>
          <w:ilvl w:val="0"/>
          <w:numId w:val="0"/>
        </w:numPr>
        <w:spacing w:after="120" w:line="276" w:lineRule="auto"/>
        <w:rPr>
          <w:b/>
          <w:bCs/>
        </w:rPr>
      </w:pPr>
    </w:p>
    <w:p w14:paraId="091A4165" w14:textId="794C05F0" w:rsidR="0085293D" w:rsidRPr="0085293D" w:rsidRDefault="0085293D" w:rsidP="0085293D">
      <w:pPr>
        <w:rPr>
          <w:b/>
          <w:bCs/>
        </w:rPr>
      </w:pPr>
    </w:p>
    <w:tbl>
      <w:tblPr>
        <w:tblStyle w:val="TableGrid"/>
        <w:tblpPr w:leftFromText="180" w:rightFromText="180" w:vertAnchor="text" w:horzAnchor="margin" w:tblpY="654"/>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5"/>
        <w:gridCol w:w="4252"/>
      </w:tblGrid>
      <w:tr w:rsidR="0085293D" w:rsidRPr="0085293D" w14:paraId="31BA00CB" w14:textId="77777777" w:rsidTr="00FA2DE8">
        <w:tc>
          <w:tcPr>
            <w:tcW w:w="4815" w:type="dxa"/>
          </w:tcPr>
          <w:p w14:paraId="4F4B7052" w14:textId="7B12B1FE" w:rsidR="0085293D" w:rsidRPr="0085293D" w:rsidRDefault="0085293D" w:rsidP="0085293D">
            <w:pPr>
              <w:spacing w:after="120"/>
              <w:contextualSpacing/>
              <w:rPr>
                <w:b/>
                <w:bCs/>
              </w:rPr>
            </w:pPr>
          </w:p>
        </w:tc>
        <w:tc>
          <w:tcPr>
            <w:tcW w:w="4252" w:type="dxa"/>
          </w:tcPr>
          <w:p w14:paraId="1C20CF36" w14:textId="0F7B8455" w:rsidR="0085293D" w:rsidRPr="0085293D" w:rsidRDefault="0085293D" w:rsidP="0085293D">
            <w:pPr>
              <w:spacing w:after="120"/>
              <w:contextualSpacing/>
              <w:rPr>
                <w:b/>
                <w:bCs/>
              </w:rPr>
            </w:pPr>
          </w:p>
        </w:tc>
      </w:tr>
    </w:tbl>
    <w:p w14:paraId="3042AC70" w14:textId="10906B07" w:rsidR="00620B9E" w:rsidRDefault="00141696" w:rsidP="00141696">
      <w:pPr>
        <w:pStyle w:val="ListBullet"/>
        <w:numPr>
          <w:ilvl w:val="0"/>
          <w:numId w:val="0"/>
        </w:numPr>
        <w:spacing w:after="120" w:line="276" w:lineRule="auto"/>
        <w:rPr>
          <w:b/>
          <w:bCs/>
        </w:rPr>
      </w:pPr>
      <w:r>
        <w:rPr>
          <w:noProof/>
        </w:rPr>
        <w:lastRenderedPageBreak/>
        <w:drawing>
          <wp:anchor distT="0" distB="0" distL="114300" distR="114300" simplePos="0" relativeHeight="251660288" behindDoc="1" locked="0" layoutInCell="1" allowOverlap="1" wp14:anchorId="12F5ED50" wp14:editId="7F7AEB4F">
            <wp:simplePos x="0" y="0"/>
            <wp:positionH relativeFrom="column">
              <wp:posOffset>2989679</wp:posOffset>
            </wp:positionH>
            <wp:positionV relativeFrom="paragraph">
              <wp:posOffset>258032</wp:posOffset>
            </wp:positionV>
            <wp:extent cx="2616200" cy="2409190"/>
            <wp:effectExtent l="0" t="0" r="12700" b="10160"/>
            <wp:wrapTight wrapText="bothSides">
              <wp:wrapPolygon edited="0">
                <wp:start x="0" y="0"/>
                <wp:lineTo x="0" y="21520"/>
                <wp:lineTo x="21548" y="21520"/>
                <wp:lineTo x="21548" y="0"/>
                <wp:lineTo x="0" y="0"/>
              </wp:wrapPolygon>
            </wp:wrapTight>
            <wp:docPr id="1945057483" name="Chart 1">
              <a:extLst xmlns:a="http://schemas.openxmlformats.org/drawingml/2006/main">
                <a:ext uri="{FF2B5EF4-FFF2-40B4-BE49-F238E27FC236}">
                  <a16:creationId xmlns:a16="http://schemas.microsoft.com/office/drawing/2014/main" id="{1250A764-DCE7-9B0A-9FF3-3120D3A22B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anchor>
        </w:drawing>
      </w:r>
      <w:r>
        <w:rPr>
          <w:noProof/>
        </w:rPr>
        <w:drawing>
          <wp:anchor distT="0" distB="0" distL="114300" distR="114300" simplePos="0" relativeHeight="251661312" behindDoc="1" locked="0" layoutInCell="1" allowOverlap="1" wp14:anchorId="07695A4C" wp14:editId="7241C3A9">
            <wp:simplePos x="0" y="0"/>
            <wp:positionH relativeFrom="column">
              <wp:posOffset>302334</wp:posOffset>
            </wp:positionH>
            <wp:positionV relativeFrom="paragraph">
              <wp:posOffset>258032</wp:posOffset>
            </wp:positionV>
            <wp:extent cx="2590800" cy="2409190"/>
            <wp:effectExtent l="0" t="0" r="0" b="10160"/>
            <wp:wrapTight wrapText="bothSides">
              <wp:wrapPolygon edited="0">
                <wp:start x="0" y="0"/>
                <wp:lineTo x="0" y="21520"/>
                <wp:lineTo x="21441" y="21520"/>
                <wp:lineTo x="21441" y="0"/>
                <wp:lineTo x="0" y="0"/>
              </wp:wrapPolygon>
            </wp:wrapTight>
            <wp:docPr id="1264949436" name="Chart 1" descr="Figure 3 there is only a little difference between the share of medium SES applicants from Non-Year12 (51.9%)and Year 12 (50.6%).  ">
              <a:extLst xmlns:a="http://schemas.openxmlformats.org/drawingml/2006/main">
                <a:ext uri="{FF2B5EF4-FFF2-40B4-BE49-F238E27FC236}">
                  <a16:creationId xmlns:a16="http://schemas.microsoft.com/office/drawing/2014/main" id="{6EB6687A-0505-5FF5-E163-A6FEC28D0B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anchor>
        </w:drawing>
      </w:r>
      <w:r w:rsidR="0085293D">
        <w:rPr>
          <w:b/>
          <w:bCs/>
        </w:rPr>
        <w:t>Figure 3:</w:t>
      </w:r>
      <w:r>
        <w:rPr>
          <w:b/>
          <w:bCs/>
        </w:rPr>
        <w:t xml:space="preserve"> Current </w:t>
      </w:r>
      <w:r w:rsidR="0085293D">
        <w:rPr>
          <w:b/>
          <w:bCs/>
        </w:rPr>
        <w:t xml:space="preserve">Year 12 </w:t>
      </w:r>
      <w:proofErr w:type="gramStart"/>
      <w:r w:rsidR="0085293D">
        <w:rPr>
          <w:b/>
          <w:bCs/>
        </w:rPr>
        <w:t>applicants</w:t>
      </w:r>
      <w:proofErr w:type="gramEnd"/>
      <w:r w:rsidR="0085293D">
        <w:rPr>
          <w:b/>
          <w:bCs/>
        </w:rPr>
        <w:t xml:space="preserve"> </w:t>
      </w:r>
      <w:r>
        <w:rPr>
          <w:b/>
          <w:bCs/>
        </w:rPr>
        <w:t xml:space="preserve">status </w:t>
      </w:r>
      <w:r w:rsidR="0085293D">
        <w:rPr>
          <w:b/>
          <w:bCs/>
        </w:rPr>
        <w:t>by socioeconomic status</w:t>
      </w:r>
    </w:p>
    <w:p w14:paraId="6E2F22CD" w14:textId="353D3E29" w:rsidR="00EF27B0" w:rsidRDefault="00EF27B0" w:rsidP="00EF27B0">
      <w:pPr>
        <w:pStyle w:val="Heading2"/>
        <w:rPr>
          <w:color w:val="auto"/>
        </w:rPr>
      </w:pPr>
      <w:bookmarkStart w:id="8" w:name="_Toc212734163"/>
      <w:r w:rsidRPr="00DD0697">
        <w:rPr>
          <w:color w:val="auto"/>
        </w:rPr>
        <w:t>Breakdown by key factors</w:t>
      </w:r>
      <w:bookmarkEnd w:id="8"/>
    </w:p>
    <w:p w14:paraId="359206AA" w14:textId="178F1058" w:rsidR="00753057" w:rsidRPr="00753057" w:rsidRDefault="00753057" w:rsidP="001E2883">
      <w:r>
        <w:t xml:space="preserve">Note that further details are available in </w:t>
      </w:r>
      <w:r w:rsidR="009F71CF">
        <w:t xml:space="preserve">the </w:t>
      </w:r>
      <w:r>
        <w:t>Appendices, Table A2</w:t>
      </w:r>
    </w:p>
    <w:p w14:paraId="4145E5CA" w14:textId="4CD6555D" w:rsidR="00A90923" w:rsidRPr="002D444C" w:rsidRDefault="00A61EDB" w:rsidP="00A90923">
      <w:pPr>
        <w:pStyle w:val="Heading3"/>
        <w:rPr>
          <w:b/>
          <w:color w:val="auto"/>
        </w:rPr>
      </w:pPr>
      <w:bookmarkStart w:id="9" w:name="_Toc212734164"/>
      <w:r>
        <w:rPr>
          <w:b/>
          <w:color w:val="auto"/>
        </w:rPr>
        <w:t>Health is the most popular f</w:t>
      </w:r>
      <w:r w:rsidR="00A90923" w:rsidRPr="002D444C">
        <w:rPr>
          <w:b/>
          <w:color w:val="auto"/>
        </w:rPr>
        <w:t>ield of education</w:t>
      </w:r>
      <w:bookmarkEnd w:id="9"/>
    </w:p>
    <w:p w14:paraId="17C61FF9" w14:textId="4330B3BF" w:rsidR="00884214" w:rsidRDefault="00884214" w:rsidP="00DF3625">
      <w:pPr>
        <w:pStyle w:val="ListBullet"/>
        <w:numPr>
          <w:ilvl w:val="0"/>
          <w:numId w:val="5"/>
        </w:numPr>
        <w:spacing w:after="120" w:line="276" w:lineRule="auto"/>
      </w:pPr>
      <w:r>
        <w:t xml:space="preserve">Data on applications and offers by field of education reflect </w:t>
      </w:r>
      <w:r w:rsidR="00736273">
        <w:t>highest</w:t>
      </w:r>
      <w:r>
        <w:t xml:space="preserve"> </w:t>
      </w:r>
      <w:r w:rsidRPr="00397835">
        <w:t xml:space="preserve">preference </w:t>
      </w:r>
      <w:r>
        <w:t xml:space="preserve">applications and most recent offers received. A prospective student may be made more than one offer and may not accept their most recent offer. As a result, these data may not reflect subsequent enrolment trends by field of education. </w:t>
      </w:r>
    </w:p>
    <w:p w14:paraId="40F1A2EA" w14:textId="7ADC67AB" w:rsidR="00736273" w:rsidRPr="00736273" w:rsidRDefault="00736273" w:rsidP="00736273">
      <w:pPr>
        <w:pStyle w:val="ListBullet"/>
        <w:numPr>
          <w:ilvl w:val="0"/>
          <w:numId w:val="5"/>
        </w:numPr>
        <w:spacing w:after="120" w:line="276" w:lineRule="auto"/>
      </w:pPr>
      <w:r w:rsidRPr="00397835">
        <w:t xml:space="preserve">The data in this report provide an indicator of demand for higher education, measured through applications, and corresponding sector response, measured through offers. They do not align precisely with subsequent enrolments in higher education, in part because they relate to only a subset of total higher education students in a given academic year, namely first semester undergraduate students. It is important that these data are considered in this context. </w:t>
      </w:r>
    </w:p>
    <w:p w14:paraId="318D461C" w14:textId="24CC6A2F" w:rsidR="00A90923" w:rsidRDefault="00A90923" w:rsidP="00DF3625">
      <w:pPr>
        <w:pStyle w:val="ListBullet"/>
        <w:numPr>
          <w:ilvl w:val="0"/>
          <w:numId w:val="5"/>
        </w:numPr>
        <w:spacing w:after="120" w:line="276" w:lineRule="auto"/>
      </w:pPr>
      <w:bookmarkStart w:id="10" w:name="_Hlk213072054"/>
      <w:r w:rsidRPr="00E24093">
        <w:t xml:space="preserve">Nationally, the most popular broad field of education </w:t>
      </w:r>
      <w:r w:rsidR="002231DE" w:rsidRPr="000174EB">
        <w:t xml:space="preserve">for </w:t>
      </w:r>
      <w:r w:rsidR="00D27F44" w:rsidRPr="000174EB">
        <w:t xml:space="preserve">highest </w:t>
      </w:r>
      <w:r w:rsidR="00884214" w:rsidRPr="000174EB">
        <w:t>preference</w:t>
      </w:r>
      <w:r w:rsidR="00884214">
        <w:t xml:space="preserve"> </w:t>
      </w:r>
      <w:r>
        <w:t>applications in 202</w:t>
      </w:r>
      <w:r w:rsidR="00737518">
        <w:t>5</w:t>
      </w:r>
      <w:r w:rsidR="002A3C63">
        <w:t xml:space="preserve"> </w:t>
      </w:r>
      <w:r w:rsidRPr="00E24093">
        <w:t xml:space="preserve">was Health </w:t>
      </w:r>
      <w:r w:rsidR="006729A8">
        <w:t>(</w:t>
      </w:r>
      <w:r w:rsidR="00737518" w:rsidRPr="00737518">
        <w:t xml:space="preserve">86,525 </w:t>
      </w:r>
      <w:r>
        <w:t>applicants or 2</w:t>
      </w:r>
      <w:r w:rsidR="000E20CD">
        <w:t>7</w:t>
      </w:r>
      <w:r w:rsidR="004A6F7A">
        <w:t>%</w:t>
      </w:r>
      <w:r>
        <w:t xml:space="preserve"> of all applicants</w:t>
      </w:r>
      <w:r w:rsidRPr="00E24093">
        <w:t>). This was followe</w:t>
      </w:r>
      <w:r>
        <w:t>d by Society and Culture (</w:t>
      </w:r>
      <w:r w:rsidR="00737518" w:rsidRPr="00737518">
        <w:t xml:space="preserve">65,826 </w:t>
      </w:r>
      <w:r w:rsidRPr="00A235E2">
        <w:t>a</w:t>
      </w:r>
      <w:r w:rsidRPr="00E24093">
        <w:t>pp</w:t>
      </w:r>
      <w:r>
        <w:t>licants or 2</w:t>
      </w:r>
      <w:r w:rsidR="00E03865">
        <w:t>1</w:t>
      </w:r>
      <w:r w:rsidR="004A6F7A">
        <w:t>%</w:t>
      </w:r>
      <w:r w:rsidRPr="00E24093">
        <w:t>) and Management a</w:t>
      </w:r>
      <w:r>
        <w:t>nd Commerce (</w:t>
      </w:r>
      <w:r w:rsidR="00737518" w:rsidRPr="00737518">
        <w:t xml:space="preserve">36,003 </w:t>
      </w:r>
      <w:r w:rsidRPr="00A235E2">
        <w:t>a</w:t>
      </w:r>
      <w:r>
        <w:t>pplicants or 1</w:t>
      </w:r>
      <w:r w:rsidR="002A3C63">
        <w:t>1</w:t>
      </w:r>
      <w:r w:rsidR="004A6F7A">
        <w:t>%</w:t>
      </w:r>
      <w:r w:rsidRPr="00E24093">
        <w:t>).</w:t>
      </w:r>
    </w:p>
    <w:bookmarkEnd w:id="10"/>
    <w:p w14:paraId="13C75DD7" w14:textId="79AB8ED6" w:rsidR="00A90923" w:rsidRDefault="00A90923" w:rsidP="00DF3625">
      <w:pPr>
        <w:pStyle w:val="ListBullet"/>
        <w:numPr>
          <w:ilvl w:val="0"/>
          <w:numId w:val="5"/>
        </w:numPr>
        <w:spacing w:after="120" w:line="276" w:lineRule="auto"/>
      </w:pPr>
      <w:r w:rsidRPr="00AC1937">
        <w:t xml:space="preserve">Fields of education that recorded </w:t>
      </w:r>
      <w:r w:rsidR="00D00B3E">
        <w:t xml:space="preserve">the </w:t>
      </w:r>
      <w:r w:rsidRPr="00AC1937">
        <w:t>stronges</w:t>
      </w:r>
      <w:r>
        <w:t>t growth in applications in 202</w:t>
      </w:r>
      <w:r w:rsidR="00737518">
        <w:t>5</w:t>
      </w:r>
      <w:r>
        <w:t xml:space="preserve"> </w:t>
      </w:r>
      <w:r w:rsidR="004D0C2F">
        <w:t>(</w:t>
      </w:r>
      <w:r w:rsidR="00AD4D58">
        <w:t>compared to 202</w:t>
      </w:r>
      <w:r w:rsidR="00737518">
        <w:t>4</w:t>
      </w:r>
      <w:r w:rsidR="004D0C2F">
        <w:t xml:space="preserve">) </w:t>
      </w:r>
      <w:r w:rsidR="006F3811">
        <w:t xml:space="preserve">were </w:t>
      </w:r>
      <w:r w:rsidR="00396E5C">
        <w:t>Education (1</w:t>
      </w:r>
      <w:r w:rsidR="002938EC">
        <w:t>2.0</w:t>
      </w:r>
      <w:r w:rsidR="00396E5C">
        <w:t xml:space="preserve">%) followed by </w:t>
      </w:r>
      <w:r w:rsidR="002A3C63" w:rsidRPr="002A3C63">
        <w:t xml:space="preserve">Engineering and Related Technologies </w:t>
      </w:r>
      <w:r w:rsidR="00737518">
        <w:t xml:space="preserve">and </w:t>
      </w:r>
      <w:r w:rsidR="00B34282">
        <w:t>Management and Commerce (</w:t>
      </w:r>
      <w:r w:rsidR="00737518">
        <w:t xml:space="preserve">both </w:t>
      </w:r>
      <w:r w:rsidR="00EB4271">
        <w:t>at</w:t>
      </w:r>
      <w:r w:rsidR="00737518">
        <w:t xml:space="preserve"> 8.6%)</w:t>
      </w:r>
      <w:bookmarkStart w:id="11" w:name="_Hlk205970068"/>
      <w:r w:rsidR="00396E5C">
        <w:t xml:space="preserve">, </w:t>
      </w:r>
      <w:r w:rsidR="00737518">
        <w:t>Natural and Physical Sciences</w:t>
      </w:r>
      <w:r w:rsidR="00396E5C">
        <w:t xml:space="preserve"> (6.5%)</w:t>
      </w:r>
      <w:r w:rsidR="00B34282">
        <w:t xml:space="preserve"> </w:t>
      </w:r>
      <w:bookmarkStart w:id="12" w:name="_Hlk174608889"/>
      <w:bookmarkEnd w:id="11"/>
      <w:r w:rsidR="00A812DC">
        <w:t xml:space="preserve">and </w:t>
      </w:r>
      <w:r w:rsidR="00737518">
        <w:t xml:space="preserve">Health and </w:t>
      </w:r>
      <w:r w:rsidR="00B34282">
        <w:t>Architecture and Building (</w:t>
      </w:r>
      <w:r w:rsidR="00737518">
        <w:t xml:space="preserve">both </w:t>
      </w:r>
      <w:r w:rsidR="00EB4271">
        <w:t>at</w:t>
      </w:r>
      <w:r w:rsidR="00737518">
        <w:t xml:space="preserve"> 6.3</w:t>
      </w:r>
      <w:r w:rsidR="004A6F7A">
        <w:t>%</w:t>
      </w:r>
      <w:bookmarkEnd w:id="12"/>
      <w:r w:rsidR="00B34282">
        <w:t>)</w:t>
      </w:r>
      <w:r w:rsidR="00A812DC">
        <w:t>.</w:t>
      </w:r>
      <w:r>
        <w:t xml:space="preserve"> </w:t>
      </w:r>
    </w:p>
    <w:p w14:paraId="4D59D38E" w14:textId="4BFDC7E7" w:rsidR="00884214" w:rsidRDefault="00884214" w:rsidP="00DF3625">
      <w:pPr>
        <w:pStyle w:val="ListBullet"/>
        <w:numPr>
          <w:ilvl w:val="0"/>
          <w:numId w:val="5"/>
        </w:numPr>
        <w:spacing w:after="120" w:line="276" w:lineRule="auto"/>
      </w:pPr>
      <w:r>
        <w:t>The above</w:t>
      </w:r>
      <w:r w:rsidR="00BC6989">
        <w:t>-</w:t>
      </w:r>
      <w:r>
        <w:t xml:space="preserve">mentioned fields of education also saw the strongest growth in offers, with </w:t>
      </w:r>
      <w:r w:rsidR="00396E5C" w:rsidRPr="00396E5C">
        <w:t>Education (11.6%)</w:t>
      </w:r>
      <w:r w:rsidR="00396E5C">
        <w:t xml:space="preserve">, followed by </w:t>
      </w:r>
      <w:r w:rsidR="00737518">
        <w:t>Management and Commerce (</w:t>
      </w:r>
      <w:r w:rsidR="00396E5C">
        <w:t>9.1</w:t>
      </w:r>
      <w:r w:rsidR="00737518">
        <w:t>%)</w:t>
      </w:r>
      <w:r w:rsidR="00396E5C">
        <w:t xml:space="preserve">, </w:t>
      </w:r>
      <w:r w:rsidR="00396E5C" w:rsidRPr="00396E5C">
        <w:t>Natural and Physical Sciences (</w:t>
      </w:r>
      <w:r w:rsidR="00396E5C">
        <w:t>8.9</w:t>
      </w:r>
      <w:r w:rsidR="00396E5C" w:rsidRPr="00396E5C">
        <w:t>%)</w:t>
      </w:r>
      <w:r w:rsidR="00396E5C">
        <w:t>,</w:t>
      </w:r>
      <w:r w:rsidR="00737518">
        <w:t xml:space="preserve"> </w:t>
      </w:r>
      <w:r w:rsidRPr="002A3C63">
        <w:t xml:space="preserve">Engineering and Related Technologies </w:t>
      </w:r>
      <w:r w:rsidR="00396E5C">
        <w:t>(8.5%) and</w:t>
      </w:r>
      <w:r>
        <w:t xml:space="preserve"> Architecture and Building (</w:t>
      </w:r>
      <w:r w:rsidR="00396E5C">
        <w:t>5.</w:t>
      </w:r>
      <w:r w:rsidR="002938EC">
        <w:t>7</w:t>
      </w:r>
      <w:r>
        <w:t>%)</w:t>
      </w:r>
      <w:r w:rsidR="00396E5C">
        <w:t>.</w:t>
      </w:r>
    </w:p>
    <w:p w14:paraId="3D7506E7" w14:textId="77777777" w:rsidR="003E3BFF" w:rsidRPr="003B4B99" w:rsidRDefault="00223763" w:rsidP="00DF3625">
      <w:pPr>
        <w:pStyle w:val="ListBullet"/>
        <w:numPr>
          <w:ilvl w:val="0"/>
          <w:numId w:val="5"/>
        </w:numPr>
        <w:spacing w:after="120" w:line="276" w:lineRule="auto"/>
      </w:pPr>
      <w:r w:rsidRPr="003B4B99">
        <w:t xml:space="preserve">Further details on broad fields of education are available </w:t>
      </w:r>
      <w:r w:rsidR="001A463F" w:rsidRPr="003B4B99">
        <w:t>in Appendices</w:t>
      </w:r>
      <w:r w:rsidR="00B96AE8" w:rsidRPr="003B4B99">
        <w:t>,</w:t>
      </w:r>
      <w:r w:rsidR="001A463F" w:rsidRPr="003B4B99">
        <w:t xml:space="preserve"> Table A 4.1 and 4.2. </w:t>
      </w:r>
    </w:p>
    <w:p w14:paraId="3B29AC05" w14:textId="356F50CD" w:rsidR="00A90923" w:rsidRDefault="001278BB" w:rsidP="00A90923">
      <w:pPr>
        <w:pStyle w:val="Heading3"/>
        <w:rPr>
          <w:b/>
          <w:color w:val="auto"/>
        </w:rPr>
      </w:pPr>
      <w:bookmarkStart w:id="13" w:name="_Toc212734165"/>
      <w:r>
        <w:rPr>
          <w:b/>
          <w:color w:val="auto"/>
        </w:rPr>
        <w:t>Equity</w:t>
      </w:r>
      <w:r w:rsidR="00A90923" w:rsidRPr="0054166E">
        <w:rPr>
          <w:b/>
          <w:color w:val="auto"/>
        </w:rPr>
        <w:t xml:space="preserve"> groups</w:t>
      </w:r>
      <w:bookmarkEnd w:id="13"/>
    </w:p>
    <w:p w14:paraId="0DE2B4F1" w14:textId="77777777" w:rsidR="00E27D2D" w:rsidRPr="001E2883" w:rsidRDefault="00E27D2D" w:rsidP="00AD1964">
      <w:pPr>
        <w:pStyle w:val="ListBullet"/>
        <w:numPr>
          <w:ilvl w:val="0"/>
          <w:numId w:val="0"/>
        </w:numPr>
        <w:spacing w:before="120" w:after="120" w:line="276" w:lineRule="auto"/>
        <w:ind w:left="360"/>
        <w:rPr>
          <w:i/>
          <w:iCs/>
        </w:rPr>
      </w:pPr>
      <w:r w:rsidRPr="001E2883">
        <w:rPr>
          <w:i/>
          <w:iCs/>
        </w:rPr>
        <w:t>Socioeconomic status</w:t>
      </w:r>
    </w:p>
    <w:p w14:paraId="333D7B5F" w14:textId="611110C8" w:rsidR="0080012D" w:rsidRPr="002717E8" w:rsidRDefault="00C43937" w:rsidP="00DF3625">
      <w:pPr>
        <w:pStyle w:val="ListBullet"/>
        <w:numPr>
          <w:ilvl w:val="0"/>
          <w:numId w:val="5"/>
        </w:numPr>
        <w:spacing w:after="120" w:line="276" w:lineRule="auto"/>
      </w:pPr>
      <w:r>
        <w:lastRenderedPageBreak/>
        <w:t>The number of a</w:t>
      </w:r>
      <w:r w:rsidR="0080012D">
        <w:t xml:space="preserve">pplicants from low SES background peaked in 2017 and then </w:t>
      </w:r>
      <w:r w:rsidR="00CF56A8">
        <w:t>declined in most recent years</w:t>
      </w:r>
      <w:r w:rsidR="00074C90">
        <w:t xml:space="preserve"> (except in 2021)</w:t>
      </w:r>
      <w:r w:rsidR="0080012D">
        <w:t xml:space="preserve"> (Figure </w:t>
      </w:r>
      <w:r w:rsidR="004100FA">
        <w:t>4</w:t>
      </w:r>
      <w:r w:rsidR="0080012D">
        <w:t xml:space="preserve">). The share of applications from low SES background decreased from </w:t>
      </w:r>
      <w:r w:rsidR="006B239E">
        <w:t>19.1% in 2019 (</w:t>
      </w:r>
      <w:r w:rsidR="00074C90">
        <w:t>19.7</w:t>
      </w:r>
      <w:r w:rsidR="0080012D">
        <w:t>% in 2021</w:t>
      </w:r>
      <w:r w:rsidR="006B239E">
        <w:t>)</w:t>
      </w:r>
      <w:r w:rsidR="0080012D">
        <w:t xml:space="preserve"> to 16.</w:t>
      </w:r>
      <w:r w:rsidR="00ED5AAA">
        <w:t>7</w:t>
      </w:r>
      <w:r w:rsidR="0080012D">
        <w:t>% in 202</w:t>
      </w:r>
      <w:r w:rsidR="00ED5AAA">
        <w:t>5</w:t>
      </w:r>
      <w:r w:rsidR="002938EC">
        <w:rPr>
          <w:rStyle w:val="FootnoteReference"/>
        </w:rPr>
        <w:footnoteReference w:id="1"/>
      </w:r>
      <w:r w:rsidR="00146E1A">
        <w:t>.</w:t>
      </w:r>
      <w:r w:rsidR="0080012D" w:rsidRPr="002717E8">
        <w:t xml:space="preserve"> </w:t>
      </w:r>
    </w:p>
    <w:p w14:paraId="7F2A6394" w14:textId="7BA7A103" w:rsidR="00A90923" w:rsidRDefault="00A90923" w:rsidP="00741624">
      <w:pPr>
        <w:pStyle w:val="ListBullet"/>
        <w:numPr>
          <w:ilvl w:val="0"/>
          <w:numId w:val="5"/>
        </w:numPr>
        <w:spacing w:after="120" w:line="276" w:lineRule="auto"/>
      </w:pPr>
      <w:r w:rsidRPr="00D927D5">
        <w:t>In 202</w:t>
      </w:r>
      <w:r w:rsidR="00ED5AAA">
        <w:t>5</w:t>
      </w:r>
      <w:r w:rsidRPr="00D927D5">
        <w:t xml:space="preserve">, </w:t>
      </w:r>
      <w:r w:rsidR="001E43AD">
        <w:t xml:space="preserve">the number of </w:t>
      </w:r>
      <w:r w:rsidRPr="00D927D5">
        <w:t xml:space="preserve">applicants </w:t>
      </w:r>
      <w:r w:rsidR="00741624">
        <w:t xml:space="preserve">and offers increased by 6% </w:t>
      </w:r>
      <w:r w:rsidR="00CF7C7E">
        <w:t xml:space="preserve">compared with 2024 </w:t>
      </w:r>
      <w:r w:rsidR="00EF0297">
        <w:t>for students</w:t>
      </w:r>
      <w:r w:rsidR="006E2027">
        <w:t xml:space="preserve"> </w:t>
      </w:r>
      <w:r w:rsidR="003F7862">
        <w:t>from</w:t>
      </w:r>
      <w:r w:rsidR="001278BB">
        <w:t xml:space="preserve"> low</w:t>
      </w:r>
      <w:r w:rsidR="001C0D11">
        <w:t xml:space="preserve"> SES background</w:t>
      </w:r>
      <w:r w:rsidR="003F7862">
        <w:t>s</w:t>
      </w:r>
      <w:r w:rsidR="001278BB">
        <w:t xml:space="preserve">. </w:t>
      </w:r>
      <w:r w:rsidR="003F7862">
        <w:t>However, t</w:t>
      </w:r>
      <w:r w:rsidR="001278BB">
        <w:t xml:space="preserve">his </w:t>
      </w:r>
      <w:r w:rsidR="003F7862">
        <w:t>was</w:t>
      </w:r>
      <w:r w:rsidR="001278BB">
        <w:t xml:space="preserve"> also the case for medium and high SES background group</w:t>
      </w:r>
      <w:r w:rsidR="003F7862">
        <w:t>s</w:t>
      </w:r>
      <w:r w:rsidR="001278BB">
        <w:t>.</w:t>
      </w:r>
    </w:p>
    <w:p w14:paraId="42D0E840" w14:textId="0113C7EE" w:rsidR="00AD1964" w:rsidRDefault="002B191C" w:rsidP="00AD1964">
      <w:pPr>
        <w:pStyle w:val="ListBullet"/>
        <w:numPr>
          <w:ilvl w:val="0"/>
          <w:numId w:val="5"/>
        </w:numPr>
        <w:spacing w:after="240" w:line="276" w:lineRule="auto"/>
      </w:pPr>
      <w:r w:rsidRPr="00D927D5">
        <w:t xml:space="preserve">Applicants from a low SES background were less likely to receive an offer. Their offer rate was </w:t>
      </w:r>
      <w:r>
        <w:t>82</w:t>
      </w:r>
      <w:r w:rsidR="0004619F">
        <w:t>%</w:t>
      </w:r>
      <w:r w:rsidRPr="00D927D5">
        <w:t xml:space="preserve"> compared with </w:t>
      </w:r>
      <w:r>
        <w:t>8</w:t>
      </w:r>
      <w:r w:rsidR="009C17CF">
        <w:t>4</w:t>
      </w:r>
      <w:r w:rsidR="0004619F">
        <w:t>%</w:t>
      </w:r>
      <w:r w:rsidRPr="00D927D5">
        <w:t xml:space="preserve"> for applicants from a medium SES background and </w:t>
      </w:r>
      <w:r>
        <w:t>8</w:t>
      </w:r>
      <w:r w:rsidR="009C17CF">
        <w:t>8</w:t>
      </w:r>
      <w:r w:rsidR="0004619F">
        <w:t>%</w:t>
      </w:r>
      <w:r w:rsidRPr="00D927D5">
        <w:t xml:space="preserve"> for applicants from a high SES background in 202</w:t>
      </w:r>
      <w:r w:rsidR="009C17CF">
        <w:t>5</w:t>
      </w:r>
      <w:r w:rsidRPr="00D927D5">
        <w:t>.</w:t>
      </w:r>
    </w:p>
    <w:p w14:paraId="573CDDC8" w14:textId="77777777" w:rsidR="00AD1964" w:rsidRPr="00AD1964" w:rsidRDefault="00AD1964" w:rsidP="00AD1964">
      <w:pPr>
        <w:pStyle w:val="ListBullet"/>
        <w:numPr>
          <w:ilvl w:val="0"/>
          <w:numId w:val="0"/>
        </w:numPr>
        <w:spacing w:after="0" w:line="276" w:lineRule="auto"/>
        <w:ind w:left="360"/>
        <w:rPr>
          <w:sz w:val="12"/>
          <w:szCs w:val="12"/>
        </w:rPr>
      </w:pPr>
    </w:p>
    <w:p w14:paraId="6082C992" w14:textId="5D389EAF" w:rsidR="00E27D2D" w:rsidRPr="001E2883" w:rsidRDefault="00E27D2D" w:rsidP="00AD1964">
      <w:pPr>
        <w:pStyle w:val="ListBullet"/>
        <w:numPr>
          <w:ilvl w:val="0"/>
          <w:numId w:val="0"/>
        </w:numPr>
        <w:spacing w:before="120" w:after="120" w:line="276" w:lineRule="auto"/>
        <w:ind w:left="360"/>
        <w:rPr>
          <w:i/>
          <w:iCs/>
        </w:rPr>
      </w:pPr>
      <w:r w:rsidRPr="001E2883">
        <w:rPr>
          <w:i/>
          <w:iCs/>
        </w:rPr>
        <w:t>Geographic context</w:t>
      </w:r>
    </w:p>
    <w:p w14:paraId="313C81E0" w14:textId="1928B919" w:rsidR="00A90923" w:rsidRPr="0054166E" w:rsidRDefault="00163655" w:rsidP="00163655">
      <w:pPr>
        <w:pStyle w:val="ListBullet"/>
        <w:numPr>
          <w:ilvl w:val="0"/>
          <w:numId w:val="5"/>
        </w:numPr>
        <w:spacing w:after="120" w:line="276" w:lineRule="auto"/>
      </w:pPr>
      <w:r>
        <w:t>In 2025,</w:t>
      </w:r>
      <w:r w:rsidRPr="00163655">
        <w:t xml:space="preserve"> </w:t>
      </w:r>
      <w:r w:rsidR="007D2B96">
        <w:t>applicants</w:t>
      </w:r>
      <w:r>
        <w:t xml:space="preserve"> from metropolitan and non-metropolitan</w:t>
      </w:r>
      <w:r w:rsidR="007D2B96">
        <w:t xml:space="preserve"> regions</w:t>
      </w:r>
      <w:r>
        <w:t xml:space="preserve"> increased by </w:t>
      </w:r>
      <w:r w:rsidR="002938EC">
        <w:t>5</w:t>
      </w:r>
      <w:r w:rsidR="0004619F">
        <w:t>%</w:t>
      </w:r>
      <w:r>
        <w:t xml:space="preserve"> and 3</w:t>
      </w:r>
      <w:r w:rsidR="0004619F">
        <w:t>%</w:t>
      </w:r>
      <w:r>
        <w:t xml:space="preserve">, respectively, </w:t>
      </w:r>
      <w:r w:rsidR="00D87A83">
        <w:t xml:space="preserve">compared to </w:t>
      </w:r>
      <w:r>
        <w:t>202</w:t>
      </w:r>
      <w:r w:rsidR="005511A8">
        <w:t>4</w:t>
      </w:r>
      <w:r>
        <w:t xml:space="preserve"> levels</w:t>
      </w:r>
      <w:r w:rsidR="00F72724">
        <w:t xml:space="preserve"> (Figure </w:t>
      </w:r>
      <w:r w:rsidR="004100FA">
        <w:t>5</w:t>
      </w:r>
      <w:r w:rsidR="00F72724">
        <w:t>)</w:t>
      </w:r>
      <w:r>
        <w:t xml:space="preserve">. </w:t>
      </w:r>
      <w:r w:rsidR="00A90923" w:rsidRPr="0054166E">
        <w:t>In 202</w:t>
      </w:r>
      <w:r>
        <w:t>4</w:t>
      </w:r>
      <w:r w:rsidR="00A90923" w:rsidRPr="0054166E">
        <w:t xml:space="preserve">, </w:t>
      </w:r>
      <w:r w:rsidR="007D2B96">
        <w:t>applicants</w:t>
      </w:r>
      <w:r w:rsidR="00A90923" w:rsidRPr="0054166E">
        <w:t xml:space="preserve"> from metropolitan </w:t>
      </w:r>
      <w:r w:rsidR="007D2B96">
        <w:t>regions</w:t>
      </w:r>
      <w:r w:rsidR="00A90923" w:rsidRPr="0054166E">
        <w:t xml:space="preserve"> increased by </w:t>
      </w:r>
      <w:r w:rsidR="00EF7672">
        <w:t>1</w:t>
      </w:r>
      <w:r w:rsidR="0004619F">
        <w:t>%</w:t>
      </w:r>
      <w:r w:rsidR="00A90923" w:rsidRPr="0054166E">
        <w:t xml:space="preserve"> while </w:t>
      </w:r>
      <w:r w:rsidR="007D2B96">
        <w:t>applicants</w:t>
      </w:r>
      <w:r w:rsidR="00A90923" w:rsidRPr="0054166E">
        <w:t xml:space="preserve"> from non-metropolitan </w:t>
      </w:r>
      <w:r w:rsidR="007D2B96">
        <w:t>regions</w:t>
      </w:r>
      <w:r w:rsidR="00A90923" w:rsidRPr="0054166E">
        <w:t xml:space="preserve"> </w:t>
      </w:r>
      <w:r w:rsidR="00D84152">
        <w:t>de</w:t>
      </w:r>
      <w:r w:rsidR="00A90923" w:rsidRPr="0054166E">
        <w:t xml:space="preserve">creased by </w:t>
      </w:r>
      <w:r w:rsidR="00D84152">
        <w:t>0.</w:t>
      </w:r>
      <w:r w:rsidR="00EF7672">
        <w:t>8</w:t>
      </w:r>
      <w:r w:rsidR="0004619F">
        <w:t>%</w:t>
      </w:r>
      <w:r w:rsidR="00A90923" w:rsidRPr="0054166E">
        <w:t xml:space="preserve">. </w:t>
      </w:r>
    </w:p>
    <w:p w14:paraId="6F16F43B" w14:textId="088FCE78" w:rsidR="00A90923" w:rsidRDefault="007D2B96" w:rsidP="00DF3625">
      <w:pPr>
        <w:pStyle w:val="ListBullet"/>
        <w:numPr>
          <w:ilvl w:val="0"/>
          <w:numId w:val="5"/>
        </w:numPr>
        <w:spacing w:after="120" w:line="276" w:lineRule="auto"/>
      </w:pPr>
      <w:r>
        <w:t>Applicants</w:t>
      </w:r>
      <w:r w:rsidR="00A90923" w:rsidRPr="00F42F90">
        <w:t xml:space="preserve"> from non-metropolitan </w:t>
      </w:r>
      <w:r>
        <w:t>regions</w:t>
      </w:r>
      <w:r w:rsidRPr="00F42F90">
        <w:t xml:space="preserve"> </w:t>
      </w:r>
      <w:r w:rsidR="00A90923" w:rsidRPr="00F42F90">
        <w:t xml:space="preserve">were more likely to result in an offer compared with </w:t>
      </w:r>
      <w:r>
        <w:t>applicants</w:t>
      </w:r>
      <w:r w:rsidRPr="00F42F90">
        <w:t xml:space="preserve"> </w:t>
      </w:r>
      <w:r w:rsidR="00A90923" w:rsidRPr="00F42F90">
        <w:t xml:space="preserve">from metropolitan </w:t>
      </w:r>
      <w:r>
        <w:t>regions</w:t>
      </w:r>
      <w:r w:rsidR="00A90923" w:rsidRPr="00F42F90">
        <w:t xml:space="preserve">, </w:t>
      </w:r>
      <w:r w:rsidR="00F14C8A">
        <w:t>with the offer rate for 202</w:t>
      </w:r>
      <w:r w:rsidR="00DF430C">
        <w:t>5</w:t>
      </w:r>
      <w:r w:rsidR="00F14C8A">
        <w:t xml:space="preserve"> at </w:t>
      </w:r>
      <w:r w:rsidR="00A90923" w:rsidRPr="00F42F90">
        <w:t>8</w:t>
      </w:r>
      <w:r w:rsidR="005511A8">
        <w:t>6</w:t>
      </w:r>
      <w:r>
        <w:t>%</w:t>
      </w:r>
      <w:r w:rsidR="00A90923" w:rsidRPr="00F42F90">
        <w:t> and 8</w:t>
      </w:r>
      <w:r w:rsidR="005511A8">
        <w:t>5</w:t>
      </w:r>
      <w:r w:rsidR="0004619F">
        <w:t>%</w:t>
      </w:r>
      <w:r w:rsidR="00F14C8A">
        <w:t>,</w:t>
      </w:r>
      <w:r w:rsidR="00A90923" w:rsidRPr="00F42F90">
        <w:t xml:space="preserve"> respectively. </w:t>
      </w:r>
      <w:bookmarkStart w:id="14" w:name="_Toc416445739"/>
    </w:p>
    <w:p w14:paraId="2C7F45D7" w14:textId="77777777" w:rsidR="00D60459" w:rsidRDefault="00D60459" w:rsidP="001E2883">
      <w:pPr>
        <w:pStyle w:val="ListBullet"/>
        <w:numPr>
          <w:ilvl w:val="0"/>
          <w:numId w:val="0"/>
        </w:numPr>
        <w:spacing w:after="120" w:line="276" w:lineRule="auto"/>
        <w:ind w:left="360"/>
        <w:rPr>
          <w:i/>
          <w:iCs/>
        </w:rPr>
      </w:pPr>
    </w:p>
    <w:p w14:paraId="12F0AE28" w14:textId="798989FA" w:rsidR="00E27D2D" w:rsidRPr="001E2883" w:rsidRDefault="00E27D2D" w:rsidP="001E2883">
      <w:pPr>
        <w:pStyle w:val="ListBullet"/>
        <w:numPr>
          <w:ilvl w:val="0"/>
          <w:numId w:val="0"/>
        </w:numPr>
        <w:spacing w:after="120" w:line="276" w:lineRule="auto"/>
        <w:ind w:left="360"/>
        <w:rPr>
          <w:i/>
          <w:iCs/>
        </w:rPr>
      </w:pPr>
      <w:r w:rsidRPr="001E2883">
        <w:rPr>
          <w:i/>
          <w:iCs/>
        </w:rPr>
        <w:t>First Nations peoples</w:t>
      </w:r>
    </w:p>
    <w:p w14:paraId="5EA4714B" w14:textId="0FF0909D" w:rsidR="00A90923" w:rsidRPr="00224869" w:rsidRDefault="00A90923" w:rsidP="00DF3625">
      <w:pPr>
        <w:pStyle w:val="ListBullet"/>
        <w:numPr>
          <w:ilvl w:val="0"/>
          <w:numId w:val="5"/>
        </w:numPr>
        <w:spacing w:after="120" w:line="276" w:lineRule="auto"/>
      </w:pPr>
      <w:r w:rsidRPr="00224869">
        <w:t xml:space="preserve">Nationally, there were </w:t>
      </w:r>
      <w:r w:rsidR="004E2AD1">
        <w:t xml:space="preserve">8,008 </w:t>
      </w:r>
      <w:r w:rsidRPr="00224869">
        <w:t xml:space="preserve">applicants from </w:t>
      </w:r>
      <w:r w:rsidR="006F3811">
        <w:t>a First Nations</w:t>
      </w:r>
      <w:r w:rsidRPr="00224869">
        <w:t xml:space="preserve"> background</w:t>
      </w:r>
      <w:r w:rsidR="00F42F90" w:rsidRPr="00224869">
        <w:t xml:space="preserve"> in 202</w:t>
      </w:r>
      <w:r w:rsidR="004E2AD1">
        <w:t>5</w:t>
      </w:r>
      <w:r w:rsidRPr="00224869">
        <w:t>, a</w:t>
      </w:r>
      <w:r w:rsidR="00F42F90" w:rsidRPr="00224869">
        <w:t>n in</w:t>
      </w:r>
      <w:r w:rsidRPr="00224869">
        <w:t xml:space="preserve">crease of </w:t>
      </w:r>
      <w:r w:rsidR="004E2AD1">
        <w:t>9</w:t>
      </w:r>
      <w:r w:rsidR="0004619F">
        <w:t>%</w:t>
      </w:r>
      <w:r w:rsidRPr="00224869">
        <w:t xml:space="preserve"> compared with 20</w:t>
      </w:r>
      <w:r w:rsidR="00193353" w:rsidRPr="00224869">
        <w:t>2</w:t>
      </w:r>
      <w:r w:rsidR="004E2AD1">
        <w:t xml:space="preserve">4 </w:t>
      </w:r>
      <w:r w:rsidR="00F64513">
        <w:t>and representing</w:t>
      </w:r>
      <w:r w:rsidRPr="00224869">
        <w:t xml:space="preserve"> </w:t>
      </w:r>
      <w:r w:rsidR="004E2AD1">
        <w:t>3</w:t>
      </w:r>
      <w:r w:rsidR="0004619F">
        <w:t>%</w:t>
      </w:r>
      <w:r w:rsidRPr="00224869">
        <w:t xml:space="preserve"> of all applications. </w:t>
      </w:r>
    </w:p>
    <w:p w14:paraId="633284A6" w14:textId="413CBF38" w:rsidR="00A01B6F" w:rsidRDefault="005C7B30" w:rsidP="00DF3625">
      <w:pPr>
        <w:pStyle w:val="ListBullet"/>
        <w:numPr>
          <w:ilvl w:val="0"/>
          <w:numId w:val="5"/>
        </w:numPr>
        <w:spacing w:after="120" w:line="276" w:lineRule="auto"/>
      </w:pPr>
      <w:r>
        <w:t>Eighty-two</w:t>
      </w:r>
      <w:r w:rsidR="0004619F">
        <w:t xml:space="preserve"> per cent</w:t>
      </w:r>
      <w:r w:rsidR="0083445B">
        <w:t xml:space="preserve"> </w:t>
      </w:r>
      <w:r w:rsidR="00A90923" w:rsidRPr="00224869">
        <w:t xml:space="preserve">of applicants from </w:t>
      </w:r>
      <w:r w:rsidR="006F3811">
        <w:t>a First Nations</w:t>
      </w:r>
      <w:r w:rsidR="00A90923" w:rsidRPr="00224869">
        <w:t xml:space="preserve"> background </w:t>
      </w:r>
      <w:r w:rsidR="006F3811">
        <w:t>were made</w:t>
      </w:r>
      <w:r w:rsidR="00A90923" w:rsidRPr="00224869">
        <w:t xml:space="preserve"> an offer in 202</w:t>
      </w:r>
      <w:r w:rsidR="004E2AD1">
        <w:t>5</w:t>
      </w:r>
      <w:r w:rsidR="00A90923" w:rsidRPr="00224869">
        <w:t>. This is a</w:t>
      </w:r>
      <w:r w:rsidR="009F6E06" w:rsidRPr="00224869">
        <w:t xml:space="preserve"> </w:t>
      </w:r>
      <w:r w:rsidR="005A083D">
        <w:t>de</w:t>
      </w:r>
      <w:r w:rsidR="00A90923" w:rsidRPr="00224869">
        <w:t xml:space="preserve">crease of </w:t>
      </w:r>
      <w:r w:rsidR="005A083D">
        <w:t>0.1</w:t>
      </w:r>
      <w:r w:rsidR="00A90923" w:rsidRPr="00224869">
        <w:t xml:space="preserve"> percentage points compared with the same period </w:t>
      </w:r>
      <w:r w:rsidR="00C65C13">
        <w:t>in 202</w:t>
      </w:r>
      <w:r w:rsidR="005A083D">
        <w:t>4</w:t>
      </w:r>
      <w:r w:rsidR="00A90923" w:rsidRPr="00224869">
        <w:t>. The offer rate for non-Indigenous applicants was 8</w:t>
      </w:r>
      <w:r w:rsidR="00224869">
        <w:t>5</w:t>
      </w:r>
      <w:r w:rsidR="0004619F">
        <w:t>%</w:t>
      </w:r>
      <w:r w:rsidR="00A90923" w:rsidRPr="00224869">
        <w:t xml:space="preserve"> in 202</w:t>
      </w:r>
      <w:r w:rsidR="004E2AD1">
        <w:t>5</w:t>
      </w:r>
      <w:r w:rsidR="00A90923" w:rsidRPr="00224869">
        <w:t>,</w:t>
      </w:r>
      <w:r w:rsidR="005A083D">
        <w:t xml:space="preserve"> remaining unchanged compared to </w:t>
      </w:r>
      <w:r w:rsidR="00A90923" w:rsidRPr="00224869">
        <w:t>20</w:t>
      </w:r>
      <w:r w:rsidR="008A56A1" w:rsidRPr="00224869">
        <w:t>2</w:t>
      </w:r>
      <w:r w:rsidR="00DF430C">
        <w:t>4</w:t>
      </w:r>
      <w:r w:rsidR="00A90923" w:rsidRPr="00224869">
        <w:t xml:space="preserve">. </w:t>
      </w:r>
    </w:p>
    <w:p w14:paraId="3CC7F70B" w14:textId="3AA8EF4A" w:rsidR="00DA0C4B" w:rsidRDefault="00DA0C4B" w:rsidP="00DF3625">
      <w:pPr>
        <w:pStyle w:val="ListBullet"/>
        <w:numPr>
          <w:ilvl w:val="0"/>
          <w:numId w:val="5"/>
        </w:numPr>
        <w:spacing w:after="120" w:line="276" w:lineRule="auto"/>
      </w:pPr>
      <w:r>
        <w:t>Further details are available in Appendices</w:t>
      </w:r>
      <w:r w:rsidR="00B96AE8">
        <w:t>,</w:t>
      </w:r>
      <w:r>
        <w:t xml:space="preserve"> Tables A5</w:t>
      </w:r>
      <w:r w:rsidR="00BA34E3">
        <w:t>, A6 and</w:t>
      </w:r>
      <w:r>
        <w:t xml:space="preserve"> A7</w:t>
      </w:r>
      <w:r w:rsidR="00A8400C">
        <w:t xml:space="preserve"> and A9.1 and A9.2</w:t>
      </w:r>
      <w:r w:rsidR="00BA34E3">
        <w:t>.</w:t>
      </w:r>
    </w:p>
    <w:p w14:paraId="0C241612" w14:textId="77777777" w:rsidR="002964DA" w:rsidRPr="002964DA" w:rsidRDefault="002964DA" w:rsidP="001E2883">
      <w:pPr>
        <w:pStyle w:val="ListBullet"/>
        <w:numPr>
          <w:ilvl w:val="0"/>
          <w:numId w:val="0"/>
        </w:numPr>
        <w:spacing w:after="120" w:line="276" w:lineRule="auto"/>
        <w:ind w:left="360"/>
        <w:rPr>
          <w:i/>
          <w:iCs/>
          <w:sz w:val="12"/>
          <w:szCs w:val="12"/>
        </w:rPr>
      </w:pPr>
    </w:p>
    <w:p w14:paraId="25CF6044" w14:textId="5608013B" w:rsidR="00B93C37" w:rsidRPr="001E2883" w:rsidRDefault="0014173B" w:rsidP="001E2883">
      <w:pPr>
        <w:pStyle w:val="ListBullet"/>
        <w:numPr>
          <w:ilvl w:val="0"/>
          <w:numId w:val="0"/>
        </w:numPr>
        <w:spacing w:after="120" w:line="276" w:lineRule="auto"/>
        <w:ind w:left="360"/>
        <w:rPr>
          <w:i/>
          <w:iCs/>
        </w:rPr>
      </w:pPr>
      <w:r w:rsidRPr="001E2883">
        <w:rPr>
          <w:i/>
          <w:iCs/>
        </w:rPr>
        <w:t>Age</w:t>
      </w:r>
    </w:p>
    <w:p w14:paraId="506B6526" w14:textId="428AEB50" w:rsidR="00846FF9" w:rsidRDefault="00846FF9" w:rsidP="00846FF9">
      <w:pPr>
        <w:pStyle w:val="ListBullet"/>
        <w:numPr>
          <w:ilvl w:val="0"/>
          <w:numId w:val="5"/>
        </w:numPr>
        <w:spacing w:after="120" w:line="276" w:lineRule="auto"/>
      </w:pPr>
      <w:r>
        <w:t>Of all unique applicants, 62% were 19 years or under. Of all most recent offers, 65% were made to applicants 19 years or under.</w:t>
      </w:r>
    </w:p>
    <w:p w14:paraId="4314549F" w14:textId="77777777" w:rsidR="00846FF9" w:rsidRDefault="00846FF9" w:rsidP="00846FF9">
      <w:pPr>
        <w:pStyle w:val="ListBullet"/>
        <w:numPr>
          <w:ilvl w:val="0"/>
          <w:numId w:val="5"/>
        </w:numPr>
        <w:spacing w:after="120" w:line="276" w:lineRule="auto"/>
      </w:pPr>
      <w:r w:rsidRPr="001737DC">
        <w:t xml:space="preserve">As noted earlier in this report, Year 12 students were more likely to receive an offer than non-Year 12 students. This </w:t>
      </w:r>
      <w:r>
        <w:t xml:space="preserve">outcome is </w:t>
      </w:r>
      <w:r w:rsidRPr="001737DC">
        <w:t xml:space="preserve">also reflected in age groups, where 89% of applicants aged 19 and under received an offer, while only 78% of those over 19 years did. </w:t>
      </w:r>
      <w:r>
        <w:t xml:space="preserve">The offer rate for applicants 40 years and over (82%) was better than for those in the </w:t>
      </w:r>
      <w:proofErr w:type="gramStart"/>
      <w:r>
        <w:t>20-39 year</w:t>
      </w:r>
      <w:proofErr w:type="gramEnd"/>
      <w:r>
        <w:t xml:space="preserve"> range (77%). </w:t>
      </w:r>
    </w:p>
    <w:p w14:paraId="7624F2FD" w14:textId="77777777" w:rsidR="004100FA" w:rsidRDefault="004100FA" w:rsidP="004100FA">
      <w:pPr>
        <w:pStyle w:val="ListBullet"/>
        <w:numPr>
          <w:ilvl w:val="0"/>
          <w:numId w:val="0"/>
        </w:numPr>
        <w:spacing w:after="120" w:line="276" w:lineRule="auto"/>
        <w:ind w:left="357" w:hanging="357"/>
        <w:rPr>
          <w:b/>
          <w:bCs/>
        </w:rPr>
      </w:pPr>
    </w:p>
    <w:p w14:paraId="4D827477" w14:textId="77777777" w:rsidR="002964DA" w:rsidRDefault="002964DA">
      <w:pPr>
        <w:spacing w:after="160" w:line="259" w:lineRule="auto"/>
        <w:rPr>
          <w:b/>
          <w:bCs/>
        </w:rPr>
      </w:pPr>
      <w:r>
        <w:rPr>
          <w:b/>
          <w:bCs/>
        </w:rPr>
        <w:br w:type="page"/>
      </w:r>
    </w:p>
    <w:p w14:paraId="526D2C59" w14:textId="5F6F57A6" w:rsidR="00B93C37" w:rsidRDefault="00B93C37" w:rsidP="004100FA">
      <w:pPr>
        <w:pStyle w:val="ListBullet"/>
        <w:numPr>
          <w:ilvl w:val="0"/>
          <w:numId w:val="0"/>
        </w:numPr>
        <w:spacing w:after="120" w:line="276" w:lineRule="auto"/>
        <w:ind w:left="357" w:hanging="357"/>
        <w:rPr>
          <w:b/>
          <w:bCs/>
        </w:rPr>
      </w:pPr>
      <w:r w:rsidRPr="00B93C37">
        <w:rPr>
          <w:b/>
          <w:bCs/>
        </w:rPr>
        <w:lastRenderedPageBreak/>
        <w:t xml:space="preserve">Figure </w:t>
      </w:r>
      <w:r w:rsidR="004100FA">
        <w:rPr>
          <w:b/>
          <w:bCs/>
        </w:rPr>
        <w:t>4</w:t>
      </w:r>
      <w:r>
        <w:rPr>
          <w:b/>
          <w:bCs/>
        </w:rPr>
        <w:t xml:space="preserve">: </w:t>
      </w:r>
      <w:r w:rsidR="001E43AD">
        <w:rPr>
          <w:b/>
          <w:bCs/>
        </w:rPr>
        <w:t>Number of a</w:t>
      </w:r>
      <w:r>
        <w:rPr>
          <w:b/>
          <w:bCs/>
        </w:rPr>
        <w:t xml:space="preserve">pplicants </w:t>
      </w:r>
      <w:r w:rsidR="001E43AD">
        <w:rPr>
          <w:b/>
          <w:bCs/>
        </w:rPr>
        <w:t>from a</w:t>
      </w:r>
      <w:r>
        <w:rPr>
          <w:b/>
          <w:bCs/>
        </w:rPr>
        <w:t xml:space="preserve"> low SES background and the</w:t>
      </w:r>
      <w:r w:rsidR="001E43AD">
        <w:rPr>
          <w:b/>
          <w:bCs/>
        </w:rPr>
        <w:t xml:space="preserve">ir proportional </w:t>
      </w:r>
      <w:r>
        <w:rPr>
          <w:b/>
          <w:bCs/>
        </w:rPr>
        <w:t>share, 2014</w:t>
      </w:r>
      <w:r w:rsidR="004100FA">
        <w:rPr>
          <w:b/>
          <w:bCs/>
        </w:rPr>
        <w:t>-</w:t>
      </w:r>
      <w:r>
        <w:rPr>
          <w:b/>
          <w:bCs/>
        </w:rPr>
        <w:t>202</w:t>
      </w:r>
      <w:r w:rsidR="006A040E">
        <w:rPr>
          <w:b/>
          <w:bCs/>
        </w:rPr>
        <w:t>5</w:t>
      </w:r>
    </w:p>
    <w:p w14:paraId="43C0956F" w14:textId="468AD9C8" w:rsidR="00B93C37" w:rsidRDefault="00CA431B" w:rsidP="00B93C37">
      <w:pPr>
        <w:pStyle w:val="ListBullet"/>
        <w:numPr>
          <w:ilvl w:val="0"/>
          <w:numId w:val="0"/>
        </w:numPr>
        <w:spacing w:after="120" w:line="276" w:lineRule="auto"/>
        <w:rPr>
          <w:b/>
          <w:bCs/>
        </w:rPr>
      </w:pPr>
      <w:r>
        <w:rPr>
          <w:noProof/>
        </w:rPr>
        <w:drawing>
          <wp:inline distT="0" distB="0" distL="0" distR="0" wp14:anchorId="57D1B270" wp14:editId="44135C5F">
            <wp:extent cx="5731510" cy="2622550"/>
            <wp:effectExtent l="0" t="0" r="2540" b="6350"/>
            <wp:docPr id="292614443" name="Chart 1" descr="Figure 4 shows the number of applicants from low SES background peaked in 2017 and then declined in most recent years (except in 2021) and increased again in 2025.">
              <a:extLst xmlns:a="http://schemas.openxmlformats.org/drawingml/2006/main">
                <a:ext uri="{FF2B5EF4-FFF2-40B4-BE49-F238E27FC236}">
                  <a16:creationId xmlns:a16="http://schemas.microsoft.com/office/drawing/2014/main" id="{752672AE-AEB1-9B9D-C2FA-1701D8F8E0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45ACA08" w14:textId="39AED674" w:rsidR="00074C90" w:rsidRDefault="00074C90" w:rsidP="00074C90">
      <w:pPr>
        <w:pStyle w:val="ListBullet"/>
        <w:numPr>
          <w:ilvl w:val="0"/>
          <w:numId w:val="0"/>
        </w:numPr>
        <w:spacing w:after="120" w:line="276" w:lineRule="auto"/>
        <w:ind w:left="357" w:hanging="357"/>
        <w:rPr>
          <w:sz w:val="20"/>
          <w:szCs w:val="20"/>
        </w:rPr>
      </w:pPr>
      <w:r w:rsidRPr="00090275">
        <w:rPr>
          <w:sz w:val="18"/>
          <w:szCs w:val="18"/>
        </w:rPr>
        <w:t xml:space="preserve">*Excludes Queensland TAC </w:t>
      </w:r>
      <w:r w:rsidR="002964DA">
        <w:rPr>
          <w:sz w:val="18"/>
          <w:szCs w:val="18"/>
        </w:rPr>
        <w:t>which had issues with</w:t>
      </w:r>
      <w:r w:rsidRPr="00090275">
        <w:rPr>
          <w:sz w:val="18"/>
          <w:szCs w:val="18"/>
        </w:rPr>
        <w:t xml:space="preserve"> Year 12 cohort</w:t>
      </w:r>
      <w:r>
        <w:rPr>
          <w:sz w:val="20"/>
          <w:szCs w:val="20"/>
        </w:rPr>
        <w:t>.</w:t>
      </w:r>
    </w:p>
    <w:p w14:paraId="0CC73D25" w14:textId="77777777" w:rsidR="004100FA" w:rsidRDefault="004100FA" w:rsidP="00074C90">
      <w:pPr>
        <w:pStyle w:val="ListBullet"/>
        <w:numPr>
          <w:ilvl w:val="0"/>
          <w:numId w:val="0"/>
        </w:numPr>
        <w:spacing w:after="120" w:line="276" w:lineRule="auto"/>
        <w:ind w:left="357" w:hanging="357"/>
        <w:rPr>
          <w:sz w:val="20"/>
          <w:szCs w:val="20"/>
        </w:rPr>
      </w:pPr>
    </w:p>
    <w:p w14:paraId="5B97BEED" w14:textId="77777777" w:rsidR="004100FA" w:rsidRDefault="004100FA" w:rsidP="004100FA">
      <w:pPr>
        <w:pStyle w:val="ListBullet"/>
        <w:numPr>
          <w:ilvl w:val="0"/>
          <w:numId w:val="0"/>
        </w:numPr>
        <w:spacing w:after="120" w:line="276" w:lineRule="auto"/>
        <w:rPr>
          <w:b/>
          <w:bCs/>
        </w:rPr>
      </w:pPr>
    </w:p>
    <w:p w14:paraId="6CE07709" w14:textId="1F85659B" w:rsidR="004100FA" w:rsidRPr="004100FA" w:rsidRDefault="004100FA" w:rsidP="004100FA">
      <w:pPr>
        <w:pStyle w:val="ListBullet"/>
        <w:numPr>
          <w:ilvl w:val="0"/>
          <w:numId w:val="0"/>
        </w:numPr>
        <w:spacing w:after="120" w:line="276" w:lineRule="auto"/>
        <w:rPr>
          <w:b/>
          <w:bCs/>
        </w:rPr>
      </w:pPr>
      <w:r>
        <w:rPr>
          <w:b/>
          <w:bCs/>
        </w:rPr>
        <w:t>Figure 5: Year on Year Metropolitan and Non-Metropolitan application change</w:t>
      </w:r>
    </w:p>
    <w:p w14:paraId="041C92F0" w14:textId="75B1CA1A" w:rsidR="004100FA" w:rsidRPr="00074C90" w:rsidRDefault="004A35AA" w:rsidP="00074C90">
      <w:pPr>
        <w:pStyle w:val="ListBullet"/>
        <w:numPr>
          <w:ilvl w:val="0"/>
          <w:numId w:val="0"/>
        </w:numPr>
        <w:spacing w:after="120" w:line="276" w:lineRule="auto"/>
        <w:ind w:left="357" w:hanging="357"/>
        <w:rPr>
          <w:sz w:val="20"/>
          <w:szCs w:val="20"/>
        </w:rPr>
      </w:pPr>
      <w:r>
        <w:rPr>
          <w:noProof/>
        </w:rPr>
        <w:drawing>
          <wp:inline distT="0" distB="0" distL="0" distR="0" wp14:anchorId="40A336DD" wp14:editId="5F9A11AF">
            <wp:extent cx="5731510" cy="2820035"/>
            <wp:effectExtent l="0" t="0" r="2540" b="18415"/>
            <wp:docPr id="1668054496" name="Chart 1" descr="Figure 5 shows in 2025, applicants from metropolitan and non-metropolitan regions increased by 5.5% and 3.3%, respectively,">
              <a:extLst xmlns:a="http://schemas.openxmlformats.org/drawingml/2006/main">
                <a:ext uri="{FF2B5EF4-FFF2-40B4-BE49-F238E27FC236}">
                  <a16:creationId xmlns:a16="http://schemas.microsoft.com/office/drawing/2014/main" id="{FC2AE99B-2CFE-408A-892E-AFC0CA6E52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96FDF6C" w14:textId="77777777" w:rsidR="007A14DC" w:rsidRPr="002D444C" w:rsidRDefault="007A14DC" w:rsidP="007A14DC">
      <w:pPr>
        <w:pStyle w:val="Heading3"/>
        <w:rPr>
          <w:b/>
          <w:color w:val="auto"/>
        </w:rPr>
      </w:pPr>
      <w:bookmarkStart w:id="15" w:name="_Toc212734166"/>
      <w:r w:rsidRPr="002D444C">
        <w:rPr>
          <w:b/>
          <w:color w:val="auto"/>
        </w:rPr>
        <w:t>Australian Tertiary Admission Rank (ATAR)</w:t>
      </w:r>
      <w:bookmarkEnd w:id="15"/>
    </w:p>
    <w:p w14:paraId="33DB1DAF" w14:textId="62A4804E" w:rsidR="007A14DC" w:rsidRPr="001B1983" w:rsidRDefault="007A14DC" w:rsidP="00DF3625">
      <w:pPr>
        <w:pStyle w:val="ListBullet"/>
        <w:numPr>
          <w:ilvl w:val="0"/>
          <w:numId w:val="5"/>
        </w:numPr>
        <w:spacing w:after="0" w:line="240" w:lineRule="auto"/>
        <w:rPr>
          <w:rFonts w:ascii="Calibri" w:eastAsia="Times New Roman" w:hAnsi="Calibri" w:cs="Times New Roman"/>
          <w:b/>
          <w:bCs/>
          <w:lang w:eastAsia="en-AU"/>
        </w:rPr>
      </w:pPr>
      <w:bookmarkStart w:id="16" w:name="_Hlk201145394"/>
      <w:r w:rsidRPr="00C86C5F">
        <w:t xml:space="preserve">The average ATAR of </w:t>
      </w:r>
      <w:r w:rsidR="00C531A5">
        <w:t xml:space="preserve">Current Year 12 </w:t>
      </w:r>
      <w:r w:rsidRPr="00C86C5F">
        <w:t xml:space="preserve">applicants </w:t>
      </w:r>
      <w:r w:rsidR="00B964F2">
        <w:t xml:space="preserve">with ATARs who </w:t>
      </w:r>
      <w:r w:rsidR="00B964F2" w:rsidRPr="00C86C5F">
        <w:t>receiv</w:t>
      </w:r>
      <w:r w:rsidR="00B964F2">
        <w:t>ed</w:t>
      </w:r>
      <w:r w:rsidR="00B964F2" w:rsidRPr="00C86C5F">
        <w:t xml:space="preserve"> </w:t>
      </w:r>
      <w:r w:rsidRPr="00C86C5F">
        <w:t xml:space="preserve">an offer </w:t>
      </w:r>
      <w:r w:rsidR="005373E7">
        <w:t>in</w:t>
      </w:r>
      <w:r>
        <w:t>creased marginally from 78.</w:t>
      </w:r>
      <w:r w:rsidR="005373E7">
        <w:t>4</w:t>
      </w:r>
      <w:r>
        <w:t xml:space="preserve"> in 202</w:t>
      </w:r>
      <w:r w:rsidR="005373E7">
        <w:t>4</w:t>
      </w:r>
      <w:r>
        <w:t xml:space="preserve"> to 78.</w:t>
      </w:r>
      <w:r w:rsidR="00D90242">
        <w:t>6</w:t>
      </w:r>
      <w:r>
        <w:t xml:space="preserve"> in 202</w:t>
      </w:r>
      <w:r w:rsidR="005373E7">
        <w:t>5</w:t>
      </w:r>
      <w:r>
        <w:t>.</w:t>
      </w:r>
      <w:r w:rsidR="00AD6886">
        <w:t xml:space="preserve"> This </w:t>
      </w:r>
      <w:r w:rsidR="00CA1276">
        <w:t xml:space="preserve">continues </w:t>
      </w:r>
      <w:r w:rsidR="00AD6886">
        <w:t xml:space="preserve">a </w:t>
      </w:r>
      <w:r w:rsidR="00EF0297">
        <w:t>longer-term</w:t>
      </w:r>
      <w:r w:rsidR="00AD6886">
        <w:t xml:space="preserve"> trend </w:t>
      </w:r>
      <w:r w:rsidR="0064011D">
        <w:t>towards increasing average ATAR since</w:t>
      </w:r>
      <w:r w:rsidR="00AD6886">
        <w:t xml:space="preserve"> 2015</w:t>
      </w:r>
      <w:r w:rsidR="0064011D">
        <w:t>,</w:t>
      </w:r>
      <w:r w:rsidR="00AD6886">
        <w:t xml:space="preserve"> when the average ATAR was 76.5</w:t>
      </w:r>
    </w:p>
    <w:bookmarkEnd w:id="16"/>
    <w:p w14:paraId="780E882E" w14:textId="77777777" w:rsidR="007A14DC" w:rsidRPr="00C57B79" w:rsidRDefault="007A14DC" w:rsidP="007A14DC">
      <w:pPr>
        <w:pStyle w:val="ListBullet"/>
        <w:numPr>
          <w:ilvl w:val="0"/>
          <w:numId w:val="0"/>
        </w:numPr>
        <w:spacing w:after="0" w:line="240" w:lineRule="auto"/>
        <w:ind w:left="360"/>
        <w:rPr>
          <w:sz w:val="12"/>
          <w:szCs w:val="12"/>
        </w:rPr>
      </w:pPr>
    </w:p>
    <w:p w14:paraId="608B4319" w14:textId="62C8D5CE" w:rsidR="007A14DC" w:rsidRDefault="007A14DC" w:rsidP="007A14DC">
      <w:pPr>
        <w:pStyle w:val="ListBullet"/>
        <w:numPr>
          <w:ilvl w:val="0"/>
          <w:numId w:val="0"/>
        </w:numPr>
        <w:spacing w:after="0" w:line="240" w:lineRule="auto"/>
        <w:ind w:left="360" w:hanging="360"/>
        <w:rPr>
          <w:rFonts w:ascii="Calibri" w:eastAsia="Times New Roman" w:hAnsi="Calibri" w:cs="Times New Roman"/>
          <w:b/>
          <w:bCs/>
          <w:lang w:eastAsia="en-AU"/>
        </w:rPr>
      </w:pPr>
      <w:r w:rsidRPr="001B1983">
        <w:rPr>
          <w:rFonts w:ascii="Calibri" w:eastAsia="Times New Roman" w:hAnsi="Calibri" w:cs="Times New Roman"/>
          <w:b/>
          <w:bCs/>
          <w:lang w:eastAsia="en-AU"/>
        </w:rPr>
        <w:t>Table</w:t>
      </w:r>
      <w:r>
        <w:rPr>
          <w:rFonts w:ascii="Calibri" w:eastAsia="Times New Roman" w:hAnsi="Calibri" w:cs="Times New Roman"/>
          <w:b/>
          <w:bCs/>
          <w:lang w:eastAsia="en-AU"/>
        </w:rPr>
        <w:t xml:space="preserve"> </w:t>
      </w:r>
      <w:r w:rsidRPr="001B1983">
        <w:rPr>
          <w:rFonts w:ascii="Calibri" w:eastAsia="Times New Roman" w:hAnsi="Calibri" w:cs="Times New Roman"/>
          <w:b/>
          <w:bCs/>
          <w:lang w:eastAsia="en-AU"/>
        </w:rPr>
        <w:t>2: Average ATAR for thos</w:t>
      </w:r>
      <w:r>
        <w:rPr>
          <w:rFonts w:ascii="Calibri" w:eastAsia="Times New Roman" w:hAnsi="Calibri" w:cs="Times New Roman"/>
          <w:b/>
          <w:bCs/>
          <w:lang w:eastAsia="en-AU"/>
        </w:rPr>
        <w:t>e receiving an offer, 201</w:t>
      </w:r>
      <w:r w:rsidR="005373E7">
        <w:rPr>
          <w:rFonts w:ascii="Calibri" w:eastAsia="Times New Roman" w:hAnsi="Calibri" w:cs="Times New Roman"/>
          <w:b/>
          <w:bCs/>
          <w:lang w:eastAsia="en-AU"/>
        </w:rPr>
        <w:t>5</w:t>
      </w:r>
      <w:r w:rsidR="005E0FD6">
        <w:rPr>
          <w:rFonts w:ascii="Calibri" w:eastAsia="Times New Roman" w:hAnsi="Calibri" w:cs="Times New Roman"/>
          <w:b/>
          <w:bCs/>
          <w:lang w:eastAsia="en-AU"/>
        </w:rPr>
        <w:t xml:space="preserve"> </w:t>
      </w:r>
      <w:r>
        <w:rPr>
          <w:rFonts w:ascii="Calibri" w:eastAsia="Times New Roman" w:hAnsi="Calibri" w:cs="Times New Roman"/>
          <w:b/>
          <w:bCs/>
          <w:lang w:eastAsia="en-AU"/>
        </w:rPr>
        <w:t>-</w:t>
      </w:r>
      <w:r w:rsidR="005E0FD6">
        <w:rPr>
          <w:rFonts w:ascii="Calibri" w:eastAsia="Times New Roman" w:hAnsi="Calibri" w:cs="Times New Roman"/>
          <w:b/>
          <w:bCs/>
          <w:lang w:eastAsia="en-AU"/>
        </w:rPr>
        <w:t xml:space="preserve"> </w:t>
      </w:r>
      <w:r>
        <w:rPr>
          <w:rFonts w:ascii="Calibri" w:eastAsia="Times New Roman" w:hAnsi="Calibri" w:cs="Times New Roman"/>
          <w:b/>
          <w:bCs/>
          <w:lang w:eastAsia="en-AU"/>
        </w:rPr>
        <w:t>202</w:t>
      </w:r>
      <w:r w:rsidR="005373E7">
        <w:rPr>
          <w:rFonts w:ascii="Calibri" w:eastAsia="Times New Roman" w:hAnsi="Calibri" w:cs="Times New Roman"/>
          <w:b/>
          <w:bCs/>
          <w:lang w:eastAsia="en-AU"/>
        </w:rPr>
        <w:t>5</w:t>
      </w:r>
    </w:p>
    <w:p w14:paraId="5999EF9F" w14:textId="7535A3B0" w:rsidR="007A14DC" w:rsidRDefault="00D90242" w:rsidP="00D07317">
      <w:pPr>
        <w:pStyle w:val="ListBullet"/>
        <w:numPr>
          <w:ilvl w:val="0"/>
          <w:numId w:val="0"/>
        </w:numPr>
        <w:spacing w:after="120" w:line="276" w:lineRule="auto"/>
        <w:ind w:left="357" w:hanging="357"/>
        <w:contextualSpacing w:val="0"/>
        <w:rPr>
          <w:rFonts w:ascii="Calibri" w:eastAsia="Times New Roman" w:hAnsi="Calibri" w:cs="Times New Roman"/>
          <w:b/>
          <w:bCs/>
          <w:lang w:eastAsia="en-AU"/>
        </w:rPr>
      </w:pPr>
      <w:r w:rsidRPr="00D90242">
        <w:rPr>
          <w:noProof/>
        </w:rPr>
        <w:drawing>
          <wp:inline distT="0" distB="0" distL="0" distR="0" wp14:anchorId="6FA254CE" wp14:editId="17545997">
            <wp:extent cx="5731510" cy="283845"/>
            <wp:effectExtent l="0" t="0" r="2540" b="1905"/>
            <wp:docPr id="1888160726" name="Picture 1" descr="Table 2 shows that the average ATAR of Current Year 12 applicants with ATARs who received an offer increased marginally from 78.4 in 2024 to 78.6 in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160726" name="Picture 1" descr="Table 2 shows that the average ATAR of Current Year 12 applicants with ATARs who received an offer increased marginally from 78.4 in 2024 to 78.6 in 20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283845"/>
                    </a:xfrm>
                    <a:prstGeom prst="rect">
                      <a:avLst/>
                    </a:prstGeom>
                    <a:noFill/>
                    <a:ln>
                      <a:noFill/>
                    </a:ln>
                  </pic:spPr>
                </pic:pic>
              </a:graphicData>
            </a:graphic>
          </wp:inline>
        </w:drawing>
      </w:r>
    </w:p>
    <w:p w14:paraId="018A82ED" w14:textId="0EF721C4" w:rsidR="007A14DC" w:rsidRDefault="007A14DC" w:rsidP="00DF3625">
      <w:pPr>
        <w:pStyle w:val="ListBullet"/>
        <w:numPr>
          <w:ilvl w:val="0"/>
          <w:numId w:val="5"/>
        </w:numPr>
        <w:spacing w:after="120" w:line="276" w:lineRule="auto"/>
      </w:pPr>
      <w:r>
        <w:lastRenderedPageBreak/>
        <w:t>In 202</w:t>
      </w:r>
      <w:r w:rsidR="000F557E">
        <w:t>5</w:t>
      </w:r>
      <w:r>
        <w:t>, offers to applicants who achieved an ATAR above 90 accounted for 11</w:t>
      </w:r>
      <w:r w:rsidR="000F557E">
        <w:t>.</w:t>
      </w:r>
      <w:r w:rsidR="00924B33">
        <w:t>5</w:t>
      </w:r>
      <w:r w:rsidR="0004619F">
        <w:t>%</w:t>
      </w:r>
      <w:r w:rsidR="0083445B">
        <w:t xml:space="preserve"> </w:t>
      </w:r>
      <w:r>
        <w:t>of all offers</w:t>
      </w:r>
      <w:r w:rsidR="004E006A">
        <w:t xml:space="preserve"> (see Table 3)</w:t>
      </w:r>
      <w:r>
        <w:t xml:space="preserve">. </w:t>
      </w:r>
    </w:p>
    <w:p w14:paraId="39CD819C" w14:textId="434935B3" w:rsidR="007A14DC" w:rsidRDefault="007A14DC" w:rsidP="00DF3625">
      <w:pPr>
        <w:pStyle w:val="ListBullet"/>
        <w:numPr>
          <w:ilvl w:val="0"/>
          <w:numId w:val="5"/>
        </w:numPr>
        <w:spacing w:after="120" w:line="276" w:lineRule="auto"/>
      </w:pPr>
      <w:r>
        <w:t>In 202</w:t>
      </w:r>
      <w:r w:rsidR="000F557E">
        <w:t>5</w:t>
      </w:r>
      <w:r>
        <w:t>, fields of education with an above average share of offers for applicants in the ATAR band 90.05 or more were Engineering and Related Technologies (24</w:t>
      </w:r>
      <w:r w:rsidR="004A6F7A">
        <w:t>%</w:t>
      </w:r>
      <w:r>
        <w:t>), Natural and Physical Sciences (</w:t>
      </w:r>
      <w:r w:rsidR="000F557E">
        <w:t>19.</w:t>
      </w:r>
      <w:r w:rsidR="00BC1CF7">
        <w:t>4</w:t>
      </w:r>
      <w:r w:rsidR="004A6F7A">
        <w:t>%</w:t>
      </w:r>
      <w:r>
        <w:t xml:space="preserve">), </w:t>
      </w:r>
      <w:bookmarkStart w:id="17" w:name="_Hlk177027804"/>
      <w:r w:rsidR="00B67FA8">
        <w:t xml:space="preserve">Management and Commerce </w:t>
      </w:r>
      <w:bookmarkEnd w:id="17"/>
      <w:r>
        <w:t>(1</w:t>
      </w:r>
      <w:r w:rsidR="00EF1DE9">
        <w:t>3</w:t>
      </w:r>
      <w:r w:rsidR="000F557E">
        <w:t>.</w:t>
      </w:r>
      <w:r w:rsidR="00BC1CF7">
        <w:t>6</w:t>
      </w:r>
      <w:r w:rsidR="004A6F7A">
        <w:t>%</w:t>
      </w:r>
      <w:r>
        <w:t xml:space="preserve">) and </w:t>
      </w:r>
      <w:r w:rsidR="00B67FA8">
        <w:t xml:space="preserve">Society and Culture </w:t>
      </w:r>
      <w:r>
        <w:t>(11</w:t>
      </w:r>
      <w:r w:rsidR="000F557E">
        <w:t>.</w:t>
      </w:r>
      <w:r w:rsidR="00BC1CF7">
        <w:t>7</w:t>
      </w:r>
      <w:r w:rsidR="004A6F7A">
        <w:t>%</w:t>
      </w:r>
      <w:r>
        <w:t>).</w:t>
      </w:r>
    </w:p>
    <w:p w14:paraId="2F85D05C" w14:textId="39D71A05" w:rsidR="007A14DC" w:rsidRDefault="007A14DC" w:rsidP="00DF3625">
      <w:pPr>
        <w:pStyle w:val="ListBullet"/>
        <w:numPr>
          <w:ilvl w:val="0"/>
          <w:numId w:val="5"/>
        </w:numPr>
        <w:spacing w:after="120" w:line="276" w:lineRule="auto"/>
      </w:pPr>
      <w:r>
        <w:t xml:space="preserve">The share of offers for applicants with no ATAR or who were non-Year 12 applicants was </w:t>
      </w:r>
      <w:r w:rsidR="00EF1DE9">
        <w:t>60</w:t>
      </w:r>
      <w:r w:rsidR="0004619F">
        <w:t>%</w:t>
      </w:r>
      <w:r>
        <w:t xml:space="preserve"> in 202</w:t>
      </w:r>
      <w:r w:rsidR="000F557E">
        <w:t>5</w:t>
      </w:r>
      <w:r>
        <w:t xml:space="preserve">, which is </w:t>
      </w:r>
      <w:r w:rsidRPr="001C76E9">
        <w:t xml:space="preserve">broadly consistent across </w:t>
      </w:r>
      <w:r w:rsidR="0022012B">
        <w:t xml:space="preserve">2022 </w:t>
      </w:r>
      <w:r w:rsidR="004E006A">
        <w:t>-</w:t>
      </w:r>
      <w:r w:rsidR="0022012B">
        <w:t xml:space="preserve"> 202</w:t>
      </w:r>
      <w:r w:rsidR="004E006A">
        <w:t>4</w:t>
      </w:r>
      <w:r w:rsidRPr="001C76E9">
        <w:t>.</w:t>
      </w:r>
    </w:p>
    <w:p w14:paraId="398C8C31" w14:textId="3F64F26F" w:rsidR="00831B5B" w:rsidRPr="00831B5B" w:rsidRDefault="00831B5B" w:rsidP="00831B5B">
      <w:pPr>
        <w:pStyle w:val="Heading3"/>
        <w:rPr>
          <w:b/>
          <w:color w:val="auto"/>
        </w:rPr>
      </w:pPr>
      <w:bookmarkStart w:id="18" w:name="_Toc212734167"/>
      <w:r w:rsidRPr="00831B5B">
        <w:rPr>
          <w:b/>
          <w:color w:val="auto"/>
        </w:rPr>
        <w:t>Propensity to apply to university</w:t>
      </w:r>
      <w:r w:rsidR="00D61203">
        <w:rPr>
          <w:b/>
          <w:color w:val="auto"/>
        </w:rPr>
        <w:t xml:space="preserve"> </w:t>
      </w:r>
      <w:r w:rsidRPr="00831B5B">
        <w:rPr>
          <w:b/>
          <w:color w:val="auto"/>
        </w:rPr>
        <w:t>by Current Year 12 students</w:t>
      </w:r>
      <w:bookmarkEnd w:id="18"/>
    </w:p>
    <w:p w14:paraId="286028B4" w14:textId="54ED501A" w:rsidR="00831B5B" w:rsidRDefault="00831B5B" w:rsidP="00831B5B">
      <w:r>
        <w:t xml:space="preserve">The propensity of Year 12 students </w:t>
      </w:r>
      <w:r w:rsidR="00476AFF">
        <w:t xml:space="preserve">to </w:t>
      </w:r>
      <w:r>
        <w:t xml:space="preserve">apply for university undergraduate study is derived by </w:t>
      </w:r>
      <w:r w:rsidR="007357B0">
        <w:t xml:space="preserve">dividing the </w:t>
      </w:r>
      <w:r>
        <w:t xml:space="preserve">number of applicants by </w:t>
      </w:r>
      <w:r w:rsidR="007357B0">
        <w:t xml:space="preserve">the </w:t>
      </w:r>
      <w:r>
        <w:t xml:space="preserve">number of </w:t>
      </w:r>
      <w:r w:rsidR="00B63433">
        <w:t xml:space="preserve">total </w:t>
      </w:r>
      <w:r>
        <w:t xml:space="preserve">Year 12 students. In 2025, the propensity to apply </w:t>
      </w:r>
      <w:r w:rsidR="00083D5C">
        <w:t xml:space="preserve">was </w:t>
      </w:r>
      <w:r>
        <w:t>53.0%</w:t>
      </w:r>
      <w:r w:rsidR="00812F01">
        <w:t>, which is</w:t>
      </w:r>
      <w:r>
        <w:t xml:space="preserve"> broadly consistent with recent years</w:t>
      </w:r>
      <w:r w:rsidR="00812F01">
        <w:t xml:space="preserve"> (Figure </w:t>
      </w:r>
      <w:r w:rsidR="004100FA">
        <w:t>6</w:t>
      </w:r>
      <w:r w:rsidR="00812F01">
        <w:t>)</w:t>
      </w:r>
      <w:r w:rsidR="000255A9">
        <w:t xml:space="preserve">. </w:t>
      </w:r>
      <w:r>
        <w:t xml:space="preserve">In 2013, the propensity to apply reached </w:t>
      </w:r>
      <w:r w:rsidR="00812F01">
        <w:t>a</w:t>
      </w:r>
      <w:r>
        <w:t xml:space="preserve"> peak </w:t>
      </w:r>
      <w:r w:rsidR="0029372F">
        <w:t>at</w:t>
      </w:r>
      <w:r>
        <w:t xml:space="preserve"> 59.1%. </w:t>
      </w:r>
    </w:p>
    <w:p w14:paraId="0C064A60" w14:textId="110A6768" w:rsidR="00831B5B" w:rsidRDefault="00831B5B" w:rsidP="00831B5B">
      <w:r w:rsidRPr="00D960D7">
        <w:t xml:space="preserve">It is important to note that the data collection covers only </w:t>
      </w:r>
      <w:r>
        <w:t>Commonwealth Supported Places for Table A</w:t>
      </w:r>
      <w:r w:rsidR="00605BBB">
        <w:t xml:space="preserve"> universities</w:t>
      </w:r>
      <w:r>
        <w:t xml:space="preserve">, </w:t>
      </w:r>
      <w:r w:rsidRPr="00D960D7">
        <w:t>first</w:t>
      </w:r>
      <w:r w:rsidR="00605BBB">
        <w:t xml:space="preserve"> study</w:t>
      </w:r>
      <w:r w:rsidRPr="00D960D7">
        <w:t xml:space="preserve"> </w:t>
      </w:r>
      <w:r w:rsidR="00273838">
        <w:t xml:space="preserve">period </w:t>
      </w:r>
      <w:r w:rsidRPr="00D960D7">
        <w:t xml:space="preserve">applications. Students applying for second semester </w:t>
      </w:r>
      <w:r>
        <w:t xml:space="preserve">and non-Table A universities </w:t>
      </w:r>
      <w:r w:rsidRPr="00D960D7">
        <w:t>are excluded from the measure</w:t>
      </w:r>
      <w:r w:rsidR="008F0839">
        <w:t>.</w:t>
      </w:r>
      <w:r w:rsidR="00C004B1">
        <w:t xml:space="preserve"> However, majority of commencements do take place for first study period Table A universities</w:t>
      </w:r>
      <w:r w:rsidR="00273838">
        <w:t>,</w:t>
      </w:r>
      <w:r w:rsidR="00C004B1">
        <w:t xml:space="preserve"> whereby in 2024 around 81% of total domestic undergraduate CSP </w:t>
      </w:r>
      <w:r w:rsidR="00273838">
        <w:t>commencing students were for first study period Table A universities.</w:t>
      </w:r>
    </w:p>
    <w:p w14:paraId="6A730B52" w14:textId="3AD7DC23" w:rsidR="00244359" w:rsidRPr="00244359" w:rsidRDefault="00244359" w:rsidP="00244359">
      <w:pPr>
        <w:pStyle w:val="ListBullet"/>
        <w:numPr>
          <w:ilvl w:val="0"/>
          <w:numId w:val="0"/>
        </w:numPr>
        <w:spacing w:after="120" w:line="276" w:lineRule="auto"/>
        <w:ind w:left="357" w:hanging="357"/>
        <w:rPr>
          <w:b/>
          <w:bCs/>
          <w:lang w:val="en-US"/>
        </w:rPr>
      </w:pPr>
      <w:r w:rsidRPr="00B93C37">
        <w:rPr>
          <w:b/>
          <w:bCs/>
        </w:rPr>
        <w:t xml:space="preserve">Figure </w:t>
      </w:r>
      <w:r w:rsidR="004100FA">
        <w:rPr>
          <w:b/>
          <w:bCs/>
        </w:rPr>
        <w:t>6</w:t>
      </w:r>
      <w:r>
        <w:rPr>
          <w:b/>
          <w:bCs/>
        </w:rPr>
        <w:t xml:space="preserve">: </w:t>
      </w:r>
      <w:r w:rsidRPr="00244359">
        <w:rPr>
          <w:b/>
          <w:bCs/>
          <w:lang w:val="en-US"/>
        </w:rPr>
        <w:t xml:space="preserve">Propensity to Apply </w:t>
      </w:r>
      <w:r w:rsidR="00D61203">
        <w:rPr>
          <w:b/>
          <w:bCs/>
          <w:lang w:val="en-US"/>
        </w:rPr>
        <w:t xml:space="preserve">to semester one study </w:t>
      </w:r>
      <w:r w:rsidRPr="00244359">
        <w:rPr>
          <w:b/>
          <w:bCs/>
          <w:lang w:val="en-US"/>
        </w:rPr>
        <w:t>by Current Year 12 students</w:t>
      </w:r>
    </w:p>
    <w:p w14:paraId="6D81EB5F" w14:textId="5A862D57" w:rsidR="00831B5B" w:rsidRDefault="00831B5B" w:rsidP="00244359">
      <w:pPr>
        <w:pStyle w:val="ListBullet"/>
        <w:numPr>
          <w:ilvl w:val="0"/>
          <w:numId w:val="0"/>
        </w:numPr>
        <w:spacing w:after="120" w:line="276" w:lineRule="auto"/>
      </w:pPr>
      <w:r>
        <w:rPr>
          <w:noProof/>
        </w:rPr>
        <w:drawing>
          <wp:inline distT="0" distB="0" distL="0" distR="0" wp14:anchorId="60D68D50" wp14:editId="723DCC6E">
            <wp:extent cx="5095875" cy="2314575"/>
            <wp:effectExtent l="0" t="0" r="9525" b="9525"/>
            <wp:docPr id="1703144549" name="Chart 1" descr="Figure 6 shows in 2025, the propensity to apply was 53.0%, which is broadly consistent with recent years (Figure 6). In 2013, the propensity to apply reached a peak at 59.1%. ">
              <a:extLst xmlns:a="http://schemas.openxmlformats.org/drawingml/2006/main">
                <a:ext uri="{FF2B5EF4-FFF2-40B4-BE49-F238E27FC236}">
                  <a16:creationId xmlns:a16="http://schemas.microsoft.com/office/drawing/2014/main" id="{8D367A81-8172-2414-402D-A82486A13D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F543DCF" w14:textId="2417C0E1" w:rsidR="006D19E5" w:rsidRPr="00A01B6F" w:rsidRDefault="00A90923" w:rsidP="00A01B6F">
      <w:pPr>
        <w:pStyle w:val="Heading3"/>
        <w:rPr>
          <w:color w:val="auto"/>
        </w:rPr>
      </w:pPr>
      <w:bookmarkStart w:id="19" w:name="_Toc207611383"/>
      <w:bookmarkStart w:id="20" w:name="_Toc212734168"/>
      <w:r w:rsidRPr="002D444C">
        <w:rPr>
          <w:b/>
          <w:color w:val="auto"/>
        </w:rPr>
        <w:t>University groups</w:t>
      </w:r>
      <w:bookmarkEnd w:id="19"/>
      <w:bookmarkEnd w:id="20"/>
    </w:p>
    <w:p w14:paraId="31B8E530" w14:textId="572DB5FB" w:rsidR="00A90923" w:rsidRDefault="006D19E5" w:rsidP="00DF3625">
      <w:pPr>
        <w:pStyle w:val="ListBullet"/>
        <w:numPr>
          <w:ilvl w:val="0"/>
          <w:numId w:val="5"/>
        </w:numPr>
        <w:spacing w:after="120" w:line="276" w:lineRule="auto"/>
      </w:pPr>
      <w:r>
        <w:t>In 202</w:t>
      </w:r>
      <w:r w:rsidR="0001461D">
        <w:t>5</w:t>
      </w:r>
      <w:r>
        <w:t>, Group of Eight (Go8)</w:t>
      </w:r>
      <w:r w:rsidR="006F3811">
        <w:t xml:space="preserve"> universities accounted for 25</w:t>
      </w:r>
      <w:r w:rsidR="0004619F">
        <w:t>%</w:t>
      </w:r>
      <w:r>
        <w:t xml:space="preserve"> of applications, followed by </w:t>
      </w:r>
      <w:r w:rsidRPr="000E4B58">
        <w:t>Australian Technology Network (ATN</w:t>
      </w:r>
      <w:r>
        <w:t>) (</w:t>
      </w:r>
      <w:r w:rsidR="004B3A8A">
        <w:t>2</w:t>
      </w:r>
      <w:r w:rsidR="0001461D">
        <w:t>3</w:t>
      </w:r>
      <w:r w:rsidR="00EF1DE9">
        <w:t>%</w:t>
      </w:r>
      <w:r>
        <w:t>), Innovative Research Universities (IRU) (1</w:t>
      </w:r>
      <w:r w:rsidR="004369DB">
        <w:t>4</w:t>
      </w:r>
      <w:r w:rsidR="004A6F7A">
        <w:t>%</w:t>
      </w:r>
      <w:r>
        <w:t xml:space="preserve">) and </w:t>
      </w:r>
      <w:r w:rsidRPr="00900499">
        <w:t>Regional Universities Network (RUN)</w:t>
      </w:r>
      <w:r>
        <w:t xml:space="preserve"> (1</w:t>
      </w:r>
      <w:r w:rsidR="00BC1CF7">
        <w:t>3</w:t>
      </w:r>
      <w:r w:rsidR="004A6F7A">
        <w:t>%</w:t>
      </w:r>
      <w:r>
        <w:t>). A similar pattern was observed in 202</w:t>
      </w:r>
      <w:r w:rsidR="0001461D">
        <w:t>3</w:t>
      </w:r>
      <w:r>
        <w:t xml:space="preserve"> and 202</w:t>
      </w:r>
      <w:r w:rsidR="0001461D">
        <w:t>4</w:t>
      </w:r>
      <w:r>
        <w:t xml:space="preserve">. </w:t>
      </w:r>
    </w:p>
    <w:p w14:paraId="1D3D38C2" w14:textId="6C4017D8" w:rsidR="00A90923" w:rsidRDefault="00A90923" w:rsidP="00DF3625">
      <w:pPr>
        <w:pStyle w:val="ListBullet"/>
        <w:numPr>
          <w:ilvl w:val="0"/>
          <w:numId w:val="5"/>
        </w:numPr>
        <w:spacing w:after="120" w:line="276" w:lineRule="auto"/>
        <w:ind w:left="357" w:hanging="357"/>
      </w:pPr>
      <w:r w:rsidRPr="00DA7B04">
        <w:t>In terms</w:t>
      </w:r>
      <w:r w:rsidR="006F3811">
        <w:t xml:space="preserve"> </w:t>
      </w:r>
      <w:r w:rsidR="00E64D10">
        <w:t xml:space="preserve">of </w:t>
      </w:r>
      <w:r w:rsidR="006F3811">
        <w:t>the distribution</w:t>
      </w:r>
      <w:r w:rsidR="00290448" w:rsidRPr="00DA7B04">
        <w:t xml:space="preserve"> </w:t>
      </w:r>
      <w:r w:rsidRPr="00DA7B04">
        <w:t>of offers</w:t>
      </w:r>
      <w:r w:rsidR="00DA7B04" w:rsidRPr="00DA7B04">
        <w:t>,</w:t>
      </w:r>
      <w:r w:rsidR="001F751A" w:rsidRPr="00DA7B04">
        <w:t xml:space="preserve"> </w:t>
      </w:r>
      <w:r w:rsidR="00DA7B04" w:rsidRPr="00DA7B04">
        <w:t>t</w:t>
      </w:r>
      <w:r w:rsidR="001F751A" w:rsidRPr="00DA7B04">
        <w:t>he</w:t>
      </w:r>
      <w:r w:rsidRPr="00DA7B04">
        <w:t xml:space="preserve"> </w:t>
      </w:r>
      <w:r w:rsidR="00DA7B04" w:rsidRPr="00DA7B04">
        <w:t>ATN (2</w:t>
      </w:r>
      <w:r w:rsidR="0001461D">
        <w:t>0</w:t>
      </w:r>
      <w:r w:rsidR="004A6F7A">
        <w:t>%</w:t>
      </w:r>
      <w:r w:rsidR="00DA7B04" w:rsidRPr="00DA7B04">
        <w:t xml:space="preserve">) </w:t>
      </w:r>
      <w:r w:rsidR="006F3811">
        <w:t xml:space="preserve">accounted for </w:t>
      </w:r>
      <w:r w:rsidR="00DA7B04" w:rsidRPr="00DA7B04">
        <w:t xml:space="preserve">the highest proportion, followed by </w:t>
      </w:r>
      <w:r w:rsidR="00290448" w:rsidRPr="00DA7B04">
        <w:t xml:space="preserve">Go8 </w:t>
      </w:r>
      <w:r w:rsidRPr="00DA7B04">
        <w:t>(</w:t>
      </w:r>
      <w:r w:rsidR="0001461D">
        <w:t>19</w:t>
      </w:r>
      <w:r w:rsidR="004A6F7A">
        <w:t>%</w:t>
      </w:r>
      <w:r w:rsidRPr="00DA7B04">
        <w:t>)</w:t>
      </w:r>
      <w:r w:rsidR="00614DAF" w:rsidRPr="00DA7B04">
        <w:t xml:space="preserve">, </w:t>
      </w:r>
      <w:r w:rsidR="00290448" w:rsidRPr="00DA7B04">
        <w:t xml:space="preserve">IRU </w:t>
      </w:r>
      <w:r w:rsidR="00720D9F" w:rsidRPr="00DA7B04">
        <w:t>(</w:t>
      </w:r>
      <w:r w:rsidR="00290448" w:rsidRPr="00DA7B04">
        <w:t>1</w:t>
      </w:r>
      <w:r w:rsidR="0001461D">
        <w:t>3</w:t>
      </w:r>
      <w:r w:rsidR="004A6F7A">
        <w:t>%</w:t>
      </w:r>
      <w:r w:rsidR="00720D9F" w:rsidRPr="00DA7B04">
        <w:t>)</w:t>
      </w:r>
      <w:r w:rsidR="00290448" w:rsidRPr="00DA7B04">
        <w:t xml:space="preserve"> and RUN (1</w:t>
      </w:r>
      <w:r w:rsidR="0001461D">
        <w:t>2</w:t>
      </w:r>
      <w:r w:rsidR="004A6F7A">
        <w:t>%</w:t>
      </w:r>
      <w:r w:rsidR="00290448" w:rsidRPr="00DA7B04">
        <w:t>).</w:t>
      </w:r>
      <w:r w:rsidR="00720D9F" w:rsidRPr="00DA7B04">
        <w:t xml:space="preserve"> </w:t>
      </w:r>
    </w:p>
    <w:p w14:paraId="222582C1" w14:textId="77777777" w:rsidR="00A75B3D" w:rsidRPr="002D444C" w:rsidRDefault="00A75B3D" w:rsidP="00A75B3D">
      <w:pPr>
        <w:pStyle w:val="Heading3"/>
        <w:rPr>
          <w:b/>
          <w:color w:val="auto"/>
        </w:rPr>
      </w:pPr>
      <w:bookmarkStart w:id="21" w:name="_Toc212734169"/>
      <w:r w:rsidRPr="002D444C">
        <w:rPr>
          <w:b/>
          <w:color w:val="auto"/>
        </w:rPr>
        <w:lastRenderedPageBreak/>
        <w:t>State and territory</w:t>
      </w:r>
      <w:bookmarkEnd w:id="21"/>
    </w:p>
    <w:p w14:paraId="1415E6C8" w14:textId="7D2906F6" w:rsidR="00A75B3D" w:rsidRDefault="00A75B3D" w:rsidP="00DF3625">
      <w:pPr>
        <w:pStyle w:val="ListBullet"/>
        <w:numPr>
          <w:ilvl w:val="0"/>
          <w:numId w:val="5"/>
        </w:numPr>
        <w:spacing w:after="120" w:line="276" w:lineRule="auto"/>
      </w:pPr>
      <w:r>
        <w:t>In 202</w:t>
      </w:r>
      <w:r w:rsidR="00BC1CF7">
        <w:t>5</w:t>
      </w:r>
      <w:r>
        <w:t xml:space="preserve">, </w:t>
      </w:r>
      <w:r w:rsidR="000B3D07">
        <w:t>Northern Territory</w:t>
      </w:r>
      <w:r>
        <w:t xml:space="preserve"> </w:t>
      </w:r>
      <w:r w:rsidR="000B3D07">
        <w:t xml:space="preserve">(NT) </w:t>
      </w:r>
      <w:r>
        <w:t>(</w:t>
      </w:r>
      <w:r w:rsidR="000B3D07">
        <w:t>11</w:t>
      </w:r>
      <w:r w:rsidR="004369DB">
        <w:t>.4</w:t>
      </w:r>
      <w:r>
        <w:t>%) recorded</w:t>
      </w:r>
      <w:r w:rsidR="006F3811">
        <w:t xml:space="preserve"> the</w:t>
      </w:r>
      <w:r>
        <w:t xml:space="preserve"> largest growth in applications, followed by </w:t>
      </w:r>
      <w:r w:rsidR="000B3D07">
        <w:t>Tasmania</w:t>
      </w:r>
      <w:r>
        <w:t xml:space="preserve"> (</w:t>
      </w:r>
      <w:r w:rsidR="000B3D07">
        <w:t>9</w:t>
      </w:r>
      <w:r>
        <w:t xml:space="preserve">%), </w:t>
      </w:r>
      <w:r w:rsidR="000B3D07">
        <w:t>Victoria</w:t>
      </w:r>
      <w:r>
        <w:t xml:space="preserve"> (</w:t>
      </w:r>
      <w:r w:rsidR="000B3D07">
        <w:t>6.8</w:t>
      </w:r>
      <w:r>
        <w:t>%)</w:t>
      </w:r>
      <w:r w:rsidR="000B3D07">
        <w:t>,</w:t>
      </w:r>
      <w:r>
        <w:t xml:space="preserve"> New South Wales (NSW) (</w:t>
      </w:r>
      <w:r w:rsidR="000B3D07">
        <w:t>6.2</w:t>
      </w:r>
      <w:r>
        <w:t>%)</w:t>
      </w:r>
      <w:r w:rsidR="000B3D07">
        <w:t xml:space="preserve"> and Queensland (5.9%)</w:t>
      </w:r>
      <w:r>
        <w:t xml:space="preserve">. </w:t>
      </w:r>
      <w:r w:rsidR="000B3D07">
        <w:t xml:space="preserve">South Australia (SA) </w:t>
      </w:r>
      <w:r w:rsidR="00206282">
        <w:t xml:space="preserve">(-0.5%) </w:t>
      </w:r>
      <w:r w:rsidR="000B3D07">
        <w:t xml:space="preserve">and Western Australia (WA) </w:t>
      </w:r>
      <w:r w:rsidR="00206282">
        <w:t>(-0.</w:t>
      </w:r>
      <w:r w:rsidR="004369DB">
        <w:t>2</w:t>
      </w:r>
      <w:r w:rsidR="00206282">
        <w:t>%) r</w:t>
      </w:r>
      <w:r w:rsidR="000B3D07">
        <w:t>ecorded declines in applications</w:t>
      </w:r>
      <w:r w:rsidR="00206282">
        <w:t>.</w:t>
      </w:r>
    </w:p>
    <w:p w14:paraId="274330C5" w14:textId="243EA097" w:rsidR="00A75B3D" w:rsidRPr="00C02FE3" w:rsidRDefault="000B3D07" w:rsidP="00C02FE3">
      <w:pPr>
        <w:pStyle w:val="ListBullet"/>
        <w:numPr>
          <w:ilvl w:val="0"/>
          <w:numId w:val="5"/>
        </w:numPr>
        <w:spacing w:after="120" w:line="276" w:lineRule="auto"/>
      </w:pPr>
      <w:r>
        <w:t>The above-mentioned state and territories also saw the strongest growth in offers, with NT</w:t>
      </w:r>
      <w:r w:rsidR="00A75B3D">
        <w:t xml:space="preserve"> recorded the largest growth in offers (</w:t>
      </w:r>
      <w:r>
        <w:t>8.7</w:t>
      </w:r>
      <w:r w:rsidR="00A75B3D">
        <w:t>%), followed by NSW (</w:t>
      </w:r>
      <w:r>
        <w:t>6.7</w:t>
      </w:r>
      <w:r w:rsidR="00A75B3D">
        <w:t>%), Queensland (</w:t>
      </w:r>
      <w:r>
        <w:t>6.2</w:t>
      </w:r>
      <w:r w:rsidR="00A75B3D">
        <w:t>%) and Victoria (</w:t>
      </w:r>
      <w:r>
        <w:t>6.0</w:t>
      </w:r>
      <w:r w:rsidR="00A75B3D">
        <w:t xml:space="preserve">%). </w:t>
      </w:r>
      <w:r w:rsidR="00206282">
        <w:t xml:space="preserve">WA offers decreased by 0.5% and SA offers marginally increased by 0.4%. </w:t>
      </w:r>
      <w:r w:rsidR="00C02FE3">
        <w:t>In 2024, except for NT (-4.4%), SA (-0.2%) and Queensland (-0.1%)</w:t>
      </w:r>
      <w:r w:rsidR="00C02FE3" w:rsidRPr="00C02FE3">
        <w:t>, a</w:t>
      </w:r>
      <w:r w:rsidR="00A75B3D" w:rsidRPr="00C02FE3">
        <w:t>ll states and territories recorded a</w:t>
      </w:r>
      <w:r w:rsidR="00C02FE3" w:rsidRPr="00C02FE3">
        <w:t xml:space="preserve">n increase </w:t>
      </w:r>
      <w:r w:rsidR="00A75B3D" w:rsidRPr="00C02FE3">
        <w:t>in offers compared with 202</w:t>
      </w:r>
      <w:r w:rsidR="00C02FE3" w:rsidRPr="00C02FE3">
        <w:t>3</w:t>
      </w:r>
      <w:r w:rsidR="00A75B3D" w:rsidRPr="00C02FE3">
        <w:t>. For further details see Appendi</w:t>
      </w:r>
      <w:r w:rsidR="00B96AE8" w:rsidRPr="00C02FE3">
        <w:t>ces</w:t>
      </w:r>
      <w:r w:rsidR="00A75B3D" w:rsidRPr="00C02FE3">
        <w:t>, Table A1.</w:t>
      </w:r>
    </w:p>
    <w:bookmarkEnd w:id="14"/>
    <w:p w14:paraId="0CCECD3C" w14:textId="77777777" w:rsidR="00177F28" w:rsidRDefault="00177F28">
      <w:pPr>
        <w:spacing w:after="160" w:line="259" w:lineRule="auto"/>
        <w:rPr>
          <w:rFonts w:ascii="Calibri" w:eastAsiaTheme="majorEastAsia" w:hAnsi="Calibri" w:cstheme="majorBidi"/>
          <w:b/>
          <w:color w:val="343741"/>
          <w:sz w:val="32"/>
          <w:szCs w:val="32"/>
        </w:rPr>
      </w:pPr>
      <w:r>
        <w:br w:type="page"/>
      </w:r>
    </w:p>
    <w:p w14:paraId="79F90FA8" w14:textId="72E11B75" w:rsidR="006510FC" w:rsidRDefault="00160958" w:rsidP="0027206E">
      <w:pPr>
        <w:pStyle w:val="Heading1"/>
      </w:pPr>
      <w:bookmarkStart w:id="22" w:name="_Toc212734170"/>
      <w:r>
        <w:lastRenderedPageBreak/>
        <w:t>Some k</w:t>
      </w:r>
      <w:r w:rsidR="006510FC">
        <w:t>ey analytical findings from the 202</w:t>
      </w:r>
      <w:r w:rsidR="00E70C26">
        <w:t>5</w:t>
      </w:r>
      <w:r w:rsidR="006510FC" w:rsidRPr="0067696C">
        <w:t xml:space="preserve"> report</w:t>
      </w:r>
      <w:bookmarkEnd w:id="22"/>
    </w:p>
    <w:p w14:paraId="75BB2CB7" w14:textId="0FDF2E34" w:rsidR="006510FC" w:rsidRPr="00CF56A8" w:rsidRDefault="006510FC" w:rsidP="00DF3625">
      <w:pPr>
        <w:pStyle w:val="Heading2"/>
        <w:numPr>
          <w:ilvl w:val="0"/>
          <w:numId w:val="8"/>
        </w:numPr>
        <w:spacing w:after="120"/>
        <w:ind w:left="425" w:hanging="425"/>
        <w:rPr>
          <w:color w:val="000000" w:themeColor="text1"/>
          <w:sz w:val="28"/>
          <w:szCs w:val="28"/>
        </w:rPr>
      </w:pPr>
      <w:bookmarkStart w:id="23" w:name="_Toc212734171"/>
      <w:bookmarkStart w:id="24" w:name="_Hlk207612263"/>
      <w:r w:rsidRPr="00CF56A8">
        <w:rPr>
          <w:color w:val="000000" w:themeColor="text1"/>
          <w:sz w:val="28"/>
          <w:szCs w:val="28"/>
        </w:rPr>
        <w:t>Applications are closely related to the economic cycle</w:t>
      </w:r>
      <w:bookmarkEnd w:id="23"/>
    </w:p>
    <w:bookmarkEnd w:id="24"/>
    <w:p w14:paraId="28AF5654" w14:textId="5AC1BEE5" w:rsidR="006510FC" w:rsidRPr="001212F8" w:rsidRDefault="006510FC" w:rsidP="006510FC">
      <w:pPr>
        <w:spacing w:before="120" w:after="0"/>
        <w:ind w:left="992" w:right="-46" w:hanging="992"/>
        <w:rPr>
          <w:rFonts w:cstheme="minorHAnsi"/>
          <w:b/>
          <w:iCs/>
        </w:rPr>
      </w:pPr>
      <w:r w:rsidRPr="001212F8">
        <w:rPr>
          <w:rFonts w:cstheme="minorHAnsi"/>
          <w:b/>
          <w:iCs/>
        </w:rPr>
        <w:t xml:space="preserve">Figure </w:t>
      </w:r>
      <w:r w:rsidR="004100FA">
        <w:rPr>
          <w:rFonts w:cstheme="minorHAnsi"/>
          <w:b/>
          <w:iCs/>
        </w:rPr>
        <w:t>7</w:t>
      </w:r>
      <w:r w:rsidRPr="001212F8">
        <w:rPr>
          <w:rFonts w:cstheme="minorHAnsi"/>
          <w:b/>
          <w:iCs/>
        </w:rPr>
        <w:t xml:space="preserve">. </w:t>
      </w:r>
      <w:r>
        <w:rPr>
          <w:rFonts w:cstheme="minorHAnsi"/>
          <w:b/>
          <w:iCs/>
        </w:rPr>
        <w:t xml:space="preserve">Change in </w:t>
      </w:r>
      <w:r w:rsidR="00D1621D">
        <w:rPr>
          <w:rFonts w:cstheme="minorHAnsi"/>
          <w:b/>
          <w:iCs/>
        </w:rPr>
        <w:t>a</w:t>
      </w:r>
      <w:r w:rsidRPr="001212F8">
        <w:rPr>
          <w:rFonts w:cstheme="minorHAnsi"/>
          <w:b/>
          <w:iCs/>
        </w:rPr>
        <w:t>pplications and unemployment, 1988-202</w:t>
      </w:r>
      <w:r w:rsidR="00E70C26">
        <w:rPr>
          <w:rFonts w:cstheme="minorHAnsi"/>
          <w:b/>
          <w:iCs/>
        </w:rPr>
        <w:t>5</w:t>
      </w:r>
    </w:p>
    <w:p w14:paraId="262368FF" w14:textId="67373C5A" w:rsidR="00C82366" w:rsidRPr="0033245D" w:rsidRDefault="00E70C26" w:rsidP="00C82366">
      <w:pPr>
        <w:spacing w:after="120" w:line="240" w:lineRule="auto"/>
        <w:ind w:left="426" w:hanging="426"/>
        <w:rPr>
          <w:rFonts w:cstheme="minorHAnsi"/>
          <w:szCs w:val="24"/>
        </w:rPr>
      </w:pPr>
      <w:r>
        <w:rPr>
          <w:noProof/>
        </w:rPr>
        <w:drawing>
          <wp:inline distT="0" distB="0" distL="0" distR="0" wp14:anchorId="4D133CE9" wp14:editId="5CCD63D7">
            <wp:extent cx="6153150" cy="3019425"/>
            <wp:effectExtent l="0" t="0" r="0" b="9525"/>
            <wp:docPr id="1109549462" name="Chart 1" descr="Figure 7 shows that the lead up to the 2025 academic year when students were making their decision to apply to university, the unemployment rate increased by 0.4 percentage points to 4.1% over the year to August 2024. ">
              <a:extLst xmlns:a="http://schemas.openxmlformats.org/drawingml/2006/main">
                <a:ext uri="{FF2B5EF4-FFF2-40B4-BE49-F238E27FC236}">
                  <a16:creationId xmlns:a16="http://schemas.microsoft.com/office/drawing/2014/main" id="{F6A51487-98B0-47F5-8086-7BA9AF546C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F1FB492" w14:textId="61E2ACD4" w:rsidR="004329E8" w:rsidRPr="00414755" w:rsidRDefault="004329E8" w:rsidP="00DF3625">
      <w:pPr>
        <w:numPr>
          <w:ilvl w:val="0"/>
          <w:numId w:val="6"/>
        </w:numPr>
        <w:spacing w:before="120" w:after="120" w:line="240" w:lineRule="auto"/>
        <w:ind w:left="425" w:right="-46" w:hanging="357"/>
        <w:rPr>
          <w:rFonts w:cstheme="minorHAnsi"/>
          <w:szCs w:val="24"/>
        </w:rPr>
      </w:pPr>
      <w:r>
        <w:rPr>
          <w:rFonts w:cstheme="minorHAnsi"/>
          <w:szCs w:val="24"/>
        </w:rPr>
        <w:t xml:space="preserve">There are many factors that influence demand for higher education, including </w:t>
      </w:r>
      <w:r w:rsidR="002330FD">
        <w:rPr>
          <w:rFonts w:cstheme="minorHAnsi"/>
          <w:szCs w:val="24"/>
        </w:rPr>
        <w:t xml:space="preserve">basic </w:t>
      </w:r>
      <w:r>
        <w:rPr>
          <w:rFonts w:cstheme="minorHAnsi"/>
          <w:szCs w:val="24"/>
        </w:rPr>
        <w:t xml:space="preserve">population </w:t>
      </w:r>
      <w:r w:rsidR="002330FD">
        <w:rPr>
          <w:rFonts w:cstheme="minorHAnsi"/>
          <w:szCs w:val="24"/>
        </w:rPr>
        <w:t xml:space="preserve">demographics such as the number of students completing their final year of school education. </w:t>
      </w:r>
    </w:p>
    <w:p w14:paraId="440A59CE" w14:textId="08DCF2BF" w:rsidR="006510FC" w:rsidRPr="0067696C" w:rsidRDefault="004329E8" w:rsidP="00DF3625">
      <w:pPr>
        <w:numPr>
          <w:ilvl w:val="0"/>
          <w:numId w:val="6"/>
        </w:numPr>
        <w:spacing w:before="120" w:after="120" w:line="240" w:lineRule="auto"/>
        <w:ind w:left="425" w:right="-46" w:hanging="357"/>
        <w:rPr>
          <w:rFonts w:cstheme="minorHAnsi"/>
          <w:szCs w:val="24"/>
        </w:rPr>
      </w:pPr>
      <w:r>
        <w:rPr>
          <w:rFonts w:eastAsia="Times New Roman" w:cstheme="minorHAnsi"/>
          <w:lang w:eastAsia="en-AU"/>
        </w:rPr>
        <w:t>H</w:t>
      </w:r>
      <w:r w:rsidR="002330FD">
        <w:rPr>
          <w:rFonts w:eastAsia="Times New Roman" w:cstheme="minorHAnsi"/>
          <w:lang w:eastAsia="en-AU"/>
        </w:rPr>
        <w:t>owever, h</w:t>
      </w:r>
      <w:r>
        <w:rPr>
          <w:rFonts w:eastAsia="Times New Roman" w:cstheme="minorHAnsi"/>
          <w:lang w:eastAsia="en-AU"/>
        </w:rPr>
        <w:t>istorically t</w:t>
      </w:r>
      <w:r w:rsidR="006510FC" w:rsidRPr="0067696C">
        <w:rPr>
          <w:rFonts w:eastAsia="Times New Roman" w:cstheme="minorHAnsi"/>
          <w:lang w:eastAsia="en-AU"/>
        </w:rPr>
        <w:t>here</w:t>
      </w:r>
      <w:r>
        <w:rPr>
          <w:rFonts w:eastAsia="Times New Roman" w:cstheme="minorHAnsi"/>
          <w:lang w:eastAsia="en-AU"/>
        </w:rPr>
        <w:t xml:space="preserve"> has been</w:t>
      </w:r>
      <w:r w:rsidR="006510FC" w:rsidRPr="0067696C">
        <w:rPr>
          <w:rFonts w:eastAsia="Times New Roman" w:cstheme="minorHAnsi"/>
          <w:lang w:eastAsia="en-AU"/>
        </w:rPr>
        <w:t xml:space="preserve"> a close relationship between changes in labour market conditions and changes in applications, as shown by the figure above</w:t>
      </w:r>
      <w:r w:rsidR="006510FC">
        <w:rPr>
          <w:rFonts w:eastAsia="Times New Roman" w:cstheme="minorHAnsi"/>
          <w:lang w:eastAsia="en-AU"/>
        </w:rPr>
        <w:t xml:space="preserve"> (Figure </w:t>
      </w:r>
      <w:r w:rsidR="004100FA">
        <w:rPr>
          <w:rFonts w:eastAsia="Times New Roman" w:cstheme="minorHAnsi"/>
          <w:lang w:eastAsia="en-AU"/>
        </w:rPr>
        <w:t>7</w:t>
      </w:r>
      <w:r w:rsidR="006510FC">
        <w:rPr>
          <w:rFonts w:eastAsia="Times New Roman" w:cstheme="minorHAnsi"/>
          <w:lang w:eastAsia="en-AU"/>
        </w:rPr>
        <w:t>)</w:t>
      </w:r>
      <w:r w:rsidR="006510FC" w:rsidRPr="0067696C">
        <w:rPr>
          <w:rFonts w:eastAsia="Times New Roman" w:cstheme="minorHAnsi"/>
          <w:lang w:eastAsia="en-AU"/>
        </w:rPr>
        <w:t>. As unemployment increases, the opportunity cost of participation in higher education falls and the demand for higher education, as measured by applications, increases.</w:t>
      </w:r>
    </w:p>
    <w:p w14:paraId="5C24111F" w14:textId="0FAB36AD" w:rsidR="006510FC" w:rsidRPr="00472852" w:rsidRDefault="006510FC" w:rsidP="00DF3625">
      <w:pPr>
        <w:pStyle w:val="ListParagraph"/>
        <w:numPr>
          <w:ilvl w:val="0"/>
          <w:numId w:val="6"/>
        </w:numPr>
        <w:spacing w:before="120" w:after="120" w:line="240" w:lineRule="auto"/>
        <w:ind w:left="425" w:right="-46" w:hanging="357"/>
        <w:contextualSpacing w:val="0"/>
        <w:rPr>
          <w:rFonts w:cstheme="minorHAnsi"/>
          <w:szCs w:val="24"/>
        </w:rPr>
      </w:pPr>
      <w:r>
        <w:rPr>
          <w:rFonts w:eastAsia="Times New Roman" w:cstheme="minorHAnsi"/>
          <w:lang w:eastAsia="en-AU"/>
        </w:rPr>
        <w:t>In the lead up to the 202</w:t>
      </w:r>
      <w:r w:rsidR="008929B1">
        <w:rPr>
          <w:rFonts w:eastAsia="Times New Roman" w:cstheme="minorHAnsi"/>
          <w:lang w:eastAsia="en-AU"/>
        </w:rPr>
        <w:t>5</w:t>
      </w:r>
      <w:r>
        <w:rPr>
          <w:rFonts w:eastAsia="Times New Roman" w:cstheme="minorHAnsi"/>
          <w:lang w:eastAsia="en-AU"/>
        </w:rPr>
        <w:t xml:space="preserve"> academic year when students were making their decision to apply to university, the unemployment rate increased by 0.</w:t>
      </w:r>
      <w:r w:rsidR="008929B1">
        <w:rPr>
          <w:rFonts w:eastAsia="Times New Roman" w:cstheme="minorHAnsi"/>
          <w:lang w:eastAsia="en-AU"/>
        </w:rPr>
        <w:t>4</w:t>
      </w:r>
      <w:r>
        <w:rPr>
          <w:rFonts w:eastAsia="Times New Roman" w:cstheme="minorHAnsi"/>
          <w:lang w:eastAsia="en-AU"/>
        </w:rPr>
        <w:t xml:space="preserve"> percentage points to </w:t>
      </w:r>
      <w:r w:rsidR="008929B1">
        <w:rPr>
          <w:rFonts w:eastAsia="Times New Roman" w:cstheme="minorHAnsi"/>
          <w:lang w:eastAsia="en-AU"/>
        </w:rPr>
        <w:t>4.1</w:t>
      </w:r>
      <w:r w:rsidR="0004619F">
        <w:rPr>
          <w:rFonts w:eastAsia="Times New Roman" w:cstheme="minorHAnsi"/>
          <w:lang w:eastAsia="en-AU"/>
        </w:rPr>
        <w:t>%</w:t>
      </w:r>
      <w:r>
        <w:rPr>
          <w:rFonts w:eastAsia="Times New Roman" w:cstheme="minorHAnsi"/>
          <w:lang w:eastAsia="en-AU"/>
        </w:rPr>
        <w:t xml:space="preserve"> over the year to August 202</w:t>
      </w:r>
      <w:r w:rsidR="008929B1">
        <w:rPr>
          <w:rFonts w:eastAsia="Times New Roman" w:cstheme="minorHAnsi"/>
          <w:lang w:eastAsia="en-AU"/>
        </w:rPr>
        <w:t>4</w:t>
      </w:r>
      <w:r>
        <w:rPr>
          <w:rFonts w:eastAsia="Times New Roman" w:cstheme="minorHAnsi"/>
          <w:lang w:eastAsia="en-AU"/>
        </w:rPr>
        <w:t>.</w:t>
      </w:r>
      <w:r w:rsidR="00077596">
        <w:rPr>
          <w:rFonts w:eastAsia="Times New Roman" w:cstheme="minorHAnsi"/>
          <w:lang w:eastAsia="en-AU"/>
        </w:rPr>
        <w:t xml:space="preserve"> </w:t>
      </w:r>
    </w:p>
    <w:p w14:paraId="74783555" w14:textId="365D522E" w:rsidR="004329E8" w:rsidRPr="0050251E" w:rsidRDefault="004369DB" w:rsidP="00DF3625">
      <w:pPr>
        <w:pStyle w:val="ListParagraph"/>
        <w:numPr>
          <w:ilvl w:val="0"/>
          <w:numId w:val="6"/>
        </w:numPr>
        <w:spacing w:before="120" w:after="120" w:line="240" w:lineRule="auto"/>
        <w:ind w:left="425" w:right="-46" w:hanging="357"/>
        <w:contextualSpacing w:val="0"/>
        <w:rPr>
          <w:rFonts w:cstheme="minorHAnsi"/>
          <w:szCs w:val="24"/>
        </w:rPr>
      </w:pPr>
      <w:r>
        <w:rPr>
          <w:rFonts w:eastAsia="Times New Roman" w:cstheme="minorHAnsi"/>
          <w:lang w:eastAsia="en-AU"/>
        </w:rPr>
        <w:t>Reflecting the impact of a</w:t>
      </w:r>
      <w:r w:rsidR="006510FC">
        <w:rPr>
          <w:rFonts w:eastAsia="Times New Roman" w:cstheme="minorHAnsi"/>
          <w:lang w:eastAsia="en-AU"/>
        </w:rPr>
        <w:t xml:space="preserve"> </w:t>
      </w:r>
      <w:r w:rsidR="005A3B36">
        <w:rPr>
          <w:rFonts w:eastAsia="Times New Roman" w:cstheme="minorHAnsi"/>
          <w:lang w:eastAsia="en-AU"/>
        </w:rPr>
        <w:t xml:space="preserve">softening </w:t>
      </w:r>
      <w:r w:rsidR="006510FC">
        <w:rPr>
          <w:rFonts w:eastAsia="Times New Roman" w:cstheme="minorHAnsi"/>
          <w:lang w:eastAsia="en-AU"/>
        </w:rPr>
        <w:t xml:space="preserve">labour market, applications </w:t>
      </w:r>
      <w:r w:rsidR="003D45FF">
        <w:rPr>
          <w:rFonts w:eastAsia="Times New Roman" w:cstheme="minorHAnsi"/>
          <w:lang w:eastAsia="en-AU"/>
        </w:rPr>
        <w:t>in</w:t>
      </w:r>
      <w:r w:rsidR="006510FC">
        <w:rPr>
          <w:rFonts w:eastAsia="Times New Roman" w:cstheme="minorHAnsi"/>
          <w:lang w:eastAsia="en-AU"/>
        </w:rPr>
        <w:t xml:space="preserve">creased by </w:t>
      </w:r>
      <w:r w:rsidR="008929B1">
        <w:rPr>
          <w:rFonts w:eastAsia="Times New Roman" w:cstheme="minorHAnsi"/>
          <w:lang w:eastAsia="en-AU"/>
        </w:rPr>
        <w:t>5.4</w:t>
      </w:r>
      <w:r w:rsidR="0004619F">
        <w:rPr>
          <w:rFonts w:eastAsia="Times New Roman" w:cstheme="minorHAnsi"/>
          <w:lang w:eastAsia="en-AU"/>
        </w:rPr>
        <w:t>%</w:t>
      </w:r>
      <w:r w:rsidR="006510FC">
        <w:rPr>
          <w:rFonts w:eastAsia="Times New Roman" w:cstheme="minorHAnsi"/>
          <w:lang w:eastAsia="en-AU"/>
        </w:rPr>
        <w:t xml:space="preserve"> in the 202</w:t>
      </w:r>
      <w:r w:rsidR="008929B1">
        <w:rPr>
          <w:rFonts w:eastAsia="Times New Roman" w:cstheme="minorHAnsi"/>
          <w:lang w:eastAsia="en-AU"/>
        </w:rPr>
        <w:t>5</w:t>
      </w:r>
      <w:r w:rsidR="006510FC">
        <w:rPr>
          <w:rFonts w:eastAsia="Times New Roman" w:cstheme="minorHAnsi"/>
          <w:lang w:eastAsia="en-AU"/>
        </w:rPr>
        <w:t xml:space="preserve"> academic year.</w:t>
      </w:r>
    </w:p>
    <w:p w14:paraId="3469917B" w14:textId="67036836" w:rsidR="00F5153B" w:rsidRPr="005A4A36" w:rsidRDefault="004329E8" w:rsidP="00F40AD6">
      <w:pPr>
        <w:pStyle w:val="ListParagraph"/>
        <w:numPr>
          <w:ilvl w:val="0"/>
          <w:numId w:val="6"/>
        </w:numPr>
        <w:spacing w:before="120" w:after="120" w:line="240" w:lineRule="auto"/>
        <w:ind w:left="425" w:right="-46" w:hanging="357"/>
        <w:contextualSpacing w:val="0"/>
        <w:rPr>
          <w:rFonts w:cstheme="minorHAnsi"/>
          <w:szCs w:val="24"/>
        </w:rPr>
      </w:pPr>
      <w:r>
        <w:rPr>
          <w:rFonts w:eastAsia="Times New Roman" w:cstheme="minorHAnsi"/>
          <w:lang w:eastAsia="en-AU"/>
        </w:rPr>
        <w:t>Broader economic conditions are also likely to be influencing decisions about higher education study. The increase in applications in 202</w:t>
      </w:r>
      <w:r w:rsidR="009E3C44">
        <w:rPr>
          <w:rFonts w:eastAsia="Times New Roman" w:cstheme="minorHAnsi"/>
          <w:lang w:eastAsia="en-AU"/>
        </w:rPr>
        <w:t>5</w:t>
      </w:r>
      <w:r>
        <w:rPr>
          <w:rFonts w:eastAsia="Times New Roman" w:cstheme="minorHAnsi"/>
          <w:lang w:eastAsia="en-AU"/>
        </w:rPr>
        <w:t xml:space="preserve"> may have been tempered by</w:t>
      </w:r>
      <w:r w:rsidR="003D45FF">
        <w:rPr>
          <w:rFonts w:eastAsia="Times New Roman" w:cstheme="minorHAnsi"/>
          <w:lang w:eastAsia="en-AU"/>
        </w:rPr>
        <w:t xml:space="preserve"> rising cost</w:t>
      </w:r>
      <w:r>
        <w:rPr>
          <w:rFonts w:eastAsia="Times New Roman" w:cstheme="minorHAnsi"/>
          <w:lang w:eastAsia="en-AU"/>
        </w:rPr>
        <w:t>s</w:t>
      </w:r>
      <w:r w:rsidR="003D45FF">
        <w:rPr>
          <w:rFonts w:eastAsia="Times New Roman" w:cstheme="minorHAnsi"/>
          <w:lang w:eastAsia="en-AU"/>
        </w:rPr>
        <w:t xml:space="preserve"> of living</w:t>
      </w:r>
      <w:r>
        <w:rPr>
          <w:rFonts w:eastAsia="Times New Roman" w:cstheme="minorHAnsi"/>
          <w:lang w:eastAsia="en-AU"/>
        </w:rPr>
        <w:t>, particularly for applicants from low socioeconomic backgrounds</w:t>
      </w:r>
      <w:r w:rsidR="00B1723A">
        <w:rPr>
          <w:rFonts w:eastAsia="Times New Roman" w:cstheme="minorHAnsi"/>
          <w:lang w:eastAsia="en-AU"/>
        </w:rPr>
        <w:t>.</w:t>
      </w:r>
    </w:p>
    <w:p w14:paraId="1ADA4B1D" w14:textId="77777777" w:rsidR="005A4A36" w:rsidRDefault="005A4A36" w:rsidP="005A4A36">
      <w:pPr>
        <w:spacing w:before="120" w:after="120" w:line="240" w:lineRule="auto"/>
        <w:ind w:right="-46"/>
        <w:rPr>
          <w:rFonts w:cstheme="minorHAnsi"/>
          <w:szCs w:val="24"/>
        </w:rPr>
      </w:pPr>
    </w:p>
    <w:p w14:paraId="00DF985D" w14:textId="77777777" w:rsidR="005A4A36" w:rsidRDefault="005A4A36" w:rsidP="005A4A36">
      <w:pPr>
        <w:spacing w:before="120" w:after="120" w:line="240" w:lineRule="auto"/>
        <w:ind w:right="-46"/>
        <w:rPr>
          <w:rFonts w:cstheme="minorHAnsi"/>
          <w:szCs w:val="24"/>
        </w:rPr>
      </w:pPr>
    </w:p>
    <w:p w14:paraId="01D3A057" w14:textId="77777777" w:rsidR="005A4A36" w:rsidRDefault="005A4A36" w:rsidP="005A4A36">
      <w:pPr>
        <w:spacing w:before="120" w:after="120" w:line="240" w:lineRule="auto"/>
        <w:ind w:right="-46"/>
        <w:rPr>
          <w:rFonts w:cstheme="minorHAnsi"/>
          <w:szCs w:val="24"/>
        </w:rPr>
      </w:pPr>
    </w:p>
    <w:p w14:paraId="610378A3" w14:textId="77777777" w:rsidR="005A4A36" w:rsidRDefault="005A4A36" w:rsidP="005A4A36">
      <w:pPr>
        <w:spacing w:before="120" w:after="120" w:line="240" w:lineRule="auto"/>
        <w:ind w:right="-46"/>
        <w:rPr>
          <w:rFonts w:cstheme="minorHAnsi"/>
          <w:szCs w:val="24"/>
        </w:rPr>
      </w:pPr>
    </w:p>
    <w:p w14:paraId="593BC893" w14:textId="77777777" w:rsidR="005A4A36" w:rsidRPr="005A4A36" w:rsidRDefault="005A4A36" w:rsidP="005A4A36">
      <w:pPr>
        <w:spacing w:before="120" w:after="120" w:line="240" w:lineRule="auto"/>
        <w:ind w:right="-46"/>
        <w:rPr>
          <w:rFonts w:cstheme="minorHAnsi"/>
          <w:szCs w:val="24"/>
        </w:rPr>
      </w:pPr>
    </w:p>
    <w:p w14:paraId="5E494721" w14:textId="591AA4FB" w:rsidR="005A4A36" w:rsidRPr="005A4A36" w:rsidRDefault="005A4A36" w:rsidP="005A4A36">
      <w:pPr>
        <w:pStyle w:val="Heading2"/>
        <w:numPr>
          <w:ilvl w:val="0"/>
          <w:numId w:val="8"/>
        </w:numPr>
        <w:spacing w:after="120"/>
        <w:ind w:left="425" w:hanging="425"/>
        <w:rPr>
          <w:color w:val="000000" w:themeColor="text1"/>
          <w:sz w:val="28"/>
          <w:szCs w:val="28"/>
        </w:rPr>
      </w:pPr>
      <w:bookmarkStart w:id="25" w:name="_Toc212734172"/>
      <w:r>
        <w:rPr>
          <w:color w:val="000000" w:themeColor="text1"/>
          <w:sz w:val="28"/>
          <w:szCs w:val="28"/>
        </w:rPr>
        <w:lastRenderedPageBreak/>
        <w:t>Share of offers by ATAR band and field of education</w:t>
      </w:r>
      <w:bookmarkEnd w:id="25"/>
    </w:p>
    <w:p w14:paraId="4E6C680A" w14:textId="2A1A81E5" w:rsidR="00E550C8" w:rsidRPr="004370A5" w:rsidRDefault="005A4A36" w:rsidP="004370A5">
      <w:pPr>
        <w:spacing w:before="120" w:after="0"/>
        <w:rPr>
          <w:b/>
          <w:bCs/>
        </w:rPr>
      </w:pPr>
      <w:bookmarkStart w:id="26" w:name="_Toc207631232"/>
      <w:bookmarkStart w:id="27" w:name="_Hlk207612277"/>
      <w:r w:rsidRPr="004370A5">
        <w:rPr>
          <w:b/>
          <w:bCs/>
        </w:rPr>
        <w:t xml:space="preserve">Table 3. </w:t>
      </w:r>
      <w:r w:rsidR="00E550C8" w:rsidRPr="004370A5">
        <w:rPr>
          <w:b/>
          <w:bCs/>
        </w:rPr>
        <w:t>Share of offers by ATAR band and field of education, 2025</w:t>
      </w:r>
      <w:bookmarkEnd w:id="26"/>
      <w:r w:rsidR="002C5A0F">
        <w:rPr>
          <w:b/>
          <w:bCs/>
        </w:rPr>
        <w:t>*</w:t>
      </w:r>
    </w:p>
    <w:tbl>
      <w:tblPr>
        <w:tblW w:w="10921" w:type="dxa"/>
        <w:tblInd w:w="-74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844"/>
        <w:gridCol w:w="985"/>
        <w:gridCol w:w="1131"/>
        <w:gridCol w:w="1131"/>
        <w:gridCol w:w="1273"/>
        <w:gridCol w:w="1131"/>
        <w:gridCol w:w="1131"/>
        <w:gridCol w:w="1131"/>
        <w:gridCol w:w="1164"/>
      </w:tblGrid>
      <w:tr w:rsidR="00E550C8" w:rsidRPr="006F315E" w14:paraId="707679E4" w14:textId="77777777" w:rsidTr="00AF191F">
        <w:trPr>
          <w:trHeight w:val="513"/>
          <w:tblHeader/>
        </w:trPr>
        <w:tc>
          <w:tcPr>
            <w:tcW w:w="1844" w:type="dxa"/>
            <w:tcBorders>
              <w:top w:val="single" w:sz="12" w:space="0" w:color="auto"/>
              <w:left w:val="single" w:sz="12" w:space="0" w:color="auto"/>
              <w:bottom w:val="single" w:sz="6" w:space="0" w:color="auto"/>
              <w:right w:val="single" w:sz="6" w:space="0" w:color="auto"/>
            </w:tcBorders>
            <w:shd w:val="clear" w:color="auto" w:fill="FFC000"/>
            <w:vAlign w:val="center"/>
            <w:hideMark/>
          </w:tcPr>
          <w:bookmarkEnd w:id="27"/>
          <w:p w14:paraId="12D737C1" w14:textId="77777777" w:rsidR="00E550C8" w:rsidRPr="006F315E" w:rsidRDefault="00E550C8" w:rsidP="00AF191F">
            <w:pPr>
              <w:spacing w:before="100" w:beforeAutospacing="1" w:after="100" w:afterAutospacing="1" w:line="240" w:lineRule="auto"/>
              <w:rPr>
                <w:rFonts w:ascii="Calibri" w:eastAsia="Times New Roman" w:hAnsi="Calibri" w:cs="Calibri"/>
                <w:b/>
                <w:bCs/>
                <w:lang w:eastAsia="en-AU"/>
              </w:rPr>
            </w:pPr>
            <w:r w:rsidRPr="006F315E">
              <w:rPr>
                <w:rFonts w:ascii="Calibri" w:eastAsia="Times New Roman" w:hAnsi="Calibri" w:cs="Calibri"/>
                <w:b/>
                <w:bCs/>
                <w:lang w:eastAsia="en-AU"/>
              </w:rPr>
              <w:t>Field of education</w:t>
            </w:r>
          </w:p>
        </w:tc>
        <w:tc>
          <w:tcPr>
            <w:tcW w:w="985" w:type="dxa"/>
            <w:tcBorders>
              <w:top w:val="single" w:sz="12" w:space="0" w:color="auto"/>
              <w:left w:val="single" w:sz="6" w:space="0" w:color="auto"/>
              <w:bottom w:val="single" w:sz="6" w:space="0" w:color="auto"/>
              <w:right w:val="single" w:sz="6" w:space="0" w:color="auto"/>
            </w:tcBorders>
            <w:shd w:val="clear" w:color="auto" w:fill="FFC000"/>
            <w:vAlign w:val="center"/>
            <w:hideMark/>
          </w:tcPr>
          <w:p w14:paraId="6582A4C7" w14:textId="77777777" w:rsidR="00E550C8" w:rsidRPr="006F315E" w:rsidRDefault="00E550C8" w:rsidP="00AF191F">
            <w:pPr>
              <w:spacing w:before="100" w:beforeAutospacing="1" w:after="100" w:afterAutospacing="1" w:line="240" w:lineRule="auto"/>
              <w:rPr>
                <w:rFonts w:ascii="Calibri" w:eastAsia="Times New Roman" w:hAnsi="Calibri" w:cs="Calibri"/>
                <w:b/>
                <w:bCs/>
                <w:lang w:eastAsia="en-AU"/>
              </w:rPr>
            </w:pPr>
            <w:r w:rsidRPr="006F315E">
              <w:rPr>
                <w:rFonts w:ascii="Calibri" w:eastAsia="Times New Roman" w:hAnsi="Calibri" w:cs="Calibri"/>
                <w:b/>
                <w:bCs/>
                <w:lang w:eastAsia="en-AU"/>
              </w:rPr>
              <w:t>50.00 or less</w:t>
            </w:r>
          </w:p>
        </w:tc>
        <w:tc>
          <w:tcPr>
            <w:tcW w:w="1131" w:type="dxa"/>
            <w:tcBorders>
              <w:top w:val="single" w:sz="12" w:space="0" w:color="auto"/>
              <w:left w:val="single" w:sz="6" w:space="0" w:color="auto"/>
              <w:bottom w:val="single" w:sz="6" w:space="0" w:color="auto"/>
              <w:right w:val="single" w:sz="6" w:space="0" w:color="auto"/>
            </w:tcBorders>
            <w:shd w:val="clear" w:color="auto" w:fill="FFC000"/>
            <w:vAlign w:val="center"/>
            <w:hideMark/>
          </w:tcPr>
          <w:p w14:paraId="5FF852F0" w14:textId="77777777" w:rsidR="00E550C8" w:rsidRPr="006F315E" w:rsidRDefault="00E550C8" w:rsidP="00AF191F">
            <w:pPr>
              <w:spacing w:before="100" w:beforeAutospacing="1" w:after="100" w:afterAutospacing="1" w:line="240" w:lineRule="auto"/>
              <w:rPr>
                <w:rFonts w:ascii="Calibri" w:eastAsia="Times New Roman" w:hAnsi="Calibri" w:cs="Calibri"/>
                <w:b/>
                <w:bCs/>
                <w:lang w:eastAsia="en-AU"/>
              </w:rPr>
            </w:pPr>
            <w:r w:rsidRPr="006F315E">
              <w:rPr>
                <w:rFonts w:ascii="Calibri" w:eastAsia="Times New Roman" w:hAnsi="Calibri" w:cs="Calibri"/>
                <w:b/>
                <w:bCs/>
                <w:lang w:eastAsia="en-AU"/>
              </w:rPr>
              <w:t>50.05-60.00</w:t>
            </w:r>
          </w:p>
        </w:tc>
        <w:tc>
          <w:tcPr>
            <w:tcW w:w="1131" w:type="dxa"/>
            <w:tcBorders>
              <w:top w:val="single" w:sz="12" w:space="0" w:color="auto"/>
              <w:left w:val="single" w:sz="6" w:space="0" w:color="auto"/>
              <w:bottom w:val="single" w:sz="6" w:space="0" w:color="auto"/>
              <w:right w:val="single" w:sz="6" w:space="0" w:color="auto"/>
            </w:tcBorders>
            <w:shd w:val="clear" w:color="auto" w:fill="FFC000"/>
            <w:vAlign w:val="center"/>
            <w:hideMark/>
          </w:tcPr>
          <w:p w14:paraId="5492A990" w14:textId="77777777" w:rsidR="00E550C8" w:rsidRPr="006F315E" w:rsidRDefault="00E550C8" w:rsidP="00AF191F">
            <w:pPr>
              <w:spacing w:before="100" w:beforeAutospacing="1" w:after="100" w:afterAutospacing="1" w:line="240" w:lineRule="auto"/>
              <w:rPr>
                <w:rFonts w:ascii="Calibri" w:eastAsia="Times New Roman" w:hAnsi="Calibri" w:cs="Calibri"/>
                <w:b/>
                <w:bCs/>
                <w:lang w:eastAsia="en-AU"/>
              </w:rPr>
            </w:pPr>
            <w:r w:rsidRPr="006F315E">
              <w:rPr>
                <w:rFonts w:ascii="Calibri" w:eastAsia="Times New Roman" w:hAnsi="Calibri" w:cs="Calibri"/>
                <w:b/>
                <w:bCs/>
                <w:lang w:eastAsia="en-AU"/>
              </w:rPr>
              <w:t>60.05-70.00</w:t>
            </w:r>
          </w:p>
        </w:tc>
        <w:tc>
          <w:tcPr>
            <w:tcW w:w="1273" w:type="dxa"/>
            <w:tcBorders>
              <w:top w:val="single" w:sz="12" w:space="0" w:color="auto"/>
              <w:left w:val="single" w:sz="6" w:space="0" w:color="auto"/>
              <w:bottom w:val="single" w:sz="6" w:space="0" w:color="auto"/>
              <w:right w:val="single" w:sz="6" w:space="0" w:color="auto"/>
            </w:tcBorders>
            <w:shd w:val="clear" w:color="auto" w:fill="FFC000"/>
            <w:vAlign w:val="center"/>
            <w:hideMark/>
          </w:tcPr>
          <w:p w14:paraId="197FD421" w14:textId="77777777" w:rsidR="00E550C8" w:rsidRPr="006F315E" w:rsidRDefault="00E550C8" w:rsidP="00AF191F">
            <w:pPr>
              <w:spacing w:before="100" w:beforeAutospacing="1" w:after="100" w:afterAutospacing="1" w:line="240" w:lineRule="auto"/>
              <w:rPr>
                <w:rFonts w:ascii="Calibri" w:eastAsia="Times New Roman" w:hAnsi="Calibri" w:cs="Calibri"/>
                <w:b/>
                <w:bCs/>
                <w:lang w:eastAsia="en-AU"/>
              </w:rPr>
            </w:pPr>
            <w:r w:rsidRPr="006F315E">
              <w:rPr>
                <w:rFonts w:ascii="Calibri" w:eastAsia="Times New Roman" w:hAnsi="Calibri" w:cs="Calibri"/>
                <w:b/>
                <w:bCs/>
                <w:lang w:eastAsia="en-AU"/>
              </w:rPr>
              <w:t>70.05-80.00</w:t>
            </w:r>
          </w:p>
        </w:tc>
        <w:tc>
          <w:tcPr>
            <w:tcW w:w="1131" w:type="dxa"/>
            <w:tcBorders>
              <w:top w:val="single" w:sz="12" w:space="0" w:color="auto"/>
              <w:left w:val="single" w:sz="6" w:space="0" w:color="auto"/>
              <w:bottom w:val="single" w:sz="6" w:space="0" w:color="auto"/>
              <w:right w:val="single" w:sz="6" w:space="0" w:color="auto"/>
            </w:tcBorders>
            <w:shd w:val="clear" w:color="auto" w:fill="FFC000"/>
            <w:vAlign w:val="center"/>
            <w:hideMark/>
          </w:tcPr>
          <w:p w14:paraId="57F9AF28" w14:textId="77777777" w:rsidR="00E550C8" w:rsidRPr="006F315E" w:rsidRDefault="00E550C8" w:rsidP="00AF191F">
            <w:pPr>
              <w:spacing w:before="100" w:beforeAutospacing="1" w:after="100" w:afterAutospacing="1" w:line="240" w:lineRule="auto"/>
              <w:rPr>
                <w:rFonts w:ascii="Calibri" w:eastAsia="Times New Roman" w:hAnsi="Calibri" w:cs="Calibri"/>
                <w:b/>
                <w:bCs/>
                <w:lang w:eastAsia="en-AU"/>
              </w:rPr>
            </w:pPr>
            <w:r w:rsidRPr="006F315E">
              <w:rPr>
                <w:rFonts w:ascii="Calibri" w:eastAsia="Times New Roman" w:hAnsi="Calibri" w:cs="Calibri"/>
                <w:b/>
                <w:bCs/>
                <w:lang w:eastAsia="en-AU"/>
              </w:rPr>
              <w:t>80.05-90.00</w:t>
            </w:r>
          </w:p>
        </w:tc>
        <w:tc>
          <w:tcPr>
            <w:tcW w:w="1131" w:type="dxa"/>
            <w:tcBorders>
              <w:top w:val="single" w:sz="12" w:space="0" w:color="auto"/>
              <w:left w:val="single" w:sz="6" w:space="0" w:color="auto"/>
              <w:bottom w:val="single" w:sz="6" w:space="0" w:color="auto"/>
              <w:right w:val="single" w:sz="6" w:space="0" w:color="auto"/>
            </w:tcBorders>
            <w:shd w:val="clear" w:color="auto" w:fill="FFC000"/>
            <w:vAlign w:val="center"/>
            <w:hideMark/>
          </w:tcPr>
          <w:p w14:paraId="20C18213" w14:textId="77777777" w:rsidR="00E550C8" w:rsidRPr="006F315E" w:rsidRDefault="00E550C8" w:rsidP="00AF191F">
            <w:pPr>
              <w:spacing w:before="100" w:beforeAutospacing="1" w:after="100" w:afterAutospacing="1" w:line="240" w:lineRule="auto"/>
              <w:rPr>
                <w:rFonts w:ascii="Calibri" w:eastAsia="Times New Roman" w:hAnsi="Calibri" w:cs="Calibri"/>
                <w:b/>
                <w:bCs/>
                <w:lang w:eastAsia="en-AU"/>
              </w:rPr>
            </w:pPr>
            <w:r w:rsidRPr="006F315E">
              <w:rPr>
                <w:rFonts w:ascii="Calibri" w:eastAsia="Times New Roman" w:hAnsi="Calibri" w:cs="Calibri"/>
                <w:b/>
                <w:bCs/>
                <w:lang w:eastAsia="en-AU"/>
              </w:rPr>
              <w:t>90.05 or more</w:t>
            </w:r>
          </w:p>
        </w:tc>
        <w:tc>
          <w:tcPr>
            <w:tcW w:w="1131" w:type="dxa"/>
            <w:tcBorders>
              <w:top w:val="single" w:sz="12" w:space="0" w:color="auto"/>
              <w:left w:val="single" w:sz="6" w:space="0" w:color="auto"/>
              <w:bottom w:val="single" w:sz="6" w:space="0" w:color="auto"/>
              <w:right w:val="single" w:sz="6" w:space="0" w:color="auto"/>
            </w:tcBorders>
            <w:shd w:val="clear" w:color="auto" w:fill="FFC000"/>
            <w:vAlign w:val="center"/>
          </w:tcPr>
          <w:p w14:paraId="3AA7E600" w14:textId="77777777" w:rsidR="00E550C8" w:rsidRPr="006F315E" w:rsidRDefault="00E550C8" w:rsidP="00AF191F">
            <w:pPr>
              <w:spacing w:before="100" w:beforeAutospacing="1" w:after="100" w:afterAutospacing="1" w:line="240" w:lineRule="auto"/>
              <w:rPr>
                <w:rFonts w:ascii="Calibri" w:eastAsia="Times New Roman" w:hAnsi="Calibri" w:cs="Calibri"/>
                <w:b/>
                <w:bCs/>
                <w:lang w:eastAsia="en-AU"/>
              </w:rPr>
            </w:pPr>
            <w:r w:rsidRPr="006F315E">
              <w:rPr>
                <w:rFonts w:ascii="Calibri" w:eastAsia="Times New Roman" w:hAnsi="Calibri" w:cs="Calibri"/>
                <w:b/>
                <w:bCs/>
                <w:lang w:eastAsia="en-AU"/>
              </w:rPr>
              <w:t>No ATAR/ Non-Yr 12</w:t>
            </w:r>
          </w:p>
        </w:tc>
        <w:tc>
          <w:tcPr>
            <w:tcW w:w="1164" w:type="dxa"/>
            <w:tcBorders>
              <w:top w:val="single" w:sz="12" w:space="0" w:color="auto"/>
              <w:left w:val="single" w:sz="6" w:space="0" w:color="auto"/>
              <w:bottom w:val="single" w:sz="6" w:space="0" w:color="auto"/>
              <w:right w:val="single" w:sz="4" w:space="0" w:color="auto"/>
            </w:tcBorders>
            <w:shd w:val="clear" w:color="auto" w:fill="FFC000"/>
            <w:vAlign w:val="center"/>
            <w:hideMark/>
          </w:tcPr>
          <w:p w14:paraId="562F5255" w14:textId="77777777" w:rsidR="00E550C8" w:rsidRPr="006F315E" w:rsidRDefault="00E550C8" w:rsidP="00AF191F">
            <w:pPr>
              <w:spacing w:before="100" w:beforeAutospacing="1" w:after="100" w:afterAutospacing="1" w:line="240" w:lineRule="auto"/>
              <w:rPr>
                <w:rFonts w:ascii="Calibri" w:eastAsia="Times New Roman" w:hAnsi="Calibri" w:cs="Calibri"/>
                <w:b/>
                <w:bCs/>
                <w:lang w:eastAsia="en-AU"/>
              </w:rPr>
            </w:pPr>
            <w:r w:rsidRPr="006F315E">
              <w:rPr>
                <w:rFonts w:ascii="Calibri" w:eastAsia="Times New Roman" w:hAnsi="Calibri" w:cs="Calibri"/>
                <w:b/>
                <w:bCs/>
                <w:lang w:eastAsia="en-AU"/>
              </w:rPr>
              <w:t>Total offers</w:t>
            </w:r>
          </w:p>
        </w:tc>
      </w:tr>
      <w:tr w:rsidR="00E550C8" w:rsidRPr="00341B17" w14:paraId="11F76C5B" w14:textId="77777777" w:rsidTr="00AF191F">
        <w:trPr>
          <w:trHeight w:hRule="exact" w:val="524"/>
          <w:tblHeader/>
        </w:trPr>
        <w:tc>
          <w:tcPr>
            <w:tcW w:w="1844" w:type="dxa"/>
            <w:tcBorders>
              <w:top w:val="single" w:sz="6" w:space="0" w:color="auto"/>
              <w:left w:val="single" w:sz="12" w:space="0" w:color="auto"/>
              <w:bottom w:val="single" w:sz="6" w:space="0" w:color="auto"/>
              <w:right w:val="single" w:sz="6" w:space="0" w:color="auto"/>
            </w:tcBorders>
            <w:noWrap/>
            <w:vAlign w:val="center"/>
            <w:hideMark/>
          </w:tcPr>
          <w:p w14:paraId="0C2F1911" w14:textId="77777777" w:rsidR="00E550C8" w:rsidRPr="006F315E" w:rsidRDefault="00E550C8" w:rsidP="00AF191F">
            <w:pPr>
              <w:spacing w:after="0" w:line="240" w:lineRule="auto"/>
              <w:rPr>
                <w:rFonts w:eastAsia="Times New Roman" w:cstheme="minorHAnsi"/>
                <w:bCs/>
                <w:sz w:val="16"/>
                <w:szCs w:val="16"/>
                <w:lang w:eastAsia="en-AU"/>
              </w:rPr>
            </w:pPr>
            <w:r w:rsidRPr="006F315E">
              <w:rPr>
                <w:rFonts w:eastAsia="Times New Roman" w:cstheme="minorHAnsi"/>
                <w:bCs/>
                <w:sz w:val="16"/>
                <w:szCs w:val="16"/>
                <w:lang w:eastAsia="en-AU"/>
              </w:rPr>
              <w:t>Natural and Physical Sciences</w:t>
            </w:r>
          </w:p>
        </w:tc>
        <w:tc>
          <w:tcPr>
            <w:tcW w:w="985" w:type="dxa"/>
            <w:tcBorders>
              <w:top w:val="single" w:sz="6" w:space="0" w:color="auto"/>
              <w:left w:val="single" w:sz="6" w:space="0" w:color="auto"/>
              <w:bottom w:val="single" w:sz="6" w:space="0" w:color="auto"/>
              <w:right w:val="single" w:sz="6" w:space="0" w:color="auto"/>
            </w:tcBorders>
            <w:noWrap/>
          </w:tcPr>
          <w:p w14:paraId="05E150C2" w14:textId="65B76019" w:rsidR="00E550C8" w:rsidRPr="00341B17" w:rsidRDefault="00E550C8"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375</w:t>
            </w:r>
          </w:p>
          <w:p w14:paraId="2FE3E311" w14:textId="6048D444" w:rsidR="00E550C8" w:rsidRPr="00341B17" w:rsidRDefault="00E550C8" w:rsidP="00AF191F">
            <w:pPr>
              <w:spacing w:after="0" w:line="240" w:lineRule="auto"/>
              <w:jc w:val="center"/>
              <w:rPr>
                <w:rFonts w:eastAsia="Times New Roman" w:cstheme="minorHAnsi"/>
                <w:bCs/>
                <w:sz w:val="16"/>
                <w:szCs w:val="16"/>
                <w:lang w:eastAsia="en-AU"/>
              </w:rPr>
            </w:pPr>
            <w:r w:rsidRPr="00341B17">
              <w:rPr>
                <w:rFonts w:eastAsia="Times New Roman" w:cstheme="minorHAnsi"/>
                <w:bCs/>
                <w:sz w:val="16"/>
                <w:szCs w:val="16"/>
                <w:lang w:eastAsia="en-AU"/>
              </w:rPr>
              <w:t>(</w:t>
            </w:r>
            <w:r>
              <w:rPr>
                <w:rFonts w:eastAsia="Times New Roman" w:cstheme="minorHAnsi"/>
                <w:bCs/>
                <w:sz w:val="16"/>
                <w:szCs w:val="16"/>
                <w:lang w:eastAsia="en-AU"/>
              </w:rPr>
              <w:t>1.2</w:t>
            </w:r>
            <w:r w:rsidRPr="00341B17">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548ACCAE" w14:textId="1BC86C2D" w:rsidR="00E550C8" w:rsidRPr="00341B17" w:rsidRDefault="00E550C8"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760</w:t>
            </w:r>
          </w:p>
          <w:p w14:paraId="6BDB1051" w14:textId="63F1F566" w:rsidR="00E550C8" w:rsidRPr="00341B17" w:rsidRDefault="00E550C8" w:rsidP="00AF191F">
            <w:pPr>
              <w:spacing w:after="0" w:line="240" w:lineRule="auto"/>
              <w:jc w:val="center"/>
              <w:rPr>
                <w:rFonts w:eastAsia="Times New Roman" w:cstheme="minorHAnsi"/>
                <w:bCs/>
                <w:sz w:val="16"/>
                <w:szCs w:val="16"/>
                <w:lang w:eastAsia="en-AU"/>
              </w:rPr>
            </w:pPr>
            <w:r w:rsidRPr="00341B17">
              <w:rPr>
                <w:rFonts w:eastAsia="Times New Roman" w:cstheme="minorHAnsi"/>
                <w:bCs/>
                <w:sz w:val="16"/>
                <w:szCs w:val="16"/>
                <w:lang w:eastAsia="en-AU"/>
              </w:rPr>
              <w:t>(</w:t>
            </w:r>
            <w:r>
              <w:rPr>
                <w:rFonts w:eastAsia="Times New Roman" w:cstheme="minorHAnsi"/>
                <w:bCs/>
                <w:sz w:val="16"/>
                <w:szCs w:val="16"/>
                <w:lang w:eastAsia="en-AU"/>
              </w:rPr>
              <w:t>2.5</w:t>
            </w:r>
            <w:r w:rsidRPr="00341B17">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4E0DDCD9" w14:textId="3744E511" w:rsidR="00E550C8" w:rsidRPr="00341B17" w:rsidRDefault="00E550C8" w:rsidP="00AF191F">
            <w:pPr>
              <w:spacing w:after="0" w:line="240" w:lineRule="auto"/>
              <w:jc w:val="center"/>
              <w:rPr>
                <w:rFonts w:eastAsia="Times New Roman" w:cstheme="minorHAnsi"/>
                <w:bCs/>
                <w:sz w:val="16"/>
                <w:szCs w:val="16"/>
                <w:lang w:eastAsia="en-AU"/>
              </w:rPr>
            </w:pPr>
            <w:r w:rsidRPr="00341B17">
              <w:rPr>
                <w:rFonts w:eastAsia="Times New Roman" w:cstheme="minorHAnsi"/>
                <w:bCs/>
                <w:sz w:val="16"/>
                <w:szCs w:val="16"/>
                <w:lang w:eastAsia="en-AU"/>
              </w:rPr>
              <w:t>1</w:t>
            </w:r>
            <w:r>
              <w:rPr>
                <w:rFonts w:eastAsia="Times New Roman" w:cstheme="minorHAnsi"/>
                <w:bCs/>
                <w:sz w:val="16"/>
                <w:szCs w:val="16"/>
                <w:lang w:eastAsia="en-AU"/>
              </w:rPr>
              <w:t>,407</w:t>
            </w:r>
          </w:p>
          <w:p w14:paraId="04DE608E" w14:textId="65CF26D2" w:rsidR="00E550C8" w:rsidRPr="00341B17" w:rsidRDefault="00E550C8" w:rsidP="00AF191F">
            <w:pPr>
              <w:spacing w:after="0" w:line="240" w:lineRule="auto"/>
              <w:jc w:val="center"/>
              <w:rPr>
                <w:rFonts w:eastAsia="Times New Roman" w:cstheme="minorHAnsi"/>
                <w:bCs/>
                <w:sz w:val="16"/>
                <w:szCs w:val="16"/>
                <w:lang w:eastAsia="en-AU"/>
              </w:rPr>
            </w:pPr>
            <w:r w:rsidRPr="00341B17">
              <w:rPr>
                <w:rFonts w:eastAsia="Times New Roman" w:cstheme="minorHAnsi"/>
                <w:bCs/>
                <w:sz w:val="16"/>
                <w:szCs w:val="16"/>
                <w:lang w:eastAsia="en-AU"/>
              </w:rPr>
              <w:t>(</w:t>
            </w:r>
            <w:r w:rsidR="00D97C8F">
              <w:rPr>
                <w:rFonts w:eastAsia="Times New Roman" w:cstheme="minorHAnsi"/>
                <w:bCs/>
                <w:sz w:val="16"/>
                <w:szCs w:val="16"/>
                <w:lang w:eastAsia="en-AU"/>
              </w:rPr>
              <w:t>4.6</w:t>
            </w:r>
            <w:r w:rsidRPr="00341B17">
              <w:rPr>
                <w:rFonts w:eastAsia="Times New Roman" w:cstheme="minorHAnsi"/>
                <w:bCs/>
                <w:sz w:val="16"/>
                <w:szCs w:val="16"/>
                <w:lang w:eastAsia="en-AU"/>
              </w:rPr>
              <w:t>%)</w:t>
            </w:r>
          </w:p>
        </w:tc>
        <w:tc>
          <w:tcPr>
            <w:tcW w:w="1273" w:type="dxa"/>
            <w:tcBorders>
              <w:top w:val="single" w:sz="6" w:space="0" w:color="auto"/>
              <w:left w:val="single" w:sz="6" w:space="0" w:color="auto"/>
              <w:bottom w:val="single" w:sz="6" w:space="0" w:color="auto"/>
              <w:right w:val="single" w:sz="6" w:space="0" w:color="auto"/>
            </w:tcBorders>
            <w:noWrap/>
          </w:tcPr>
          <w:p w14:paraId="622AD464" w14:textId="723EDF5C" w:rsidR="00E550C8" w:rsidRPr="00341B17" w:rsidRDefault="00E550C8" w:rsidP="00AF191F">
            <w:pPr>
              <w:spacing w:after="0" w:line="240" w:lineRule="auto"/>
              <w:jc w:val="center"/>
              <w:rPr>
                <w:rFonts w:eastAsia="Times New Roman" w:cstheme="minorHAnsi"/>
                <w:bCs/>
                <w:sz w:val="16"/>
                <w:szCs w:val="16"/>
                <w:lang w:eastAsia="en-AU"/>
              </w:rPr>
            </w:pPr>
            <w:r w:rsidRPr="00341B17">
              <w:rPr>
                <w:rFonts w:eastAsia="Times New Roman" w:cstheme="minorHAnsi"/>
                <w:bCs/>
                <w:sz w:val="16"/>
                <w:szCs w:val="16"/>
                <w:lang w:eastAsia="en-AU"/>
              </w:rPr>
              <w:t>2,</w:t>
            </w:r>
            <w:r>
              <w:rPr>
                <w:rFonts w:eastAsia="Times New Roman" w:cstheme="minorHAnsi"/>
                <w:bCs/>
                <w:sz w:val="16"/>
                <w:szCs w:val="16"/>
                <w:lang w:eastAsia="en-AU"/>
              </w:rPr>
              <w:t>278</w:t>
            </w:r>
          </w:p>
          <w:p w14:paraId="2022F1FF" w14:textId="3836F9EA" w:rsidR="00E550C8" w:rsidRPr="00341B17" w:rsidRDefault="00E550C8" w:rsidP="00AF191F">
            <w:pPr>
              <w:spacing w:after="0" w:line="240" w:lineRule="auto"/>
              <w:jc w:val="center"/>
              <w:rPr>
                <w:rFonts w:eastAsia="Times New Roman" w:cstheme="minorHAnsi"/>
                <w:bCs/>
                <w:sz w:val="16"/>
                <w:szCs w:val="16"/>
                <w:lang w:eastAsia="en-AU"/>
              </w:rPr>
            </w:pPr>
            <w:r w:rsidRPr="00341B17">
              <w:rPr>
                <w:rFonts w:eastAsia="Times New Roman" w:cstheme="minorHAnsi"/>
                <w:bCs/>
                <w:sz w:val="16"/>
                <w:szCs w:val="16"/>
                <w:lang w:eastAsia="en-AU"/>
              </w:rPr>
              <w:t>(</w:t>
            </w:r>
            <w:r w:rsidR="00D97C8F">
              <w:rPr>
                <w:rFonts w:eastAsia="Times New Roman" w:cstheme="minorHAnsi"/>
                <w:bCs/>
                <w:sz w:val="16"/>
                <w:szCs w:val="16"/>
                <w:lang w:eastAsia="en-AU"/>
              </w:rPr>
              <w:t>7.5</w:t>
            </w:r>
            <w:r w:rsidRPr="00341B17">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77AA8C2A" w14:textId="6392C4F7" w:rsidR="00E550C8" w:rsidRPr="00341B17" w:rsidRDefault="00E550C8"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3,604</w:t>
            </w:r>
          </w:p>
          <w:p w14:paraId="64D020DD" w14:textId="2319526C" w:rsidR="00E550C8" w:rsidRPr="00341B17" w:rsidRDefault="00E550C8" w:rsidP="00AF191F">
            <w:pPr>
              <w:spacing w:after="0" w:line="240" w:lineRule="auto"/>
              <w:jc w:val="center"/>
              <w:rPr>
                <w:rFonts w:eastAsia="Times New Roman" w:cstheme="minorHAnsi"/>
                <w:bCs/>
                <w:sz w:val="16"/>
                <w:szCs w:val="16"/>
                <w:lang w:eastAsia="en-AU"/>
              </w:rPr>
            </w:pPr>
            <w:r w:rsidRPr="00341B17">
              <w:rPr>
                <w:rFonts w:eastAsia="Times New Roman" w:cstheme="minorHAnsi"/>
                <w:bCs/>
                <w:sz w:val="16"/>
                <w:szCs w:val="16"/>
                <w:lang w:eastAsia="en-AU"/>
              </w:rPr>
              <w:t>(1</w:t>
            </w:r>
            <w:r w:rsidR="00D97C8F">
              <w:rPr>
                <w:rFonts w:eastAsia="Times New Roman" w:cstheme="minorHAnsi"/>
                <w:bCs/>
                <w:sz w:val="16"/>
                <w:szCs w:val="16"/>
                <w:lang w:eastAsia="en-AU"/>
              </w:rPr>
              <w:t>1.9</w:t>
            </w:r>
            <w:r w:rsidRPr="00341B17">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1F89B6FF" w14:textId="5966F0B8" w:rsidR="00E550C8" w:rsidRPr="00341B17" w:rsidRDefault="00E550C8" w:rsidP="00AF191F">
            <w:pPr>
              <w:spacing w:after="0" w:line="240" w:lineRule="auto"/>
              <w:jc w:val="center"/>
              <w:rPr>
                <w:rFonts w:eastAsia="Times New Roman" w:cstheme="minorHAnsi"/>
                <w:bCs/>
                <w:sz w:val="16"/>
                <w:szCs w:val="16"/>
                <w:lang w:eastAsia="en-AU"/>
              </w:rPr>
            </w:pPr>
            <w:r w:rsidRPr="00341B17">
              <w:rPr>
                <w:rFonts w:eastAsia="Times New Roman" w:cstheme="minorHAnsi"/>
                <w:bCs/>
                <w:sz w:val="16"/>
                <w:szCs w:val="16"/>
                <w:lang w:eastAsia="en-AU"/>
              </w:rPr>
              <w:t>5,</w:t>
            </w:r>
            <w:r>
              <w:rPr>
                <w:rFonts w:eastAsia="Times New Roman" w:cstheme="minorHAnsi"/>
                <w:bCs/>
                <w:sz w:val="16"/>
                <w:szCs w:val="16"/>
                <w:lang w:eastAsia="en-AU"/>
              </w:rPr>
              <w:t>875</w:t>
            </w:r>
          </w:p>
          <w:p w14:paraId="013E2005" w14:textId="0ACFCC40" w:rsidR="00E550C8" w:rsidRPr="00341B17" w:rsidRDefault="00E550C8" w:rsidP="00AF191F">
            <w:pPr>
              <w:spacing w:after="0" w:line="240" w:lineRule="auto"/>
              <w:jc w:val="center"/>
              <w:rPr>
                <w:rFonts w:eastAsia="Times New Roman" w:cstheme="minorHAnsi"/>
                <w:bCs/>
                <w:sz w:val="16"/>
                <w:szCs w:val="16"/>
                <w:lang w:eastAsia="en-AU"/>
              </w:rPr>
            </w:pPr>
            <w:r w:rsidRPr="00341B17">
              <w:rPr>
                <w:rFonts w:eastAsia="Times New Roman" w:cstheme="minorHAnsi"/>
                <w:bCs/>
                <w:sz w:val="16"/>
                <w:szCs w:val="16"/>
                <w:lang w:eastAsia="en-AU"/>
              </w:rPr>
              <w:t>(1</w:t>
            </w:r>
            <w:r w:rsidR="00D97C8F">
              <w:rPr>
                <w:rFonts w:eastAsia="Times New Roman" w:cstheme="minorHAnsi"/>
                <w:bCs/>
                <w:sz w:val="16"/>
                <w:szCs w:val="16"/>
                <w:lang w:eastAsia="en-AU"/>
              </w:rPr>
              <w:t>9.4</w:t>
            </w:r>
            <w:r w:rsidRPr="00341B17">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tcPr>
          <w:p w14:paraId="475F08F4" w14:textId="6ADDC819" w:rsidR="00E550C8" w:rsidRPr="00341B17" w:rsidRDefault="00E550C8"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15,992</w:t>
            </w:r>
          </w:p>
          <w:p w14:paraId="23E747C5" w14:textId="0B11395D" w:rsidR="00E550C8" w:rsidRPr="00341B17" w:rsidRDefault="00E550C8" w:rsidP="00AF191F">
            <w:pPr>
              <w:spacing w:after="0" w:line="240" w:lineRule="auto"/>
              <w:jc w:val="center"/>
              <w:rPr>
                <w:rFonts w:eastAsia="Times New Roman" w:cstheme="minorHAnsi"/>
                <w:bCs/>
                <w:sz w:val="16"/>
                <w:szCs w:val="16"/>
                <w:lang w:eastAsia="en-AU"/>
              </w:rPr>
            </w:pPr>
            <w:r w:rsidRPr="00341B17">
              <w:rPr>
                <w:rFonts w:eastAsia="Times New Roman" w:cstheme="minorHAnsi"/>
                <w:bCs/>
                <w:sz w:val="16"/>
                <w:szCs w:val="16"/>
                <w:lang w:eastAsia="en-AU"/>
              </w:rPr>
              <w:t>(</w:t>
            </w:r>
            <w:r w:rsidR="00D97C8F">
              <w:rPr>
                <w:rFonts w:eastAsia="Times New Roman" w:cstheme="minorHAnsi"/>
                <w:bCs/>
                <w:sz w:val="16"/>
                <w:szCs w:val="16"/>
                <w:lang w:eastAsia="en-AU"/>
              </w:rPr>
              <w:t>52.8</w:t>
            </w:r>
            <w:r w:rsidRPr="00341B17">
              <w:rPr>
                <w:rFonts w:eastAsia="Times New Roman" w:cstheme="minorHAnsi"/>
                <w:bCs/>
                <w:sz w:val="16"/>
                <w:szCs w:val="16"/>
                <w:lang w:eastAsia="en-AU"/>
              </w:rPr>
              <w:t>%)</w:t>
            </w:r>
          </w:p>
        </w:tc>
        <w:tc>
          <w:tcPr>
            <w:tcW w:w="1164" w:type="dxa"/>
            <w:tcBorders>
              <w:top w:val="single" w:sz="6" w:space="0" w:color="auto"/>
              <w:left w:val="single" w:sz="6" w:space="0" w:color="auto"/>
              <w:bottom w:val="single" w:sz="6" w:space="0" w:color="auto"/>
              <w:right w:val="single" w:sz="4" w:space="0" w:color="auto"/>
            </w:tcBorders>
            <w:noWrap/>
          </w:tcPr>
          <w:p w14:paraId="7AB9084F" w14:textId="6F43A782" w:rsidR="00E550C8" w:rsidRPr="00341B17" w:rsidRDefault="00E550C8" w:rsidP="00AF191F">
            <w:pPr>
              <w:spacing w:after="0" w:line="240" w:lineRule="auto"/>
              <w:jc w:val="center"/>
              <w:rPr>
                <w:rFonts w:eastAsia="Times New Roman" w:cstheme="minorHAnsi"/>
                <w:bCs/>
                <w:sz w:val="16"/>
                <w:szCs w:val="16"/>
                <w:lang w:eastAsia="en-AU"/>
              </w:rPr>
            </w:pPr>
            <w:r w:rsidRPr="00341B17">
              <w:rPr>
                <w:rFonts w:eastAsia="Times New Roman" w:cstheme="minorHAnsi"/>
                <w:bCs/>
                <w:sz w:val="16"/>
                <w:szCs w:val="16"/>
                <w:lang w:eastAsia="en-AU"/>
              </w:rPr>
              <w:t>30,</w:t>
            </w:r>
            <w:r>
              <w:rPr>
                <w:rFonts w:eastAsia="Times New Roman" w:cstheme="minorHAnsi"/>
                <w:bCs/>
                <w:sz w:val="16"/>
                <w:szCs w:val="16"/>
                <w:lang w:eastAsia="en-AU"/>
              </w:rPr>
              <w:t>291</w:t>
            </w:r>
          </w:p>
          <w:p w14:paraId="2780C44C" w14:textId="77777777" w:rsidR="00E550C8" w:rsidRPr="00341B17" w:rsidRDefault="00E550C8" w:rsidP="00AF191F">
            <w:pPr>
              <w:spacing w:after="0" w:line="240" w:lineRule="auto"/>
              <w:jc w:val="center"/>
              <w:rPr>
                <w:rFonts w:eastAsia="Times New Roman" w:cstheme="minorHAnsi"/>
                <w:bCs/>
                <w:sz w:val="16"/>
                <w:szCs w:val="16"/>
                <w:lang w:eastAsia="en-AU"/>
              </w:rPr>
            </w:pPr>
            <w:r w:rsidRPr="00341B17">
              <w:rPr>
                <w:rFonts w:eastAsia="Times New Roman" w:cstheme="minorHAnsi"/>
                <w:bCs/>
                <w:sz w:val="16"/>
                <w:szCs w:val="16"/>
                <w:lang w:eastAsia="en-AU"/>
              </w:rPr>
              <w:t>(100.0%)</w:t>
            </w:r>
          </w:p>
        </w:tc>
      </w:tr>
      <w:tr w:rsidR="00E550C8" w:rsidRPr="00DD2259" w14:paraId="69F8C612" w14:textId="77777777" w:rsidTr="00AF191F">
        <w:trPr>
          <w:trHeight w:hRule="exact" w:val="524"/>
          <w:tblHeader/>
        </w:trPr>
        <w:tc>
          <w:tcPr>
            <w:tcW w:w="1844" w:type="dxa"/>
            <w:tcBorders>
              <w:top w:val="single" w:sz="6" w:space="0" w:color="auto"/>
              <w:left w:val="single" w:sz="12" w:space="0" w:color="auto"/>
              <w:bottom w:val="single" w:sz="6" w:space="0" w:color="auto"/>
              <w:right w:val="single" w:sz="6" w:space="0" w:color="auto"/>
            </w:tcBorders>
            <w:noWrap/>
            <w:vAlign w:val="center"/>
            <w:hideMark/>
          </w:tcPr>
          <w:p w14:paraId="5C04A33E" w14:textId="77777777" w:rsidR="00E550C8" w:rsidRPr="006F315E" w:rsidRDefault="00E550C8" w:rsidP="00AF191F">
            <w:pPr>
              <w:spacing w:after="0" w:line="240" w:lineRule="auto"/>
              <w:rPr>
                <w:rFonts w:eastAsia="Times New Roman" w:cstheme="minorHAnsi"/>
                <w:bCs/>
                <w:sz w:val="16"/>
                <w:szCs w:val="16"/>
                <w:lang w:eastAsia="en-AU"/>
              </w:rPr>
            </w:pPr>
            <w:r w:rsidRPr="006F315E">
              <w:rPr>
                <w:rFonts w:eastAsia="Times New Roman" w:cstheme="minorHAnsi"/>
                <w:bCs/>
                <w:sz w:val="16"/>
                <w:szCs w:val="16"/>
                <w:lang w:eastAsia="en-AU"/>
              </w:rPr>
              <w:t>Information Technology</w:t>
            </w:r>
          </w:p>
        </w:tc>
        <w:tc>
          <w:tcPr>
            <w:tcW w:w="985" w:type="dxa"/>
            <w:tcBorders>
              <w:top w:val="single" w:sz="6" w:space="0" w:color="auto"/>
              <w:left w:val="single" w:sz="6" w:space="0" w:color="auto"/>
              <w:bottom w:val="single" w:sz="6" w:space="0" w:color="auto"/>
              <w:right w:val="single" w:sz="6" w:space="0" w:color="auto"/>
            </w:tcBorders>
            <w:noWrap/>
          </w:tcPr>
          <w:p w14:paraId="38F7669A" w14:textId="37C2F2F8" w:rsidR="00E550C8" w:rsidRPr="00DD2259" w:rsidRDefault="00D97C8F"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259</w:t>
            </w:r>
          </w:p>
          <w:p w14:paraId="0627FD10" w14:textId="16BE5B84"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w:t>
            </w:r>
            <w:r w:rsidR="00D97C8F">
              <w:rPr>
                <w:rFonts w:eastAsia="Times New Roman" w:cstheme="minorHAnsi"/>
                <w:bCs/>
                <w:sz w:val="16"/>
                <w:szCs w:val="16"/>
                <w:lang w:eastAsia="en-AU"/>
              </w:rPr>
              <w:t>2.4</w:t>
            </w:r>
            <w:r w:rsidRPr="00DD2259">
              <w:rPr>
                <w:rFonts w:eastAsia="Times New Roman" w:cstheme="minorHAnsi"/>
                <w:bCs/>
                <w:sz w:val="16"/>
                <w:szCs w:val="16"/>
                <w:lang w:eastAsia="en-AU"/>
              </w:rPr>
              <w:t>%</w:t>
            </w:r>
            <w:r>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4723FD7E" w14:textId="32DBA1FC" w:rsidR="00E550C8" w:rsidRPr="00DD2259" w:rsidRDefault="00D97C8F"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484</w:t>
            </w:r>
          </w:p>
          <w:p w14:paraId="4AC0AAD5" w14:textId="56921BFF"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w:t>
            </w:r>
            <w:r w:rsidR="00D97C8F">
              <w:rPr>
                <w:rFonts w:eastAsia="Times New Roman" w:cstheme="minorHAnsi"/>
                <w:bCs/>
                <w:sz w:val="16"/>
                <w:szCs w:val="16"/>
                <w:lang w:eastAsia="en-AU"/>
              </w:rPr>
              <w:t>4.5</w:t>
            </w:r>
            <w:r w:rsidRPr="00DD2259">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5C6681F9" w14:textId="19360C38"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7</w:t>
            </w:r>
            <w:r w:rsidR="00D97C8F">
              <w:rPr>
                <w:rFonts w:eastAsia="Times New Roman" w:cstheme="minorHAnsi"/>
                <w:bCs/>
                <w:sz w:val="16"/>
                <w:szCs w:val="16"/>
                <w:lang w:eastAsia="en-AU"/>
              </w:rPr>
              <w:t>73</w:t>
            </w:r>
          </w:p>
          <w:p w14:paraId="63950A11" w14:textId="6FCC7F30" w:rsidR="00E550C8" w:rsidRPr="00DD2259" w:rsidRDefault="00E550C8" w:rsidP="00AF191F">
            <w:pPr>
              <w:spacing w:after="0" w:line="240" w:lineRule="auto"/>
              <w:rPr>
                <w:rFonts w:eastAsia="Times New Roman" w:cstheme="minorHAnsi"/>
                <w:bCs/>
                <w:sz w:val="16"/>
                <w:szCs w:val="16"/>
                <w:lang w:eastAsia="en-AU"/>
              </w:rPr>
            </w:pPr>
            <w:r>
              <w:rPr>
                <w:rFonts w:eastAsia="Times New Roman" w:cstheme="minorHAnsi"/>
                <w:bCs/>
                <w:sz w:val="16"/>
                <w:szCs w:val="16"/>
                <w:lang w:eastAsia="en-AU"/>
              </w:rPr>
              <w:t xml:space="preserve">       </w:t>
            </w:r>
            <w:r w:rsidRPr="00DD2259">
              <w:rPr>
                <w:rFonts w:eastAsia="Times New Roman" w:cstheme="minorHAnsi"/>
                <w:bCs/>
                <w:sz w:val="16"/>
                <w:szCs w:val="16"/>
                <w:lang w:eastAsia="en-AU"/>
              </w:rPr>
              <w:t>(</w:t>
            </w:r>
            <w:r w:rsidR="00D97C8F">
              <w:rPr>
                <w:rFonts w:eastAsia="Times New Roman" w:cstheme="minorHAnsi"/>
                <w:bCs/>
                <w:sz w:val="16"/>
                <w:szCs w:val="16"/>
                <w:lang w:eastAsia="en-AU"/>
              </w:rPr>
              <w:t>7.2</w:t>
            </w:r>
            <w:r w:rsidRPr="00DD2259">
              <w:rPr>
                <w:rFonts w:eastAsia="Times New Roman" w:cstheme="minorHAnsi"/>
                <w:bCs/>
                <w:sz w:val="16"/>
                <w:szCs w:val="16"/>
                <w:lang w:eastAsia="en-AU"/>
              </w:rPr>
              <w:t>%)</w:t>
            </w:r>
          </w:p>
        </w:tc>
        <w:tc>
          <w:tcPr>
            <w:tcW w:w="1273" w:type="dxa"/>
            <w:tcBorders>
              <w:top w:val="single" w:sz="6" w:space="0" w:color="auto"/>
              <w:left w:val="single" w:sz="6" w:space="0" w:color="auto"/>
              <w:bottom w:val="single" w:sz="6" w:space="0" w:color="auto"/>
              <w:right w:val="single" w:sz="6" w:space="0" w:color="auto"/>
            </w:tcBorders>
            <w:noWrap/>
          </w:tcPr>
          <w:p w14:paraId="67B01B7E" w14:textId="6D5FCAAE"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8</w:t>
            </w:r>
            <w:r w:rsidR="00D97C8F">
              <w:rPr>
                <w:rFonts w:eastAsia="Times New Roman" w:cstheme="minorHAnsi"/>
                <w:bCs/>
                <w:sz w:val="16"/>
                <w:szCs w:val="16"/>
                <w:lang w:eastAsia="en-AU"/>
              </w:rPr>
              <w:t>68</w:t>
            </w:r>
          </w:p>
          <w:p w14:paraId="6A1BB17F" w14:textId="6D8D891E"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w:t>
            </w:r>
            <w:r w:rsidR="00D97C8F">
              <w:rPr>
                <w:rFonts w:eastAsia="Times New Roman" w:cstheme="minorHAnsi"/>
                <w:bCs/>
                <w:sz w:val="16"/>
                <w:szCs w:val="16"/>
                <w:lang w:eastAsia="en-AU"/>
              </w:rPr>
              <w:t>8.1</w:t>
            </w:r>
            <w:r w:rsidRPr="00DD2259">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43755796" w14:textId="32C1A331" w:rsidR="00E550C8" w:rsidRPr="00DD2259" w:rsidRDefault="00D97C8F"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888</w:t>
            </w:r>
          </w:p>
          <w:p w14:paraId="07ADF867" w14:textId="42ED26CC"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(8.</w:t>
            </w:r>
            <w:r w:rsidR="00D97C8F">
              <w:rPr>
                <w:rFonts w:eastAsia="Times New Roman" w:cstheme="minorHAnsi"/>
                <w:bCs/>
                <w:sz w:val="16"/>
                <w:szCs w:val="16"/>
                <w:lang w:eastAsia="en-AU"/>
              </w:rPr>
              <w:t>2</w:t>
            </w:r>
            <w:r w:rsidRPr="00DD2259">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381F31E7" w14:textId="75CA2AF7" w:rsidR="00E550C8" w:rsidRPr="00DD2259" w:rsidRDefault="00D97C8F"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937</w:t>
            </w:r>
          </w:p>
          <w:p w14:paraId="1FCA4462" w14:textId="155D9816"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w:t>
            </w:r>
            <w:r w:rsidR="00D97C8F">
              <w:rPr>
                <w:rFonts w:eastAsia="Times New Roman" w:cstheme="minorHAnsi"/>
                <w:bCs/>
                <w:sz w:val="16"/>
                <w:szCs w:val="16"/>
                <w:lang w:eastAsia="en-AU"/>
              </w:rPr>
              <w:t>8.7</w:t>
            </w:r>
            <w:r w:rsidRPr="00DD2259">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tcPr>
          <w:p w14:paraId="2DAE38CC" w14:textId="537649AC" w:rsidR="00E550C8" w:rsidRPr="00DD2259" w:rsidRDefault="00D97C8F"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6,561</w:t>
            </w:r>
          </w:p>
          <w:p w14:paraId="0FC5B1BE" w14:textId="34A594C9"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w:t>
            </w:r>
            <w:r w:rsidR="00D97C8F">
              <w:rPr>
                <w:rFonts w:eastAsia="Times New Roman" w:cstheme="minorHAnsi"/>
                <w:bCs/>
                <w:sz w:val="16"/>
                <w:szCs w:val="16"/>
                <w:lang w:eastAsia="en-AU"/>
              </w:rPr>
              <w:t>60.9</w:t>
            </w:r>
            <w:r w:rsidRPr="00DD2259">
              <w:rPr>
                <w:rFonts w:eastAsia="Times New Roman" w:cstheme="minorHAnsi"/>
                <w:bCs/>
                <w:sz w:val="16"/>
                <w:szCs w:val="16"/>
                <w:lang w:eastAsia="en-AU"/>
              </w:rPr>
              <w:t>%)</w:t>
            </w:r>
          </w:p>
        </w:tc>
        <w:tc>
          <w:tcPr>
            <w:tcW w:w="1164" w:type="dxa"/>
            <w:tcBorders>
              <w:top w:val="single" w:sz="6" w:space="0" w:color="auto"/>
              <w:left w:val="single" w:sz="6" w:space="0" w:color="auto"/>
              <w:bottom w:val="single" w:sz="6" w:space="0" w:color="auto"/>
              <w:right w:val="single" w:sz="4" w:space="0" w:color="auto"/>
            </w:tcBorders>
            <w:noWrap/>
          </w:tcPr>
          <w:p w14:paraId="2E409260" w14:textId="11C7F687" w:rsidR="00E550C8" w:rsidRPr="00DD2259" w:rsidRDefault="00D97C8F"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10,770</w:t>
            </w:r>
          </w:p>
          <w:p w14:paraId="7E3C4A3B" w14:textId="77777777"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(100.0%)</w:t>
            </w:r>
          </w:p>
        </w:tc>
      </w:tr>
      <w:tr w:rsidR="00E550C8" w:rsidRPr="00DD2259" w14:paraId="275FC3B3" w14:textId="77777777" w:rsidTr="00AF191F">
        <w:trPr>
          <w:trHeight w:hRule="exact" w:val="524"/>
          <w:tblHeader/>
        </w:trPr>
        <w:tc>
          <w:tcPr>
            <w:tcW w:w="1844" w:type="dxa"/>
            <w:tcBorders>
              <w:top w:val="single" w:sz="6" w:space="0" w:color="auto"/>
              <w:left w:val="single" w:sz="12" w:space="0" w:color="auto"/>
              <w:bottom w:val="single" w:sz="6" w:space="0" w:color="auto"/>
              <w:right w:val="single" w:sz="6" w:space="0" w:color="auto"/>
            </w:tcBorders>
            <w:noWrap/>
            <w:vAlign w:val="center"/>
            <w:hideMark/>
          </w:tcPr>
          <w:p w14:paraId="07D39E7F" w14:textId="77777777" w:rsidR="00E550C8" w:rsidRPr="006F315E" w:rsidRDefault="00E550C8" w:rsidP="00AF191F">
            <w:pPr>
              <w:spacing w:after="0" w:line="240" w:lineRule="auto"/>
              <w:rPr>
                <w:rFonts w:eastAsia="Times New Roman" w:cstheme="minorHAnsi"/>
                <w:bCs/>
                <w:sz w:val="16"/>
                <w:szCs w:val="16"/>
                <w:lang w:eastAsia="en-AU"/>
              </w:rPr>
            </w:pPr>
            <w:r w:rsidRPr="006F315E">
              <w:rPr>
                <w:rFonts w:eastAsia="Times New Roman" w:cstheme="minorHAnsi"/>
                <w:bCs/>
                <w:sz w:val="16"/>
                <w:szCs w:val="16"/>
                <w:lang w:eastAsia="en-AU"/>
              </w:rPr>
              <w:t xml:space="preserve">Engineering </w:t>
            </w:r>
          </w:p>
        </w:tc>
        <w:tc>
          <w:tcPr>
            <w:tcW w:w="985" w:type="dxa"/>
            <w:tcBorders>
              <w:top w:val="single" w:sz="6" w:space="0" w:color="auto"/>
              <w:left w:val="single" w:sz="6" w:space="0" w:color="auto"/>
              <w:bottom w:val="single" w:sz="6" w:space="0" w:color="auto"/>
              <w:right w:val="single" w:sz="6" w:space="0" w:color="auto"/>
            </w:tcBorders>
            <w:noWrap/>
          </w:tcPr>
          <w:p w14:paraId="59EAC096" w14:textId="7C9C7FF0" w:rsidR="00D97C8F" w:rsidRDefault="00D97C8F"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251</w:t>
            </w:r>
          </w:p>
          <w:p w14:paraId="702B9F55" w14:textId="609F533D"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(1.</w:t>
            </w:r>
            <w:r w:rsidR="00201001">
              <w:rPr>
                <w:rFonts w:eastAsia="Times New Roman" w:cstheme="minorHAnsi"/>
                <w:bCs/>
                <w:sz w:val="16"/>
                <w:szCs w:val="16"/>
                <w:lang w:eastAsia="en-AU"/>
              </w:rPr>
              <w:t>2</w:t>
            </w:r>
            <w:r w:rsidRPr="00DD2259">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548C693A" w14:textId="495ADEEB" w:rsidR="00E550C8" w:rsidRPr="00DD2259" w:rsidRDefault="00D97C8F"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501</w:t>
            </w:r>
          </w:p>
          <w:p w14:paraId="29ADBEE6" w14:textId="2428141E"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(2.</w:t>
            </w:r>
            <w:r w:rsidR="00201001">
              <w:rPr>
                <w:rFonts w:eastAsia="Times New Roman" w:cstheme="minorHAnsi"/>
                <w:bCs/>
                <w:sz w:val="16"/>
                <w:szCs w:val="16"/>
                <w:lang w:eastAsia="en-AU"/>
              </w:rPr>
              <w:t>3</w:t>
            </w:r>
            <w:r w:rsidRPr="00DD2259">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09813574" w14:textId="6D35E9F1" w:rsidR="00E550C8" w:rsidRPr="00DD2259" w:rsidRDefault="00D97C8F"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1,042</w:t>
            </w:r>
          </w:p>
          <w:p w14:paraId="3CEC69F3" w14:textId="77777777"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(4.8%)</w:t>
            </w:r>
          </w:p>
        </w:tc>
        <w:tc>
          <w:tcPr>
            <w:tcW w:w="1273" w:type="dxa"/>
            <w:tcBorders>
              <w:top w:val="single" w:sz="6" w:space="0" w:color="auto"/>
              <w:left w:val="single" w:sz="6" w:space="0" w:color="auto"/>
              <w:bottom w:val="single" w:sz="6" w:space="0" w:color="auto"/>
              <w:right w:val="single" w:sz="6" w:space="0" w:color="auto"/>
            </w:tcBorders>
            <w:noWrap/>
          </w:tcPr>
          <w:p w14:paraId="54A95BB4" w14:textId="6DCE1899"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1,</w:t>
            </w:r>
            <w:r w:rsidR="00D97C8F">
              <w:rPr>
                <w:rFonts w:eastAsia="Times New Roman" w:cstheme="minorHAnsi"/>
                <w:bCs/>
                <w:sz w:val="16"/>
                <w:szCs w:val="16"/>
                <w:lang w:eastAsia="en-AU"/>
              </w:rPr>
              <w:t>935</w:t>
            </w:r>
          </w:p>
          <w:p w14:paraId="002FECB9" w14:textId="2DE630A5"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w:t>
            </w:r>
            <w:r w:rsidR="00201001">
              <w:rPr>
                <w:rFonts w:eastAsia="Times New Roman" w:cstheme="minorHAnsi"/>
                <w:bCs/>
                <w:sz w:val="16"/>
                <w:szCs w:val="16"/>
                <w:lang w:eastAsia="en-AU"/>
              </w:rPr>
              <w:t>9.0</w:t>
            </w:r>
            <w:r w:rsidRPr="00DD2259">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49993100" w14:textId="38FAF9E9" w:rsidR="00E550C8" w:rsidRPr="00DD2259" w:rsidRDefault="00D97C8F"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3,391</w:t>
            </w:r>
          </w:p>
          <w:p w14:paraId="14F9A4E5" w14:textId="53FA81EB"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(15.</w:t>
            </w:r>
            <w:r w:rsidR="00201001">
              <w:rPr>
                <w:rFonts w:eastAsia="Times New Roman" w:cstheme="minorHAnsi"/>
                <w:bCs/>
                <w:sz w:val="16"/>
                <w:szCs w:val="16"/>
                <w:lang w:eastAsia="en-AU"/>
              </w:rPr>
              <w:t>7</w:t>
            </w:r>
            <w:r w:rsidRPr="00DD2259">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4837A987" w14:textId="46F132B7" w:rsidR="00E550C8" w:rsidRPr="00DD2259" w:rsidRDefault="00D97C8F"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5,165</w:t>
            </w:r>
          </w:p>
          <w:p w14:paraId="1A6F6CB2" w14:textId="0C428202"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(2</w:t>
            </w:r>
            <w:r w:rsidR="00201001">
              <w:rPr>
                <w:rFonts w:eastAsia="Times New Roman" w:cstheme="minorHAnsi"/>
                <w:bCs/>
                <w:sz w:val="16"/>
                <w:szCs w:val="16"/>
                <w:lang w:eastAsia="en-AU"/>
              </w:rPr>
              <w:t>4.0</w:t>
            </w:r>
            <w:r w:rsidRPr="00DD2259">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tcPr>
          <w:p w14:paraId="3FA9BB89" w14:textId="56EB6BC1" w:rsidR="00E550C8" w:rsidRPr="00DD2259" w:rsidRDefault="00201001"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9,262</w:t>
            </w:r>
          </w:p>
          <w:p w14:paraId="6D8C4C8F" w14:textId="4E140D62"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(4</w:t>
            </w:r>
            <w:r w:rsidR="00201001">
              <w:rPr>
                <w:rFonts w:eastAsia="Times New Roman" w:cstheme="minorHAnsi"/>
                <w:bCs/>
                <w:sz w:val="16"/>
                <w:szCs w:val="16"/>
                <w:lang w:eastAsia="en-AU"/>
              </w:rPr>
              <w:t>3.0</w:t>
            </w:r>
            <w:r w:rsidRPr="00DD2259">
              <w:rPr>
                <w:rFonts w:eastAsia="Times New Roman" w:cstheme="minorHAnsi"/>
                <w:bCs/>
                <w:sz w:val="16"/>
                <w:szCs w:val="16"/>
                <w:lang w:eastAsia="en-AU"/>
              </w:rPr>
              <w:t>%)</w:t>
            </w:r>
          </w:p>
        </w:tc>
        <w:tc>
          <w:tcPr>
            <w:tcW w:w="1164" w:type="dxa"/>
            <w:tcBorders>
              <w:top w:val="single" w:sz="6" w:space="0" w:color="auto"/>
              <w:left w:val="single" w:sz="6" w:space="0" w:color="auto"/>
              <w:bottom w:val="single" w:sz="6" w:space="0" w:color="auto"/>
              <w:right w:val="single" w:sz="4" w:space="0" w:color="auto"/>
            </w:tcBorders>
            <w:noWrap/>
          </w:tcPr>
          <w:p w14:paraId="3A620954" w14:textId="58A5F7E4" w:rsidR="00E550C8" w:rsidRPr="00DD2259" w:rsidRDefault="00201001"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21,547</w:t>
            </w:r>
          </w:p>
          <w:p w14:paraId="5E0CAD43" w14:textId="77777777"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(100.0%</w:t>
            </w:r>
          </w:p>
        </w:tc>
      </w:tr>
      <w:tr w:rsidR="00E550C8" w:rsidRPr="00DD2259" w14:paraId="55F1346F" w14:textId="77777777" w:rsidTr="00AF191F">
        <w:trPr>
          <w:trHeight w:hRule="exact" w:val="524"/>
          <w:tblHeader/>
        </w:trPr>
        <w:tc>
          <w:tcPr>
            <w:tcW w:w="1844" w:type="dxa"/>
            <w:tcBorders>
              <w:top w:val="single" w:sz="6" w:space="0" w:color="auto"/>
              <w:left w:val="single" w:sz="12" w:space="0" w:color="auto"/>
              <w:bottom w:val="single" w:sz="6" w:space="0" w:color="auto"/>
              <w:right w:val="single" w:sz="6" w:space="0" w:color="auto"/>
            </w:tcBorders>
            <w:noWrap/>
            <w:vAlign w:val="center"/>
            <w:hideMark/>
          </w:tcPr>
          <w:p w14:paraId="1FE37422" w14:textId="77777777" w:rsidR="00E550C8" w:rsidRPr="006F315E" w:rsidRDefault="00E550C8" w:rsidP="00AF191F">
            <w:pPr>
              <w:spacing w:after="0" w:line="240" w:lineRule="auto"/>
              <w:rPr>
                <w:rFonts w:eastAsia="Times New Roman" w:cstheme="minorHAnsi"/>
                <w:bCs/>
                <w:sz w:val="16"/>
                <w:szCs w:val="16"/>
                <w:lang w:eastAsia="en-AU"/>
              </w:rPr>
            </w:pPr>
            <w:r w:rsidRPr="006F315E">
              <w:rPr>
                <w:rFonts w:eastAsia="Times New Roman" w:cstheme="minorHAnsi"/>
                <w:bCs/>
                <w:sz w:val="16"/>
                <w:szCs w:val="16"/>
                <w:lang w:eastAsia="en-AU"/>
              </w:rPr>
              <w:t xml:space="preserve">Architecture </w:t>
            </w:r>
          </w:p>
        </w:tc>
        <w:tc>
          <w:tcPr>
            <w:tcW w:w="985" w:type="dxa"/>
            <w:tcBorders>
              <w:top w:val="single" w:sz="6" w:space="0" w:color="auto"/>
              <w:left w:val="single" w:sz="6" w:space="0" w:color="auto"/>
              <w:bottom w:val="single" w:sz="6" w:space="0" w:color="auto"/>
              <w:right w:val="single" w:sz="6" w:space="0" w:color="auto"/>
            </w:tcBorders>
            <w:noWrap/>
          </w:tcPr>
          <w:p w14:paraId="73EB087A" w14:textId="02858182" w:rsidR="00E550C8" w:rsidRPr="00DD2259" w:rsidRDefault="00201001"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209</w:t>
            </w:r>
          </w:p>
          <w:p w14:paraId="1AB11F24" w14:textId="2789429B"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w:t>
            </w:r>
            <w:r w:rsidR="00201001">
              <w:rPr>
                <w:rFonts w:eastAsia="Times New Roman" w:cstheme="minorHAnsi"/>
                <w:bCs/>
                <w:sz w:val="16"/>
                <w:szCs w:val="16"/>
                <w:lang w:eastAsia="en-AU"/>
              </w:rPr>
              <w:t>2.6</w:t>
            </w:r>
            <w:r w:rsidRPr="00DD2259">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1804746F" w14:textId="64AEEF97"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3</w:t>
            </w:r>
            <w:r w:rsidR="00201001">
              <w:rPr>
                <w:rFonts w:eastAsia="Times New Roman" w:cstheme="minorHAnsi"/>
                <w:bCs/>
                <w:sz w:val="16"/>
                <w:szCs w:val="16"/>
                <w:lang w:eastAsia="en-AU"/>
              </w:rPr>
              <w:t>43</w:t>
            </w:r>
          </w:p>
          <w:p w14:paraId="7DF37D51" w14:textId="52BFA05E"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w:t>
            </w:r>
            <w:r w:rsidR="00201001">
              <w:rPr>
                <w:rFonts w:eastAsia="Times New Roman" w:cstheme="minorHAnsi"/>
                <w:bCs/>
                <w:sz w:val="16"/>
                <w:szCs w:val="16"/>
                <w:lang w:eastAsia="en-AU"/>
              </w:rPr>
              <w:t>4.3</w:t>
            </w:r>
            <w:r w:rsidRPr="00DD2259">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011B9912" w14:textId="0132259B" w:rsidR="00E550C8" w:rsidRPr="00DD2259" w:rsidRDefault="00201001"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665</w:t>
            </w:r>
          </w:p>
          <w:p w14:paraId="1ACBF8C5" w14:textId="42DFA59D"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w:t>
            </w:r>
            <w:r w:rsidR="00201001">
              <w:rPr>
                <w:rFonts w:eastAsia="Times New Roman" w:cstheme="minorHAnsi"/>
                <w:bCs/>
                <w:sz w:val="16"/>
                <w:szCs w:val="16"/>
                <w:lang w:eastAsia="en-AU"/>
              </w:rPr>
              <w:t>8.3</w:t>
            </w:r>
            <w:r w:rsidRPr="00DD2259">
              <w:rPr>
                <w:rFonts w:eastAsia="Times New Roman" w:cstheme="minorHAnsi"/>
                <w:bCs/>
                <w:sz w:val="16"/>
                <w:szCs w:val="16"/>
                <w:lang w:eastAsia="en-AU"/>
              </w:rPr>
              <w:t>%)</w:t>
            </w:r>
          </w:p>
        </w:tc>
        <w:tc>
          <w:tcPr>
            <w:tcW w:w="1273" w:type="dxa"/>
            <w:tcBorders>
              <w:top w:val="single" w:sz="6" w:space="0" w:color="auto"/>
              <w:left w:val="single" w:sz="6" w:space="0" w:color="auto"/>
              <w:bottom w:val="single" w:sz="6" w:space="0" w:color="auto"/>
              <w:right w:val="single" w:sz="6" w:space="0" w:color="auto"/>
            </w:tcBorders>
            <w:noWrap/>
          </w:tcPr>
          <w:p w14:paraId="1E135E02" w14:textId="1E367E4B" w:rsidR="00E550C8" w:rsidRPr="00DD2259" w:rsidRDefault="00201001"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963</w:t>
            </w:r>
          </w:p>
          <w:p w14:paraId="680A39CB" w14:textId="14F2685D"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(1</w:t>
            </w:r>
            <w:r w:rsidR="00201001">
              <w:rPr>
                <w:rFonts w:eastAsia="Times New Roman" w:cstheme="minorHAnsi"/>
                <w:bCs/>
                <w:sz w:val="16"/>
                <w:szCs w:val="16"/>
                <w:lang w:eastAsia="en-AU"/>
              </w:rPr>
              <w:t>2</w:t>
            </w:r>
            <w:r w:rsidRPr="00DD2259">
              <w:rPr>
                <w:rFonts w:eastAsia="Times New Roman" w:cstheme="minorHAnsi"/>
                <w:bCs/>
                <w:sz w:val="16"/>
                <w:szCs w:val="16"/>
                <w:lang w:eastAsia="en-AU"/>
              </w:rPr>
              <w:t>.0%)</w:t>
            </w:r>
          </w:p>
        </w:tc>
        <w:tc>
          <w:tcPr>
            <w:tcW w:w="1131" w:type="dxa"/>
            <w:tcBorders>
              <w:top w:val="single" w:sz="6" w:space="0" w:color="auto"/>
              <w:left w:val="single" w:sz="6" w:space="0" w:color="auto"/>
              <w:bottom w:val="single" w:sz="6" w:space="0" w:color="auto"/>
              <w:right w:val="single" w:sz="6" w:space="0" w:color="auto"/>
            </w:tcBorders>
            <w:noWrap/>
          </w:tcPr>
          <w:p w14:paraId="6B5818BE" w14:textId="3FBFFB9F" w:rsidR="00E550C8" w:rsidRPr="00DD2259" w:rsidRDefault="00201001"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1,017</w:t>
            </w:r>
          </w:p>
          <w:p w14:paraId="2DBA1A13" w14:textId="393C1EF8"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(1</w:t>
            </w:r>
            <w:r w:rsidR="00201001">
              <w:rPr>
                <w:rFonts w:eastAsia="Times New Roman" w:cstheme="minorHAnsi"/>
                <w:bCs/>
                <w:sz w:val="16"/>
                <w:szCs w:val="16"/>
                <w:lang w:eastAsia="en-AU"/>
              </w:rPr>
              <w:t>2</w:t>
            </w:r>
            <w:r w:rsidRPr="00DD2259">
              <w:rPr>
                <w:rFonts w:eastAsia="Times New Roman" w:cstheme="minorHAnsi"/>
                <w:bCs/>
                <w:sz w:val="16"/>
                <w:szCs w:val="16"/>
                <w:lang w:eastAsia="en-AU"/>
              </w:rPr>
              <w:t>.</w:t>
            </w:r>
            <w:r w:rsidR="00201001">
              <w:rPr>
                <w:rFonts w:eastAsia="Times New Roman" w:cstheme="minorHAnsi"/>
                <w:bCs/>
                <w:sz w:val="16"/>
                <w:szCs w:val="16"/>
                <w:lang w:eastAsia="en-AU"/>
              </w:rPr>
              <w:t>6</w:t>
            </w:r>
            <w:r w:rsidRPr="00DD2259">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578717DA" w14:textId="4C99771A" w:rsidR="00E550C8" w:rsidRPr="00DD2259" w:rsidRDefault="00201001"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658</w:t>
            </w:r>
          </w:p>
          <w:p w14:paraId="74AAF4F0" w14:textId="1D2D073D"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(8.</w:t>
            </w:r>
            <w:r w:rsidR="00201001">
              <w:rPr>
                <w:rFonts w:eastAsia="Times New Roman" w:cstheme="minorHAnsi"/>
                <w:bCs/>
                <w:sz w:val="16"/>
                <w:szCs w:val="16"/>
                <w:lang w:eastAsia="en-AU"/>
              </w:rPr>
              <w:t>2</w:t>
            </w:r>
            <w:r w:rsidRPr="00DD2259">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tcPr>
          <w:p w14:paraId="5D8386DC" w14:textId="24B002FC" w:rsidR="00E550C8" w:rsidRPr="00DD2259" w:rsidRDefault="00201001"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4,189</w:t>
            </w:r>
          </w:p>
          <w:p w14:paraId="19D98083" w14:textId="7EFF78DB"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(5</w:t>
            </w:r>
            <w:r w:rsidR="00201001">
              <w:rPr>
                <w:rFonts w:eastAsia="Times New Roman" w:cstheme="minorHAnsi"/>
                <w:bCs/>
                <w:sz w:val="16"/>
                <w:szCs w:val="16"/>
                <w:lang w:eastAsia="en-AU"/>
              </w:rPr>
              <w:t>2</w:t>
            </w:r>
            <w:r w:rsidRPr="00DD2259">
              <w:rPr>
                <w:rFonts w:eastAsia="Times New Roman" w:cstheme="minorHAnsi"/>
                <w:bCs/>
                <w:sz w:val="16"/>
                <w:szCs w:val="16"/>
                <w:lang w:eastAsia="en-AU"/>
              </w:rPr>
              <w:t>.</w:t>
            </w:r>
            <w:r w:rsidR="00201001">
              <w:rPr>
                <w:rFonts w:eastAsia="Times New Roman" w:cstheme="minorHAnsi"/>
                <w:bCs/>
                <w:sz w:val="16"/>
                <w:szCs w:val="16"/>
                <w:lang w:eastAsia="en-AU"/>
              </w:rPr>
              <w:t>1</w:t>
            </w:r>
            <w:r w:rsidRPr="00DD2259">
              <w:rPr>
                <w:rFonts w:eastAsia="Times New Roman" w:cstheme="minorHAnsi"/>
                <w:bCs/>
                <w:sz w:val="16"/>
                <w:szCs w:val="16"/>
                <w:lang w:eastAsia="en-AU"/>
              </w:rPr>
              <w:t>%)</w:t>
            </w:r>
          </w:p>
        </w:tc>
        <w:tc>
          <w:tcPr>
            <w:tcW w:w="1164" w:type="dxa"/>
            <w:tcBorders>
              <w:top w:val="single" w:sz="6" w:space="0" w:color="auto"/>
              <w:left w:val="single" w:sz="6" w:space="0" w:color="auto"/>
              <w:bottom w:val="single" w:sz="6" w:space="0" w:color="auto"/>
              <w:right w:val="single" w:sz="4" w:space="0" w:color="auto"/>
            </w:tcBorders>
            <w:noWrap/>
          </w:tcPr>
          <w:p w14:paraId="4823EC38" w14:textId="2C85800F" w:rsidR="00E550C8" w:rsidRPr="00DD2259" w:rsidRDefault="00201001"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8,044</w:t>
            </w:r>
          </w:p>
          <w:p w14:paraId="2529F6E3" w14:textId="77777777"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(100.0%)</w:t>
            </w:r>
          </w:p>
        </w:tc>
      </w:tr>
      <w:tr w:rsidR="00E550C8" w:rsidRPr="00DD2259" w14:paraId="18650AE9" w14:textId="77777777" w:rsidTr="00AF191F">
        <w:trPr>
          <w:trHeight w:hRule="exact" w:val="524"/>
          <w:tblHeader/>
        </w:trPr>
        <w:tc>
          <w:tcPr>
            <w:tcW w:w="1844" w:type="dxa"/>
            <w:tcBorders>
              <w:top w:val="single" w:sz="6" w:space="0" w:color="auto"/>
              <w:left w:val="single" w:sz="12" w:space="0" w:color="auto"/>
              <w:bottom w:val="single" w:sz="6" w:space="0" w:color="auto"/>
              <w:right w:val="single" w:sz="6" w:space="0" w:color="auto"/>
            </w:tcBorders>
            <w:noWrap/>
            <w:vAlign w:val="center"/>
            <w:hideMark/>
          </w:tcPr>
          <w:p w14:paraId="21757B97" w14:textId="77777777" w:rsidR="00E550C8" w:rsidRPr="00DD2259" w:rsidRDefault="00E550C8" w:rsidP="00AF191F">
            <w:pPr>
              <w:spacing w:after="0" w:line="240" w:lineRule="auto"/>
              <w:rPr>
                <w:rFonts w:eastAsia="Times New Roman" w:cstheme="minorHAnsi"/>
                <w:bCs/>
                <w:sz w:val="16"/>
                <w:szCs w:val="16"/>
                <w:lang w:eastAsia="en-AU"/>
              </w:rPr>
            </w:pPr>
            <w:r w:rsidRPr="00DD2259">
              <w:rPr>
                <w:rFonts w:eastAsia="Times New Roman" w:cstheme="minorHAnsi"/>
                <w:bCs/>
                <w:sz w:val="16"/>
                <w:szCs w:val="16"/>
                <w:lang w:eastAsia="en-AU"/>
              </w:rPr>
              <w:t>Agriculture</w:t>
            </w:r>
          </w:p>
        </w:tc>
        <w:tc>
          <w:tcPr>
            <w:tcW w:w="985" w:type="dxa"/>
            <w:tcBorders>
              <w:top w:val="single" w:sz="6" w:space="0" w:color="auto"/>
              <w:left w:val="single" w:sz="6" w:space="0" w:color="auto"/>
              <w:bottom w:val="single" w:sz="6" w:space="0" w:color="auto"/>
              <w:right w:val="single" w:sz="6" w:space="0" w:color="auto"/>
            </w:tcBorders>
            <w:noWrap/>
          </w:tcPr>
          <w:p w14:paraId="33130D99" w14:textId="513EACBF" w:rsidR="00E550C8" w:rsidRPr="00DD2259" w:rsidRDefault="00201001"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49</w:t>
            </w:r>
          </w:p>
          <w:p w14:paraId="7CFD73D4" w14:textId="6DF8B367"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w:t>
            </w:r>
            <w:r w:rsidR="00201001">
              <w:rPr>
                <w:rFonts w:eastAsia="Times New Roman" w:cstheme="minorHAnsi"/>
                <w:bCs/>
                <w:sz w:val="16"/>
                <w:szCs w:val="16"/>
                <w:lang w:eastAsia="en-AU"/>
              </w:rPr>
              <w:t>1.1</w:t>
            </w:r>
            <w:r w:rsidRPr="00DD2259">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225196A3" w14:textId="2F8228F1"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1</w:t>
            </w:r>
            <w:r w:rsidR="00201001">
              <w:rPr>
                <w:rFonts w:eastAsia="Times New Roman" w:cstheme="minorHAnsi"/>
                <w:bCs/>
                <w:sz w:val="16"/>
                <w:szCs w:val="16"/>
                <w:lang w:eastAsia="en-AU"/>
              </w:rPr>
              <w:t>12</w:t>
            </w:r>
          </w:p>
          <w:p w14:paraId="2F0CA031" w14:textId="548BDA6C"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w:t>
            </w:r>
            <w:r w:rsidR="00201001">
              <w:rPr>
                <w:rFonts w:eastAsia="Times New Roman" w:cstheme="minorHAnsi"/>
                <w:bCs/>
                <w:sz w:val="16"/>
                <w:szCs w:val="16"/>
                <w:lang w:eastAsia="en-AU"/>
              </w:rPr>
              <w:t>2.5</w:t>
            </w:r>
            <w:r w:rsidRPr="00DD2259">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126A3B64" w14:textId="43F78FAB"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2</w:t>
            </w:r>
            <w:r w:rsidR="00201001">
              <w:rPr>
                <w:rFonts w:eastAsia="Times New Roman" w:cstheme="minorHAnsi"/>
                <w:bCs/>
                <w:sz w:val="16"/>
                <w:szCs w:val="16"/>
                <w:lang w:eastAsia="en-AU"/>
              </w:rPr>
              <w:t>19</w:t>
            </w:r>
          </w:p>
          <w:p w14:paraId="107518AA" w14:textId="013DEA48"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w:t>
            </w:r>
            <w:r w:rsidR="00201001">
              <w:rPr>
                <w:rFonts w:eastAsia="Times New Roman" w:cstheme="minorHAnsi"/>
                <w:bCs/>
                <w:sz w:val="16"/>
                <w:szCs w:val="16"/>
                <w:lang w:eastAsia="en-AU"/>
              </w:rPr>
              <w:t>4.9</w:t>
            </w:r>
            <w:r w:rsidRPr="00DD2259">
              <w:rPr>
                <w:rFonts w:eastAsia="Times New Roman" w:cstheme="minorHAnsi"/>
                <w:bCs/>
                <w:sz w:val="16"/>
                <w:szCs w:val="16"/>
                <w:lang w:eastAsia="en-AU"/>
              </w:rPr>
              <w:t>%)</w:t>
            </w:r>
          </w:p>
        </w:tc>
        <w:tc>
          <w:tcPr>
            <w:tcW w:w="1273" w:type="dxa"/>
            <w:tcBorders>
              <w:top w:val="single" w:sz="6" w:space="0" w:color="auto"/>
              <w:left w:val="single" w:sz="6" w:space="0" w:color="auto"/>
              <w:bottom w:val="single" w:sz="6" w:space="0" w:color="auto"/>
              <w:right w:val="single" w:sz="6" w:space="0" w:color="auto"/>
            </w:tcBorders>
            <w:noWrap/>
          </w:tcPr>
          <w:p w14:paraId="773FE11C" w14:textId="3C0F0BD4" w:rsidR="00E550C8" w:rsidRPr="00DD2259" w:rsidRDefault="00201001"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356</w:t>
            </w:r>
          </w:p>
          <w:p w14:paraId="68ABE794" w14:textId="4F0AD3F2"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w:t>
            </w:r>
            <w:r w:rsidR="00EC10FA">
              <w:rPr>
                <w:rFonts w:eastAsia="Times New Roman" w:cstheme="minorHAnsi"/>
                <w:bCs/>
                <w:sz w:val="16"/>
                <w:szCs w:val="16"/>
                <w:lang w:eastAsia="en-AU"/>
              </w:rPr>
              <w:t>8.0</w:t>
            </w:r>
            <w:r w:rsidRPr="00DD2259">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25E01513" w14:textId="1A5546AE" w:rsidR="00E550C8" w:rsidRPr="00DD2259" w:rsidRDefault="00201001"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337</w:t>
            </w:r>
          </w:p>
          <w:p w14:paraId="20953A7E" w14:textId="5C26BA63"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w:t>
            </w:r>
            <w:r w:rsidR="00EC10FA">
              <w:rPr>
                <w:rFonts w:eastAsia="Times New Roman" w:cstheme="minorHAnsi"/>
                <w:bCs/>
                <w:sz w:val="16"/>
                <w:szCs w:val="16"/>
                <w:lang w:eastAsia="en-AU"/>
              </w:rPr>
              <w:t>7.5</w:t>
            </w:r>
            <w:r w:rsidRPr="00DD2259">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17F1BD48" w14:textId="33C7EABA"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1</w:t>
            </w:r>
            <w:r w:rsidR="00201001">
              <w:rPr>
                <w:rFonts w:eastAsia="Times New Roman" w:cstheme="minorHAnsi"/>
                <w:bCs/>
                <w:sz w:val="16"/>
                <w:szCs w:val="16"/>
                <w:lang w:eastAsia="en-AU"/>
              </w:rPr>
              <w:t>70</w:t>
            </w:r>
          </w:p>
          <w:p w14:paraId="2FF72DE7" w14:textId="27FCD71B"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w:t>
            </w:r>
            <w:r w:rsidR="00EC10FA">
              <w:rPr>
                <w:rFonts w:eastAsia="Times New Roman" w:cstheme="minorHAnsi"/>
                <w:bCs/>
                <w:sz w:val="16"/>
                <w:szCs w:val="16"/>
                <w:lang w:eastAsia="en-AU"/>
              </w:rPr>
              <w:t>3.8</w:t>
            </w:r>
            <w:r w:rsidRPr="00DD2259">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tcPr>
          <w:p w14:paraId="38A8B9FB" w14:textId="2E29600B" w:rsidR="00E550C8" w:rsidRPr="00DD2259" w:rsidRDefault="00201001"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3,232</w:t>
            </w:r>
          </w:p>
          <w:p w14:paraId="3BF39B77" w14:textId="4ECFC9EF"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w:t>
            </w:r>
            <w:r w:rsidR="00EC10FA">
              <w:rPr>
                <w:rFonts w:eastAsia="Times New Roman" w:cstheme="minorHAnsi"/>
                <w:bCs/>
                <w:sz w:val="16"/>
                <w:szCs w:val="16"/>
                <w:lang w:eastAsia="en-AU"/>
              </w:rPr>
              <w:t>72.2</w:t>
            </w:r>
            <w:r w:rsidRPr="00DD2259">
              <w:rPr>
                <w:rFonts w:eastAsia="Times New Roman" w:cstheme="minorHAnsi"/>
                <w:bCs/>
                <w:sz w:val="16"/>
                <w:szCs w:val="16"/>
                <w:lang w:eastAsia="en-AU"/>
              </w:rPr>
              <w:t>%)</w:t>
            </w:r>
          </w:p>
        </w:tc>
        <w:tc>
          <w:tcPr>
            <w:tcW w:w="1164" w:type="dxa"/>
            <w:tcBorders>
              <w:top w:val="single" w:sz="6" w:space="0" w:color="auto"/>
              <w:left w:val="single" w:sz="6" w:space="0" w:color="auto"/>
              <w:bottom w:val="single" w:sz="6" w:space="0" w:color="auto"/>
              <w:right w:val="single" w:sz="4" w:space="0" w:color="auto"/>
            </w:tcBorders>
            <w:noWrap/>
          </w:tcPr>
          <w:p w14:paraId="0B9FF070" w14:textId="4E6FAAE1"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4,</w:t>
            </w:r>
            <w:r w:rsidR="00201001">
              <w:rPr>
                <w:rFonts w:eastAsia="Times New Roman" w:cstheme="minorHAnsi"/>
                <w:bCs/>
                <w:sz w:val="16"/>
                <w:szCs w:val="16"/>
                <w:lang w:eastAsia="en-AU"/>
              </w:rPr>
              <w:t>475</w:t>
            </w:r>
          </w:p>
          <w:p w14:paraId="11D7A1C0" w14:textId="77777777"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(100.0%)</w:t>
            </w:r>
          </w:p>
        </w:tc>
      </w:tr>
      <w:tr w:rsidR="00E550C8" w:rsidRPr="00DD2259" w14:paraId="27E087C4" w14:textId="77777777" w:rsidTr="00AF191F">
        <w:trPr>
          <w:trHeight w:hRule="exact" w:val="524"/>
          <w:tblHeader/>
        </w:trPr>
        <w:tc>
          <w:tcPr>
            <w:tcW w:w="1844" w:type="dxa"/>
            <w:tcBorders>
              <w:top w:val="single" w:sz="6" w:space="0" w:color="auto"/>
              <w:left w:val="single" w:sz="12" w:space="0" w:color="auto"/>
              <w:bottom w:val="single" w:sz="6" w:space="0" w:color="auto"/>
              <w:right w:val="single" w:sz="6" w:space="0" w:color="auto"/>
            </w:tcBorders>
            <w:noWrap/>
            <w:vAlign w:val="center"/>
            <w:hideMark/>
          </w:tcPr>
          <w:p w14:paraId="77603D0C" w14:textId="77777777" w:rsidR="00E550C8" w:rsidRPr="006F315E" w:rsidRDefault="00E550C8" w:rsidP="00AF191F">
            <w:pPr>
              <w:spacing w:after="0" w:line="240" w:lineRule="auto"/>
              <w:rPr>
                <w:rFonts w:eastAsia="Times New Roman" w:cstheme="minorHAnsi"/>
                <w:bCs/>
                <w:sz w:val="16"/>
                <w:szCs w:val="16"/>
                <w:lang w:eastAsia="en-AU"/>
              </w:rPr>
            </w:pPr>
            <w:r w:rsidRPr="006F315E">
              <w:rPr>
                <w:rFonts w:eastAsia="Times New Roman" w:cstheme="minorHAnsi"/>
                <w:bCs/>
                <w:sz w:val="16"/>
                <w:szCs w:val="16"/>
                <w:lang w:eastAsia="en-AU"/>
              </w:rPr>
              <w:t>Health</w:t>
            </w:r>
          </w:p>
        </w:tc>
        <w:tc>
          <w:tcPr>
            <w:tcW w:w="985" w:type="dxa"/>
            <w:tcBorders>
              <w:top w:val="single" w:sz="6" w:space="0" w:color="auto"/>
              <w:left w:val="single" w:sz="6" w:space="0" w:color="auto"/>
              <w:bottom w:val="single" w:sz="6" w:space="0" w:color="auto"/>
              <w:right w:val="single" w:sz="6" w:space="0" w:color="auto"/>
            </w:tcBorders>
            <w:noWrap/>
          </w:tcPr>
          <w:p w14:paraId="4212DC3C" w14:textId="7B891740"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1,</w:t>
            </w:r>
            <w:r w:rsidR="00EC10FA">
              <w:rPr>
                <w:rFonts w:eastAsia="Times New Roman" w:cstheme="minorHAnsi"/>
                <w:bCs/>
                <w:sz w:val="16"/>
                <w:szCs w:val="16"/>
                <w:lang w:eastAsia="en-AU"/>
              </w:rPr>
              <w:t>222</w:t>
            </w:r>
          </w:p>
          <w:p w14:paraId="6897D2C5" w14:textId="47913F77"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w:t>
            </w:r>
            <w:r w:rsidR="00EC10FA">
              <w:rPr>
                <w:rFonts w:eastAsia="Times New Roman" w:cstheme="minorHAnsi"/>
                <w:bCs/>
                <w:sz w:val="16"/>
                <w:szCs w:val="16"/>
                <w:lang w:eastAsia="en-AU"/>
              </w:rPr>
              <w:t>1.9</w:t>
            </w:r>
            <w:r w:rsidRPr="00DD2259">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237DBBC4" w14:textId="6C62D4D7" w:rsidR="00E550C8" w:rsidRPr="00DD2259" w:rsidRDefault="00EC10FA"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1,952</w:t>
            </w:r>
          </w:p>
          <w:p w14:paraId="29990CC5" w14:textId="6B3C5D4D"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w:t>
            </w:r>
            <w:r w:rsidR="00EC10FA">
              <w:rPr>
                <w:rFonts w:eastAsia="Times New Roman" w:cstheme="minorHAnsi"/>
                <w:bCs/>
                <w:sz w:val="16"/>
                <w:szCs w:val="16"/>
                <w:lang w:eastAsia="en-AU"/>
              </w:rPr>
              <w:t>3.1</w:t>
            </w:r>
            <w:r w:rsidRPr="00DD2259">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6F8BAEBD" w14:textId="71EC5B70" w:rsidR="00E550C8" w:rsidRPr="00DD2259" w:rsidRDefault="00EC10FA"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3,189</w:t>
            </w:r>
          </w:p>
          <w:p w14:paraId="5CBB8C4F" w14:textId="392C6946"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(5.</w:t>
            </w:r>
            <w:r w:rsidR="00EC10FA">
              <w:rPr>
                <w:rFonts w:eastAsia="Times New Roman" w:cstheme="minorHAnsi"/>
                <w:bCs/>
                <w:sz w:val="16"/>
                <w:szCs w:val="16"/>
                <w:lang w:eastAsia="en-AU"/>
              </w:rPr>
              <w:t>0</w:t>
            </w:r>
            <w:r w:rsidRPr="00DD2259">
              <w:rPr>
                <w:rFonts w:eastAsia="Times New Roman" w:cstheme="minorHAnsi"/>
                <w:bCs/>
                <w:sz w:val="16"/>
                <w:szCs w:val="16"/>
                <w:lang w:eastAsia="en-AU"/>
              </w:rPr>
              <w:t>%)</w:t>
            </w:r>
          </w:p>
        </w:tc>
        <w:tc>
          <w:tcPr>
            <w:tcW w:w="1273" w:type="dxa"/>
            <w:tcBorders>
              <w:top w:val="single" w:sz="6" w:space="0" w:color="auto"/>
              <w:left w:val="single" w:sz="6" w:space="0" w:color="auto"/>
              <w:bottom w:val="single" w:sz="6" w:space="0" w:color="auto"/>
              <w:right w:val="single" w:sz="6" w:space="0" w:color="auto"/>
            </w:tcBorders>
            <w:noWrap/>
          </w:tcPr>
          <w:p w14:paraId="22029216" w14:textId="7FE08E2A" w:rsidR="00E550C8" w:rsidRPr="00DD2259" w:rsidRDefault="00EC10FA"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4,351</w:t>
            </w:r>
          </w:p>
          <w:p w14:paraId="57AB123C" w14:textId="77777777"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(6.8%)</w:t>
            </w:r>
          </w:p>
        </w:tc>
        <w:tc>
          <w:tcPr>
            <w:tcW w:w="1131" w:type="dxa"/>
            <w:tcBorders>
              <w:top w:val="single" w:sz="6" w:space="0" w:color="auto"/>
              <w:left w:val="single" w:sz="6" w:space="0" w:color="auto"/>
              <w:bottom w:val="single" w:sz="6" w:space="0" w:color="auto"/>
              <w:right w:val="single" w:sz="6" w:space="0" w:color="auto"/>
            </w:tcBorders>
            <w:noWrap/>
          </w:tcPr>
          <w:p w14:paraId="58E76322" w14:textId="7138C970"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4</w:t>
            </w:r>
            <w:r w:rsidR="00EC10FA">
              <w:rPr>
                <w:rFonts w:eastAsia="Times New Roman" w:cstheme="minorHAnsi"/>
                <w:bCs/>
                <w:sz w:val="16"/>
                <w:szCs w:val="16"/>
                <w:lang w:eastAsia="en-AU"/>
              </w:rPr>
              <w:t>,850</w:t>
            </w:r>
          </w:p>
          <w:p w14:paraId="3FD2F94D" w14:textId="6D01DEB2"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(7.</w:t>
            </w:r>
            <w:r w:rsidR="00EC10FA">
              <w:rPr>
                <w:rFonts w:eastAsia="Times New Roman" w:cstheme="minorHAnsi"/>
                <w:bCs/>
                <w:sz w:val="16"/>
                <w:szCs w:val="16"/>
                <w:lang w:eastAsia="en-AU"/>
              </w:rPr>
              <w:t>6</w:t>
            </w:r>
            <w:r w:rsidRPr="00DD2259">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1BB2D2AC" w14:textId="3A1C9314" w:rsidR="00E550C8" w:rsidRPr="00DD2259" w:rsidRDefault="00EC10FA"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5,476</w:t>
            </w:r>
          </w:p>
          <w:p w14:paraId="3648BFD7" w14:textId="11B45B3B"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w:t>
            </w:r>
            <w:r w:rsidR="00EC10FA">
              <w:rPr>
                <w:rFonts w:eastAsia="Times New Roman" w:cstheme="minorHAnsi"/>
                <w:bCs/>
                <w:sz w:val="16"/>
                <w:szCs w:val="16"/>
                <w:lang w:eastAsia="en-AU"/>
              </w:rPr>
              <w:t>8.6</w:t>
            </w:r>
            <w:r w:rsidRPr="00DD2259">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tcPr>
          <w:p w14:paraId="1FF46D27" w14:textId="51310F83" w:rsidR="00E550C8" w:rsidRPr="00DD2259" w:rsidRDefault="00EC10FA"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42,560</w:t>
            </w:r>
          </w:p>
          <w:p w14:paraId="7F0C4708" w14:textId="71FF80BB"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(6</w:t>
            </w:r>
            <w:r w:rsidR="00EC10FA">
              <w:rPr>
                <w:rFonts w:eastAsia="Times New Roman" w:cstheme="minorHAnsi"/>
                <w:bCs/>
                <w:sz w:val="16"/>
                <w:szCs w:val="16"/>
                <w:lang w:eastAsia="en-AU"/>
              </w:rPr>
              <w:t>6.9</w:t>
            </w:r>
            <w:r w:rsidRPr="00DD2259">
              <w:rPr>
                <w:rFonts w:eastAsia="Times New Roman" w:cstheme="minorHAnsi"/>
                <w:bCs/>
                <w:sz w:val="16"/>
                <w:szCs w:val="16"/>
                <w:lang w:eastAsia="en-AU"/>
              </w:rPr>
              <w:t>%)</w:t>
            </w:r>
          </w:p>
        </w:tc>
        <w:tc>
          <w:tcPr>
            <w:tcW w:w="1164" w:type="dxa"/>
            <w:tcBorders>
              <w:top w:val="single" w:sz="6" w:space="0" w:color="auto"/>
              <w:left w:val="single" w:sz="6" w:space="0" w:color="auto"/>
              <w:bottom w:val="single" w:sz="6" w:space="0" w:color="auto"/>
              <w:right w:val="single" w:sz="4" w:space="0" w:color="auto"/>
            </w:tcBorders>
            <w:noWrap/>
          </w:tcPr>
          <w:p w14:paraId="150E0441" w14:textId="652C80FE" w:rsidR="00E550C8" w:rsidRPr="00DD2259" w:rsidRDefault="00EC10FA"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63,600</w:t>
            </w:r>
          </w:p>
          <w:p w14:paraId="55C5FF50" w14:textId="77777777" w:rsidR="00E550C8" w:rsidRPr="00DD2259" w:rsidRDefault="00E550C8" w:rsidP="00AF191F">
            <w:pPr>
              <w:spacing w:after="0" w:line="240" w:lineRule="auto"/>
              <w:jc w:val="center"/>
              <w:rPr>
                <w:rFonts w:eastAsia="Times New Roman" w:cstheme="minorHAnsi"/>
                <w:bCs/>
                <w:sz w:val="16"/>
                <w:szCs w:val="16"/>
                <w:lang w:eastAsia="en-AU"/>
              </w:rPr>
            </w:pPr>
            <w:r w:rsidRPr="00DD2259">
              <w:rPr>
                <w:rFonts w:eastAsia="Times New Roman" w:cstheme="minorHAnsi"/>
                <w:bCs/>
                <w:sz w:val="16"/>
                <w:szCs w:val="16"/>
                <w:lang w:eastAsia="en-AU"/>
              </w:rPr>
              <w:t>(100.0%)</w:t>
            </w:r>
          </w:p>
        </w:tc>
      </w:tr>
      <w:tr w:rsidR="00E550C8" w:rsidRPr="001C43EF" w14:paraId="5CD3C5C7" w14:textId="77777777" w:rsidTr="00AF191F">
        <w:trPr>
          <w:trHeight w:hRule="exact" w:val="524"/>
          <w:tblHeader/>
        </w:trPr>
        <w:tc>
          <w:tcPr>
            <w:tcW w:w="1844" w:type="dxa"/>
            <w:tcBorders>
              <w:top w:val="single" w:sz="6" w:space="0" w:color="auto"/>
              <w:left w:val="single" w:sz="12" w:space="0" w:color="auto"/>
              <w:bottom w:val="single" w:sz="6" w:space="0" w:color="auto"/>
              <w:right w:val="single" w:sz="6" w:space="0" w:color="auto"/>
            </w:tcBorders>
            <w:noWrap/>
            <w:tcMar>
              <w:left w:w="227" w:type="dxa"/>
              <w:right w:w="28" w:type="dxa"/>
            </w:tcMar>
            <w:vAlign w:val="center"/>
            <w:hideMark/>
          </w:tcPr>
          <w:p w14:paraId="6BC52CAA" w14:textId="77777777" w:rsidR="00E550C8" w:rsidRPr="001C43EF" w:rsidRDefault="00E550C8" w:rsidP="00AF191F">
            <w:pPr>
              <w:spacing w:after="0" w:line="240" w:lineRule="auto"/>
              <w:rPr>
                <w:rFonts w:eastAsia="Times New Roman" w:cstheme="minorHAnsi"/>
                <w:bCs/>
                <w:i/>
                <w:sz w:val="16"/>
                <w:szCs w:val="16"/>
                <w:lang w:eastAsia="en-AU"/>
              </w:rPr>
            </w:pPr>
            <w:r w:rsidRPr="001C43EF">
              <w:rPr>
                <w:rFonts w:eastAsia="Times New Roman" w:cstheme="minorHAnsi"/>
                <w:bCs/>
                <w:i/>
                <w:sz w:val="16"/>
                <w:szCs w:val="16"/>
                <w:lang w:eastAsia="en-AU"/>
              </w:rPr>
              <w:t xml:space="preserve"> Medical Studies</w:t>
            </w:r>
          </w:p>
        </w:tc>
        <w:tc>
          <w:tcPr>
            <w:tcW w:w="985" w:type="dxa"/>
            <w:tcBorders>
              <w:top w:val="single" w:sz="6" w:space="0" w:color="auto"/>
              <w:left w:val="single" w:sz="6" w:space="0" w:color="auto"/>
              <w:bottom w:val="single" w:sz="6" w:space="0" w:color="auto"/>
              <w:right w:val="single" w:sz="6" w:space="0" w:color="auto"/>
            </w:tcBorders>
            <w:noWrap/>
          </w:tcPr>
          <w:p w14:paraId="064F5405" w14:textId="2FD6C278" w:rsidR="00E550C8" w:rsidRPr="009F71CF" w:rsidRDefault="00EC10FA" w:rsidP="00AF191F">
            <w:pPr>
              <w:spacing w:after="0" w:line="240" w:lineRule="auto"/>
              <w:jc w:val="center"/>
              <w:rPr>
                <w:rFonts w:eastAsia="Times New Roman" w:cstheme="minorHAnsi"/>
                <w:bCs/>
                <w:i/>
                <w:sz w:val="16"/>
                <w:szCs w:val="16"/>
                <w:lang w:eastAsia="en-AU"/>
              </w:rPr>
            </w:pPr>
            <w:r w:rsidRPr="009F71CF">
              <w:rPr>
                <w:rFonts w:eastAsia="Times New Roman" w:cstheme="minorHAnsi"/>
                <w:bCs/>
                <w:i/>
                <w:sz w:val="16"/>
                <w:szCs w:val="16"/>
                <w:lang w:eastAsia="en-AU"/>
              </w:rPr>
              <w:t>9</w:t>
            </w:r>
          </w:p>
          <w:p w14:paraId="2C570AC6" w14:textId="218A2501" w:rsidR="00E550C8" w:rsidRPr="009F71CF" w:rsidRDefault="00E550C8" w:rsidP="00AF191F">
            <w:pPr>
              <w:spacing w:after="0" w:line="240" w:lineRule="auto"/>
              <w:jc w:val="center"/>
              <w:rPr>
                <w:rFonts w:eastAsia="Times New Roman" w:cstheme="minorHAnsi"/>
                <w:bCs/>
                <w:i/>
                <w:sz w:val="16"/>
                <w:szCs w:val="16"/>
                <w:lang w:eastAsia="en-AU"/>
              </w:rPr>
            </w:pPr>
            <w:r w:rsidRPr="009F71CF">
              <w:rPr>
                <w:rFonts w:eastAsia="Times New Roman" w:cstheme="minorHAnsi"/>
                <w:bCs/>
                <w:i/>
                <w:sz w:val="16"/>
                <w:szCs w:val="16"/>
                <w:lang w:eastAsia="en-AU"/>
              </w:rPr>
              <w:t>(0.</w:t>
            </w:r>
            <w:r w:rsidR="00176933" w:rsidRPr="009F71CF">
              <w:rPr>
                <w:rFonts w:eastAsia="Times New Roman" w:cstheme="minorHAnsi"/>
                <w:bCs/>
                <w:i/>
                <w:sz w:val="16"/>
                <w:szCs w:val="16"/>
                <w:lang w:eastAsia="en-AU"/>
              </w:rPr>
              <w:t>4</w:t>
            </w:r>
            <w:r w:rsidRPr="009F71CF">
              <w:rPr>
                <w:rFonts w:eastAsia="Times New Roman" w:cstheme="minorHAnsi"/>
                <w:bCs/>
                <w:i/>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2245284C" w14:textId="4BBA5EFF" w:rsidR="00E550C8" w:rsidRPr="009F71CF" w:rsidRDefault="00176933" w:rsidP="00AF191F">
            <w:pPr>
              <w:spacing w:after="0" w:line="240" w:lineRule="auto"/>
              <w:jc w:val="center"/>
              <w:rPr>
                <w:rFonts w:eastAsia="Times New Roman" w:cstheme="minorHAnsi"/>
                <w:bCs/>
                <w:i/>
                <w:sz w:val="16"/>
                <w:szCs w:val="16"/>
                <w:lang w:eastAsia="en-AU"/>
              </w:rPr>
            </w:pPr>
            <w:r w:rsidRPr="009F71CF">
              <w:rPr>
                <w:rFonts w:eastAsia="Times New Roman" w:cstheme="minorHAnsi"/>
                <w:bCs/>
                <w:i/>
                <w:sz w:val="16"/>
                <w:szCs w:val="16"/>
                <w:lang w:eastAsia="en-AU"/>
              </w:rPr>
              <w:t>1</w:t>
            </w:r>
            <w:r w:rsidR="00EC10FA" w:rsidRPr="009F71CF">
              <w:rPr>
                <w:rFonts w:eastAsia="Times New Roman" w:cstheme="minorHAnsi"/>
                <w:bCs/>
                <w:i/>
                <w:sz w:val="16"/>
                <w:szCs w:val="16"/>
                <w:lang w:eastAsia="en-AU"/>
              </w:rPr>
              <w:t>6</w:t>
            </w:r>
          </w:p>
          <w:p w14:paraId="5227A155" w14:textId="3DC04F45" w:rsidR="00E550C8" w:rsidRPr="009F71CF" w:rsidRDefault="00E550C8" w:rsidP="00AF191F">
            <w:pPr>
              <w:spacing w:after="0" w:line="240" w:lineRule="auto"/>
              <w:jc w:val="center"/>
              <w:rPr>
                <w:rFonts w:eastAsia="Times New Roman" w:cstheme="minorHAnsi"/>
                <w:bCs/>
                <w:i/>
                <w:sz w:val="16"/>
                <w:szCs w:val="16"/>
                <w:lang w:eastAsia="en-AU"/>
              </w:rPr>
            </w:pPr>
            <w:r w:rsidRPr="009F71CF">
              <w:rPr>
                <w:rFonts w:eastAsia="Times New Roman" w:cstheme="minorHAnsi"/>
                <w:bCs/>
                <w:i/>
                <w:sz w:val="16"/>
                <w:szCs w:val="16"/>
                <w:lang w:eastAsia="en-AU"/>
              </w:rPr>
              <w:t>(0.</w:t>
            </w:r>
            <w:r w:rsidR="00176933" w:rsidRPr="009F71CF">
              <w:rPr>
                <w:rFonts w:eastAsia="Times New Roman" w:cstheme="minorHAnsi"/>
                <w:bCs/>
                <w:i/>
                <w:sz w:val="16"/>
                <w:szCs w:val="16"/>
                <w:lang w:eastAsia="en-AU"/>
              </w:rPr>
              <w:t>8</w:t>
            </w:r>
            <w:r w:rsidRPr="009F71CF">
              <w:rPr>
                <w:rFonts w:eastAsia="Times New Roman" w:cstheme="minorHAnsi"/>
                <w:bCs/>
                <w:i/>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55651CC9" w14:textId="4AC7F6FF" w:rsidR="00E550C8" w:rsidRPr="009F71CF" w:rsidRDefault="00EC10FA" w:rsidP="00AF191F">
            <w:pPr>
              <w:spacing w:after="0" w:line="240" w:lineRule="auto"/>
              <w:jc w:val="center"/>
              <w:rPr>
                <w:rFonts w:eastAsia="Times New Roman" w:cstheme="minorHAnsi"/>
                <w:bCs/>
                <w:i/>
                <w:sz w:val="16"/>
                <w:szCs w:val="16"/>
                <w:lang w:eastAsia="en-AU"/>
              </w:rPr>
            </w:pPr>
            <w:r w:rsidRPr="009F71CF">
              <w:rPr>
                <w:rFonts w:eastAsia="Times New Roman" w:cstheme="minorHAnsi"/>
                <w:bCs/>
                <w:i/>
                <w:sz w:val="16"/>
                <w:szCs w:val="16"/>
                <w:lang w:eastAsia="en-AU"/>
              </w:rPr>
              <w:t>69</w:t>
            </w:r>
          </w:p>
          <w:p w14:paraId="230E1BDF" w14:textId="64B5B554" w:rsidR="00E550C8" w:rsidRPr="009F71CF" w:rsidRDefault="00E550C8" w:rsidP="00AF191F">
            <w:pPr>
              <w:spacing w:after="0" w:line="240" w:lineRule="auto"/>
              <w:jc w:val="center"/>
              <w:rPr>
                <w:rFonts w:eastAsia="Times New Roman" w:cstheme="minorHAnsi"/>
                <w:bCs/>
                <w:i/>
                <w:sz w:val="16"/>
                <w:szCs w:val="16"/>
                <w:lang w:eastAsia="en-AU"/>
              </w:rPr>
            </w:pPr>
            <w:r w:rsidRPr="009F71CF">
              <w:rPr>
                <w:rFonts w:eastAsia="Times New Roman" w:cstheme="minorHAnsi"/>
                <w:bCs/>
                <w:i/>
                <w:sz w:val="16"/>
                <w:szCs w:val="16"/>
                <w:lang w:eastAsia="en-AU"/>
              </w:rPr>
              <w:t>(</w:t>
            </w:r>
            <w:r w:rsidR="00176933" w:rsidRPr="009F71CF">
              <w:rPr>
                <w:rFonts w:eastAsia="Times New Roman" w:cstheme="minorHAnsi"/>
                <w:bCs/>
                <w:i/>
                <w:sz w:val="16"/>
                <w:szCs w:val="16"/>
                <w:lang w:eastAsia="en-AU"/>
              </w:rPr>
              <w:t>3.3</w:t>
            </w:r>
            <w:r w:rsidRPr="009F71CF">
              <w:rPr>
                <w:rFonts w:eastAsia="Times New Roman" w:cstheme="minorHAnsi"/>
                <w:bCs/>
                <w:i/>
                <w:sz w:val="16"/>
                <w:szCs w:val="16"/>
                <w:lang w:eastAsia="en-AU"/>
              </w:rPr>
              <w:t>%)</w:t>
            </w:r>
          </w:p>
        </w:tc>
        <w:tc>
          <w:tcPr>
            <w:tcW w:w="1273" w:type="dxa"/>
            <w:tcBorders>
              <w:top w:val="single" w:sz="6" w:space="0" w:color="auto"/>
              <w:left w:val="single" w:sz="6" w:space="0" w:color="auto"/>
              <w:bottom w:val="single" w:sz="6" w:space="0" w:color="auto"/>
              <w:right w:val="single" w:sz="6" w:space="0" w:color="auto"/>
            </w:tcBorders>
            <w:noWrap/>
          </w:tcPr>
          <w:p w14:paraId="6F4FED1C" w14:textId="1286DCFA" w:rsidR="00E550C8" w:rsidRPr="001C43EF" w:rsidRDefault="00EC10FA" w:rsidP="00AF191F">
            <w:pPr>
              <w:spacing w:after="0" w:line="240" w:lineRule="auto"/>
              <w:jc w:val="center"/>
              <w:rPr>
                <w:rFonts w:eastAsia="Times New Roman" w:cstheme="minorHAnsi"/>
                <w:bCs/>
                <w:i/>
                <w:sz w:val="16"/>
                <w:szCs w:val="16"/>
                <w:lang w:eastAsia="en-AU"/>
              </w:rPr>
            </w:pPr>
            <w:r>
              <w:rPr>
                <w:rFonts w:eastAsia="Times New Roman" w:cstheme="minorHAnsi"/>
                <w:bCs/>
                <w:i/>
                <w:sz w:val="16"/>
                <w:szCs w:val="16"/>
                <w:lang w:eastAsia="en-AU"/>
              </w:rPr>
              <w:t>95</w:t>
            </w:r>
          </w:p>
          <w:p w14:paraId="684846BA" w14:textId="471702A8" w:rsidR="00E550C8" w:rsidRPr="001C43EF" w:rsidRDefault="00E550C8" w:rsidP="00AF191F">
            <w:pPr>
              <w:spacing w:after="0" w:line="240" w:lineRule="auto"/>
              <w:jc w:val="center"/>
              <w:rPr>
                <w:rFonts w:eastAsia="Times New Roman" w:cstheme="minorHAnsi"/>
                <w:bCs/>
                <w:i/>
                <w:sz w:val="16"/>
                <w:szCs w:val="16"/>
                <w:lang w:eastAsia="en-AU"/>
              </w:rPr>
            </w:pPr>
            <w:r w:rsidRPr="001C43EF">
              <w:rPr>
                <w:rFonts w:eastAsia="Times New Roman" w:cstheme="minorHAnsi"/>
                <w:bCs/>
                <w:i/>
                <w:sz w:val="16"/>
                <w:szCs w:val="16"/>
                <w:lang w:eastAsia="en-AU"/>
              </w:rPr>
              <w:t>(</w:t>
            </w:r>
            <w:r w:rsidR="00176933">
              <w:rPr>
                <w:rFonts w:eastAsia="Times New Roman" w:cstheme="minorHAnsi"/>
                <w:bCs/>
                <w:i/>
                <w:sz w:val="16"/>
                <w:szCs w:val="16"/>
                <w:lang w:eastAsia="en-AU"/>
              </w:rPr>
              <w:t>4.6</w:t>
            </w:r>
            <w:r w:rsidRPr="001C43EF">
              <w:rPr>
                <w:rFonts w:eastAsia="Times New Roman" w:cstheme="minorHAnsi"/>
                <w:bCs/>
                <w:i/>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37CE3BA4" w14:textId="32460BF8" w:rsidR="00E550C8" w:rsidRPr="001C43EF" w:rsidRDefault="00E550C8" w:rsidP="00AF191F">
            <w:pPr>
              <w:spacing w:after="0" w:line="240" w:lineRule="auto"/>
              <w:jc w:val="center"/>
              <w:rPr>
                <w:rFonts w:eastAsia="Times New Roman" w:cstheme="minorHAnsi"/>
                <w:bCs/>
                <w:i/>
                <w:sz w:val="16"/>
                <w:szCs w:val="16"/>
                <w:lang w:eastAsia="en-AU"/>
              </w:rPr>
            </w:pPr>
            <w:r w:rsidRPr="001C43EF">
              <w:rPr>
                <w:rFonts w:eastAsia="Times New Roman" w:cstheme="minorHAnsi"/>
                <w:bCs/>
                <w:i/>
                <w:sz w:val="16"/>
                <w:szCs w:val="16"/>
                <w:lang w:eastAsia="en-AU"/>
              </w:rPr>
              <w:t>9</w:t>
            </w:r>
            <w:r w:rsidR="00EC10FA">
              <w:rPr>
                <w:rFonts w:eastAsia="Times New Roman" w:cstheme="minorHAnsi"/>
                <w:bCs/>
                <w:i/>
                <w:sz w:val="16"/>
                <w:szCs w:val="16"/>
                <w:lang w:eastAsia="en-AU"/>
              </w:rPr>
              <w:t>9</w:t>
            </w:r>
          </w:p>
          <w:p w14:paraId="7DD2D5E5" w14:textId="6A27A8C4" w:rsidR="00E550C8" w:rsidRPr="001C43EF" w:rsidRDefault="00E550C8" w:rsidP="00AF191F">
            <w:pPr>
              <w:spacing w:after="0" w:line="240" w:lineRule="auto"/>
              <w:jc w:val="center"/>
              <w:rPr>
                <w:rFonts w:eastAsia="Times New Roman" w:cstheme="minorHAnsi"/>
                <w:bCs/>
                <w:i/>
                <w:sz w:val="16"/>
                <w:szCs w:val="16"/>
                <w:lang w:eastAsia="en-AU"/>
              </w:rPr>
            </w:pPr>
            <w:r w:rsidRPr="001C43EF">
              <w:rPr>
                <w:rFonts w:eastAsia="Times New Roman" w:cstheme="minorHAnsi"/>
                <w:bCs/>
                <w:i/>
                <w:sz w:val="16"/>
                <w:szCs w:val="16"/>
                <w:lang w:eastAsia="en-AU"/>
              </w:rPr>
              <w:t>(4.</w:t>
            </w:r>
            <w:r w:rsidR="00176933">
              <w:rPr>
                <w:rFonts w:eastAsia="Times New Roman" w:cstheme="minorHAnsi"/>
                <w:bCs/>
                <w:i/>
                <w:sz w:val="16"/>
                <w:szCs w:val="16"/>
                <w:lang w:eastAsia="en-AU"/>
              </w:rPr>
              <w:t>8</w:t>
            </w:r>
            <w:r w:rsidRPr="001C43EF">
              <w:rPr>
                <w:rFonts w:eastAsia="Times New Roman" w:cstheme="minorHAnsi"/>
                <w:bCs/>
                <w:i/>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1C64B1CC" w14:textId="7128CE43" w:rsidR="00E550C8" w:rsidRPr="001C43EF" w:rsidRDefault="00EC10FA" w:rsidP="00AF191F">
            <w:pPr>
              <w:spacing w:after="0" w:line="240" w:lineRule="auto"/>
              <w:jc w:val="center"/>
              <w:rPr>
                <w:rFonts w:eastAsia="Times New Roman" w:cstheme="minorHAnsi"/>
                <w:bCs/>
                <w:i/>
                <w:sz w:val="16"/>
                <w:szCs w:val="16"/>
                <w:lang w:eastAsia="en-AU"/>
              </w:rPr>
            </w:pPr>
            <w:r>
              <w:rPr>
                <w:rFonts w:eastAsia="Times New Roman" w:cstheme="minorHAnsi"/>
                <w:bCs/>
                <w:i/>
                <w:sz w:val="16"/>
                <w:szCs w:val="16"/>
                <w:lang w:eastAsia="en-AU"/>
              </w:rPr>
              <w:t>744</w:t>
            </w:r>
          </w:p>
          <w:p w14:paraId="5E059F79" w14:textId="4D71349D" w:rsidR="00E550C8" w:rsidRPr="001C43EF" w:rsidRDefault="00E550C8" w:rsidP="00AF191F">
            <w:pPr>
              <w:spacing w:after="0" w:line="240" w:lineRule="auto"/>
              <w:jc w:val="center"/>
              <w:rPr>
                <w:rFonts w:eastAsia="Times New Roman" w:cstheme="minorHAnsi"/>
                <w:bCs/>
                <w:i/>
                <w:sz w:val="16"/>
                <w:szCs w:val="16"/>
                <w:lang w:eastAsia="en-AU"/>
              </w:rPr>
            </w:pPr>
            <w:r w:rsidRPr="001C43EF">
              <w:rPr>
                <w:rFonts w:eastAsia="Times New Roman" w:cstheme="minorHAnsi"/>
                <w:bCs/>
                <w:i/>
                <w:sz w:val="16"/>
                <w:szCs w:val="16"/>
                <w:lang w:eastAsia="en-AU"/>
              </w:rPr>
              <w:t>(</w:t>
            </w:r>
            <w:r w:rsidR="00176933">
              <w:rPr>
                <w:rFonts w:eastAsia="Times New Roman" w:cstheme="minorHAnsi"/>
                <w:bCs/>
                <w:i/>
                <w:sz w:val="16"/>
                <w:szCs w:val="16"/>
                <w:lang w:eastAsia="en-AU"/>
              </w:rPr>
              <w:t>35.8</w:t>
            </w:r>
            <w:r w:rsidRPr="001C43EF">
              <w:rPr>
                <w:rFonts w:eastAsia="Times New Roman" w:cstheme="minorHAnsi"/>
                <w:bCs/>
                <w:i/>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tcPr>
          <w:p w14:paraId="18C3BFEC" w14:textId="00F8EA44" w:rsidR="00E550C8" w:rsidRPr="001C43EF" w:rsidRDefault="00EC10FA" w:rsidP="00AF191F">
            <w:pPr>
              <w:spacing w:after="0" w:line="240" w:lineRule="auto"/>
              <w:jc w:val="center"/>
              <w:rPr>
                <w:rFonts w:eastAsia="Times New Roman" w:cstheme="minorHAnsi"/>
                <w:bCs/>
                <w:i/>
                <w:sz w:val="16"/>
                <w:szCs w:val="16"/>
                <w:lang w:eastAsia="en-AU"/>
              </w:rPr>
            </w:pPr>
            <w:r>
              <w:rPr>
                <w:rFonts w:eastAsia="Times New Roman" w:cstheme="minorHAnsi"/>
                <w:bCs/>
                <w:i/>
                <w:sz w:val="16"/>
                <w:szCs w:val="16"/>
                <w:lang w:eastAsia="en-AU"/>
              </w:rPr>
              <w:t>1,046</w:t>
            </w:r>
          </w:p>
          <w:p w14:paraId="28A687D8" w14:textId="5C89CBC6" w:rsidR="00E550C8" w:rsidRPr="001C43EF" w:rsidRDefault="00E550C8" w:rsidP="00AF191F">
            <w:pPr>
              <w:spacing w:after="0" w:line="240" w:lineRule="auto"/>
              <w:jc w:val="center"/>
              <w:rPr>
                <w:rFonts w:eastAsia="Times New Roman" w:cstheme="minorHAnsi"/>
                <w:bCs/>
                <w:i/>
                <w:sz w:val="16"/>
                <w:szCs w:val="16"/>
                <w:lang w:eastAsia="en-AU"/>
              </w:rPr>
            </w:pPr>
            <w:r w:rsidRPr="001C43EF">
              <w:rPr>
                <w:rFonts w:eastAsia="Times New Roman" w:cstheme="minorHAnsi"/>
                <w:bCs/>
                <w:i/>
                <w:sz w:val="16"/>
                <w:szCs w:val="16"/>
                <w:lang w:eastAsia="en-AU"/>
              </w:rPr>
              <w:t>(</w:t>
            </w:r>
            <w:r w:rsidR="00176933">
              <w:rPr>
                <w:rFonts w:eastAsia="Times New Roman" w:cstheme="minorHAnsi"/>
                <w:bCs/>
                <w:i/>
                <w:sz w:val="16"/>
                <w:szCs w:val="16"/>
                <w:lang w:eastAsia="en-AU"/>
              </w:rPr>
              <w:t>50.3</w:t>
            </w:r>
            <w:r w:rsidRPr="001C43EF">
              <w:rPr>
                <w:rFonts w:eastAsia="Times New Roman" w:cstheme="minorHAnsi"/>
                <w:bCs/>
                <w:i/>
                <w:sz w:val="16"/>
                <w:szCs w:val="16"/>
                <w:lang w:eastAsia="en-AU"/>
              </w:rPr>
              <w:t>%)</w:t>
            </w:r>
          </w:p>
        </w:tc>
        <w:tc>
          <w:tcPr>
            <w:tcW w:w="1164" w:type="dxa"/>
            <w:tcBorders>
              <w:top w:val="single" w:sz="6" w:space="0" w:color="auto"/>
              <w:left w:val="single" w:sz="6" w:space="0" w:color="auto"/>
              <w:bottom w:val="single" w:sz="6" w:space="0" w:color="auto"/>
              <w:right w:val="single" w:sz="4" w:space="0" w:color="auto"/>
            </w:tcBorders>
            <w:noWrap/>
          </w:tcPr>
          <w:p w14:paraId="17B62B69" w14:textId="69F2269E" w:rsidR="00E550C8" w:rsidRPr="001C43EF" w:rsidRDefault="00EC10FA" w:rsidP="00AF191F">
            <w:pPr>
              <w:spacing w:after="0" w:line="240" w:lineRule="auto"/>
              <w:jc w:val="center"/>
              <w:rPr>
                <w:rFonts w:eastAsia="Times New Roman" w:cstheme="minorHAnsi"/>
                <w:bCs/>
                <w:i/>
                <w:sz w:val="16"/>
                <w:szCs w:val="16"/>
                <w:lang w:eastAsia="en-AU"/>
              </w:rPr>
            </w:pPr>
            <w:r>
              <w:rPr>
                <w:rFonts w:eastAsia="Times New Roman" w:cstheme="minorHAnsi"/>
                <w:bCs/>
                <w:i/>
                <w:sz w:val="16"/>
                <w:szCs w:val="16"/>
                <w:lang w:eastAsia="en-AU"/>
              </w:rPr>
              <w:t>2,078</w:t>
            </w:r>
          </w:p>
          <w:p w14:paraId="42AC08A0" w14:textId="77777777" w:rsidR="00E550C8" w:rsidRPr="001C43EF" w:rsidRDefault="00E550C8" w:rsidP="00AF191F">
            <w:pPr>
              <w:spacing w:after="0" w:line="240" w:lineRule="auto"/>
              <w:jc w:val="center"/>
              <w:rPr>
                <w:rFonts w:eastAsia="Times New Roman" w:cstheme="minorHAnsi"/>
                <w:bCs/>
                <w:i/>
                <w:sz w:val="16"/>
                <w:szCs w:val="16"/>
                <w:lang w:eastAsia="en-AU"/>
              </w:rPr>
            </w:pPr>
            <w:r w:rsidRPr="001C43EF">
              <w:rPr>
                <w:rFonts w:eastAsia="Times New Roman" w:cstheme="minorHAnsi"/>
                <w:bCs/>
                <w:i/>
                <w:sz w:val="16"/>
                <w:szCs w:val="16"/>
                <w:lang w:eastAsia="en-AU"/>
              </w:rPr>
              <w:t>(100.0%)</w:t>
            </w:r>
          </w:p>
        </w:tc>
      </w:tr>
      <w:tr w:rsidR="00E550C8" w:rsidRPr="002F0534" w14:paraId="7F67D040" w14:textId="77777777" w:rsidTr="00AF191F">
        <w:trPr>
          <w:trHeight w:hRule="exact" w:val="524"/>
          <w:tblHeader/>
        </w:trPr>
        <w:tc>
          <w:tcPr>
            <w:tcW w:w="1844" w:type="dxa"/>
            <w:tcBorders>
              <w:top w:val="single" w:sz="6" w:space="0" w:color="auto"/>
              <w:left w:val="single" w:sz="12" w:space="0" w:color="auto"/>
              <w:bottom w:val="single" w:sz="6" w:space="0" w:color="auto"/>
              <w:right w:val="single" w:sz="6" w:space="0" w:color="auto"/>
            </w:tcBorders>
            <w:noWrap/>
            <w:tcMar>
              <w:left w:w="227" w:type="dxa"/>
              <w:right w:w="28" w:type="dxa"/>
            </w:tcMar>
            <w:vAlign w:val="center"/>
            <w:hideMark/>
          </w:tcPr>
          <w:p w14:paraId="43575376" w14:textId="77777777" w:rsidR="00E550C8" w:rsidRPr="002F5779" w:rsidRDefault="00E550C8" w:rsidP="00AF191F">
            <w:pPr>
              <w:spacing w:after="0" w:line="240" w:lineRule="auto"/>
              <w:rPr>
                <w:rFonts w:eastAsia="Times New Roman" w:cstheme="minorHAnsi"/>
                <w:bCs/>
                <w:i/>
                <w:sz w:val="16"/>
                <w:szCs w:val="16"/>
                <w:lang w:eastAsia="en-AU"/>
              </w:rPr>
            </w:pPr>
            <w:r w:rsidRPr="002F5779">
              <w:rPr>
                <w:rFonts w:eastAsia="Times New Roman" w:cstheme="minorHAnsi"/>
                <w:bCs/>
                <w:i/>
                <w:sz w:val="16"/>
                <w:szCs w:val="16"/>
                <w:lang w:eastAsia="en-AU"/>
              </w:rPr>
              <w:t xml:space="preserve"> Dental Studies</w:t>
            </w:r>
          </w:p>
        </w:tc>
        <w:tc>
          <w:tcPr>
            <w:tcW w:w="985" w:type="dxa"/>
            <w:tcBorders>
              <w:top w:val="single" w:sz="6" w:space="0" w:color="auto"/>
              <w:left w:val="single" w:sz="6" w:space="0" w:color="auto"/>
              <w:bottom w:val="single" w:sz="6" w:space="0" w:color="auto"/>
              <w:right w:val="single" w:sz="6" w:space="0" w:color="auto"/>
            </w:tcBorders>
            <w:noWrap/>
          </w:tcPr>
          <w:p w14:paraId="0829AC7D" w14:textId="77777777"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w:t>
            </w:r>
          </w:p>
          <w:p w14:paraId="41CAE9FD" w14:textId="77777777"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(0.0%)</w:t>
            </w:r>
          </w:p>
        </w:tc>
        <w:tc>
          <w:tcPr>
            <w:tcW w:w="1131" w:type="dxa"/>
            <w:tcBorders>
              <w:top w:val="single" w:sz="6" w:space="0" w:color="auto"/>
              <w:left w:val="single" w:sz="6" w:space="0" w:color="auto"/>
              <w:bottom w:val="single" w:sz="6" w:space="0" w:color="auto"/>
              <w:right w:val="single" w:sz="6" w:space="0" w:color="auto"/>
            </w:tcBorders>
            <w:noWrap/>
          </w:tcPr>
          <w:p w14:paraId="207F59B1" w14:textId="25B6F9B5" w:rsidR="00E550C8" w:rsidRPr="002F0534" w:rsidRDefault="00176933" w:rsidP="00AF191F">
            <w:pPr>
              <w:spacing w:after="0" w:line="240" w:lineRule="auto"/>
              <w:jc w:val="center"/>
              <w:rPr>
                <w:rFonts w:eastAsia="Times New Roman" w:cstheme="minorHAnsi"/>
                <w:bCs/>
                <w:i/>
                <w:sz w:val="16"/>
                <w:szCs w:val="16"/>
                <w:lang w:eastAsia="en-AU"/>
              </w:rPr>
            </w:pPr>
            <w:r>
              <w:rPr>
                <w:rFonts w:eastAsia="Times New Roman" w:cstheme="minorHAnsi"/>
                <w:bCs/>
                <w:i/>
                <w:sz w:val="16"/>
                <w:szCs w:val="16"/>
                <w:lang w:eastAsia="en-AU"/>
              </w:rPr>
              <w:t>-</w:t>
            </w:r>
          </w:p>
          <w:p w14:paraId="50A0996A" w14:textId="51FD4562"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(0.</w:t>
            </w:r>
            <w:r w:rsidR="00176933">
              <w:rPr>
                <w:rFonts w:eastAsia="Times New Roman" w:cstheme="minorHAnsi"/>
                <w:bCs/>
                <w:i/>
                <w:sz w:val="16"/>
                <w:szCs w:val="16"/>
                <w:lang w:eastAsia="en-AU"/>
              </w:rPr>
              <w:t>0</w:t>
            </w:r>
            <w:r w:rsidRPr="002F0534">
              <w:rPr>
                <w:rFonts w:eastAsia="Times New Roman" w:cstheme="minorHAnsi"/>
                <w:bCs/>
                <w:i/>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3C2A679A" w14:textId="7B264EF8" w:rsidR="00E550C8" w:rsidRPr="002F0534" w:rsidRDefault="00715D8C" w:rsidP="00AF191F">
            <w:pPr>
              <w:spacing w:after="0" w:line="240" w:lineRule="auto"/>
              <w:jc w:val="center"/>
              <w:rPr>
                <w:rFonts w:eastAsia="Times New Roman" w:cstheme="minorHAnsi"/>
                <w:bCs/>
                <w:i/>
                <w:sz w:val="16"/>
                <w:szCs w:val="16"/>
                <w:lang w:eastAsia="en-AU"/>
              </w:rPr>
            </w:pPr>
            <w:r>
              <w:rPr>
                <w:rFonts w:eastAsia="Times New Roman" w:cstheme="minorHAnsi"/>
                <w:bCs/>
                <w:i/>
                <w:sz w:val="16"/>
                <w:szCs w:val="16"/>
                <w:lang w:eastAsia="en-AU"/>
              </w:rPr>
              <w:t>&lt;5</w:t>
            </w:r>
          </w:p>
          <w:p w14:paraId="41D54E98" w14:textId="6D70BF52"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w:t>
            </w:r>
            <w:r w:rsidR="00176933">
              <w:rPr>
                <w:rFonts w:eastAsia="Times New Roman" w:cstheme="minorHAnsi"/>
                <w:bCs/>
                <w:i/>
                <w:sz w:val="16"/>
                <w:szCs w:val="16"/>
                <w:lang w:eastAsia="en-AU"/>
              </w:rPr>
              <w:t>0.1</w:t>
            </w:r>
            <w:r w:rsidRPr="002F0534">
              <w:rPr>
                <w:rFonts w:eastAsia="Times New Roman" w:cstheme="minorHAnsi"/>
                <w:bCs/>
                <w:i/>
                <w:sz w:val="16"/>
                <w:szCs w:val="16"/>
                <w:lang w:eastAsia="en-AU"/>
              </w:rPr>
              <w:t>%)</w:t>
            </w:r>
          </w:p>
        </w:tc>
        <w:tc>
          <w:tcPr>
            <w:tcW w:w="1273" w:type="dxa"/>
            <w:tcBorders>
              <w:top w:val="single" w:sz="6" w:space="0" w:color="auto"/>
              <w:left w:val="single" w:sz="6" w:space="0" w:color="auto"/>
              <w:bottom w:val="single" w:sz="6" w:space="0" w:color="auto"/>
              <w:right w:val="single" w:sz="6" w:space="0" w:color="auto"/>
            </w:tcBorders>
            <w:noWrap/>
          </w:tcPr>
          <w:p w14:paraId="2F34FA48" w14:textId="400118D2" w:rsidR="00E550C8" w:rsidRPr="002F0534" w:rsidRDefault="00715D8C" w:rsidP="00AF191F">
            <w:pPr>
              <w:spacing w:after="0" w:line="240" w:lineRule="auto"/>
              <w:jc w:val="center"/>
              <w:rPr>
                <w:rFonts w:eastAsia="Times New Roman" w:cstheme="minorHAnsi"/>
                <w:bCs/>
                <w:i/>
                <w:sz w:val="16"/>
                <w:szCs w:val="16"/>
                <w:lang w:eastAsia="en-AU"/>
              </w:rPr>
            </w:pPr>
            <w:r>
              <w:rPr>
                <w:rFonts w:eastAsia="Times New Roman" w:cstheme="minorHAnsi"/>
                <w:bCs/>
                <w:i/>
                <w:sz w:val="16"/>
                <w:szCs w:val="16"/>
                <w:lang w:eastAsia="en-AU"/>
              </w:rPr>
              <w:t>&lt;15</w:t>
            </w:r>
          </w:p>
          <w:p w14:paraId="1E726690" w14:textId="1FADD34D"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w:t>
            </w:r>
            <w:r w:rsidR="00176933">
              <w:rPr>
                <w:rFonts w:eastAsia="Times New Roman" w:cstheme="minorHAnsi"/>
                <w:bCs/>
                <w:i/>
                <w:sz w:val="16"/>
                <w:szCs w:val="16"/>
                <w:lang w:eastAsia="en-AU"/>
              </w:rPr>
              <w:t>1.2</w:t>
            </w:r>
            <w:r w:rsidRPr="002F0534">
              <w:rPr>
                <w:rFonts w:eastAsia="Times New Roman" w:cstheme="minorHAnsi"/>
                <w:bCs/>
                <w:i/>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25D563F4" w14:textId="2FA0FFA1" w:rsidR="00E550C8" w:rsidRPr="002F0534" w:rsidRDefault="00176933" w:rsidP="00AF191F">
            <w:pPr>
              <w:spacing w:after="0" w:line="240" w:lineRule="auto"/>
              <w:jc w:val="center"/>
              <w:rPr>
                <w:rFonts w:eastAsia="Times New Roman" w:cstheme="minorHAnsi"/>
                <w:bCs/>
                <w:i/>
                <w:sz w:val="16"/>
                <w:szCs w:val="16"/>
                <w:lang w:eastAsia="en-AU"/>
              </w:rPr>
            </w:pPr>
            <w:r>
              <w:rPr>
                <w:rFonts w:eastAsia="Times New Roman" w:cstheme="minorHAnsi"/>
                <w:bCs/>
                <w:i/>
                <w:sz w:val="16"/>
                <w:szCs w:val="16"/>
                <w:lang w:eastAsia="en-AU"/>
              </w:rPr>
              <w:t>39</w:t>
            </w:r>
          </w:p>
          <w:p w14:paraId="06683F9E" w14:textId="0FE29312"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w:t>
            </w:r>
            <w:r w:rsidR="00176933">
              <w:rPr>
                <w:rFonts w:eastAsia="Times New Roman" w:cstheme="minorHAnsi"/>
                <w:bCs/>
                <w:i/>
                <w:sz w:val="16"/>
                <w:szCs w:val="16"/>
                <w:lang w:eastAsia="en-AU"/>
              </w:rPr>
              <w:t>4.1</w:t>
            </w:r>
            <w:r w:rsidRPr="002F0534">
              <w:rPr>
                <w:rFonts w:eastAsia="Times New Roman" w:cstheme="minorHAnsi"/>
                <w:bCs/>
                <w:i/>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685D37CF" w14:textId="055BD6B8" w:rsidR="00E550C8" w:rsidRPr="002F0534" w:rsidRDefault="00176933" w:rsidP="00AF191F">
            <w:pPr>
              <w:spacing w:after="0" w:line="240" w:lineRule="auto"/>
              <w:jc w:val="center"/>
              <w:rPr>
                <w:rFonts w:eastAsia="Times New Roman" w:cstheme="minorHAnsi"/>
                <w:bCs/>
                <w:i/>
                <w:sz w:val="16"/>
                <w:szCs w:val="16"/>
                <w:lang w:eastAsia="en-AU"/>
              </w:rPr>
            </w:pPr>
            <w:r>
              <w:rPr>
                <w:rFonts w:eastAsia="Times New Roman" w:cstheme="minorHAnsi"/>
                <w:bCs/>
                <w:i/>
                <w:sz w:val="16"/>
                <w:szCs w:val="16"/>
                <w:lang w:eastAsia="en-AU"/>
              </w:rPr>
              <w:t>249</w:t>
            </w:r>
          </w:p>
          <w:p w14:paraId="5B32EEDE" w14:textId="12464AE5"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w:t>
            </w:r>
            <w:r w:rsidR="00176933">
              <w:rPr>
                <w:rFonts w:eastAsia="Times New Roman" w:cstheme="minorHAnsi"/>
                <w:bCs/>
                <w:i/>
                <w:sz w:val="16"/>
                <w:szCs w:val="16"/>
                <w:lang w:eastAsia="en-AU"/>
              </w:rPr>
              <w:t>26.5</w:t>
            </w:r>
            <w:r w:rsidRPr="002F0534">
              <w:rPr>
                <w:rFonts w:eastAsia="Times New Roman" w:cstheme="minorHAnsi"/>
                <w:bCs/>
                <w:i/>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tcPr>
          <w:p w14:paraId="4C029F5A" w14:textId="36D17DF7" w:rsidR="00E550C8" w:rsidRPr="002F0534" w:rsidRDefault="00176933" w:rsidP="00AF191F">
            <w:pPr>
              <w:spacing w:after="0" w:line="240" w:lineRule="auto"/>
              <w:jc w:val="center"/>
              <w:rPr>
                <w:rFonts w:eastAsia="Times New Roman" w:cstheme="minorHAnsi"/>
                <w:bCs/>
                <w:i/>
                <w:sz w:val="16"/>
                <w:szCs w:val="16"/>
                <w:lang w:eastAsia="en-AU"/>
              </w:rPr>
            </w:pPr>
            <w:r>
              <w:rPr>
                <w:rFonts w:eastAsia="Times New Roman" w:cstheme="minorHAnsi"/>
                <w:bCs/>
                <w:i/>
                <w:sz w:val="16"/>
                <w:szCs w:val="16"/>
                <w:lang w:eastAsia="en-AU"/>
              </w:rPr>
              <w:t>641</w:t>
            </w:r>
          </w:p>
          <w:p w14:paraId="1BA81E55" w14:textId="0C17C849"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w:t>
            </w:r>
            <w:r w:rsidR="00176933">
              <w:rPr>
                <w:rFonts w:eastAsia="Times New Roman" w:cstheme="minorHAnsi"/>
                <w:bCs/>
                <w:i/>
                <w:sz w:val="16"/>
                <w:szCs w:val="16"/>
                <w:lang w:eastAsia="en-AU"/>
              </w:rPr>
              <w:t>68.1</w:t>
            </w:r>
            <w:r w:rsidRPr="002F0534">
              <w:rPr>
                <w:rFonts w:eastAsia="Times New Roman" w:cstheme="minorHAnsi"/>
                <w:bCs/>
                <w:i/>
                <w:sz w:val="16"/>
                <w:szCs w:val="16"/>
                <w:lang w:eastAsia="en-AU"/>
              </w:rPr>
              <w:t>%)</w:t>
            </w:r>
          </w:p>
        </w:tc>
        <w:tc>
          <w:tcPr>
            <w:tcW w:w="1164" w:type="dxa"/>
            <w:tcBorders>
              <w:top w:val="single" w:sz="6" w:space="0" w:color="auto"/>
              <w:left w:val="single" w:sz="6" w:space="0" w:color="auto"/>
              <w:bottom w:val="single" w:sz="6" w:space="0" w:color="auto"/>
              <w:right w:val="single" w:sz="4" w:space="0" w:color="auto"/>
            </w:tcBorders>
            <w:noWrap/>
          </w:tcPr>
          <w:p w14:paraId="1BA0662B" w14:textId="3F09B070" w:rsidR="00E550C8" w:rsidRPr="002F0534" w:rsidRDefault="00176933" w:rsidP="00AF191F">
            <w:pPr>
              <w:spacing w:after="0" w:line="240" w:lineRule="auto"/>
              <w:jc w:val="center"/>
              <w:rPr>
                <w:rFonts w:eastAsia="Times New Roman" w:cstheme="minorHAnsi"/>
                <w:bCs/>
                <w:i/>
                <w:sz w:val="16"/>
                <w:szCs w:val="16"/>
                <w:lang w:eastAsia="en-AU"/>
              </w:rPr>
            </w:pPr>
            <w:r>
              <w:rPr>
                <w:rFonts w:eastAsia="Times New Roman" w:cstheme="minorHAnsi"/>
                <w:bCs/>
                <w:i/>
                <w:sz w:val="16"/>
                <w:szCs w:val="16"/>
                <w:lang w:eastAsia="en-AU"/>
              </w:rPr>
              <w:t>941</w:t>
            </w:r>
          </w:p>
          <w:p w14:paraId="737C3771" w14:textId="77777777"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(100.0%)</w:t>
            </w:r>
          </w:p>
        </w:tc>
      </w:tr>
      <w:tr w:rsidR="00E550C8" w:rsidRPr="002F0534" w14:paraId="32B4E89D" w14:textId="77777777" w:rsidTr="00AF191F">
        <w:trPr>
          <w:trHeight w:hRule="exact" w:val="600"/>
          <w:tblHeader/>
        </w:trPr>
        <w:tc>
          <w:tcPr>
            <w:tcW w:w="1844" w:type="dxa"/>
            <w:tcBorders>
              <w:top w:val="single" w:sz="6" w:space="0" w:color="auto"/>
              <w:left w:val="single" w:sz="12" w:space="0" w:color="auto"/>
              <w:bottom w:val="single" w:sz="6" w:space="0" w:color="auto"/>
              <w:right w:val="single" w:sz="6" w:space="0" w:color="auto"/>
            </w:tcBorders>
            <w:noWrap/>
            <w:tcMar>
              <w:left w:w="227" w:type="dxa"/>
              <w:right w:w="28" w:type="dxa"/>
            </w:tcMar>
            <w:vAlign w:val="center"/>
            <w:hideMark/>
          </w:tcPr>
          <w:p w14:paraId="4CAD1E29" w14:textId="77777777" w:rsidR="00E550C8" w:rsidRPr="002F5779" w:rsidRDefault="00E550C8" w:rsidP="00AF191F">
            <w:pPr>
              <w:spacing w:after="0" w:line="240" w:lineRule="auto"/>
              <w:rPr>
                <w:rFonts w:eastAsia="Times New Roman" w:cstheme="minorHAnsi"/>
                <w:bCs/>
                <w:i/>
                <w:sz w:val="16"/>
                <w:szCs w:val="16"/>
                <w:lang w:eastAsia="en-AU"/>
              </w:rPr>
            </w:pPr>
            <w:r w:rsidRPr="002F5779">
              <w:rPr>
                <w:rFonts w:eastAsia="Times New Roman" w:cstheme="minorHAnsi"/>
                <w:bCs/>
                <w:i/>
                <w:sz w:val="16"/>
                <w:szCs w:val="16"/>
                <w:lang w:eastAsia="en-AU"/>
              </w:rPr>
              <w:t>Veterinary Studies</w:t>
            </w:r>
          </w:p>
        </w:tc>
        <w:tc>
          <w:tcPr>
            <w:tcW w:w="985" w:type="dxa"/>
            <w:tcBorders>
              <w:top w:val="single" w:sz="6" w:space="0" w:color="auto"/>
              <w:left w:val="single" w:sz="6" w:space="0" w:color="auto"/>
              <w:bottom w:val="single" w:sz="6" w:space="0" w:color="auto"/>
              <w:right w:val="single" w:sz="6" w:space="0" w:color="auto"/>
            </w:tcBorders>
            <w:noWrap/>
          </w:tcPr>
          <w:p w14:paraId="286AEEED" w14:textId="5B86F425" w:rsidR="00E550C8" w:rsidRPr="002F0534" w:rsidRDefault="00176933" w:rsidP="00AF191F">
            <w:pPr>
              <w:spacing w:after="0" w:line="240" w:lineRule="auto"/>
              <w:jc w:val="center"/>
              <w:rPr>
                <w:rFonts w:eastAsia="Times New Roman" w:cstheme="minorHAnsi"/>
                <w:bCs/>
                <w:i/>
                <w:sz w:val="16"/>
                <w:szCs w:val="16"/>
                <w:lang w:eastAsia="en-AU"/>
              </w:rPr>
            </w:pPr>
            <w:r>
              <w:rPr>
                <w:rFonts w:eastAsia="Times New Roman" w:cstheme="minorHAnsi"/>
                <w:bCs/>
                <w:i/>
                <w:sz w:val="16"/>
                <w:szCs w:val="16"/>
                <w:lang w:eastAsia="en-AU"/>
              </w:rPr>
              <w:t>11</w:t>
            </w:r>
          </w:p>
          <w:p w14:paraId="295CC062" w14:textId="2656206E" w:rsidR="00E550C8" w:rsidRPr="002F0534" w:rsidRDefault="00E550C8" w:rsidP="00AF191F">
            <w:pPr>
              <w:jc w:val="center"/>
              <w:rPr>
                <w:rFonts w:eastAsia="Times New Roman" w:cstheme="minorHAnsi"/>
                <w:bCs/>
                <w:i/>
                <w:sz w:val="16"/>
                <w:szCs w:val="16"/>
                <w:lang w:eastAsia="en-AU"/>
              </w:rPr>
            </w:pPr>
            <w:r w:rsidRPr="002F0534">
              <w:rPr>
                <w:rFonts w:eastAsia="Times New Roman" w:cstheme="minorHAnsi"/>
                <w:bCs/>
                <w:i/>
                <w:sz w:val="16"/>
                <w:szCs w:val="16"/>
                <w:lang w:eastAsia="en-AU"/>
              </w:rPr>
              <w:t>(</w:t>
            </w:r>
            <w:r w:rsidR="00176933">
              <w:rPr>
                <w:rFonts w:eastAsia="Times New Roman" w:cstheme="minorHAnsi"/>
                <w:bCs/>
                <w:i/>
                <w:sz w:val="16"/>
                <w:szCs w:val="16"/>
                <w:lang w:eastAsia="en-AU"/>
              </w:rPr>
              <w:t>0.9</w:t>
            </w:r>
            <w:r w:rsidRPr="002F0534">
              <w:rPr>
                <w:rFonts w:eastAsia="Times New Roman" w:cstheme="minorHAnsi"/>
                <w:bCs/>
                <w:i/>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664D319D" w14:textId="37DDB552" w:rsidR="00E550C8" w:rsidRPr="002F0534" w:rsidRDefault="00176933" w:rsidP="00AF191F">
            <w:pPr>
              <w:spacing w:after="0" w:line="240" w:lineRule="auto"/>
              <w:jc w:val="center"/>
              <w:rPr>
                <w:rFonts w:eastAsia="Times New Roman" w:cstheme="minorHAnsi"/>
                <w:bCs/>
                <w:i/>
                <w:sz w:val="16"/>
                <w:szCs w:val="16"/>
                <w:lang w:eastAsia="en-AU"/>
              </w:rPr>
            </w:pPr>
            <w:r>
              <w:rPr>
                <w:rFonts w:eastAsia="Times New Roman" w:cstheme="minorHAnsi"/>
                <w:bCs/>
                <w:i/>
                <w:sz w:val="16"/>
                <w:szCs w:val="16"/>
                <w:lang w:eastAsia="en-AU"/>
              </w:rPr>
              <w:t>7</w:t>
            </w:r>
          </w:p>
          <w:p w14:paraId="3A752ED9" w14:textId="6B1C1CA7" w:rsidR="00E550C8" w:rsidRPr="002F0534" w:rsidRDefault="00E550C8" w:rsidP="00AF191F">
            <w:pPr>
              <w:jc w:val="center"/>
              <w:rPr>
                <w:rFonts w:eastAsia="Times New Roman" w:cstheme="minorHAnsi"/>
                <w:bCs/>
                <w:i/>
                <w:sz w:val="16"/>
                <w:szCs w:val="16"/>
                <w:lang w:eastAsia="en-AU"/>
              </w:rPr>
            </w:pPr>
            <w:r w:rsidRPr="002F0534">
              <w:rPr>
                <w:rFonts w:eastAsia="Times New Roman" w:cstheme="minorHAnsi"/>
                <w:bCs/>
                <w:i/>
                <w:sz w:val="16"/>
                <w:szCs w:val="16"/>
                <w:lang w:eastAsia="en-AU"/>
              </w:rPr>
              <w:t>(</w:t>
            </w:r>
            <w:r w:rsidR="00176933">
              <w:rPr>
                <w:rFonts w:eastAsia="Times New Roman" w:cstheme="minorHAnsi"/>
                <w:bCs/>
                <w:i/>
                <w:sz w:val="16"/>
                <w:szCs w:val="16"/>
                <w:lang w:eastAsia="en-AU"/>
              </w:rPr>
              <w:t>0.6</w:t>
            </w:r>
            <w:r w:rsidRPr="002F0534">
              <w:rPr>
                <w:rFonts w:eastAsia="Times New Roman" w:cstheme="minorHAnsi"/>
                <w:bCs/>
                <w:i/>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3C931A5E" w14:textId="72A78AF6" w:rsidR="00E550C8" w:rsidRPr="002F0534" w:rsidRDefault="005A1559" w:rsidP="00AF191F">
            <w:pPr>
              <w:spacing w:after="0" w:line="240" w:lineRule="auto"/>
              <w:jc w:val="center"/>
              <w:rPr>
                <w:rFonts w:eastAsia="Times New Roman" w:cstheme="minorHAnsi"/>
                <w:bCs/>
                <w:i/>
                <w:sz w:val="16"/>
                <w:szCs w:val="16"/>
                <w:lang w:eastAsia="en-AU"/>
              </w:rPr>
            </w:pPr>
            <w:r>
              <w:rPr>
                <w:rFonts w:eastAsia="Times New Roman" w:cstheme="minorHAnsi"/>
                <w:bCs/>
                <w:i/>
                <w:sz w:val="16"/>
                <w:szCs w:val="16"/>
                <w:lang w:eastAsia="en-AU"/>
              </w:rPr>
              <w:t>&lt;40</w:t>
            </w:r>
          </w:p>
          <w:p w14:paraId="72675253" w14:textId="2482B18C" w:rsidR="00E550C8" w:rsidRPr="002F0534" w:rsidRDefault="00E550C8" w:rsidP="00AF191F">
            <w:pPr>
              <w:jc w:val="center"/>
              <w:rPr>
                <w:rFonts w:eastAsia="Times New Roman" w:cstheme="minorHAnsi"/>
                <w:bCs/>
                <w:i/>
                <w:sz w:val="16"/>
                <w:szCs w:val="16"/>
                <w:lang w:eastAsia="en-AU"/>
              </w:rPr>
            </w:pPr>
            <w:r w:rsidRPr="002F0534">
              <w:rPr>
                <w:rFonts w:eastAsia="Times New Roman" w:cstheme="minorHAnsi"/>
                <w:bCs/>
                <w:i/>
                <w:sz w:val="16"/>
                <w:szCs w:val="16"/>
                <w:lang w:eastAsia="en-AU"/>
              </w:rPr>
              <w:t>(</w:t>
            </w:r>
            <w:r w:rsidR="00176933">
              <w:rPr>
                <w:rFonts w:eastAsia="Times New Roman" w:cstheme="minorHAnsi"/>
                <w:bCs/>
                <w:i/>
                <w:sz w:val="16"/>
                <w:szCs w:val="16"/>
                <w:lang w:eastAsia="en-AU"/>
              </w:rPr>
              <w:t>3.0</w:t>
            </w:r>
            <w:r w:rsidRPr="002F0534">
              <w:rPr>
                <w:rFonts w:eastAsia="Times New Roman" w:cstheme="minorHAnsi"/>
                <w:bCs/>
                <w:i/>
                <w:sz w:val="16"/>
                <w:szCs w:val="16"/>
                <w:lang w:eastAsia="en-AU"/>
              </w:rPr>
              <w:t>%)</w:t>
            </w:r>
          </w:p>
        </w:tc>
        <w:tc>
          <w:tcPr>
            <w:tcW w:w="1273" w:type="dxa"/>
            <w:tcBorders>
              <w:top w:val="single" w:sz="6" w:space="0" w:color="auto"/>
              <w:left w:val="single" w:sz="6" w:space="0" w:color="auto"/>
              <w:bottom w:val="single" w:sz="6" w:space="0" w:color="auto"/>
              <w:right w:val="single" w:sz="6" w:space="0" w:color="auto"/>
            </w:tcBorders>
            <w:noWrap/>
          </w:tcPr>
          <w:p w14:paraId="00CE339E" w14:textId="0010A03F" w:rsidR="00E550C8" w:rsidRPr="002F0534" w:rsidRDefault="005A1559" w:rsidP="00AF191F">
            <w:pPr>
              <w:spacing w:after="0" w:line="240" w:lineRule="auto"/>
              <w:jc w:val="center"/>
              <w:rPr>
                <w:rFonts w:eastAsia="Times New Roman" w:cstheme="minorHAnsi"/>
                <w:bCs/>
                <w:i/>
                <w:sz w:val="16"/>
                <w:szCs w:val="16"/>
                <w:lang w:eastAsia="en-AU"/>
              </w:rPr>
            </w:pPr>
            <w:r>
              <w:rPr>
                <w:rFonts w:eastAsia="Times New Roman" w:cstheme="minorHAnsi"/>
                <w:bCs/>
                <w:i/>
                <w:sz w:val="16"/>
                <w:szCs w:val="16"/>
                <w:lang w:eastAsia="en-AU"/>
              </w:rPr>
              <w:t>&lt;70</w:t>
            </w:r>
          </w:p>
          <w:p w14:paraId="019ED273" w14:textId="3C677FD7" w:rsidR="00E550C8" w:rsidRPr="002F0534" w:rsidRDefault="00E550C8" w:rsidP="00AF191F">
            <w:pPr>
              <w:jc w:val="center"/>
              <w:rPr>
                <w:rFonts w:eastAsia="Times New Roman" w:cstheme="minorHAnsi"/>
                <w:bCs/>
                <w:i/>
                <w:sz w:val="16"/>
                <w:szCs w:val="16"/>
                <w:lang w:eastAsia="en-AU"/>
              </w:rPr>
            </w:pPr>
            <w:r w:rsidRPr="002F0534">
              <w:rPr>
                <w:rFonts w:eastAsia="Times New Roman" w:cstheme="minorHAnsi"/>
                <w:bCs/>
                <w:i/>
                <w:sz w:val="16"/>
                <w:szCs w:val="16"/>
                <w:lang w:eastAsia="en-AU"/>
              </w:rPr>
              <w:t>(</w:t>
            </w:r>
            <w:r w:rsidR="00176933">
              <w:rPr>
                <w:rFonts w:eastAsia="Times New Roman" w:cstheme="minorHAnsi"/>
                <w:bCs/>
                <w:i/>
                <w:sz w:val="16"/>
                <w:szCs w:val="16"/>
                <w:lang w:eastAsia="en-AU"/>
              </w:rPr>
              <w:t>5.8</w:t>
            </w:r>
            <w:r w:rsidRPr="002F0534">
              <w:rPr>
                <w:rFonts w:eastAsia="Times New Roman" w:cstheme="minorHAnsi"/>
                <w:bCs/>
                <w:i/>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44FC3309" w14:textId="33DB685B" w:rsidR="00E550C8" w:rsidRPr="002F0534" w:rsidRDefault="00176933" w:rsidP="00AF191F">
            <w:pPr>
              <w:spacing w:after="0" w:line="240" w:lineRule="auto"/>
              <w:jc w:val="center"/>
              <w:rPr>
                <w:rFonts w:eastAsia="Times New Roman" w:cstheme="minorHAnsi"/>
                <w:bCs/>
                <w:i/>
                <w:sz w:val="16"/>
                <w:szCs w:val="16"/>
                <w:lang w:eastAsia="en-AU"/>
              </w:rPr>
            </w:pPr>
            <w:r>
              <w:rPr>
                <w:rFonts w:eastAsia="Times New Roman" w:cstheme="minorHAnsi"/>
                <w:bCs/>
                <w:i/>
                <w:sz w:val="16"/>
                <w:szCs w:val="16"/>
                <w:lang w:eastAsia="en-AU"/>
              </w:rPr>
              <w:t>111</w:t>
            </w:r>
          </w:p>
          <w:p w14:paraId="1A3EBA85" w14:textId="47A30B34" w:rsidR="00E550C8" w:rsidRPr="002F0534" w:rsidRDefault="00E550C8" w:rsidP="00AF191F">
            <w:pPr>
              <w:jc w:val="center"/>
              <w:rPr>
                <w:rFonts w:eastAsia="Times New Roman" w:cstheme="minorHAnsi"/>
                <w:bCs/>
                <w:i/>
                <w:sz w:val="16"/>
                <w:szCs w:val="16"/>
                <w:lang w:eastAsia="en-AU"/>
              </w:rPr>
            </w:pPr>
            <w:r w:rsidRPr="002F0534">
              <w:rPr>
                <w:rFonts w:eastAsia="Times New Roman" w:cstheme="minorHAnsi"/>
                <w:bCs/>
                <w:i/>
                <w:sz w:val="16"/>
                <w:szCs w:val="16"/>
                <w:lang w:eastAsia="en-AU"/>
              </w:rPr>
              <w:t>(</w:t>
            </w:r>
            <w:r w:rsidR="00176933">
              <w:rPr>
                <w:rFonts w:eastAsia="Times New Roman" w:cstheme="minorHAnsi"/>
                <w:bCs/>
                <w:i/>
                <w:sz w:val="16"/>
                <w:szCs w:val="16"/>
                <w:lang w:eastAsia="en-AU"/>
              </w:rPr>
              <w:t>9.5</w:t>
            </w:r>
            <w:r w:rsidRPr="002F0534">
              <w:rPr>
                <w:rFonts w:eastAsia="Times New Roman" w:cstheme="minorHAnsi"/>
                <w:bCs/>
                <w:i/>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73864E2A" w14:textId="66AD599B" w:rsidR="00E550C8" w:rsidRPr="002F0534" w:rsidRDefault="00176933" w:rsidP="00AF191F">
            <w:pPr>
              <w:spacing w:after="0" w:line="240" w:lineRule="auto"/>
              <w:jc w:val="center"/>
              <w:rPr>
                <w:rFonts w:eastAsia="Times New Roman" w:cstheme="minorHAnsi"/>
                <w:bCs/>
                <w:i/>
                <w:sz w:val="16"/>
                <w:szCs w:val="16"/>
                <w:lang w:eastAsia="en-AU"/>
              </w:rPr>
            </w:pPr>
            <w:r>
              <w:rPr>
                <w:rFonts w:eastAsia="Times New Roman" w:cstheme="minorHAnsi"/>
                <w:bCs/>
                <w:i/>
                <w:sz w:val="16"/>
                <w:szCs w:val="16"/>
                <w:lang w:eastAsia="en-AU"/>
              </w:rPr>
              <w:t>181</w:t>
            </w:r>
          </w:p>
          <w:p w14:paraId="027196E6" w14:textId="244F6C30" w:rsidR="00E550C8" w:rsidRPr="002F0534" w:rsidRDefault="00E550C8" w:rsidP="00AF191F">
            <w:pPr>
              <w:jc w:val="center"/>
              <w:rPr>
                <w:rFonts w:eastAsia="Times New Roman" w:cstheme="minorHAnsi"/>
                <w:bCs/>
                <w:i/>
                <w:sz w:val="16"/>
                <w:szCs w:val="16"/>
                <w:lang w:eastAsia="en-AU"/>
              </w:rPr>
            </w:pPr>
            <w:r w:rsidRPr="002F0534">
              <w:rPr>
                <w:rFonts w:eastAsia="Times New Roman" w:cstheme="minorHAnsi"/>
                <w:bCs/>
                <w:i/>
                <w:sz w:val="16"/>
                <w:szCs w:val="16"/>
                <w:lang w:eastAsia="en-AU"/>
              </w:rPr>
              <w:t>(1</w:t>
            </w:r>
            <w:r w:rsidR="00176933">
              <w:rPr>
                <w:rFonts w:eastAsia="Times New Roman" w:cstheme="minorHAnsi"/>
                <w:bCs/>
                <w:i/>
                <w:sz w:val="16"/>
                <w:szCs w:val="16"/>
                <w:lang w:eastAsia="en-AU"/>
              </w:rPr>
              <w:t>5.5</w:t>
            </w:r>
            <w:r w:rsidRPr="002F0534">
              <w:rPr>
                <w:rFonts w:eastAsia="Times New Roman" w:cstheme="minorHAnsi"/>
                <w:bCs/>
                <w:i/>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tcPr>
          <w:p w14:paraId="5AB6AFEC" w14:textId="1BB95799" w:rsidR="00E550C8" w:rsidRPr="002F0534" w:rsidRDefault="00176933" w:rsidP="00AF191F">
            <w:pPr>
              <w:spacing w:after="0" w:line="240" w:lineRule="auto"/>
              <w:jc w:val="center"/>
              <w:rPr>
                <w:rFonts w:eastAsia="Times New Roman" w:cstheme="minorHAnsi"/>
                <w:bCs/>
                <w:i/>
                <w:sz w:val="16"/>
                <w:szCs w:val="16"/>
                <w:lang w:eastAsia="en-AU"/>
              </w:rPr>
            </w:pPr>
            <w:r>
              <w:rPr>
                <w:rFonts w:eastAsia="Times New Roman" w:cstheme="minorHAnsi"/>
                <w:bCs/>
                <w:i/>
                <w:sz w:val="16"/>
                <w:szCs w:val="16"/>
                <w:lang w:eastAsia="en-AU"/>
              </w:rPr>
              <w:t>752</w:t>
            </w:r>
          </w:p>
          <w:p w14:paraId="2D87DDAF" w14:textId="0723D3E0" w:rsidR="00E550C8" w:rsidRPr="002F0534" w:rsidRDefault="00176933" w:rsidP="00AF191F">
            <w:pPr>
              <w:jc w:val="center"/>
              <w:rPr>
                <w:rFonts w:eastAsia="Times New Roman" w:cstheme="minorHAnsi"/>
                <w:bCs/>
                <w:i/>
                <w:sz w:val="16"/>
                <w:szCs w:val="16"/>
                <w:lang w:eastAsia="en-AU"/>
              </w:rPr>
            </w:pPr>
            <w:r>
              <w:rPr>
                <w:rFonts w:eastAsia="Times New Roman" w:cstheme="minorHAnsi"/>
                <w:bCs/>
                <w:i/>
                <w:sz w:val="16"/>
                <w:szCs w:val="16"/>
                <w:lang w:eastAsia="en-AU"/>
              </w:rPr>
              <w:t>(</w:t>
            </w:r>
            <w:r w:rsidR="00E550C8" w:rsidRPr="002F0534">
              <w:rPr>
                <w:rFonts w:eastAsia="Times New Roman" w:cstheme="minorHAnsi"/>
                <w:bCs/>
                <w:i/>
                <w:sz w:val="16"/>
                <w:szCs w:val="16"/>
                <w:lang w:eastAsia="en-AU"/>
              </w:rPr>
              <w:t>6</w:t>
            </w:r>
            <w:r>
              <w:rPr>
                <w:rFonts w:eastAsia="Times New Roman" w:cstheme="minorHAnsi"/>
                <w:bCs/>
                <w:i/>
                <w:sz w:val="16"/>
                <w:szCs w:val="16"/>
                <w:lang w:eastAsia="en-AU"/>
              </w:rPr>
              <w:t>4.6</w:t>
            </w:r>
            <w:r w:rsidR="00E550C8" w:rsidRPr="002F0534">
              <w:rPr>
                <w:rFonts w:eastAsia="Times New Roman" w:cstheme="minorHAnsi"/>
                <w:bCs/>
                <w:i/>
                <w:sz w:val="16"/>
                <w:szCs w:val="16"/>
                <w:lang w:eastAsia="en-AU"/>
              </w:rPr>
              <w:t>%)</w:t>
            </w:r>
          </w:p>
        </w:tc>
        <w:tc>
          <w:tcPr>
            <w:tcW w:w="1164" w:type="dxa"/>
            <w:tcBorders>
              <w:top w:val="single" w:sz="6" w:space="0" w:color="auto"/>
              <w:left w:val="single" w:sz="6" w:space="0" w:color="auto"/>
              <w:bottom w:val="single" w:sz="6" w:space="0" w:color="auto"/>
              <w:right w:val="single" w:sz="4" w:space="0" w:color="auto"/>
            </w:tcBorders>
            <w:noWrap/>
          </w:tcPr>
          <w:p w14:paraId="50505119" w14:textId="20D3659C"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1,1</w:t>
            </w:r>
            <w:r w:rsidR="00176933">
              <w:rPr>
                <w:rFonts w:eastAsia="Times New Roman" w:cstheme="minorHAnsi"/>
                <w:bCs/>
                <w:i/>
                <w:sz w:val="16"/>
                <w:szCs w:val="16"/>
                <w:lang w:eastAsia="en-AU"/>
              </w:rPr>
              <w:t>64</w:t>
            </w:r>
          </w:p>
          <w:p w14:paraId="344413B5" w14:textId="77777777" w:rsidR="00E550C8" w:rsidRPr="002F0534" w:rsidRDefault="00E550C8" w:rsidP="00AF191F">
            <w:pPr>
              <w:jc w:val="center"/>
              <w:rPr>
                <w:rFonts w:eastAsia="Times New Roman" w:cstheme="minorHAnsi"/>
                <w:bCs/>
                <w:i/>
                <w:sz w:val="16"/>
                <w:szCs w:val="16"/>
                <w:lang w:eastAsia="en-AU"/>
              </w:rPr>
            </w:pPr>
            <w:r w:rsidRPr="002F0534">
              <w:rPr>
                <w:rFonts w:eastAsia="Times New Roman" w:cstheme="minorHAnsi"/>
                <w:bCs/>
                <w:i/>
                <w:sz w:val="16"/>
                <w:szCs w:val="16"/>
                <w:lang w:eastAsia="en-AU"/>
              </w:rPr>
              <w:t>(100.0%)</w:t>
            </w:r>
          </w:p>
        </w:tc>
      </w:tr>
      <w:tr w:rsidR="00E550C8" w:rsidRPr="002F0534" w14:paraId="30E7CA5F" w14:textId="77777777" w:rsidTr="00AF191F">
        <w:trPr>
          <w:trHeight w:hRule="exact" w:val="524"/>
          <w:tblHeader/>
        </w:trPr>
        <w:tc>
          <w:tcPr>
            <w:tcW w:w="1844" w:type="dxa"/>
            <w:tcBorders>
              <w:top w:val="single" w:sz="6" w:space="0" w:color="auto"/>
              <w:left w:val="single" w:sz="12" w:space="0" w:color="auto"/>
              <w:bottom w:val="single" w:sz="6" w:space="0" w:color="auto"/>
              <w:right w:val="single" w:sz="6" w:space="0" w:color="auto"/>
            </w:tcBorders>
            <w:noWrap/>
            <w:tcMar>
              <w:left w:w="227" w:type="dxa"/>
              <w:right w:w="28" w:type="dxa"/>
            </w:tcMar>
            <w:vAlign w:val="center"/>
            <w:hideMark/>
          </w:tcPr>
          <w:p w14:paraId="614C8B0D" w14:textId="77777777" w:rsidR="00E550C8" w:rsidRPr="002F5779" w:rsidRDefault="00E550C8" w:rsidP="00AF191F">
            <w:pPr>
              <w:spacing w:after="0" w:line="240" w:lineRule="auto"/>
              <w:rPr>
                <w:rFonts w:eastAsia="Times New Roman" w:cstheme="minorHAnsi"/>
                <w:bCs/>
                <w:i/>
                <w:sz w:val="16"/>
                <w:szCs w:val="16"/>
                <w:lang w:eastAsia="en-AU"/>
              </w:rPr>
            </w:pPr>
            <w:r w:rsidRPr="002F5779">
              <w:rPr>
                <w:rFonts w:eastAsia="Times New Roman" w:cstheme="minorHAnsi"/>
                <w:bCs/>
                <w:i/>
                <w:sz w:val="16"/>
                <w:szCs w:val="16"/>
                <w:lang w:eastAsia="en-AU"/>
              </w:rPr>
              <w:t>Nursing</w:t>
            </w:r>
          </w:p>
        </w:tc>
        <w:tc>
          <w:tcPr>
            <w:tcW w:w="985" w:type="dxa"/>
            <w:tcBorders>
              <w:top w:val="single" w:sz="6" w:space="0" w:color="auto"/>
              <w:left w:val="single" w:sz="6" w:space="0" w:color="auto"/>
              <w:bottom w:val="single" w:sz="6" w:space="0" w:color="auto"/>
              <w:right w:val="single" w:sz="6" w:space="0" w:color="auto"/>
            </w:tcBorders>
            <w:noWrap/>
          </w:tcPr>
          <w:p w14:paraId="507F5E85" w14:textId="5389B0A3" w:rsidR="00E550C8" w:rsidRPr="002F0534" w:rsidRDefault="00DB3995" w:rsidP="00AF191F">
            <w:pPr>
              <w:spacing w:after="0" w:line="240" w:lineRule="auto"/>
              <w:jc w:val="center"/>
              <w:rPr>
                <w:rFonts w:eastAsia="Times New Roman" w:cstheme="minorHAnsi"/>
                <w:bCs/>
                <w:i/>
                <w:sz w:val="16"/>
                <w:szCs w:val="16"/>
                <w:lang w:eastAsia="en-AU"/>
              </w:rPr>
            </w:pPr>
            <w:r>
              <w:rPr>
                <w:rFonts w:eastAsia="Times New Roman" w:cstheme="minorHAnsi"/>
                <w:bCs/>
                <w:i/>
                <w:sz w:val="16"/>
                <w:szCs w:val="16"/>
                <w:lang w:eastAsia="en-AU"/>
              </w:rPr>
              <w:t>365</w:t>
            </w:r>
          </w:p>
          <w:p w14:paraId="4159E444" w14:textId="70FCED1D"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(1.</w:t>
            </w:r>
            <w:r w:rsidR="00DB3995">
              <w:rPr>
                <w:rFonts w:eastAsia="Times New Roman" w:cstheme="minorHAnsi"/>
                <w:bCs/>
                <w:i/>
                <w:sz w:val="16"/>
                <w:szCs w:val="16"/>
                <w:lang w:eastAsia="en-AU"/>
              </w:rPr>
              <w:t>5</w:t>
            </w:r>
            <w:r w:rsidRPr="002F0534">
              <w:rPr>
                <w:rFonts w:eastAsia="Times New Roman" w:cstheme="minorHAnsi"/>
                <w:bCs/>
                <w:i/>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3096D746" w14:textId="5EB426A7"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8</w:t>
            </w:r>
            <w:r w:rsidR="00DB3995">
              <w:rPr>
                <w:rFonts w:eastAsia="Times New Roman" w:cstheme="minorHAnsi"/>
                <w:bCs/>
                <w:i/>
                <w:sz w:val="16"/>
                <w:szCs w:val="16"/>
                <w:lang w:eastAsia="en-AU"/>
              </w:rPr>
              <w:t>10</w:t>
            </w:r>
          </w:p>
          <w:p w14:paraId="25CD78B7" w14:textId="45D92B11"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(3.</w:t>
            </w:r>
            <w:r w:rsidR="00DB3995">
              <w:rPr>
                <w:rFonts w:eastAsia="Times New Roman" w:cstheme="minorHAnsi"/>
                <w:bCs/>
                <w:i/>
                <w:sz w:val="16"/>
                <w:szCs w:val="16"/>
                <w:lang w:eastAsia="en-AU"/>
              </w:rPr>
              <w:t>3</w:t>
            </w:r>
            <w:r w:rsidRPr="002F0534">
              <w:rPr>
                <w:rFonts w:eastAsia="Times New Roman" w:cstheme="minorHAnsi"/>
                <w:bCs/>
                <w:i/>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569CC79D" w14:textId="0BB12256"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1,3</w:t>
            </w:r>
            <w:r w:rsidR="00DB3995">
              <w:rPr>
                <w:rFonts w:eastAsia="Times New Roman" w:cstheme="minorHAnsi"/>
                <w:bCs/>
                <w:i/>
                <w:sz w:val="16"/>
                <w:szCs w:val="16"/>
                <w:lang w:eastAsia="en-AU"/>
              </w:rPr>
              <w:t>04</w:t>
            </w:r>
          </w:p>
          <w:p w14:paraId="57A2C8A5" w14:textId="77777777"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(5.2%)</w:t>
            </w:r>
          </w:p>
        </w:tc>
        <w:tc>
          <w:tcPr>
            <w:tcW w:w="1273" w:type="dxa"/>
            <w:tcBorders>
              <w:top w:val="single" w:sz="6" w:space="0" w:color="auto"/>
              <w:left w:val="single" w:sz="6" w:space="0" w:color="auto"/>
              <w:bottom w:val="single" w:sz="6" w:space="0" w:color="auto"/>
              <w:right w:val="single" w:sz="6" w:space="0" w:color="auto"/>
            </w:tcBorders>
            <w:noWrap/>
          </w:tcPr>
          <w:p w14:paraId="1AF85063" w14:textId="22F8E4B0"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1,5</w:t>
            </w:r>
            <w:r w:rsidR="00DB3995">
              <w:rPr>
                <w:rFonts w:eastAsia="Times New Roman" w:cstheme="minorHAnsi"/>
                <w:bCs/>
                <w:i/>
                <w:sz w:val="16"/>
                <w:szCs w:val="16"/>
                <w:lang w:eastAsia="en-AU"/>
              </w:rPr>
              <w:t>56</w:t>
            </w:r>
          </w:p>
          <w:p w14:paraId="4330B5C3" w14:textId="13186937"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w:t>
            </w:r>
            <w:r w:rsidR="00DB3995">
              <w:rPr>
                <w:rFonts w:eastAsia="Times New Roman" w:cstheme="minorHAnsi"/>
                <w:bCs/>
                <w:i/>
                <w:sz w:val="16"/>
                <w:szCs w:val="16"/>
                <w:lang w:eastAsia="en-AU"/>
              </w:rPr>
              <w:t>6.2</w:t>
            </w:r>
            <w:r w:rsidRPr="002F0534">
              <w:rPr>
                <w:rFonts w:eastAsia="Times New Roman" w:cstheme="minorHAnsi"/>
                <w:bCs/>
                <w:i/>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3EB9E4D6" w14:textId="0EF1C8EB"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1,</w:t>
            </w:r>
            <w:r w:rsidR="00DB3995">
              <w:rPr>
                <w:rFonts w:eastAsia="Times New Roman" w:cstheme="minorHAnsi"/>
                <w:bCs/>
                <w:i/>
                <w:sz w:val="16"/>
                <w:szCs w:val="16"/>
                <w:lang w:eastAsia="en-AU"/>
              </w:rPr>
              <w:t>141</w:t>
            </w:r>
          </w:p>
          <w:p w14:paraId="7C8CCE44" w14:textId="69FE235A"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(4.</w:t>
            </w:r>
            <w:r w:rsidR="00DB3995">
              <w:rPr>
                <w:rFonts w:eastAsia="Times New Roman" w:cstheme="minorHAnsi"/>
                <w:bCs/>
                <w:i/>
                <w:sz w:val="16"/>
                <w:szCs w:val="16"/>
                <w:lang w:eastAsia="en-AU"/>
              </w:rPr>
              <w:t>6</w:t>
            </w:r>
            <w:r w:rsidRPr="002F0534">
              <w:rPr>
                <w:rFonts w:eastAsia="Times New Roman" w:cstheme="minorHAnsi"/>
                <w:bCs/>
                <w:i/>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40D1EF74" w14:textId="42FE50BB" w:rsidR="00E550C8" w:rsidRPr="002F0534" w:rsidRDefault="00DB3995" w:rsidP="00AF191F">
            <w:pPr>
              <w:spacing w:after="0" w:line="240" w:lineRule="auto"/>
              <w:jc w:val="center"/>
              <w:rPr>
                <w:rFonts w:eastAsia="Times New Roman" w:cstheme="minorHAnsi"/>
                <w:bCs/>
                <w:i/>
                <w:sz w:val="16"/>
                <w:szCs w:val="16"/>
                <w:lang w:eastAsia="en-AU"/>
              </w:rPr>
            </w:pPr>
            <w:r>
              <w:rPr>
                <w:rFonts w:eastAsia="Times New Roman" w:cstheme="minorHAnsi"/>
                <w:bCs/>
                <w:i/>
                <w:sz w:val="16"/>
                <w:szCs w:val="16"/>
                <w:lang w:eastAsia="en-AU"/>
              </w:rPr>
              <w:t>458</w:t>
            </w:r>
          </w:p>
          <w:p w14:paraId="50DC0C95" w14:textId="5178E0C6"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w:t>
            </w:r>
            <w:r w:rsidR="00DB3995">
              <w:rPr>
                <w:rFonts w:eastAsia="Times New Roman" w:cstheme="minorHAnsi"/>
                <w:bCs/>
                <w:i/>
                <w:sz w:val="16"/>
                <w:szCs w:val="16"/>
                <w:lang w:eastAsia="en-AU"/>
              </w:rPr>
              <w:t>1.8</w:t>
            </w:r>
            <w:r w:rsidRPr="002F0534">
              <w:rPr>
                <w:rFonts w:eastAsia="Times New Roman" w:cstheme="minorHAnsi"/>
                <w:bCs/>
                <w:i/>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tcPr>
          <w:p w14:paraId="24DB88FF" w14:textId="44D16F4A" w:rsidR="00E550C8" w:rsidRPr="002F0534" w:rsidRDefault="00DB3995" w:rsidP="00AF191F">
            <w:pPr>
              <w:spacing w:after="0" w:line="240" w:lineRule="auto"/>
              <w:jc w:val="center"/>
              <w:rPr>
                <w:rFonts w:eastAsia="Times New Roman" w:cstheme="minorHAnsi"/>
                <w:bCs/>
                <w:i/>
                <w:sz w:val="16"/>
                <w:szCs w:val="16"/>
                <w:lang w:eastAsia="en-AU"/>
              </w:rPr>
            </w:pPr>
            <w:r>
              <w:rPr>
                <w:rFonts w:eastAsia="Times New Roman" w:cstheme="minorHAnsi"/>
                <w:bCs/>
                <w:i/>
                <w:sz w:val="16"/>
                <w:szCs w:val="16"/>
                <w:lang w:eastAsia="en-AU"/>
              </w:rPr>
              <w:t>19,273</w:t>
            </w:r>
          </w:p>
          <w:p w14:paraId="15236273" w14:textId="370A7130"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(7</w:t>
            </w:r>
            <w:r w:rsidR="00DB3995">
              <w:rPr>
                <w:rFonts w:eastAsia="Times New Roman" w:cstheme="minorHAnsi"/>
                <w:bCs/>
                <w:i/>
                <w:sz w:val="16"/>
                <w:szCs w:val="16"/>
                <w:lang w:eastAsia="en-AU"/>
              </w:rPr>
              <w:t>7.4</w:t>
            </w:r>
            <w:r w:rsidRPr="002F0534">
              <w:rPr>
                <w:rFonts w:eastAsia="Times New Roman" w:cstheme="minorHAnsi"/>
                <w:bCs/>
                <w:i/>
                <w:sz w:val="16"/>
                <w:szCs w:val="16"/>
                <w:lang w:eastAsia="en-AU"/>
              </w:rPr>
              <w:t>%)</w:t>
            </w:r>
          </w:p>
        </w:tc>
        <w:tc>
          <w:tcPr>
            <w:tcW w:w="1164" w:type="dxa"/>
            <w:tcBorders>
              <w:top w:val="single" w:sz="6" w:space="0" w:color="auto"/>
              <w:left w:val="single" w:sz="6" w:space="0" w:color="auto"/>
              <w:bottom w:val="single" w:sz="6" w:space="0" w:color="auto"/>
              <w:right w:val="single" w:sz="4" w:space="0" w:color="auto"/>
            </w:tcBorders>
            <w:noWrap/>
          </w:tcPr>
          <w:p w14:paraId="09849805" w14:textId="55FE54FB"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2</w:t>
            </w:r>
            <w:r w:rsidR="00DB3995">
              <w:rPr>
                <w:rFonts w:eastAsia="Times New Roman" w:cstheme="minorHAnsi"/>
                <w:bCs/>
                <w:i/>
                <w:sz w:val="16"/>
                <w:szCs w:val="16"/>
                <w:lang w:eastAsia="en-AU"/>
              </w:rPr>
              <w:t>4,907</w:t>
            </w:r>
          </w:p>
          <w:p w14:paraId="3EC89ACF" w14:textId="26A51BCD"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(10</w:t>
            </w:r>
            <w:r w:rsidR="00DB3995">
              <w:rPr>
                <w:rFonts w:eastAsia="Times New Roman" w:cstheme="minorHAnsi"/>
                <w:bCs/>
                <w:i/>
                <w:sz w:val="16"/>
                <w:szCs w:val="16"/>
                <w:lang w:eastAsia="en-AU"/>
              </w:rPr>
              <w:t>0</w:t>
            </w:r>
            <w:r w:rsidRPr="002F0534">
              <w:rPr>
                <w:rFonts w:eastAsia="Times New Roman" w:cstheme="minorHAnsi"/>
                <w:bCs/>
                <w:i/>
                <w:sz w:val="16"/>
                <w:szCs w:val="16"/>
                <w:lang w:eastAsia="en-AU"/>
              </w:rPr>
              <w:t>.0%)</w:t>
            </w:r>
          </w:p>
        </w:tc>
      </w:tr>
      <w:tr w:rsidR="00E550C8" w:rsidRPr="00847CC4" w14:paraId="211A5846" w14:textId="77777777" w:rsidTr="00AF191F">
        <w:trPr>
          <w:trHeight w:hRule="exact" w:val="524"/>
          <w:tblHeader/>
        </w:trPr>
        <w:tc>
          <w:tcPr>
            <w:tcW w:w="1844" w:type="dxa"/>
            <w:tcBorders>
              <w:top w:val="single" w:sz="6" w:space="0" w:color="auto"/>
              <w:left w:val="single" w:sz="12" w:space="0" w:color="auto"/>
              <w:bottom w:val="single" w:sz="6" w:space="0" w:color="auto"/>
              <w:right w:val="single" w:sz="6" w:space="0" w:color="auto"/>
            </w:tcBorders>
            <w:noWrap/>
            <w:vAlign w:val="center"/>
            <w:hideMark/>
          </w:tcPr>
          <w:p w14:paraId="474B69D1" w14:textId="77777777" w:rsidR="00E550C8" w:rsidRPr="006F315E" w:rsidRDefault="00E550C8" w:rsidP="00AF191F">
            <w:pPr>
              <w:spacing w:after="0" w:line="240" w:lineRule="auto"/>
              <w:rPr>
                <w:rFonts w:eastAsia="Times New Roman" w:cstheme="minorHAnsi"/>
                <w:bCs/>
                <w:sz w:val="16"/>
                <w:szCs w:val="16"/>
                <w:lang w:eastAsia="en-AU"/>
              </w:rPr>
            </w:pPr>
            <w:r w:rsidRPr="006F315E">
              <w:rPr>
                <w:rFonts w:eastAsia="Times New Roman" w:cstheme="minorHAnsi"/>
                <w:bCs/>
                <w:sz w:val="16"/>
                <w:szCs w:val="16"/>
                <w:lang w:eastAsia="en-AU"/>
              </w:rPr>
              <w:t>Education</w:t>
            </w:r>
          </w:p>
        </w:tc>
        <w:tc>
          <w:tcPr>
            <w:tcW w:w="985" w:type="dxa"/>
            <w:tcBorders>
              <w:top w:val="single" w:sz="6" w:space="0" w:color="auto"/>
              <w:left w:val="single" w:sz="6" w:space="0" w:color="auto"/>
              <w:bottom w:val="single" w:sz="6" w:space="0" w:color="auto"/>
              <w:right w:val="single" w:sz="6" w:space="0" w:color="auto"/>
            </w:tcBorders>
            <w:noWrap/>
          </w:tcPr>
          <w:p w14:paraId="33273F75" w14:textId="3C500257" w:rsidR="00E550C8" w:rsidRPr="00847CC4" w:rsidRDefault="003B0EE4"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694</w:t>
            </w:r>
          </w:p>
          <w:p w14:paraId="03BA3EC1" w14:textId="4BDA5AAA" w:rsidR="00E550C8" w:rsidRPr="00847CC4" w:rsidRDefault="00E550C8" w:rsidP="00AF191F">
            <w:pPr>
              <w:spacing w:after="0" w:line="240" w:lineRule="auto"/>
              <w:jc w:val="center"/>
              <w:rPr>
                <w:rFonts w:eastAsia="Times New Roman" w:cstheme="minorHAnsi"/>
                <w:bCs/>
                <w:sz w:val="16"/>
                <w:szCs w:val="16"/>
                <w:lang w:eastAsia="en-AU"/>
              </w:rPr>
            </w:pPr>
            <w:r w:rsidRPr="00847CC4">
              <w:rPr>
                <w:rFonts w:eastAsia="Times New Roman" w:cstheme="minorHAnsi"/>
                <w:bCs/>
                <w:sz w:val="16"/>
                <w:szCs w:val="16"/>
                <w:lang w:eastAsia="en-AU"/>
              </w:rPr>
              <w:t>(</w:t>
            </w:r>
            <w:r w:rsidR="003B0EE4">
              <w:rPr>
                <w:rFonts w:eastAsia="Times New Roman" w:cstheme="minorHAnsi"/>
                <w:bCs/>
                <w:sz w:val="16"/>
                <w:szCs w:val="16"/>
                <w:lang w:eastAsia="en-AU"/>
              </w:rPr>
              <w:t>2.8</w:t>
            </w:r>
            <w:r w:rsidRPr="00847CC4">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1B061E06" w14:textId="7DE836FC" w:rsidR="00E550C8" w:rsidRPr="00847CC4" w:rsidRDefault="003B0EE4"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826</w:t>
            </w:r>
          </w:p>
          <w:p w14:paraId="54BA9097" w14:textId="7E6D3C82" w:rsidR="00E550C8" w:rsidRPr="00847CC4" w:rsidRDefault="00E550C8" w:rsidP="00AF191F">
            <w:pPr>
              <w:spacing w:after="0" w:line="240" w:lineRule="auto"/>
              <w:jc w:val="center"/>
              <w:rPr>
                <w:rFonts w:eastAsia="Times New Roman" w:cstheme="minorHAnsi"/>
                <w:bCs/>
                <w:sz w:val="16"/>
                <w:szCs w:val="16"/>
                <w:lang w:eastAsia="en-AU"/>
              </w:rPr>
            </w:pPr>
            <w:r w:rsidRPr="00847CC4">
              <w:rPr>
                <w:rFonts w:eastAsia="Times New Roman" w:cstheme="minorHAnsi"/>
                <w:bCs/>
                <w:sz w:val="16"/>
                <w:szCs w:val="16"/>
                <w:lang w:eastAsia="en-AU"/>
              </w:rPr>
              <w:t>(</w:t>
            </w:r>
            <w:r w:rsidR="003B0EE4">
              <w:rPr>
                <w:rFonts w:eastAsia="Times New Roman" w:cstheme="minorHAnsi"/>
                <w:bCs/>
                <w:sz w:val="16"/>
                <w:szCs w:val="16"/>
                <w:lang w:eastAsia="en-AU"/>
              </w:rPr>
              <w:t>3.3</w:t>
            </w:r>
            <w:r w:rsidRPr="00847CC4">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1449C47A" w14:textId="75958607" w:rsidR="00E550C8" w:rsidRPr="00847CC4" w:rsidRDefault="003B0EE4"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1,306</w:t>
            </w:r>
          </w:p>
          <w:p w14:paraId="6D034B11" w14:textId="7D90A3D8" w:rsidR="00E550C8" w:rsidRPr="00847CC4" w:rsidRDefault="00E550C8" w:rsidP="00AF191F">
            <w:pPr>
              <w:spacing w:after="0" w:line="240" w:lineRule="auto"/>
              <w:jc w:val="center"/>
              <w:rPr>
                <w:rFonts w:eastAsia="Times New Roman" w:cstheme="minorHAnsi"/>
                <w:bCs/>
                <w:sz w:val="16"/>
                <w:szCs w:val="16"/>
                <w:lang w:eastAsia="en-AU"/>
              </w:rPr>
            </w:pPr>
            <w:r w:rsidRPr="00847CC4">
              <w:rPr>
                <w:rFonts w:eastAsia="Times New Roman" w:cstheme="minorHAnsi"/>
                <w:bCs/>
                <w:sz w:val="16"/>
                <w:szCs w:val="16"/>
                <w:lang w:eastAsia="en-AU"/>
              </w:rPr>
              <w:t>(</w:t>
            </w:r>
            <w:r w:rsidR="003B0EE4">
              <w:rPr>
                <w:rFonts w:eastAsia="Times New Roman" w:cstheme="minorHAnsi"/>
                <w:bCs/>
                <w:sz w:val="16"/>
                <w:szCs w:val="16"/>
                <w:lang w:eastAsia="en-AU"/>
              </w:rPr>
              <w:t>5.2</w:t>
            </w:r>
            <w:r w:rsidRPr="00847CC4">
              <w:rPr>
                <w:rFonts w:eastAsia="Times New Roman" w:cstheme="minorHAnsi"/>
                <w:bCs/>
                <w:sz w:val="16"/>
                <w:szCs w:val="16"/>
                <w:lang w:eastAsia="en-AU"/>
              </w:rPr>
              <w:t>%)</w:t>
            </w:r>
          </w:p>
        </w:tc>
        <w:tc>
          <w:tcPr>
            <w:tcW w:w="1273" w:type="dxa"/>
            <w:tcBorders>
              <w:top w:val="single" w:sz="6" w:space="0" w:color="auto"/>
              <w:left w:val="single" w:sz="6" w:space="0" w:color="auto"/>
              <w:bottom w:val="single" w:sz="6" w:space="0" w:color="auto"/>
              <w:right w:val="single" w:sz="6" w:space="0" w:color="auto"/>
            </w:tcBorders>
            <w:noWrap/>
          </w:tcPr>
          <w:p w14:paraId="3263C7B5" w14:textId="50A44753" w:rsidR="00E550C8" w:rsidRPr="00847CC4" w:rsidRDefault="00E550C8" w:rsidP="00AF191F">
            <w:pPr>
              <w:spacing w:after="0" w:line="240" w:lineRule="auto"/>
              <w:jc w:val="center"/>
              <w:rPr>
                <w:rFonts w:eastAsia="Times New Roman" w:cstheme="minorHAnsi"/>
                <w:bCs/>
                <w:sz w:val="16"/>
                <w:szCs w:val="16"/>
                <w:lang w:eastAsia="en-AU"/>
              </w:rPr>
            </w:pPr>
            <w:r w:rsidRPr="00847CC4">
              <w:rPr>
                <w:rFonts w:eastAsia="Times New Roman" w:cstheme="minorHAnsi"/>
                <w:bCs/>
                <w:sz w:val="16"/>
                <w:szCs w:val="16"/>
                <w:lang w:eastAsia="en-AU"/>
              </w:rPr>
              <w:t>1,</w:t>
            </w:r>
            <w:r w:rsidR="003B0EE4">
              <w:rPr>
                <w:rFonts w:eastAsia="Times New Roman" w:cstheme="minorHAnsi"/>
                <w:bCs/>
                <w:sz w:val="16"/>
                <w:szCs w:val="16"/>
                <w:lang w:eastAsia="en-AU"/>
              </w:rPr>
              <w:t>452</w:t>
            </w:r>
          </w:p>
          <w:p w14:paraId="38F14066" w14:textId="7A280C84" w:rsidR="00E550C8" w:rsidRPr="00847CC4" w:rsidRDefault="00E550C8" w:rsidP="00AF191F">
            <w:pPr>
              <w:spacing w:after="0" w:line="240" w:lineRule="auto"/>
              <w:jc w:val="center"/>
              <w:rPr>
                <w:rFonts w:eastAsia="Times New Roman" w:cstheme="minorHAnsi"/>
                <w:bCs/>
                <w:sz w:val="16"/>
                <w:szCs w:val="16"/>
                <w:lang w:eastAsia="en-AU"/>
              </w:rPr>
            </w:pPr>
            <w:r w:rsidRPr="00847CC4">
              <w:rPr>
                <w:rFonts w:eastAsia="Times New Roman" w:cstheme="minorHAnsi"/>
                <w:bCs/>
                <w:sz w:val="16"/>
                <w:szCs w:val="16"/>
                <w:lang w:eastAsia="en-AU"/>
              </w:rPr>
              <w:t>(</w:t>
            </w:r>
            <w:r w:rsidR="003B0EE4">
              <w:rPr>
                <w:rFonts w:eastAsia="Times New Roman" w:cstheme="minorHAnsi"/>
                <w:bCs/>
                <w:sz w:val="16"/>
                <w:szCs w:val="16"/>
                <w:lang w:eastAsia="en-AU"/>
              </w:rPr>
              <w:t>5.8</w:t>
            </w:r>
            <w:r w:rsidRPr="00847CC4">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1A405423" w14:textId="30722BC7" w:rsidR="00E550C8" w:rsidRPr="00847CC4" w:rsidRDefault="00E550C8" w:rsidP="00AF191F">
            <w:pPr>
              <w:spacing w:after="0" w:line="240" w:lineRule="auto"/>
              <w:jc w:val="center"/>
              <w:rPr>
                <w:rFonts w:eastAsia="Times New Roman" w:cstheme="minorHAnsi"/>
                <w:bCs/>
                <w:sz w:val="16"/>
                <w:szCs w:val="16"/>
                <w:lang w:eastAsia="en-AU"/>
              </w:rPr>
            </w:pPr>
            <w:r w:rsidRPr="00847CC4">
              <w:rPr>
                <w:rFonts w:eastAsia="Times New Roman" w:cstheme="minorHAnsi"/>
                <w:bCs/>
                <w:sz w:val="16"/>
                <w:szCs w:val="16"/>
                <w:lang w:eastAsia="en-AU"/>
              </w:rPr>
              <w:t>1,</w:t>
            </w:r>
            <w:r w:rsidR="003B0EE4">
              <w:rPr>
                <w:rFonts w:eastAsia="Times New Roman" w:cstheme="minorHAnsi"/>
                <w:bCs/>
                <w:sz w:val="16"/>
                <w:szCs w:val="16"/>
                <w:lang w:eastAsia="en-AU"/>
              </w:rPr>
              <w:t>157</w:t>
            </w:r>
          </w:p>
          <w:p w14:paraId="30E87657" w14:textId="64B0C432" w:rsidR="00E550C8" w:rsidRPr="00847CC4" w:rsidRDefault="00E550C8" w:rsidP="00AF191F">
            <w:pPr>
              <w:spacing w:after="0" w:line="240" w:lineRule="auto"/>
              <w:jc w:val="center"/>
              <w:rPr>
                <w:rFonts w:eastAsia="Times New Roman" w:cstheme="minorHAnsi"/>
                <w:bCs/>
                <w:sz w:val="16"/>
                <w:szCs w:val="16"/>
                <w:lang w:eastAsia="en-AU"/>
              </w:rPr>
            </w:pPr>
            <w:r w:rsidRPr="00847CC4">
              <w:rPr>
                <w:rFonts w:eastAsia="Times New Roman" w:cstheme="minorHAnsi"/>
                <w:bCs/>
                <w:sz w:val="16"/>
                <w:szCs w:val="16"/>
                <w:lang w:eastAsia="en-AU"/>
              </w:rPr>
              <w:t>(</w:t>
            </w:r>
            <w:r w:rsidR="003B0EE4">
              <w:rPr>
                <w:rFonts w:eastAsia="Times New Roman" w:cstheme="minorHAnsi"/>
                <w:bCs/>
                <w:sz w:val="16"/>
                <w:szCs w:val="16"/>
                <w:lang w:eastAsia="en-AU"/>
              </w:rPr>
              <w:t>4.6</w:t>
            </w:r>
            <w:r w:rsidRPr="00847CC4">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6110C736" w14:textId="1DCB16FA" w:rsidR="00E550C8" w:rsidRPr="00847CC4" w:rsidRDefault="00E550C8" w:rsidP="00AF191F">
            <w:pPr>
              <w:spacing w:after="0" w:line="240" w:lineRule="auto"/>
              <w:jc w:val="center"/>
              <w:rPr>
                <w:rFonts w:eastAsia="Times New Roman" w:cstheme="minorHAnsi"/>
                <w:bCs/>
                <w:sz w:val="16"/>
                <w:szCs w:val="16"/>
                <w:lang w:eastAsia="en-AU"/>
              </w:rPr>
            </w:pPr>
            <w:r w:rsidRPr="00847CC4">
              <w:rPr>
                <w:rFonts w:eastAsia="Times New Roman" w:cstheme="minorHAnsi"/>
                <w:bCs/>
                <w:sz w:val="16"/>
                <w:szCs w:val="16"/>
                <w:lang w:eastAsia="en-AU"/>
              </w:rPr>
              <w:t>4</w:t>
            </w:r>
            <w:r w:rsidR="006F2033">
              <w:rPr>
                <w:rFonts w:eastAsia="Times New Roman" w:cstheme="minorHAnsi"/>
                <w:bCs/>
                <w:sz w:val="16"/>
                <w:szCs w:val="16"/>
                <w:lang w:eastAsia="en-AU"/>
              </w:rPr>
              <w:t>5</w:t>
            </w:r>
            <w:r w:rsidR="003B0EE4">
              <w:rPr>
                <w:rFonts w:eastAsia="Times New Roman" w:cstheme="minorHAnsi"/>
                <w:bCs/>
                <w:sz w:val="16"/>
                <w:szCs w:val="16"/>
                <w:lang w:eastAsia="en-AU"/>
              </w:rPr>
              <w:t>9</w:t>
            </w:r>
          </w:p>
          <w:p w14:paraId="5BB75A20" w14:textId="21F26D0E" w:rsidR="00E550C8" w:rsidRPr="00847CC4" w:rsidRDefault="00E550C8" w:rsidP="00AF191F">
            <w:pPr>
              <w:spacing w:after="0" w:line="240" w:lineRule="auto"/>
              <w:jc w:val="center"/>
              <w:rPr>
                <w:rFonts w:eastAsia="Times New Roman" w:cstheme="minorHAnsi"/>
                <w:bCs/>
                <w:sz w:val="16"/>
                <w:szCs w:val="16"/>
                <w:lang w:eastAsia="en-AU"/>
              </w:rPr>
            </w:pPr>
            <w:r w:rsidRPr="00847CC4">
              <w:rPr>
                <w:rFonts w:eastAsia="Times New Roman" w:cstheme="minorHAnsi"/>
                <w:bCs/>
                <w:sz w:val="16"/>
                <w:szCs w:val="16"/>
                <w:lang w:eastAsia="en-AU"/>
              </w:rPr>
              <w:t>(</w:t>
            </w:r>
            <w:r w:rsidR="003B0EE4">
              <w:rPr>
                <w:rFonts w:eastAsia="Times New Roman" w:cstheme="minorHAnsi"/>
                <w:bCs/>
                <w:sz w:val="16"/>
                <w:szCs w:val="16"/>
                <w:lang w:eastAsia="en-AU"/>
              </w:rPr>
              <w:t>1.8</w:t>
            </w:r>
            <w:r w:rsidRPr="00847CC4">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tcPr>
          <w:p w14:paraId="240972F7" w14:textId="16A5542E" w:rsidR="00E550C8" w:rsidRPr="00847CC4" w:rsidRDefault="00E550C8" w:rsidP="00AF191F">
            <w:pPr>
              <w:spacing w:after="0" w:line="240" w:lineRule="auto"/>
              <w:jc w:val="center"/>
              <w:rPr>
                <w:rFonts w:eastAsia="Times New Roman" w:cstheme="minorHAnsi"/>
                <w:bCs/>
                <w:sz w:val="16"/>
                <w:szCs w:val="16"/>
                <w:lang w:eastAsia="en-AU"/>
              </w:rPr>
            </w:pPr>
            <w:r w:rsidRPr="00847CC4">
              <w:rPr>
                <w:rFonts w:eastAsia="Times New Roman" w:cstheme="minorHAnsi"/>
                <w:bCs/>
                <w:sz w:val="16"/>
                <w:szCs w:val="16"/>
                <w:lang w:eastAsia="en-AU"/>
              </w:rPr>
              <w:t>1</w:t>
            </w:r>
            <w:r w:rsidR="003B0EE4">
              <w:rPr>
                <w:rFonts w:eastAsia="Times New Roman" w:cstheme="minorHAnsi"/>
                <w:bCs/>
                <w:sz w:val="16"/>
                <w:szCs w:val="16"/>
                <w:lang w:eastAsia="en-AU"/>
              </w:rPr>
              <w:t>9,162</w:t>
            </w:r>
          </w:p>
          <w:p w14:paraId="198C3271" w14:textId="56595331" w:rsidR="00E550C8" w:rsidRPr="00847CC4" w:rsidRDefault="00E550C8" w:rsidP="00AF191F">
            <w:pPr>
              <w:spacing w:after="0" w:line="240" w:lineRule="auto"/>
              <w:jc w:val="center"/>
              <w:rPr>
                <w:rFonts w:eastAsia="Times New Roman" w:cstheme="minorHAnsi"/>
                <w:bCs/>
                <w:sz w:val="16"/>
                <w:szCs w:val="16"/>
                <w:lang w:eastAsia="en-AU"/>
              </w:rPr>
            </w:pPr>
            <w:r w:rsidRPr="00847CC4">
              <w:rPr>
                <w:rFonts w:eastAsia="Times New Roman" w:cstheme="minorHAnsi"/>
                <w:bCs/>
                <w:sz w:val="16"/>
                <w:szCs w:val="16"/>
                <w:lang w:eastAsia="en-AU"/>
              </w:rPr>
              <w:t>(</w:t>
            </w:r>
            <w:r w:rsidR="003B0EE4">
              <w:rPr>
                <w:rFonts w:eastAsia="Times New Roman" w:cstheme="minorHAnsi"/>
                <w:bCs/>
                <w:sz w:val="16"/>
                <w:szCs w:val="16"/>
                <w:lang w:eastAsia="en-AU"/>
              </w:rPr>
              <w:t>76.5</w:t>
            </w:r>
            <w:r w:rsidRPr="00847CC4">
              <w:rPr>
                <w:rFonts w:eastAsia="Times New Roman" w:cstheme="minorHAnsi"/>
                <w:bCs/>
                <w:sz w:val="16"/>
                <w:szCs w:val="16"/>
                <w:lang w:eastAsia="en-AU"/>
              </w:rPr>
              <w:t>%)</w:t>
            </w:r>
          </w:p>
        </w:tc>
        <w:tc>
          <w:tcPr>
            <w:tcW w:w="1164" w:type="dxa"/>
            <w:tcBorders>
              <w:top w:val="single" w:sz="6" w:space="0" w:color="auto"/>
              <w:left w:val="single" w:sz="6" w:space="0" w:color="auto"/>
              <w:bottom w:val="single" w:sz="6" w:space="0" w:color="auto"/>
              <w:right w:val="single" w:sz="4" w:space="0" w:color="auto"/>
            </w:tcBorders>
            <w:noWrap/>
          </w:tcPr>
          <w:p w14:paraId="3277E22F" w14:textId="15F0123B" w:rsidR="00E550C8" w:rsidRPr="00847CC4" w:rsidRDefault="00E550C8" w:rsidP="00AF191F">
            <w:pPr>
              <w:spacing w:after="0" w:line="240" w:lineRule="auto"/>
              <w:jc w:val="center"/>
              <w:rPr>
                <w:rFonts w:eastAsia="Times New Roman" w:cstheme="minorHAnsi"/>
                <w:bCs/>
                <w:sz w:val="16"/>
                <w:szCs w:val="16"/>
                <w:lang w:eastAsia="en-AU"/>
              </w:rPr>
            </w:pPr>
            <w:r w:rsidRPr="00847CC4">
              <w:rPr>
                <w:rFonts w:eastAsia="Times New Roman" w:cstheme="minorHAnsi"/>
                <w:bCs/>
                <w:sz w:val="16"/>
                <w:szCs w:val="16"/>
                <w:lang w:eastAsia="en-AU"/>
              </w:rPr>
              <w:t>2</w:t>
            </w:r>
            <w:r w:rsidR="003B0EE4">
              <w:rPr>
                <w:rFonts w:eastAsia="Times New Roman" w:cstheme="minorHAnsi"/>
                <w:bCs/>
                <w:sz w:val="16"/>
                <w:szCs w:val="16"/>
                <w:lang w:eastAsia="en-AU"/>
              </w:rPr>
              <w:t>5,056</w:t>
            </w:r>
          </w:p>
          <w:p w14:paraId="3C2CE357" w14:textId="77777777" w:rsidR="00E550C8" w:rsidRPr="00847CC4" w:rsidRDefault="00E550C8" w:rsidP="00AF191F">
            <w:pPr>
              <w:spacing w:after="0" w:line="240" w:lineRule="auto"/>
              <w:jc w:val="center"/>
              <w:rPr>
                <w:rFonts w:eastAsia="Times New Roman" w:cstheme="minorHAnsi"/>
                <w:bCs/>
                <w:sz w:val="16"/>
                <w:szCs w:val="16"/>
                <w:lang w:eastAsia="en-AU"/>
              </w:rPr>
            </w:pPr>
            <w:r w:rsidRPr="00847CC4">
              <w:rPr>
                <w:rFonts w:eastAsia="Times New Roman" w:cstheme="minorHAnsi"/>
                <w:bCs/>
                <w:sz w:val="16"/>
                <w:szCs w:val="16"/>
                <w:lang w:eastAsia="en-AU"/>
              </w:rPr>
              <w:t>(100.0%)</w:t>
            </w:r>
          </w:p>
        </w:tc>
      </w:tr>
      <w:tr w:rsidR="00E550C8" w:rsidRPr="002F0534" w14:paraId="10386232" w14:textId="77777777" w:rsidTr="00AF191F">
        <w:trPr>
          <w:trHeight w:hRule="exact" w:val="494"/>
          <w:tblHeader/>
        </w:trPr>
        <w:tc>
          <w:tcPr>
            <w:tcW w:w="1844" w:type="dxa"/>
            <w:tcBorders>
              <w:top w:val="single" w:sz="6" w:space="0" w:color="auto"/>
              <w:left w:val="single" w:sz="12" w:space="0" w:color="auto"/>
              <w:bottom w:val="single" w:sz="6" w:space="0" w:color="auto"/>
              <w:right w:val="single" w:sz="6" w:space="0" w:color="auto"/>
            </w:tcBorders>
            <w:noWrap/>
            <w:vAlign w:val="center"/>
          </w:tcPr>
          <w:p w14:paraId="0AB93CD7" w14:textId="77777777" w:rsidR="00E550C8" w:rsidRPr="00BB789D" w:rsidRDefault="00E550C8" w:rsidP="00AF191F">
            <w:pPr>
              <w:spacing w:after="0" w:line="240" w:lineRule="auto"/>
              <w:rPr>
                <w:rFonts w:eastAsia="Times New Roman" w:cstheme="minorHAnsi"/>
                <w:bCs/>
                <w:i/>
                <w:sz w:val="16"/>
                <w:szCs w:val="16"/>
                <w:lang w:eastAsia="en-AU"/>
              </w:rPr>
            </w:pPr>
            <w:r>
              <w:rPr>
                <w:rFonts w:eastAsia="Times New Roman" w:cstheme="minorHAnsi"/>
                <w:bCs/>
                <w:i/>
                <w:sz w:val="16"/>
                <w:szCs w:val="16"/>
                <w:lang w:eastAsia="en-AU"/>
              </w:rPr>
              <w:t xml:space="preserve">    </w:t>
            </w:r>
            <w:r w:rsidRPr="00BB789D">
              <w:rPr>
                <w:rFonts w:eastAsia="Times New Roman" w:cstheme="minorHAnsi"/>
                <w:bCs/>
                <w:i/>
                <w:sz w:val="16"/>
                <w:szCs w:val="16"/>
                <w:lang w:eastAsia="en-AU"/>
              </w:rPr>
              <w:t>Teacher Education</w:t>
            </w:r>
          </w:p>
        </w:tc>
        <w:tc>
          <w:tcPr>
            <w:tcW w:w="985" w:type="dxa"/>
            <w:tcBorders>
              <w:top w:val="single" w:sz="6" w:space="0" w:color="auto"/>
              <w:left w:val="single" w:sz="6" w:space="0" w:color="auto"/>
              <w:bottom w:val="single" w:sz="6" w:space="0" w:color="auto"/>
              <w:right w:val="single" w:sz="6" w:space="0" w:color="auto"/>
            </w:tcBorders>
            <w:noWrap/>
          </w:tcPr>
          <w:p w14:paraId="7F5FBB8D" w14:textId="66E48C47" w:rsidR="00E550C8" w:rsidRPr="002F0534" w:rsidRDefault="003B0EE4" w:rsidP="00AF191F">
            <w:pPr>
              <w:spacing w:after="0" w:line="240" w:lineRule="auto"/>
              <w:jc w:val="center"/>
              <w:rPr>
                <w:rFonts w:eastAsia="Times New Roman" w:cstheme="minorHAnsi"/>
                <w:bCs/>
                <w:i/>
                <w:sz w:val="16"/>
                <w:szCs w:val="16"/>
                <w:lang w:eastAsia="en-AU"/>
              </w:rPr>
            </w:pPr>
            <w:r>
              <w:rPr>
                <w:rFonts w:eastAsia="Times New Roman" w:cstheme="minorHAnsi"/>
                <w:bCs/>
                <w:i/>
                <w:sz w:val="16"/>
                <w:szCs w:val="16"/>
                <w:lang w:eastAsia="en-AU"/>
              </w:rPr>
              <w:t>499</w:t>
            </w:r>
          </w:p>
          <w:p w14:paraId="16AAF9F3" w14:textId="165F33AD"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w:t>
            </w:r>
            <w:r w:rsidR="003B0EE4">
              <w:rPr>
                <w:rFonts w:eastAsia="Times New Roman" w:cstheme="minorHAnsi"/>
                <w:bCs/>
                <w:i/>
                <w:sz w:val="16"/>
                <w:szCs w:val="16"/>
                <w:lang w:eastAsia="en-AU"/>
              </w:rPr>
              <w:t>2.3</w:t>
            </w:r>
            <w:r w:rsidRPr="002F0534">
              <w:rPr>
                <w:rFonts w:eastAsia="Times New Roman" w:cstheme="minorHAnsi"/>
                <w:bCs/>
                <w:i/>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38439E25" w14:textId="37B6B545"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 xml:space="preserve"> </w:t>
            </w:r>
            <w:r w:rsidR="003B0EE4">
              <w:rPr>
                <w:rFonts w:eastAsia="Times New Roman" w:cstheme="minorHAnsi"/>
                <w:bCs/>
                <w:i/>
                <w:sz w:val="16"/>
                <w:szCs w:val="16"/>
                <w:lang w:eastAsia="en-AU"/>
              </w:rPr>
              <w:t>666</w:t>
            </w:r>
          </w:p>
          <w:p w14:paraId="1516B421" w14:textId="2956F087"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w:t>
            </w:r>
            <w:r w:rsidR="003B0EE4">
              <w:rPr>
                <w:rFonts w:eastAsia="Times New Roman" w:cstheme="minorHAnsi"/>
                <w:bCs/>
                <w:i/>
                <w:sz w:val="16"/>
                <w:szCs w:val="16"/>
                <w:lang w:eastAsia="en-AU"/>
              </w:rPr>
              <w:t>3.1</w:t>
            </w:r>
            <w:r w:rsidRPr="002F0534">
              <w:rPr>
                <w:rFonts w:eastAsia="Times New Roman" w:cstheme="minorHAnsi"/>
                <w:bCs/>
                <w:i/>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230922CB" w14:textId="61719847" w:rsidR="00E550C8" w:rsidRPr="002F0534" w:rsidRDefault="003B0EE4" w:rsidP="00AF191F">
            <w:pPr>
              <w:spacing w:after="0" w:line="240" w:lineRule="auto"/>
              <w:jc w:val="center"/>
              <w:rPr>
                <w:rFonts w:eastAsia="Times New Roman" w:cstheme="minorHAnsi"/>
                <w:bCs/>
                <w:i/>
                <w:sz w:val="16"/>
                <w:szCs w:val="16"/>
                <w:lang w:eastAsia="en-AU"/>
              </w:rPr>
            </w:pPr>
            <w:r>
              <w:rPr>
                <w:rFonts w:eastAsia="Times New Roman" w:cstheme="minorHAnsi"/>
                <w:bCs/>
                <w:i/>
                <w:sz w:val="16"/>
                <w:szCs w:val="16"/>
                <w:lang w:eastAsia="en-AU"/>
              </w:rPr>
              <w:t>1,190</w:t>
            </w:r>
          </w:p>
          <w:p w14:paraId="30888031" w14:textId="34AC2ABD"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w:t>
            </w:r>
            <w:r w:rsidR="003B0EE4">
              <w:rPr>
                <w:rFonts w:eastAsia="Times New Roman" w:cstheme="minorHAnsi"/>
                <w:bCs/>
                <w:i/>
                <w:sz w:val="16"/>
                <w:szCs w:val="16"/>
                <w:lang w:eastAsia="en-AU"/>
              </w:rPr>
              <w:t>5.5</w:t>
            </w:r>
            <w:r w:rsidRPr="002F0534">
              <w:rPr>
                <w:rFonts w:eastAsia="Times New Roman" w:cstheme="minorHAnsi"/>
                <w:bCs/>
                <w:i/>
                <w:sz w:val="16"/>
                <w:szCs w:val="16"/>
                <w:lang w:eastAsia="en-AU"/>
              </w:rPr>
              <w:t>%)</w:t>
            </w:r>
          </w:p>
        </w:tc>
        <w:tc>
          <w:tcPr>
            <w:tcW w:w="1273" w:type="dxa"/>
            <w:tcBorders>
              <w:top w:val="single" w:sz="6" w:space="0" w:color="auto"/>
              <w:left w:val="single" w:sz="6" w:space="0" w:color="auto"/>
              <w:bottom w:val="single" w:sz="6" w:space="0" w:color="auto"/>
              <w:right w:val="single" w:sz="6" w:space="0" w:color="auto"/>
            </w:tcBorders>
            <w:noWrap/>
          </w:tcPr>
          <w:p w14:paraId="7FAAA559" w14:textId="51C7436E"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 xml:space="preserve"> 1,</w:t>
            </w:r>
            <w:r w:rsidR="003B0EE4">
              <w:rPr>
                <w:rFonts w:eastAsia="Times New Roman" w:cstheme="minorHAnsi"/>
                <w:bCs/>
                <w:i/>
                <w:sz w:val="16"/>
                <w:szCs w:val="16"/>
                <w:lang w:eastAsia="en-AU"/>
              </w:rPr>
              <w:t>3</w:t>
            </w:r>
            <w:r w:rsidR="00745627">
              <w:rPr>
                <w:rFonts w:eastAsia="Times New Roman" w:cstheme="minorHAnsi"/>
                <w:bCs/>
                <w:i/>
                <w:sz w:val="16"/>
                <w:szCs w:val="16"/>
                <w:lang w:eastAsia="en-AU"/>
              </w:rPr>
              <w:t>94</w:t>
            </w:r>
          </w:p>
          <w:p w14:paraId="50964775" w14:textId="5470797C"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w:t>
            </w:r>
            <w:r w:rsidR="003B0EE4">
              <w:rPr>
                <w:rFonts w:eastAsia="Times New Roman" w:cstheme="minorHAnsi"/>
                <w:bCs/>
                <w:i/>
                <w:sz w:val="16"/>
                <w:szCs w:val="16"/>
                <w:lang w:eastAsia="en-AU"/>
              </w:rPr>
              <w:t>6.4</w:t>
            </w:r>
            <w:r w:rsidRPr="002F0534">
              <w:rPr>
                <w:rFonts w:eastAsia="Times New Roman" w:cstheme="minorHAnsi"/>
                <w:bCs/>
                <w:i/>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304044B9" w14:textId="0BFC2F1E"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 xml:space="preserve"> 1,</w:t>
            </w:r>
            <w:r w:rsidR="003B0EE4">
              <w:rPr>
                <w:rFonts w:eastAsia="Times New Roman" w:cstheme="minorHAnsi"/>
                <w:bCs/>
                <w:i/>
                <w:sz w:val="16"/>
                <w:szCs w:val="16"/>
                <w:lang w:eastAsia="en-AU"/>
              </w:rPr>
              <w:t>1</w:t>
            </w:r>
            <w:r w:rsidR="00745627">
              <w:rPr>
                <w:rFonts w:eastAsia="Times New Roman" w:cstheme="minorHAnsi"/>
                <w:bCs/>
                <w:i/>
                <w:sz w:val="16"/>
                <w:szCs w:val="16"/>
                <w:lang w:eastAsia="en-AU"/>
              </w:rPr>
              <w:t>28</w:t>
            </w:r>
          </w:p>
          <w:p w14:paraId="2C99324B" w14:textId="2AD0EE92"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w:t>
            </w:r>
            <w:r w:rsidR="003B0EE4">
              <w:rPr>
                <w:rFonts w:eastAsia="Times New Roman" w:cstheme="minorHAnsi"/>
                <w:bCs/>
                <w:i/>
                <w:sz w:val="16"/>
                <w:szCs w:val="16"/>
                <w:lang w:eastAsia="en-AU"/>
              </w:rPr>
              <w:t>5.2</w:t>
            </w:r>
            <w:r w:rsidRPr="002F0534">
              <w:rPr>
                <w:rFonts w:eastAsia="Times New Roman" w:cstheme="minorHAnsi"/>
                <w:bCs/>
                <w:i/>
                <w:sz w:val="16"/>
                <w:szCs w:val="16"/>
                <w:lang w:eastAsia="en-AU"/>
              </w:rPr>
              <w:t xml:space="preserve">%) </w:t>
            </w:r>
          </w:p>
        </w:tc>
        <w:tc>
          <w:tcPr>
            <w:tcW w:w="1131" w:type="dxa"/>
            <w:tcBorders>
              <w:top w:val="single" w:sz="6" w:space="0" w:color="auto"/>
              <w:left w:val="single" w:sz="6" w:space="0" w:color="auto"/>
              <w:bottom w:val="single" w:sz="6" w:space="0" w:color="auto"/>
              <w:right w:val="single" w:sz="6" w:space="0" w:color="auto"/>
            </w:tcBorders>
            <w:noWrap/>
          </w:tcPr>
          <w:p w14:paraId="0C2B2CDC" w14:textId="28CA6AE8"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 xml:space="preserve"> 4</w:t>
            </w:r>
            <w:r w:rsidR="003B0EE4">
              <w:rPr>
                <w:rFonts w:eastAsia="Times New Roman" w:cstheme="minorHAnsi"/>
                <w:bCs/>
                <w:i/>
                <w:sz w:val="16"/>
                <w:szCs w:val="16"/>
                <w:lang w:eastAsia="en-AU"/>
              </w:rPr>
              <w:t>5</w:t>
            </w:r>
            <w:r w:rsidR="00745627">
              <w:rPr>
                <w:rFonts w:eastAsia="Times New Roman" w:cstheme="minorHAnsi"/>
                <w:bCs/>
                <w:i/>
                <w:sz w:val="16"/>
                <w:szCs w:val="16"/>
                <w:lang w:eastAsia="en-AU"/>
              </w:rPr>
              <w:t>0</w:t>
            </w:r>
          </w:p>
          <w:p w14:paraId="6F649D94" w14:textId="5AC6BA9B"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w:t>
            </w:r>
            <w:r w:rsidR="003B0EE4">
              <w:rPr>
                <w:rFonts w:eastAsia="Times New Roman" w:cstheme="minorHAnsi"/>
                <w:bCs/>
                <w:i/>
                <w:sz w:val="16"/>
                <w:szCs w:val="16"/>
                <w:lang w:eastAsia="en-AU"/>
              </w:rPr>
              <w:t>2.1</w:t>
            </w:r>
            <w:r w:rsidRPr="002F0534">
              <w:rPr>
                <w:rFonts w:eastAsia="Times New Roman" w:cstheme="minorHAnsi"/>
                <w:bCs/>
                <w:i/>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tcPr>
          <w:p w14:paraId="01FE36AC" w14:textId="065C44D9"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 xml:space="preserve"> </w:t>
            </w:r>
            <w:r w:rsidR="003B0EE4">
              <w:rPr>
                <w:rFonts w:eastAsia="Times New Roman" w:cstheme="minorHAnsi"/>
                <w:bCs/>
                <w:i/>
                <w:sz w:val="16"/>
                <w:szCs w:val="16"/>
                <w:lang w:eastAsia="en-AU"/>
              </w:rPr>
              <w:t>16,</w:t>
            </w:r>
            <w:r w:rsidR="00745627">
              <w:rPr>
                <w:rFonts w:eastAsia="Times New Roman" w:cstheme="minorHAnsi"/>
                <w:bCs/>
                <w:i/>
                <w:sz w:val="16"/>
                <w:szCs w:val="16"/>
                <w:lang w:eastAsia="en-AU"/>
              </w:rPr>
              <w:t>443</w:t>
            </w:r>
          </w:p>
          <w:p w14:paraId="10841A5C" w14:textId="0E76DA88"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w:t>
            </w:r>
            <w:r w:rsidR="003B0EE4">
              <w:rPr>
                <w:rFonts w:eastAsia="Times New Roman" w:cstheme="minorHAnsi"/>
                <w:bCs/>
                <w:i/>
                <w:sz w:val="16"/>
                <w:szCs w:val="16"/>
                <w:lang w:eastAsia="en-AU"/>
              </w:rPr>
              <w:t>75.5</w:t>
            </w:r>
            <w:r w:rsidRPr="002F0534">
              <w:rPr>
                <w:rFonts w:eastAsia="Times New Roman" w:cstheme="minorHAnsi"/>
                <w:bCs/>
                <w:i/>
                <w:sz w:val="16"/>
                <w:szCs w:val="16"/>
                <w:lang w:eastAsia="en-AU"/>
              </w:rPr>
              <w:t>%)</w:t>
            </w:r>
          </w:p>
        </w:tc>
        <w:tc>
          <w:tcPr>
            <w:tcW w:w="1164" w:type="dxa"/>
            <w:tcBorders>
              <w:top w:val="single" w:sz="6" w:space="0" w:color="auto"/>
              <w:left w:val="single" w:sz="6" w:space="0" w:color="auto"/>
              <w:bottom w:val="single" w:sz="6" w:space="0" w:color="auto"/>
              <w:right w:val="single" w:sz="4" w:space="0" w:color="auto"/>
            </w:tcBorders>
            <w:noWrap/>
          </w:tcPr>
          <w:p w14:paraId="36F405E7" w14:textId="10FAD584"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 xml:space="preserve"> </w:t>
            </w:r>
            <w:r w:rsidR="003B0EE4">
              <w:rPr>
                <w:rFonts w:eastAsia="Times New Roman" w:cstheme="minorHAnsi"/>
                <w:bCs/>
                <w:i/>
                <w:sz w:val="16"/>
                <w:szCs w:val="16"/>
                <w:lang w:eastAsia="en-AU"/>
              </w:rPr>
              <w:t>21,760</w:t>
            </w:r>
          </w:p>
          <w:p w14:paraId="4A934E87" w14:textId="77777777" w:rsidR="00E550C8" w:rsidRPr="002F0534" w:rsidRDefault="00E550C8" w:rsidP="00AF191F">
            <w:pPr>
              <w:spacing w:after="0" w:line="240" w:lineRule="auto"/>
              <w:jc w:val="center"/>
              <w:rPr>
                <w:rFonts w:eastAsia="Times New Roman" w:cstheme="minorHAnsi"/>
                <w:bCs/>
                <w:i/>
                <w:sz w:val="16"/>
                <w:szCs w:val="16"/>
                <w:lang w:eastAsia="en-AU"/>
              </w:rPr>
            </w:pPr>
            <w:r w:rsidRPr="002F0534">
              <w:rPr>
                <w:rFonts w:eastAsia="Times New Roman" w:cstheme="minorHAnsi"/>
                <w:bCs/>
                <w:i/>
                <w:sz w:val="16"/>
                <w:szCs w:val="16"/>
                <w:lang w:eastAsia="en-AU"/>
              </w:rPr>
              <w:t xml:space="preserve">(100.0%) </w:t>
            </w:r>
          </w:p>
        </w:tc>
      </w:tr>
      <w:tr w:rsidR="00E550C8" w:rsidRPr="006D130D" w14:paraId="71897037" w14:textId="77777777" w:rsidTr="00AF191F">
        <w:trPr>
          <w:trHeight w:hRule="exact" w:val="494"/>
          <w:tblHeader/>
        </w:trPr>
        <w:tc>
          <w:tcPr>
            <w:tcW w:w="1844" w:type="dxa"/>
            <w:tcBorders>
              <w:top w:val="single" w:sz="6" w:space="0" w:color="auto"/>
              <w:left w:val="single" w:sz="12" w:space="0" w:color="auto"/>
              <w:bottom w:val="single" w:sz="6" w:space="0" w:color="auto"/>
              <w:right w:val="single" w:sz="6" w:space="0" w:color="auto"/>
            </w:tcBorders>
            <w:noWrap/>
            <w:vAlign w:val="center"/>
            <w:hideMark/>
          </w:tcPr>
          <w:p w14:paraId="5E1BC0C6" w14:textId="77777777" w:rsidR="00E550C8" w:rsidRPr="006F315E" w:rsidRDefault="00E550C8" w:rsidP="00AF191F">
            <w:pPr>
              <w:spacing w:after="0" w:line="240" w:lineRule="auto"/>
              <w:rPr>
                <w:rFonts w:eastAsia="Times New Roman" w:cstheme="minorHAnsi"/>
                <w:bCs/>
                <w:sz w:val="16"/>
                <w:szCs w:val="16"/>
                <w:lang w:eastAsia="en-AU"/>
              </w:rPr>
            </w:pPr>
            <w:r w:rsidRPr="006F315E">
              <w:rPr>
                <w:rFonts w:eastAsia="Times New Roman" w:cstheme="minorHAnsi"/>
                <w:bCs/>
                <w:sz w:val="16"/>
                <w:szCs w:val="16"/>
                <w:lang w:eastAsia="en-AU"/>
              </w:rPr>
              <w:t>Management and Commerce</w:t>
            </w:r>
          </w:p>
        </w:tc>
        <w:tc>
          <w:tcPr>
            <w:tcW w:w="985" w:type="dxa"/>
            <w:tcBorders>
              <w:top w:val="single" w:sz="6" w:space="0" w:color="auto"/>
              <w:left w:val="single" w:sz="6" w:space="0" w:color="auto"/>
              <w:bottom w:val="single" w:sz="6" w:space="0" w:color="auto"/>
              <w:right w:val="single" w:sz="6" w:space="0" w:color="auto"/>
            </w:tcBorders>
            <w:noWrap/>
          </w:tcPr>
          <w:p w14:paraId="69BF5700" w14:textId="7E341F37" w:rsidR="00E550C8" w:rsidRPr="006D130D" w:rsidRDefault="00DB27AA"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739</w:t>
            </w:r>
          </w:p>
          <w:p w14:paraId="6C798A7E" w14:textId="6E1820E8" w:rsidR="00E550C8" w:rsidRPr="006D130D" w:rsidRDefault="00E550C8" w:rsidP="00AF191F">
            <w:pPr>
              <w:spacing w:after="0" w:line="240" w:lineRule="auto"/>
              <w:jc w:val="center"/>
              <w:rPr>
                <w:rFonts w:eastAsia="Times New Roman" w:cstheme="minorHAnsi"/>
                <w:bCs/>
                <w:sz w:val="16"/>
                <w:szCs w:val="16"/>
                <w:lang w:eastAsia="en-AU"/>
              </w:rPr>
            </w:pPr>
            <w:r w:rsidRPr="006D130D">
              <w:rPr>
                <w:rFonts w:eastAsia="Times New Roman" w:cstheme="minorHAnsi"/>
                <w:bCs/>
                <w:sz w:val="16"/>
                <w:szCs w:val="16"/>
                <w:lang w:eastAsia="en-AU"/>
              </w:rPr>
              <w:t>(</w:t>
            </w:r>
            <w:r w:rsidR="00DB27AA">
              <w:rPr>
                <w:rFonts w:eastAsia="Times New Roman" w:cstheme="minorHAnsi"/>
                <w:bCs/>
                <w:sz w:val="16"/>
                <w:szCs w:val="16"/>
                <w:lang w:eastAsia="en-AU"/>
              </w:rPr>
              <w:t>2.2</w:t>
            </w:r>
            <w:r w:rsidRPr="006D130D">
              <w:rPr>
                <w:rFonts w:eastAsia="Times New Roman" w:cstheme="minorHAnsi"/>
                <w:bCs/>
                <w:sz w:val="16"/>
                <w:szCs w:val="16"/>
                <w:lang w:eastAsia="en-AU"/>
              </w:rPr>
              <w:t>%</w:t>
            </w:r>
            <w:r>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0DC2E868" w14:textId="6E9D090C" w:rsidR="00E550C8" w:rsidRPr="006D130D" w:rsidRDefault="00E550C8" w:rsidP="00AF191F">
            <w:pPr>
              <w:spacing w:after="0" w:line="240" w:lineRule="auto"/>
              <w:jc w:val="center"/>
              <w:rPr>
                <w:rFonts w:eastAsia="Times New Roman" w:cstheme="minorHAnsi"/>
                <w:bCs/>
                <w:sz w:val="16"/>
                <w:szCs w:val="16"/>
                <w:lang w:eastAsia="en-AU"/>
              </w:rPr>
            </w:pPr>
            <w:r w:rsidRPr="006D130D">
              <w:rPr>
                <w:rFonts w:eastAsia="Times New Roman" w:cstheme="minorHAnsi"/>
                <w:bCs/>
                <w:sz w:val="16"/>
                <w:szCs w:val="16"/>
                <w:lang w:eastAsia="en-AU"/>
              </w:rPr>
              <w:t>1,</w:t>
            </w:r>
            <w:r w:rsidR="00DB27AA">
              <w:rPr>
                <w:rFonts w:eastAsia="Times New Roman" w:cstheme="minorHAnsi"/>
                <w:bCs/>
                <w:sz w:val="16"/>
                <w:szCs w:val="16"/>
                <w:lang w:eastAsia="en-AU"/>
              </w:rPr>
              <w:t>383</w:t>
            </w:r>
          </w:p>
          <w:p w14:paraId="095A8F2A" w14:textId="3E05609D" w:rsidR="00E550C8" w:rsidRPr="006D130D" w:rsidRDefault="00E550C8" w:rsidP="00AF191F">
            <w:pPr>
              <w:spacing w:after="0" w:line="240" w:lineRule="auto"/>
              <w:jc w:val="center"/>
              <w:rPr>
                <w:rFonts w:eastAsia="Times New Roman" w:cstheme="minorHAnsi"/>
                <w:bCs/>
                <w:sz w:val="16"/>
                <w:szCs w:val="16"/>
                <w:lang w:eastAsia="en-AU"/>
              </w:rPr>
            </w:pPr>
            <w:r w:rsidRPr="006D130D">
              <w:rPr>
                <w:rFonts w:eastAsia="Times New Roman" w:cstheme="minorHAnsi"/>
                <w:bCs/>
                <w:sz w:val="16"/>
                <w:szCs w:val="16"/>
                <w:lang w:eastAsia="en-AU"/>
              </w:rPr>
              <w:t>(</w:t>
            </w:r>
            <w:r w:rsidR="00DB27AA">
              <w:rPr>
                <w:rFonts w:eastAsia="Times New Roman" w:cstheme="minorHAnsi"/>
                <w:bCs/>
                <w:sz w:val="16"/>
                <w:szCs w:val="16"/>
                <w:lang w:eastAsia="en-AU"/>
              </w:rPr>
              <w:t>4.2</w:t>
            </w:r>
            <w:r w:rsidRPr="006D130D">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7232E644" w14:textId="0044788C" w:rsidR="00E550C8" w:rsidRPr="006D130D" w:rsidRDefault="00DB27AA"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2,238</w:t>
            </w:r>
          </w:p>
          <w:p w14:paraId="25B8BEC2" w14:textId="19A9A4DC" w:rsidR="00E550C8" w:rsidRPr="006D130D" w:rsidRDefault="00E550C8" w:rsidP="00AF191F">
            <w:pPr>
              <w:spacing w:after="0" w:line="240" w:lineRule="auto"/>
              <w:jc w:val="center"/>
              <w:rPr>
                <w:rFonts w:eastAsia="Times New Roman" w:cstheme="minorHAnsi"/>
                <w:bCs/>
                <w:sz w:val="16"/>
                <w:szCs w:val="16"/>
                <w:lang w:eastAsia="en-AU"/>
              </w:rPr>
            </w:pPr>
            <w:r w:rsidRPr="006D130D">
              <w:rPr>
                <w:rFonts w:eastAsia="Times New Roman" w:cstheme="minorHAnsi"/>
                <w:bCs/>
                <w:sz w:val="16"/>
                <w:szCs w:val="16"/>
                <w:lang w:eastAsia="en-AU"/>
              </w:rPr>
              <w:t>(</w:t>
            </w:r>
            <w:r w:rsidR="00DB27AA">
              <w:rPr>
                <w:rFonts w:eastAsia="Times New Roman" w:cstheme="minorHAnsi"/>
                <w:bCs/>
                <w:sz w:val="16"/>
                <w:szCs w:val="16"/>
                <w:lang w:eastAsia="en-AU"/>
              </w:rPr>
              <w:t>6.</w:t>
            </w:r>
            <w:r w:rsidR="00570C17">
              <w:rPr>
                <w:rFonts w:eastAsia="Times New Roman" w:cstheme="minorHAnsi"/>
                <w:bCs/>
                <w:sz w:val="16"/>
                <w:szCs w:val="16"/>
                <w:lang w:eastAsia="en-AU"/>
              </w:rPr>
              <w:t>8</w:t>
            </w:r>
            <w:r w:rsidRPr="006D130D">
              <w:rPr>
                <w:rFonts w:eastAsia="Times New Roman" w:cstheme="minorHAnsi"/>
                <w:bCs/>
                <w:sz w:val="16"/>
                <w:szCs w:val="16"/>
                <w:lang w:eastAsia="en-AU"/>
              </w:rPr>
              <w:t>%)</w:t>
            </w:r>
          </w:p>
        </w:tc>
        <w:tc>
          <w:tcPr>
            <w:tcW w:w="1273" w:type="dxa"/>
            <w:tcBorders>
              <w:top w:val="single" w:sz="6" w:space="0" w:color="auto"/>
              <w:left w:val="single" w:sz="6" w:space="0" w:color="auto"/>
              <w:bottom w:val="single" w:sz="6" w:space="0" w:color="auto"/>
              <w:right w:val="single" w:sz="6" w:space="0" w:color="auto"/>
            </w:tcBorders>
            <w:noWrap/>
          </w:tcPr>
          <w:p w14:paraId="3B7ADC4A" w14:textId="2DE2BBF2" w:rsidR="00E550C8" w:rsidRPr="006D130D" w:rsidRDefault="00E550C8" w:rsidP="00AF191F">
            <w:pPr>
              <w:spacing w:after="0" w:line="240" w:lineRule="auto"/>
              <w:jc w:val="center"/>
              <w:rPr>
                <w:rFonts w:eastAsia="Times New Roman" w:cstheme="minorHAnsi"/>
                <w:bCs/>
                <w:sz w:val="16"/>
                <w:szCs w:val="16"/>
                <w:lang w:eastAsia="en-AU"/>
              </w:rPr>
            </w:pPr>
            <w:r w:rsidRPr="006D130D">
              <w:rPr>
                <w:rFonts w:eastAsia="Times New Roman" w:cstheme="minorHAnsi"/>
                <w:bCs/>
                <w:sz w:val="16"/>
                <w:szCs w:val="16"/>
                <w:lang w:eastAsia="en-AU"/>
              </w:rPr>
              <w:t>3,</w:t>
            </w:r>
            <w:r w:rsidR="00DB27AA">
              <w:rPr>
                <w:rFonts w:eastAsia="Times New Roman" w:cstheme="minorHAnsi"/>
                <w:bCs/>
                <w:sz w:val="16"/>
                <w:szCs w:val="16"/>
                <w:lang w:eastAsia="en-AU"/>
              </w:rPr>
              <w:t>085</w:t>
            </w:r>
          </w:p>
          <w:p w14:paraId="7361C51E" w14:textId="79B6919C" w:rsidR="00E550C8" w:rsidRPr="006D130D" w:rsidRDefault="00E550C8" w:rsidP="00AF191F">
            <w:pPr>
              <w:spacing w:after="0" w:line="240" w:lineRule="auto"/>
              <w:jc w:val="center"/>
              <w:rPr>
                <w:rFonts w:eastAsia="Times New Roman" w:cstheme="minorHAnsi"/>
                <w:bCs/>
                <w:sz w:val="16"/>
                <w:szCs w:val="16"/>
                <w:lang w:eastAsia="en-AU"/>
              </w:rPr>
            </w:pPr>
            <w:r w:rsidRPr="006D130D">
              <w:rPr>
                <w:rFonts w:eastAsia="Times New Roman" w:cstheme="minorHAnsi"/>
                <w:bCs/>
                <w:sz w:val="16"/>
                <w:szCs w:val="16"/>
                <w:lang w:eastAsia="en-AU"/>
              </w:rPr>
              <w:t>(</w:t>
            </w:r>
            <w:r w:rsidR="00DB27AA">
              <w:rPr>
                <w:rFonts w:eastAsia="Times New Roman" w:cstheme="minorHAnsi"/>
                <w:bCs/>
                <w:sz w:val="16"/>
                <w:szCs w:val="16"/>
                <w:lang w:eastAsia="en-AU"/>
              </w:rPr>
              <w:t>9.4</w:t>
            </w:r>
            <w:r w:rsidRPr="006D130D">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08D3FF9F" w14:textId="0C4808FE" w:rsidR="00E550C8" w:rsidRPr="006D130D" w:rsidRDefault="00DB27AA"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3,812</w:t>
            </w:r>
          </w:p>
          <w:p w14:paraId="480223A5" w14:textId="6A023C87" w:rsidR="00E550C8" w:rsidRPr="006D130D" w:rsidRDefault="00E550C8" w:rsidP="00AF191F">
            <w:pPr>
              <w:spacing w:after="0" w:line="240" w:lineRule="auto"/>
              <w:jc w:val="center"/>
              <w:rPr>
                <w:rFonts w:eastAsia="Times New Roman" w:cstheme="minorHAnsi"/>
                <w:bCs/>
                <w:sz w:val="16"/>
                <w:szCs w:val="16"/>
                <w:lang w:eastAsia="en-AU"/>
              </w:rPr>
            </w:pPr>
            <w:r w:rsidRPr="006D130D">
              <w:rPr>
                <w:rFonts w:eastAsia="Times New Roman" w:cstheme="minorHAnsi"/>
                <w:bCs/>
                <w:sz w:val="16"/>
                <w:szCs w:val="16"/>
                <w:lang w:eastAsia="en-AU"/>
              </w:rPr>
              <w:t>(1</w:t>
            </w:r>
            <w:r w:rsidR="00DB27AA">
              <w:rPr>
                <w:rFonts w:eastAsia="Times New Roman" w:cstheme="minorHAnsi"/>
                <w:bCs/>
                <w:sz w:val="16"/>
                <w:szCs w:val="16"/>
                <w:lang w:eastAsia="en-AU"/>
              </w:rPr>
              <w:t>1.6</w:t>
            </w:r>
            <w:r w:rsidRPr="006D130D">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151E4337" w14:textId="2E98C627" w:rsidR="00E550C8" w:rsidRPr="006D130D" w:rsidRDefault="00DB27AA"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4,494</w:t>
            </w:r>
          </w:p>
          <w:p w14:paraId="45055964" w14:textId="38062F52" w:rsidR="00E550C8" w:rsidRPr="006D130D" w:rsidRDefault="00E550C8" w:rsidP="00AF191F">
            <w:pPr>
              <w:spacing w:after="0" w:line="240" w:lineRule="auto"/>
              <w:jc w:val="center"/>
              <w:rPr>
                <w:rFonts w:eastAsia="Times New Roman" w:cstheme="minorHAnsi"/>
                <w:bCs/>
                <w:sz w:val="16"/>
                <w:szCs w:val="16"/>
                <w:lang w:eastAsia="en-AU"/>
              </w:rPr>
            </w:pPr>
            <w:r w:rsidRPr="006D130D">
              <w:rPr>
                <w:rFonts w:eastAsia="Times New Roman" w:cstheme="minorHAnsi"/>
                <w:bCs/>
                <w:sz w:val="16"/>
                <w:szCs w:val="16"/>
                <w:lang w:eastAsia="en-AU"/>
              </w:rPr>
              <w:t>(1</w:t>
            </w:r>
            <w:r w:rsidR="00DB27AA">
              <w:rPr>
                <w:rFonts w:eastAsia="Times New Roman" w:cstheme="minorHAnsi"/>
                <w:bCs/>
                <w:sz w:val="16"/>
                <w:szCs w:val="16"/>
                <w:lang w:eastAsia="en-AU"/>
              </w:rPr>
              <w:t>3.6</w:t>
            </w:r>
            <w:r w:rsidRPr="006D130D">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tcPr>
          <w:p w14:paraId="794324F2" w14:textId="07248C9D" w:rsidR="00E550C8" w:rsidRPr="006D130D" w:rsidRDefault="00DB27AA"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17,195</w:t>
            </w:r>
          </w:p>
          <w:p w14:paraId="1FED4D07" w14:textId="1C0A4FCD" w:rsidR="00E550C8" w:rsidRPr="006D130D" w:rsidRDefault="00E550C8" w:rsidP="00AF191F">
            <w:pPr>
              <w:spacing w:after="0" w:line="240" w:lineRule="auto"/>
              <w:jc w:val="center"/>
              <w:rPr>
                <w:rFonts w:eastAsia="Times New Roman" w:cstheme="minorHAnsi"/>
                <w:bCs/>
                <w:sz w:val="16"/>
                <w:szCs w:val="16"/>
                <w:lang w:eastAsia="en-AU"/>
              </w:rPr>
            </w:pPr>
            <w:r w:rsidRPr="006D130D">
              <w:rPr>
                <w:rFonts w:eastAsia="Times New Roman" w:cstheme="minorHAnsi"/>
                <w:bCs/>
                <w:sz w:val="16"/>
                <w:szCs w:val="16"/>
                <w:lang w:eastAsia="en-AU"/>
              </w:rPr>
              <w:t>(5</w:t>
            </w:r>
            <w:r w:rsidR="00DB27AA">
              <w:rPr>
                <w:rFonts w:eastAsia="Times New Roman" w:cstheme="minorHAnsi"/>
                <w:bCs/>
                <w:sz w:val="16"/>
                <w:szCs w:val="16"/>
                <w:lang w:eastAsia="en-AU"/>
              </w:rPr>
              <w:t>2.2</w:t>
            </w:r>
            <w:r w:rsidRPr="006D130D">
              <w:rPr>
                <w:rFonts w:eastAsia="Times New Roman" w:cstheme="minorHAnsi"/>
                <w:bCs/>
                <w:sz w:val="16"/>
                <w:szCs w:val="16"/>
                <w:lang w:eastAsia="en-AU"/>
              </w:rPr>
              <w:t>%)</w:t>
            </w:r>
          </w:p>
        </w:tc>
        <w:tc>
          <w:tcPr>
            <w:tcW w:w="1164" w:type="dxa"/>
            <w:tcBorders>
              <w:top w:val="single" w:sz="6" w:space="0" w:color="auto"/>
              <w:left w:val="single" w:sz="6" w:space="0" w:color="auto"/>
              <w:bottom w:val="single" w:sz="6" w:space="0" w:color="auto"/>
              <w:right w:val="single" w:sz="4" w:space="0" w:color="auto"/>
            </w:tcBorders>
            <w:noWrap/>
          </w:tcPr>
          <w:p w14:paraId="6DB0DBC8" w14:textId="4C9DD01C" w:rsidR="00E550C8" w:rsidRPr="006D130D" w:rsidRDefault="00DB27AA"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32,946</w:t>
            </w:r>
          </w:p>
          <w:p w14:paraId="34EC8A7B" w14:textId="77777777" w:rsidR="00E550C8" w:rsidRPr="006D130D" w:rsidRDefault="00E550C8" w:rsidP="00AF191F">
            <w:pPr>
              <w:spacing w:after="0" w:line="240" w:lineRule="auto"/>
              <w:jc w:val="center"/>
              <w:rPr>
                <w:rFonts w:eastAsia="Times New Roman" w:cstheme="minorHAnsi"/>
                <w:bCs/>
                <w:sz w:val="16"/>
                <w:szCs w:val="16"/>
                <w:lang w:eastAsia="en-AU"/>
              </w:rPr>
            </w:pPr>
            <w:r w:rsidRPr="006D130D">
              <w:rPr>
                <w:rFonts w:eastAsia="Times New Roman" w:cstheme="minorHAnsi"/>
                <w:bCs/>
                <w:sz w:val="16"/>
                <w:szCs w:val="16"/>
                <w:lang w:eastAsia="en-AU"/>
              </w:rPr>
              <w:t>(100.0%)</w:t>
            </w:r>
          </w:p>
        </w:tc>
      </w:tr>
      <w:tr w:rsidR="00E550C8" w:rsidRPr="006D130D" w14:paraId="27380D3C" w14:textId="77777777" w:rsidTr="00AF191F">
        <w:trPr>
          <w:trHeight w:hRule="exact" w:val="558"/>
          <w:tblHeader/>
        </w:trPr>
        <w:tc>
          <w:tcPr>
            <w:tcW w:w="1844" w:type="dxa"/>
            <w:tcBorders>
              <w:top w:val="single" w:sz="6" w:space="0" w:color="auto"/>
              <w:left w:val="single" w:sz="12" w:space="0" w:color="auto"/>
              <w:bottom w:val="single" w:sz="6" w:space="0" w:color="auto"/>
              <w:right w:val="single" w:sz="6" w:space="0" w:color="auto"/>
            </w:tcBorders>
            <w:noWrap/>
            <w:vAlign w:val="center"/>
            <w:hideMark/>
          </w:tcPr>
          <w:p w14:paraId="40A2DE86" w14:textId="77777777" w:rsidR="00E550C8" w:rsidRPr="006F315E" w:rsidRDefault="00E550C8" w:rsidP="00AF191F">
            <w:pPr>
              <w:spacing w:after="0" w:line="240" w:lineRule="auto"/>
              <w:rPr>
                <w:rFonts w:eastAsia="Times New Roman" w:cstheme="minorHAnsi"/>
                <w:bCs/>
                <w:sz w:val="16"/>
                <w:szCs w:val="16"/>
                <w:lang w:eastAsia="en-AU"/>
              </w:rPr>
            </w:pPr>
            <w:r w:rsidRPr="006F315E">
              <w:rPr>
                <w:rFonts w:eastAsia="Times New Roman" w:cstheme="minorHAnsi"/>
                <w:bCs/>
                <w:sz w:val="16"/>
                <w:szCs w:val="16"/>
                <w:lang w:eastAsia="en-AU"/>
              </w:rPr>
              <w:t>Society and Culture</w:t>
            </w:r>
          </w:p>
        </w:tc>
        <w:tc>
          <w:tcPr>
            <w:tcW w:w="985" w:type="dxa"/>
            <w:tcBorders>
              <w:top w:val="single" w:sz="6" w:space="0" w:color="auto"/>
              <w:left w:val="single" w:sz="6" w:space="0" w:color="auto"/>
              <w:bottom w:val="single" w:sz="6" w:space="0" w:color="auto"/>
              <w:right w:val="single" w:sz="6" w:space="0" w:color="auto"/>
            </w:tcBorders>
            <w:noWrap/>
          </w:tcPr>
          <w:p w14:paraId="433F8DED" w14:textId="4F186BFA" w:rsidR="00E550C8" w:rsidRPr="006D130D" w:rsidRDefault="00DB27AA"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1,485</w:t>
            </w:r>
          </w:p>
          <w:p w14:paraId="78348F5E" w14:textId="15CD868B" w:rsidR="00E550C8" w:rsidRPr="006D130D" w:rsidRDefault="00E550C8" w:rsidP="00AF191F">
            <w:pPr>
              <w:spacing w:after="0" w:line="240" w:lineRule="auto"/>
              <w:jc w:val="center"/>
              <w:rPr>
                <w:rFonts w:eastAsia="Times New Roman" w:cstheme="minorHAnsi"/>
                <w:bCs/>
                <w:sz w:val="16"/>
                <w:szCs w:val="16"/>
                <w:lang w:eastAsia="en-AU"/>
              </w:rPr>
            </w:pPr>
            <w:r w:rsidRPr="006D130D">
              <w:rPr>
                <w:rFonts w:eastAsia="Times New Roman" w:cstheme="minorHAnsi"/>
                <w:bCs/>
                <w:sz w:val="16"/>
                <w:szCs w:val="16"/>
                <w:lang w:eastAsia="en-AU"/>
              </w:rPr>
              <w:t>(</w:t>
            </w:r>
            <w:r w:rsidR="00DB27AA">
              <w:rPr>
                <w:rFonts w:eastAsia="Times New Roman" w:cstheme="minorHAnsi"/>
                <w:bCs/>
                <w:sz w:val="16"/>
                <w:szCs w:val="16"/>
                <w:lang w:eastAsia="en-AU"/>
              </w:rPr>
              <w:t>2.5</w:t>
            </w:r>
            <w:r w:rsidRPr="006D130D">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136CF3ED" w14:textId="19B20A5B" w:rsidR="00E550C8" w:rsidRPr="006D130D" w:rsidRDefault="00DB27AA"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1,924</w:t>
            </w:r>
          </w:p>
          <w:p w14:paraId="55D6786E" w14:textId="69E96033" w:rsidR="00E550C8" w:rsidRPr="006D130D" w:rsidRDefault="00E550C8" w:rsidP="00AF191F">
            <w:pPr>
              <w:spacing w:after="0" w:line="240" w:lineRule="auto"/>
              <w:jc w:val="center"/>
              <w:rPr>
                <w:rFonts w:eastAsia="Times New Roman" w:cstheme="minorHAnsi"/>
                <w:bCs/>
                <w:sz w:val="16"/>
                <w:szCs w:val="16"/>
                <w:lang w:eastAsia="en-AU"/>
              </w:rPr>
            </w:pPr>
            <w:r w:rsidRPr="006D130D">
              <w:rPr>
                <w:rFonts w:eastAsia="Times New Roman" w:cstheme="minorHAnsi"/>
                <w:bCs/>
                <w:sz w:val="16"/>
                <w:szCs w:val="16"/>
                <w:lang w:eastAsia="en-AU"/>
              </w:rPr>
              <w:t>(</w:t>
            </w:r>
            <w:r w:rsidR="00DB27AA">
              <w:rPr>
                <w:rFonts w:eastAsia="Times New Roman" w:cstheme="minorHAnsi"/>
                <w:bCs/>
                <w:sz w:val="16"/>
                <w:szCs w:val="16"/>
                <w:lang w:eastAsia="en-AU"/>
              </w:rPr>
              <w:t>3.3</w:t>
            </w:r>
            <w:r w:rsidRPr="006D130D">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1FD6E9AE" w14:textId="42A7FBE7" w:rsidR="00E550C8" w:rsidRPr="006D130D" w:rsidRDefault="00DB27AA"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2,957</w:t>
            </w:r>
          </w:p>
          <w:p w14:paraId="12CF8A43" w14:textId="12261943" w:rsidR="00E550C8" w:rsidRPr="006D130D" w:rsidRDefault="00E550C8" w:rsidP="00AF191F">
            <w:pPr>
              <w:spacing w:after="0" w:line="240" w:lineRule="auto"/>
              <w:jc w:val="center"/>
              <w:rPr>
                <w:rFonts w:eastAsia="Times New Roman" w:cstheme="minorHAnsi"/>
                <w:bCs/>
                <w:sz w:val="16"/>
                <w:szCs w:val="16"/>
                <w:lang w:eastAsia="en-AU"/>
              </w:rPr>
            </w:pPr>
            <w:r w:rsidRPr="006D130D">
              <w:rPr>
                <w:rFonts w:eastAsia="Times New Roman" w:cstheme="minorHAnsi"/>
                <w:bCs/>
                <w:sz w:val="16"/>
                <w:szCs w:val="16"/>
                <w:lang w:eastAsia="en-AU"/>
              </w:rPr>
              <w:t>(5.</w:t>
            </w:r>
            <w:r w:rsidR="00DB27AA">
              <w:rPr>
                <w:rFonts w:eastAsia="Times New Roman" w:cstheme="minorHAnsi"/>
                <w:bCs/>
                <w:sz w:val="16"/>
                <w:szCs w:val="16"/>
                <w:lang w:eastAsia="en-AU"/>
              </w:rPr>
              <w:t>1</w:t>
            </w:r>
            <w:r w:rsidRPr="006D130D">
              <w:rPr>
                <w:rFonts w:eastAsia="Times New Roman" w:cstheme="minorHAnsi"/>
                <w:bCs/>
                <w:sz w:val="16"/>
                <w:szCs w:val="16"/>
                <w:lang w:eastAsia="en-AU"/>
              </w:rPr>
              <w:t>%)</w:t>
            </w:r>
          </w:p>
        </w:tc>
        <w:tc>
          <w:tcPr>
            <w:tcW w:w="1273" w:type="dxa"/>
            <w:tcBorders>
              <w:top w:val="single" w:sz="6" w:space="0" w:color="auto"/>
              <w:left w:val="single" w:sz="6" w:space="0" w:color="auto"/>
              <w:bottom w:val="single" w:sz="6" w:space="0" w:color="auto"/>
              <w:right w:val="single" w:sz="6" w:space="0" w:color="auto"/>
            </w:tcBorders>
            <w:noWrap/>
          </w:tcPr>
          <w:p w14:paraId="3EF7DBD8" w14:textId="049D18E9" w:rsidR="00E550C8" w:rsidRPr="006D130D" w:rsidRDefault="00E550C8" w:rsidP="00AF191F">
            <w:pPr>
              <w:spacing w:after="0" w:line="240" w:lineRule="auto"/>
              <w:jc w:val="center"/>
              <w:rPr>
                <w:rFonts w:eastAsia="Times New Roman" w:cstheme="minorHAnsi"/>
                <w:bCs/>
                <w:sz w:val="16"/>
                <w:szCs w:val="16"/>
                <w:lang w:eastAsia="en-AU"/>
              </w:rPr>
            </w:pPr>
            <w:r w:rsidRPr="006D130D">
              <w:rPr>
                <w:rFonts w:eastAsia="Times New Roman" w:cstheme="minorHAnsi"/>
                <w:bCs/>
                <w:sz w:val="16"/>
                <w:szCs w:val="16"/>
                <w:lang w:eastAsia="en-AU"/>
              </w:rPr>
              <w:t>4</w:t>
            </w:r>
            <w:r w:rsidR="00DB27AA">
              <w:rPr>
                <w:rFonts w:eastAsia="Times New Roman" w:cstheme="minorHAnsi"/>
                <w:bCs/>
                <w:sz w:val="16"/>
                <w:szCs w:val="16"/>
                <w:lang w:eastAsia="en-AU"/>
              </w:rPr>
              <w:t>,181</w:t>
            </w:r>
          </w:p>
          <w:p w14:paraId="45B9CD74" w14:textId="061B1289" w:rsidR="00E550C8" w:rsidRPr="006D130D" w:rsidRDefault="00E550C8" w:rsidP="00AF191F">
            <w:pPr>
              <w:spacing w:after="0" w:line="240" w:lineRule="auto"/>
              <w:jc w:val="center"/>
              <w:rPr>
                <w:rFonts w:eastAsia="Times New Roman" w:cstheme="minorHAnsi"/>
                <w:bCs/>
                <w:sz w:val="16"/>
                <w:szCs w:val="16"/>
                <w:lang w:eastAsia="en-AU"/>
              </w:rPr>
            </w:pPr>
            <w:r w:rsidRPr="006D130D">
              <w:rPr>
                <w:rFonts w:eastAsia="Times New Roman" w:cstheme="minorHAnsi"/>
                <w:bCs/>
                <w:sz w:val="16"/>
                <w:szCs w:val="16"/>
                <w:lang w:eastAsia="en-AU"/>
              </w:rPr>
              <w:t>(</w:t>
            </w:r>
            <w:r w:rsidR="00DB27AA">
              <w:rPr>
                <w:rFonts w:eastAsia="Times New Roman" w:cstheme="minorHAnsi"/>
                <w:bCs/>
                <w:sz w:val="16"/>
                <w:szCs w:val="16"/>
                <w:lang w:eastAsia="en-AU"/>
              </w:rPr>
              <w:t>7.</w:t>
            </w:r>
            <w:r w:rsidR="00570C17">
              <w:rPr>
                <w:rFonts w:eastAsia="Times New Roman" w:cstheme="minorHAnsi"/>
                <w:bCs/>
                <w:sz w:val="16"/>
                <w:szCs w:val="16"/>
                <w:lang w:eastAsia="en-AU"/>
              </w:rPr>
              <w:t>2</w:t>
            </w:r>
            <w:r w:rsidRPr="006D130D">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040BA8C5" w14:textId="41DC3F46" w:rsidR="00E550C8" w:rsidRPr="006D130D" w:rsidRDefault="00E550C8" w:rsidP="00AF191F">
            <w:pPr>
              <w:spacing w:after="0" w:line="240" w:lineRule="auto"/>
              <w:jc w:val="center"/>
              <w:rPr>
                <w:rFonts w:eastAsia="Times New Roman" w:cstheme="minorHAnsi"/>
                <w:bCs/>
                <w:sz w:val="16"/>
                <w:szCs w:val="16"/>
                <w:lang w:eastAsia="en-AU"/>
              </w:rPr>
            </w:pPr>
            <w:r w:rsidRPr="006D130D">
              <w:rPr>
                <w:rFonts w:eastAsia="Times New Roman" w:cstheme="minorHAnsi"/>
                <w:bCs/>
                <w:sz w:val="16"/>
                <w:szCs w:val="16"/>
                <w:lang w:eastAsia="en-AU"/>
              </w:rPr>
              <w:t>5,</w:t>
            </w:r>
            <w:r w:rsidR="00DB27AA">
              <w:rPr>
                <w:rFonts w:eastAsia="Times New Roman" w:cstheme="minorHAnsi"/>
                <w:bCs/>
                <w:sz w:val="16"/>
                <w:szCs w:val="16"/>
                <w:lang w:eastAsia="en-AU"/>
              </w:rPr>
              <w:t>522</w:t>
            </w:r>
          </w:p>
          <w:p w14:paraId="4E5647EF" w14:textId="710E3829" w:rsidR="00E550C8" w:rsidRPr="006D130D" w:rsidRDefault="00E550C8" w:rsidP="00AF191F">
            <w:pPr>
              <w:spacing w:after="0" w:line="240" w:lineRule="auto"/>
              <w:jc w:val="center"/>
              <w:rPr>
                <w:rFonts w:eastAsia="Times New Roman" w:cstheme="minorHAnsi"/>
                <w:bCs/>
                <w:sz w:val="16"/>
                <w:szCs w:val="16"/>
                <w:lang w:eastAsia="en-AU"/>
              </w:rPr>
            </w:pPr>
            <w:r w:rsidRPr="006D130D">
              <w:rPr>
                <w:rFonts w:eastAsia="Times New Roman" w:cstheme="minorHAnsi"/>
                <w:bCs/>
                <w:sz w:val="16"/>
                <w:szCs w:val="16"/>
                <w:lang w:eastAsia="en-AU"/>
              </w:rPr>
              <w:t>(</w:t>
            </w:r>
            <w:r w:rsidR="00DB27AA">
              <w:rPr>
                <w:rFonts w:eastAsia="Times New Roman" w:cstheme="minorHAnsi"/>
                <w:bCs/>
                <w:sz w:val="16"/>
                <w:szCs w:val="16"/>
                <w:lang w:eastAsia="en-AU"/>
              </w:rPr>
              <w:t>9</w:t>
            </w:r>
            <w:r w:rsidRPr="006D130D">
              <w:rPr>
                <w:rFonts w:eastAsia="Times New Roman" w:cstheme="minorHAnsi"/>
                <w:bCs/>
                <w:sz w:val="16"/>
                <w:szCs w:val="16"/>
                <w:lang w:eastAsia="en-AU"/>
              </w:rPr>
              <w:t>.5%)</w:t>
            </w:r>
          </w:p>
        </w:tc>
        <w:tc>
          <w:tcPr>
            <w:tcW w:w="1131" w:type="dxa"/>
            <w:tcBorders>
              <w:top w:val="single" w:sz="6" w:space="0" w:color="auto"/>
              <w:left w:val="single" w:sz="6" w:space="0" w:color="auto"/>
              <w:bottom w:val="single" w:sz="6" w:space="0" w:color="auto"/>
              <w:right w:val="single" w:sz="6" w:space="0" w:color="auto"/>
            </w:tcBorders>
            <w:noWrap/>
          </w:tcPr>
          <w:p w14:paraId="5F1288C5" w14:textId="58CD6514" w:rsidR="00E550C8" w:rsidRPr="006D130D" w:rsidRDefault="00E550C8" w:rsidP="00AF191F">
            <w:pPr>
              <w:spacing w:after="0" w:line="240" w:lineRule="auto"/>
              <w:jc w:val="center"/>
              <w:rPr>
                <w:rFonts w:eastAsia="Times New Roman" w:cstheme="minorHAnsi"/>
                <w:bCs/>
                <w:sz w:val="16"/>
                <w:szCs w:val="16"/>
                <w:lang w:eastAsia="en-AU"/>
              </w:rPr>
            </w:pPr>
            <w:r w:rsidRPr="006D130D">
              <w:rPr>
                <w:rFonts w:eastAsia="Times New Roman" w:cstheme="minorHAnsi"/>
                <w:bCs/>
                <w:sz w:val="16"/>
                <w:szCs w:val="16"/>
                <w:lang w:eastAsia="en-AU"/>
              </w:rPr>
              <w:t>6,</w:t>
            </w:r>
            <w:r w:rsidR="00DB27AA">
              <w:rPr>
                <w:rFonts w:eastAsia="Times New Roman" w:cstheme="minorHAnsi"/>
                <w:bCs/>
                <w:sz w:val="16"/>
                <w:szCs w:val="16"/>
                <w:lang w:eastAsia="en-AU"/>
              </w:rPr>
              <w:t>839</w:t>
            </w:r>
          </w:p>
          <w:p w14:paraId="6515CB73" w14:textId="102AC263" w:rsidR="00E550C8" w:rsidRPr="006D130D" w:rsidRDefault="00E550C8" w:rsidP="00AF191F">
            <w:pPr>
              <w:spacing w:after="0" w:line="240" w:lineRule="auto"/>
              <w:jc w:val="center"/>
              <w:rPr>
                <w:rFonts w:eastAsia="Times New Roman" w:cstheme="minorHAnsi"/>
                <w:bCs/>
                <w:sz w:val="16"/>
                <w:szCs w:val="16"/>
                <w:lang w:eastAsia="en-AU"/>
              </w:rPr>
            </w:pPr>
            <w:r w:rsidRPr="006D130D">
              <w:rPr>
                <w:rFonts w:eastAsia="Times New Roman" w:cstheme="minorHAnsi"/>
                <w:bCs/>
                <w:sz w:val="16"/>
                <w:szCs w:val="16"/>
                <w:lang w:eastAsia="en-AU"/>
              </w:rPr>
              <w:t>(</w:t>
            </w:r>
            <w:r w:rsidR="00DB27AA">
              <w:rPr>
                <w:rFonts w:eastAsia="Times New Roman" w:cstheme="minorHAnsi"/>
                <w:bCs/>
                <w:sz w:val="16"/>
                <w:szCs w:val="16"/>
                <w:lang w:eastAsia="en-AU"/>
              </w:rPr>
              <w:t>11.7</w:t>
            </w:r>
            <w:r w:rsidRPr="006D130D">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tcPr>
          <w:p w14:paraId="102AEB79" w14:textId="4EF4A95F" w:rsidR="00E550C8" w:rsidRPr="006D130D" w:rsidRDefault="00E550C8" w:rsidP="00AF191F">
            <w:pPr>
              <w:spacing w:after="0" w:line="240" w:lineRule="auto"/>
              <w:jc w:val="center"/>
              <w:rPr>
                <w:rFonts w:eastAsia="Times New Roman" w:cstheme="minorHAnsi"/>
                <w:bCs/>
                <w:sz w:val="16"/>
                <w:szCs w:val="16"/>
                <w:lang w:eastAsia="en-AU"/>
              </w:rPr>
            </w:pPr>
            <w:r w:rsidRPr="006D130D">
              <w:rPr>
                <w:rFonts w:eastAsia="Times New Roman" w:cstheme="minorHAnsi"/>
                <w:bCs/>
                <w:sz w:val="16"/>
                <w:szCs w:val="16"/>
                <w:lang w:eastAsia="en-AU"/>
              </w:rPr>
              <w:t>3</w:t>
            </w:r>
            <w:r w:rsidR="00DB27AA">
              <w:rPr>
                <w:rFonts w:eastAsia="Times New Roman" w:cstheme="minorHAnsi"/>
                <w:bCs/>
                <w:sz w:val="16"/>
                <w:szCs w:val="16"/>
                <w:lang w:eastAsia="en-AU"/>
              </w:rPr>
              <w:t>5,456</w:t>
            </w:r>
          </w:p>
          <w:p w14:paraId="59983BA0" w14:textId="42DF2F8F" w:rsidR="00E550C8" w:rsidRPr="006D130D" w:rsidRDefault="00E550C8" w:rsidP="00AF191F">
            <w:pPr>
              <w:spacing w:after="0" w:line="240" w:lineRule="auto"/>
              <w:jc w:val="center"/>
              <w:rPr>
                <w:rFonts w:eastAsia="Times New Roman" w:cstheme="minorHAnsi"/>
                <w:bCs/>
                <w:sz w:val="16"/>
                <w:szCs w:val="16"/>
                <w:lang w:eastAsia="en-AU"/>
              </w:rPr>
            </w:pPr>
            <w:r w:rsidRPr="006D130D">
              <w:rPr>
                <w:rFonts w:eastAsia="Times New Roman" w:cstheme="minorHAnsi"/>
                <w:bCs/>
                <w:sz w:val="16"/>
                <w:szCs w:val="16"/>
                <w:lang w:eastAsia="en-AU"/>
              </w:rPr>
              <w:t>(6</w:t>
            </w:r>
            <w:r w:rsidR="00DB27AA">
              <w:rPr>
                <w:rFonts w:eastAsia="Times New Roman" w:cstheme="minorHAnsi"/>
                <w:bCs/>
                <w:sz w:val="16"/>
                <w:szCs w:val="16"/>
                <w:lang w:eastAsia="en-AU"/>
              </w:rPr>
              <w:t>0.7</w:t>
            </w:r>
            <w:r w:rsidRPr="006D130D">
              <w:rPr>
                <w:rFonts w:eastAsia="Times New Roman" w:cstheme="minorHAnsi"/>
                <w:bCs/>
                <w:sz w:val="16"/>
                <w:szCs w:val="16"/>
                <w:lang w:eastAsia="en-AU"/>
              </w:rPr>
              <w:t>%)</w:t>
            </w:r>
          </w:p>
        </w:tc>
        <w:tc>
          <w:tcPr>
            <w:tcW w:w="1164" w:type="dxa"/>
            <w:tcBorders>
              <w:top w:val="single" w:sz="6" w:space="0" w:color="auto"/>
              <w:left w:val="single" w:sz="6" w:space="0" w:color="auto"/>
              <w:bottom w:val="single" w:sz="6" w:space="0" w:color="auto"/>
              <w:right w:val="single" w:sz="4" w:space="0" w:color="auto"/>
            </w:tcBorders>
            <w:noWrap/>
          </w:tcPr>
          <w:p w14:paraId="40344B95" w14:textId="26FDEB44" w:rsidR="00E550C8" w:rsidRPr="006D130D" w:rsidRDefault="00DB27AA"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58,364</w:t>
            </w:r>
          </w:p>
          <w:p w14:paraId="31446088" w14:textId="77777777" w:rsidR="00E550C8" w:rsidRPr="006D130D" w:rsidRDefault="00E550C8" w:rsidP="00AF191F">
            <w:pPr>
              <w:spacing w:after="0" w:line="240" w:lineRule="auto"/>
              <w:jc w:val="center"/>
              <w:rPr>
                <w:rFonts w:eastAsia="Times New Roman" w:cstheme="minorHAnsi"/>
                <w:bCs/>
                <w:sz w:val="16"/>
                <w:szCs w:val="16"/>
                <w:lang w:eastAsia="en-AU"/>
              </w:rPr>
            </w:pPr>
            <w:r w:rsidRPr="006D130D">
              <w:rPr>
                <w:rFonts w:eastAsia="Times New Roman" w:cstheme="minorHAnsi"/>
                <w:bCs/>
                <w:sz w:val="16"/>
                <w:szCs w:val="16"/>
                <w:lang w:eastAsia="en-AU"/>
              </w:rPr>
              <w:t>(100.0%)</w:t>
            </w:r>
          </w:p>
        </w:tc>
      </w:tr>
      <w:tr w:rsidR="00E550C8" w:rsidRPr="006D130D" w14:paraId="3D3B72F8" w14:textId="77777777" w:rsidTr="00AF191F">
        <w:trPr>
          <w:trHeight w:hRule="exact" w:val="566"/>
          <w:tblHeader/>
        </w:trPr>
        <w:tc>
          <w:tcPr>
            <w:tcW w:w="1844" w:type="dxa"/>
            <w:tcBorders>
              <w:top w:val="single" w:sz="6" w:space="0" w:color="auto"/>
              <w:left w:val="single" w:sz="12" w:space="0" w:color="auto"/>
              <w:bottom w:val="single" w:sz="6" w:space="0" w:color="auto"/>
              <w:right w:val="single" w:sz="6" w:space="0" w:color="auto"/>
            </w:tcBorders>
            <w:noWrap/>
            <w:vAlign w:val="center"/>
            <w:hideMark/>
          </w:tcPr>
          <w:p w14:paraId="2C6089BE" w14:textId="77777777" w:rsidR="00E550C8" w:rsidRPr="006F315E" w:rsidRDefault="00E550C8" w:rsidP="00AF191F">
            <w:pPr>
              <w:spacing w:after="0" w:line="240" w:lineRule="auto"/>
              <w:rPr>
                <w:rFonts w:eastAsia="Times New Roman" w:cstheme="minorHAnsi"/>
                <w:bCs/>
                <w:sz w:val="16"/>
                <w:szCs w:val="16"/>
                <w:lang w:eastAsia="en-AU"/>
              </w:rPr>
            </w:pPr>
            <w:r w:rsidRPr="006F315E">
              <w:rPr>
                <w:rFonts w:eastAsia="Times New Roman" w:cstheme="minorHAnsi"/>
                <w:bCs/>
                <w:sz w:val="16"/>
                <w:szCs w:val="16"/>
                <w:lang w:eastAsia="en-AU"/>
              </w:rPr>
              <w:t>Creative Arts</w:t>
            </w:r>
          </w:p>
        </w:tc>
        <w:tc>
          <w:tcPr>
            <w:tcW w:w="985" w:type="dxa"/>
            <w:tcBorders>
              <w:top w:val="single" w:sz="6" w:space="0" w:color="auto"/>
              <w:left w:val="single" w:sz="6" w:space="0" w:color="auto"/>
              <w:bottom w:val="single" w:sz="6" w:space="0" w:color="auto"/>
              <w:right w:val="single" w:sz="6" w:space="0" w:color="auto"/>
            </w:tcBorders>
            <w:noWrap/>
          </w:tcPr>
          <w:p w14:paraId="0E911ACA" w14:textId="6490AF22" w:rsidR="00E550C8" w:rsidRPr="006D130D" w:rsidRDefault="00DB27AA"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3</w:t>
            </w:r>
            <w:r w:rsidR="00E550C8" w:rsidRPr="006D130D">
              <w:rPr>
                <w:rFonts w:eastAsia="Times New Roman" w:cstheme="minorHAnsi"/>
                <w:bCs/>
                <w:sz w:val="16"/>
                <w:szCs w:val="16"/>
                <w:lang w:eastAsia="en-AU"/>
              </w:rPr>
              <w:t>09</w:t>
            </w:r>
          </w:p>
          <w:p w14:paraId="6FBD65E9" w14:textId="2806F411" w:rsidR="00E550C8" w:rsidRPr="006D130D" w:rsidRDefault="00E550C8" w:rsidP="00AF191F">
            <w:pPr>
              <w:spacing w:after="0" w:line="240" w:lineRule="auto"/>
              <w:jc w:val="center"/>
              <w:rPr>
                <w:rFonts w:eastAsia="Times New Roman" w:cstheme="minorHAnsi"/>
                <w:bCs/>
                <w:sz w:val="16"/>
                <w:szCs w:val="16"/>
                <w:lang w:eastAsia="en-AU"/>
              </w:rPr>
            </w:pPr>
            <w:r w:rsidRPr="006D130D">
              <w:rPr>
                <w:rFonts w:eastAsia="Times New Roman" w:cstheme="minorHAnsi"/>
                <w:bCs/>
                <w:sz w:val="16"/>
                <w:szCs w:val="16"/>
                <w:lang w:eastAsia="en-AU"/>
              </w:rPr>
              <w:t>(2.</w:t>
            </w:r>
            <w:r w:rsidR="00DB27AA">
              <w:rPr>
                <w:rFonts w:eastAsia="Times New Roman" w:cstheme="minorHAnsi"/>
                <w:bCs/>
                <w:sz w:val="16"/>
                <w:szCs w:val="16"/>
                <w:lang w:eastAsia="en-AU"/>
              </w:rPr>
              <w:t>1</w:t>
            </w:r>
            <w:r w:rsidRPr="006D130D">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4FFB9421" w14:textId="540B3697" w:rsidR="00E550C8" w:rsidRPr="006D130D" w:rsidRDefault="00DB27AA"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775</w:t>
            </w:r>
          </w:p>
          <w:p w14:paraId="016E92D4" w14:textId="4F022B12" w:rsidR="00E550C8" w:rsidRPr="006D130D" w:rsidRDefault="00E550C8" w:rsidP="00AF191F">
            <w:pPr>
              <w:spacing w:after="0" w:line="240" w:lineRule="auto"/>
              <w:jc w:val="center"/>
              <w:rPr>
                <w:rFonts w:eastAsia="Times New Roman" w:cstheme="minorHAnsi"/>
                <w:bCs/>
                <w:sz w:val="16"/>
                <w:szCs w:val="16"/>
                <w:lang w:eastAsia="en-AU"/>
              </w:rPr>
            </w:pPr>
            <w:r w:rsidRPr="006D130D">
              <w:rPr>
                <w:rFonts w:eastAsia="Times New Roman" w:cstheme="minorHAnsi"/>
                <w:bCs/>
                <w:sz w:val="16"/>
                <w:szCs w:val="16"/>
                <w:lang w:eastAsia="en-AU"/>
              </w:rPr>
              <w:t>(5.</w:t>
            </w:r>
            <w:r w:rsidR="00DB27AA">
              <w:rPr>
                <w:rFonts w:eastAsia="Times New Roman" w:cstheme="minorHAnsi"/>
                <w:bCs/>
                <w:sz w:val="16"/>
                <w:szCs w:val="16"/>
                <w:lang w:eastAsia="en-AU"/>
              </w:rPr>
              <w:t>1</w:t>
            </w:r>
            <w:r w:rsidRPr="006D130D">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0A038485" w14:textId="20086F77" w:rsidR="00E550C8" w:rsidRPr="006D130D" w:rsidRDefault="00E550C8" w:rsidP="00AF191F">
            <w:pPr>
              <w:spacing w:after="0" w:line="240" w:lineRule="auto"/>
              <w:jc w:val="center"/>
              <w:rPr>
                <w:rFonts w:eastAsia="Times New Roman" w:cstheme="minorHAnsi"/>
                <w:bCs/>
                <w:sz w:val="16"/>
                <w:szCs w:val="16"/>
                <w:lang w:eastAsia="en-AU"/>
              </w:rPr>
            </w:pPr>
            <w:r w:rsidRPr="006D130D">
              <w:rPr>
                <w:rFonts w:eastAsia="Times New Roman" w:cstheme="minorHAnsi"/>
                <w:bCs/>
                <w:sz w:val="16"/>
                <w:szCs w:val="16"/>
                <w:lang w:eastAsia="en-AU"/>
              </w:rPr>
              <w:t>1,</w:t>
            </w:r>
            <w:r w:rsidR="00DB27AA">
              <w:rPr>
                <w:rFonts w:eastAsia="Times New Roman" w:cstheme="minorHAnsi"/>
                <w:bCs/>
                <w:sz w:val="16"/>
                <w:szCs w:val="16"/>
                <w:lang w:eastAsia="en-AU"/>
              </w:rPr>
              <w:t>198</w:t>
            </w:r>
          </w:p>
          <w:p w14:paraId="43FF89F4" w14:textId="6FD6FA85" w:rsidR="00E550C8" w:rsidRPr="006D130D" w:rsidRDefault="00E550C8" w:rsidP="00AF191F">
            <w:pPr>
              <w:spacing w:after="0" w:line="240" w:lineRule="auto"/>
              <w:jc w:val="center"/>
              <w:rPr>
                <w:rFonts w:eastAsia="Times New Roman" w:cstheme="minorHAnsi"/>
                <w:bCs/>
                <w:sz w:val="16"/>
                <w:szCs w:val="16"/>
                <w:lang w:eastAsia="en-AU"/>
              </w:rPr>
            </w:pPr>
            <w:r w:rsidRPr="006D130D">
              <w:rPr>
                <w:rFonts w:eastAsia="Times New Roman" w:cstheme="minorHAnsi"/>
                <w:bCs/>
                <w:sz w:val="16"/>
                <w:szCs w:val="16"/>
                <w:lang w:eastAsia="en-AU"/>
              </w:rPr>
              <w:t>(8.</w:t>
            </w:r>
            <w:r w:rsidR="00DB27AA">
              <w:rPr>
                <w:rFonts w:eastAsia="Times New Roman" w:cstheme="minorHAnsi"/>
                <w:bCs/>
                <w:sz w:val="16"/>
                <w:szCs w:val="16"/>
                <w:lang w:eastAsia="en-AU"/>
              </w:rPr>
              <w:t>0</w:t>
            </w:r>
            <w:r w:rsidRPr="006D130D">
              <w:rPr>
                <w:rFonts w:eastAsia="Times New Roman" w:cstheme="minorHAnsi"/>
                <w:bCs/>
                <w:sz w:val="16"/>
                <w:szCs w:val="16"/>
                <w:lang w:eastAsia="en-AU"/>
              </w:rPr>
              <w:t>%)</w:t>
            </w:r>
          </w:p>
        </w:tc>
        <w:tc>
          <w:tcPr>
            <w:tcW w:w="1273" w:type="dxa"/>
            <w:tcBorders>
              <w:top w:val="single" w:sz="6" w:space="0" w:color="auto"/>
              <w:left w:val="single" w:sz="6" w:space="0" w:color="auto"/>
              <w:bottom w:val="single" w:sz="6" w:space="0" w:color="auto"/>
              <w:right w:val="single" w:sz="6" w:space="0" w:color="auto"/>
            </w:tcBorders>
            <w:noWrap/>
          </w:tcPr>
          <w:p w14:paraId="3D5C3E5A" w14:textId="38032CF9" w:rsidR="00E550C8" w:rsidRPr="006D130D" w:rsidRDefault="00DB27AA"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1,663</w:t>
            </w:r>
          </w:p>
          <w:p w14:paraId="16D0E9A6" w14:textId="61D9F9A4" w:rsidR="00E550C8" w:rsidRPr="006D130D" w:rsidRDefault="00E550C8" w:rsidP="00AF191F">
            <w:pPr>
              <w:spacing w:after="0" w:line="240" w:lineRule="auto"/>
              <w:jc w:val="center"/>
              <w:rPr>
                <w:rFonts w:eastAsia="Times New Roman" w:cstheme="minorHAnsi"/>
                <w:bCs/>
                <w:sz w:val="16"/>
                <w:szCs w:val="16"/>
                <w:lang w:eastAsia="en-AU"/>
              </w:rPr>
            </w:pPr>
            <w:r w:rsidRPr="006D130D">
              <w:rPr>
                <w:rFonts w:eastAsia="Times New Roman" w:cstheme="minorHAnsi"/>
                <w:bCs/>
                <w:sz w:val="16"/>
                <w:szCs w:val="16"/>
                <w:lang w:eastAsia="en-AU"/>
              </w:rPr>
              <w:t>(1</w:t>
            </w:r>
            <w:r w:rsidR="00DB27AA">
              <w:rPr>
                <w:rFonts w:eastAsia="Times New Roman" w:cstheme="minorHAnsi"/>
                <w:bCs/>
                <w:sz w:val="16"/>
                <w:szCs w:val="16"/>
                <w:lang w:eastAsia="en-AU"/>
              </w:rPr>
              <w:t>1.0</w:t>
            </w:r>
            <w:r w:rsidRPr="006D130D">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67A04ECF" w14:textId="299B733A" w:rsidR="00E550C8" w:rsidRPr="006D130D" w:rsidRDefault="00DB27AA"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1,672</w:t>
            </w:r>
          </w:p>
          <w:p w14:paraId="0BFC3C4F" w14:textId="7CB6B6C8" w:rsidR="00E550C8" w:rsidRPr="006D130D" w:rsidRDefault="00E550C8" w:rsidP="00AF191F">
            <w:pPr>
              <w:spacing w:after="0" w:line="240" w:lineRule="auto"/>
              <w:jc w:val="center"/>
              <w:rPr>
                <w:rFonts w:eastAsia="Times New Roman" w:cstheme="minorHAnsi"/>
                <w:bCs/>
                <w:sz w:val="16"/>
                <w:szCs w:val="16"/>
                <w:lang w:eastAsia="en-AU"/>
              </w:rPr>
            </w:pPr>
            <w:r w:rsidRPr="006D130D">
              <w:rPr>
                <w:rFonts w:eastAsia="Times New Roman" w:cstheme="minorHAnsi"/>
                <w:bCs/>
                <w:sz w:val="16"/>
                <w:szCs w:val="16"/>
                <w:lang w:eastAsia="en-AU"/>
              </w:rPr>
              <w:t>(1</w:t>
            </w:r>
            <w:r w:rsidR="00DB27AA">
              <w:rPr>
                <w:rFonts w:eastAsia="Times New Roman" w:cstheme="minorHAnsi"/>
                <w:bCs/>
                <w:sz w:val="16"/>
                <w:szCs w:val="16"/>
                <w:lang w:eastAsia="en-AU"/>
              </w:rPr>
              <w:t>1.1</w:t>
            </w:r>
            <w:r w:rsidRPr="006D130D">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noWrap/>
          </w:tcPr>
          <w:p w14:paraId="66A265C2" w14:textId="5EA4F589" w:rsidR="00E550C8" w:rsidRPr="006D130D" w:rsidRDefault="00E550C8" w:rsidP="00AF191F">
            <w:pPr>
              <w:spacing w:after="0" w:line="240" w:lineRule="auto"/>
              <w:jc w:val="center"/>
              <w:rPr>
                <w:rFonts w:eastAsia="Times New Roman" w:cstheme="minorHAnsi"/>
                <w:bCs/>
                <w:sz w:val="16"/>
                <w:szCs w:val="16"/>
                <w:lang w:eastAsia="en-AU"/>
              </w:rPr>
            </w:pPr>
            <w:r w:rsidRPr="006D130D">
              <w:rPr>
                <w:rFonts w:eastAsia="Times New Roman" w:cstheme="minorHAnsi"/>
                <w:bCs/>
                <w:sz w:val="16"/>
                <w:szCs w:val="16"/>
                <w:lang w:eastAsia="en-AU"/>
              </w:rPr>
              <w:t>1</w:t>
            </w:r>
            <w:r w:rsidR="00DB27AA">
              <w:rPr>
                <w:rFonts w:eastAsia="Times New Roman" w:cstheme="minorHAnsi"/>
                <w:bCs/>
                <w:sz w:val="16"/>
                <w:szCs w:val="16"/>
                <w:lang w:eastAsia="en-AU"/>
              </w:rPr>
              <w:t>,019</w:t>
            </w:r>
          </w:p>
          <w:p w14:paraId="7F26B31E" w14:textId="75D608E9" w:rsidR="00E550C8" w:rsidRPr="006D130D" w:rsidRDefault="00E550C8" w:rsidP="00AF191F">
            <w:pPr>
              <w:spacing w:after="0" w:line="240" w:lineRule="auto"/>
              <w:jc w:val="center"/>
              <w:rPr>
                <w:rFonts w:eastAsia="Times New Roman" w:cstheme="minorHAnsi"/>
                <w:bCs/>
                <w:sz w:val="16"/>
                <w:szCs w:val="16"/>
                <w:lang w:eastAsia="en-AU"/>
              </w:rPr>
            </w:pPr>
            <w:r w:rsidRPr="006D130D">
              <w:rPr>
                <w:rFonts w:eastAsia="Times New Roman" w:cstheme="minorHAnsi"/>
                <w:bCs/>
                <w:sz w:val="16"/>
                <w:szCs w:val="16"/>
                <w:lang w:eastAsia="en-AU"/>
              </w:rPr>
              <w:t>(</w:t>
            </w:r>
            <w:r w:rsidR="00DB27AA">
              <w:rPr>
                <w:rFonts w:eastAsia="Times New Roman" w:cstheme="minorHAnsi"/>
                <w:bCs/>
                <w:sz w:val="16"/>
                <w:szCs w:val="16"/>
                <w:lang w:eastAsia="en-AU"/>
              </w:rPr>
              <w:t>6.8</w:t>
            </w:r>
            <w:r w:rsidRPr="006D130D">
              <w:rPr>
                <w:rFonts w:eastAsia="Times New Roman" w:cstheme="minorHAnsi"/>
                <w:bCs/>
                <w:sz w:val="16"/>
                <w:szCs w:val="16"/>
                <w:lang w:eastAsia="en-AU"/>
              </w:rPr>
              <w:t>%)</w:t>
            </w:r>
          </w:p>
        </w:tc>
        <w:tc>
          <w:tcPr>
            <w:tcW w:w="1131" w:type="dxa"/>
            <w:tcBorders>
              <w:top w:val="single" w:sz="6" w:space="0" w:color="auto"/>
              <w:left w:val="single" w:sz="6" w:space="0" w:color="auto"/>
              <w:bottom w:val="single" w:sz="6" w:space="0" w:color="auto"/>
              <w:right w:val="single" w:sz="6" w:space="0" w:color="auto"/>
            </w:tcBorders>
          </w:tcPr>
          <w:p w14:paraId="0AB27878" w14:textId="72786900" w:rsidR="00E550C8" w:rsidRPr="006D130D" w:rsidRDefault="00DB27AA"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8,414</w:t>
            </w:r>
          </w:p>
          <w:p w14:paraId="7BC43CBA" w14:textId="17939409" w:rsidR="00E550C8" w:rsidRPr="006D130D" w:rsidRDefault="00E550C8" w:rsidP="00AF191F">
            <w:pPr>
              <w:spacing w:after="0" w:line="240" w:lineRule="auto"/>
              <w:jc w:val="center"/>
              <w:rPr>
                <w:rFonts w:eastAsia="Times New Roman" w:cstheme="minorHAnsi"/>
                <w:bCs/>
                <w:sz w:val="16"/>
                <w:szCs w:val="16"/>
                <w:lang w:eastAsia="en-AU"/>
              </w:rPr>
            </w:pPr>
            <w:r w:rsidRPr="006D130D">
              <w:rPr>
                <w:rFonts w:eastAsia="Times New Roman" w:cstheme="minorHAnsi"/>
                <w:bCs/>
                <w:sz w:val="16"/>
                <w:szCs w:val="16"/>
                <w:lang w:eastAsia="en-AU"/>
              </w:rPr>
              <w:t>(55.</w:t>
            </w:r>
            <w:r w:rsidR="00DB27AA">
              <w:rPr>
                <w:rFonts w:eastAsia="Times New Roman" w:cstheme="minorHAnsi"/>
                <w:bCs/>
                <w:sz w:val="16"/>
                <w:szCs w:val="16"/>
                <w:lang w:eastAsia="en-AU"/>
              </w:rPr>
              <w:t>9</w:t>
            </w:r>
            <w:r w:rsidRPr="006D130D">
              <w:rPr>
                <w:rFonts w:eastAsia="Times New Roman" w:cstheme="minorHAnsi"/>
                <w:bCs/>
                <w:sz w:val="16"/>
                <w:szCs w:val="16"/>
                <w:lang w:eastAsia="en-AU"/>
              </w:rPr>
              <w:t>%)</w:t>
            </w:r>
          </w:p>
        </w:tc>
        <w:tc>
          <w:tcPr>
            <w:tcW w:w="1164" w:type="dxa"/>
            <w:tcBorders>
              <w:top w:val="single" w:sz="6" w:space="0" w:color="auto"/>
              <w:left w:val="single" w:sz="6" w:space="0" w:color="auto"/>
              <w:bottom w:val="single" w:sz="6" w:space="0" w:color="auto"/>
              <w:right w:val="single" w:sz="4" w:space="0" w:color="auto"/>
            </w:tcBorders>
            <w:noWrap/>
          </w:tcPr>
          <w:p w14:paraId="325AA10F" w14:textId="04EEE885" w:rsidR="00E550C8" w:rsidRPr="006D130D" w:rsidRDefault="00DB27AA" w:rsidP="00AF191F">
            <w:pPr>
              <w:spacing w:after="0" w:line="240" w:lineRule="auto"/>
              <w:jc w:val="center"/>
              <w:rPr>
                <w:rFonts w:eastAsia="Times New Roman" w:cstheme="minorHAnsi"/>
                <w:bCs/>
                <w:sz w:val="16"/>
                <w:szCs w:val="16"/>
                <w:lang w:eastAsia="en-AU"/>
              </w:rPr>
            </w:pPr>
            <w:r>
              <w:rPr>
                <w:rFonts w:eastAsia="Times New Roman" w:cstheme="minorHAnsi"/>
                <w:bCs/>
                <w:sz w:val="16"/>
                <w:szCs w:val="16"/>
                <w:lang w:eastAsia="en-AU"/>
              </w:rPr>
              <w:t>15,050</w:t>
            </w:r>
          </w:p>
          <w:p w14:paraId="59E18F18" w14:textId="77777777" w:rsidR="00E550C8" w:rsidRPr="006D130D" w:rsidRDefault="00E550C8" w:rsidP="00AF191F">
            <w:pPr>
              <w:spacing w:after="0" w:line="240" w:lineRule="auto"/>
              <w:jc w:val="center"/>
              <w:rPr>
                <w:rFonts w:eastAsia="Times New Roman" w:cstheme="minorHAnsi"/>
                <w:bCs/>
                <w:sz w:val="16"/>
                <w:szCs w:val="16"/>
                <w:lang w:eastAsia="en-AU"/>
              </w:rPr>
            </w:pPr>
            <w:r w:rsidRPr="006D130D">
              <w:rPr>
                <w:rFonts w:eastAsia="Times New Roman" w:cstheme="minorHAnsi"/>
                <w:bCs/>
                <w:sz w:val="16"/>
                <w:szCs w:val="16"/>
                <w:lang w:eastAsia="en-AU"/>
              </w:rPr>
              <w:t>(10.0%)</w:t>
            </w:r>
          </w:p>
        </w:tc>
      </w:tr>
      <w:tr w:rsidR="00E550C8" w:rsidRPr="006D130D" w14:paraId="41EAEFD0" w14:textId="77777777" w:rsidTr="00AF191F">
        <w:trPr>
          <w:trHeight w:hRule="exact" w:val="433"/>
          <w:tblHeader/>
        </w:trPr>
        <w:tc>
          <w:tcPr>
            <w:tcW w:w="1844" w:type="dxa"/>
            <w:tcBorders>
              <w:top w:val="single" w:sz="6" w:space="0" w:color="auto"/>
              <w:left w:val="single" w:sz="12" w:space="0" w:color="auto"/>
              <w:bottom w:val="single" w:sz="12" w:space="0" w:color="auto"/>
              <w:right w:val="single" w:sz="6" w:space="0" w:color="auto"/>
            </w:tcBorders>
            <w:vAlign w:val="center"/>
            <w:hideMark/>
          </w:tcPr>
          <w:p w14:paraId="2CB67979" w14:textId="77777777" w:rsidR="00E550C8" w:rsidRPr="006D130D" w:rsidRDefault="00E550C8" w:rsidP="00AF191F">
            <w:pPr>
              <w:spacing w:after="0" w:line="240" w:lineRule="auto"/>
              <w:rPr>
                <w:rFonts w:eastAsia="Times New Roman" w:cstheme="minorHAnsi"/>
                <w:b/>
                <w:bCs/>
                <w:sz w:val="16"/>
                <w:szCs w:val="16"/>
                <w:lang w:eastAsia="en-AU"/>
              </w:rPr>
            </w:pPr>
            <w:r w:rsidRPr="006D130D">
              <w:rPr>
                <w:rFonts w:eastAsia="Times New Roman" w:cstheme="minorHAnsi"/>
                <w:b/>
                <w:bCs/>
                <w:sz w:val="16"/>
                <w:szCs w:val="16"/>
                <w:lang w:eastAsia="en-AU"/>
              </w:rPr>
              <w:t>Total</w:t>
            </w:r>
          </w:p>
        </w:tc>
        <w:tc>
          <w:tcPr>
            <w:tcW w:w="985" w:type="dxa"/>
            <w:tcBorders>
              <w:top w:val="single" w:sz="6" w:space="0" w:color="auto"/>
              <w:left w:val="single" w:sz="6" w:space="0" w:color="auto"/>
              <w:bottom w:val="single" w:sz="12" w:space="0" w:color="auto"/>
              <w:right w:val="single" w:sz="6" w:space="0" w:color="auto"/>
            </w:tcBorders>
            <w:noWrap/>
          </w:tcPr>
          <w:p w14:paraId="6F5EE794" w14:textId="3FF370D1" w:rsidR="00E550C8" w:rsidRPr="006D130D" w:rsidRDefault="00DB27AA" w:rsidP="00AF191F">
            <w:pPr>
              <w:spacing w:after="0" w:line="240" w:lineRule="auto"/>
              <w:jc w:val="center"/>
              <w:rPr>
                <w:rFonts w:eastAsia="Times New Roman" w:cstheme="minorHAnsi"/>
                <w:b/>
                <w:bCs/>
                <w:sz w:val="16"/>
                <w:szCs w:val="16"/>
                <w:lang w:eastAsia="en-AU"/>
              </w:rPr>
            </w:pPr>
            <w:r>
              <w:rPr>
                <w:rFonts w:eastAsia="Times New Roman" w:cstheme="minorHAnsi"/>
                <w:b/>
                <w:bCs/>
                <w:sz w:val="16"/>
                <w:szCs w:val="16"/>
                <w:lang w:eastAsia="en-AU"/>
              </w:rPr>
              <w:t>5,594</w:t>
            </w:r>
          </w:p>
          <w:p w14:paraId="26E703B1" w14:textId="187E40D1" w:rsidR="00E550C8" w:rsidRPr="006D130D" w:rsidRDefault="00E550C8" w:rsidP="00AF191F">
            <w:pPr>
              <w:spacing w:after="0" w:line="240" w:lineRule="auto"/>
              <w:jc w:val="center"/>
              <w:rPr>
                <w:rFonts w:eastAsia="Times New Roman" w:cstheme="minorHAnsi"/>
                <w:b/>
                <w:bCs/>
                <w:sz w:val="16"/>
                <w:szCs w:val="16"/>
                <w:lang w:eastAsia="en-AU"/>
              </w:rPr>
            </w:pPr>
            <w:r w:rsidRPr="006D130D">
              <w:rPr>
                <w:rFonts w:eastAsia="Times New Roman" w:cstheme="minorHAnsi"/>
                <w:b/>
                <w:bCs/>
                <w:sz w:val="16"/>
                <w:szCs w:val="16"/>
                <w:lang w:eastAsia="en-AU"/>
              </w:rPr>
              <w:t>(2.</w:t>
            </w:r>
            <w:r w:rsidR="00DB27AA">
              <w:rPr>
                <w:rFonts w:eastAsia="Times New Roman" w:cstheme="minorHAnsi"/>
                <w:b/>
                <w:bCs/>
                <w:sz w:val="16"/>
                <w:szCs w:val="16"/>
                <w:lang w:eastAsia="en-AU"/>
              </w:rPr>
              <w:t>1</w:t>
            </w:r>
            <w:r w:rsidRPr="006D130D">
              <w:rPr>
                <w:rFonts w:eastAsia="Times New Roman" w:cstheme="minorHAnsi"/>
                <w:b/>
                <w:bCs/>
                <w:sz w:val="16"/>
                <w:szCs w:val="16"/>
                <w:lang w:eastAsia="en-AU"/>
              </w:rPr>
              <w:t>%)</w:t>
            </w:r>
          </w:p>
        </w:tc>
        <w:tc>
          <w:tcPr>
            <w:tcW w:w="1131" w:type="dxa"/>
            <w:tcBorders>
              <w:top w:val="single" w:sz="6" w:space="0" w:color="auto"/>
              <w:left w:val="single" w:sz="6" w:space="0" w:color="auto"/>
              <w:bottom w:val="single" w:sz="12" w:space="0" w:color="auto"/>
              <w:right w:val="single" w:sz="6" w:space="0" w:color="auto"/>
            </w:tcBorders>
            <w:noWrap/>
          </w:tcPr>
          <w:p w14:paraId="07855893" w14:textId="48ED7236" w:rsidR="00E550C8" w:rsidRPr="006D130D" w:rsidRDefault="00DB27AA" w:rsidP="00AF191F">
            <w:pPr>
              <w:spacing w:after="0" w:line="240" w:lineRule="auto"/>
              <w:jc w:val="center"/>
              <w:rPr>
                <w:rFonts w:eastAsia="Times New Roman" w:cstheme="minorHAnsi"/>
                <w:b/>
                <w:bCs/>
                <w:sz w:val="16"/>
                <w:szCs w:val="16"/>
                <w:lang w:eastAsia="en-AU"/>
              </w:rPr>
            </w:pPr>
            <w:r>
              <w:rPr>
                <w:rFonts w:eastAsia="Times New Roman" w:cstheme="minorHAnsi"/>
                <w:b/>
                <w:bCs/>
                <w:sz w:val="16"/>
                <w:szCs w:val="16"/>
                <w:lang w:eastAsia="en-AU"/>
              </w:rPr>
              <w:t>9,06</w:t>
            </w:r>
            <w:r w:rsidR="0043555C">
              <w:rPr>
                <w:rFonts w:eastAsia="Times New Roman" w:cstheme="minorHAnsi"/>
                <w:b/>
                <w:bCs/>
                <w:sz w:val="16"/>
                <w:szCs w:val="16"/>
                <w:lang w:eastAsia="en-AU"/>
              </w:rPr>
              <w:t>1</w:t>
            </w:r>
          </w:p>
          <w:p w14:paraId="21A3A684" w14:textId="2138C21C" w:rsidR="00E550C8" w:rsidRPr="006D130D" w:rsidRDefault="00E550C8" w:rsidP="00AF191F">
            <w:pPr>
              <w:spacing w:after="0" w:line="240" w:lineRule="auto"/>
              <w:jc w:val="center"/>
              <w:rPr>
                <w:rFonts w:eastAsia="Times New Roman" w:cstheme="minorHAnsi"/>
                <w:b/>
                <w:bCs/>
                <w:sz w:val="16"/>
                <w:szCs w:val="16"/>
                <w:lang w:eastAsia="en-AU"/>
              </w:rPr>
            </w:pPr>
            <w:r w:rsidRPr="006D130D">
              <w:rPr>
                <w:rFonts w:eastAsia="Times New Roman" w:cstheme="minorHAnsi"/>
                <w:b/>
                <w:bCs/>
                <w:sz w:val="16"/>
                <w:szCs w:val="16"/>
                <w:lang w:eastAsia="en-AU"/>
              </w:rPr>
              <w:t>(</w:t>
            </w:r>
            <w:r w:rsidR="00DB27AA">
              <w:rPr>
                <w:rFonts w:eastAsia="Times New Roman" w:cstheme="minorHAnsi"/>
                <w:b/>
                <w:bCs/>
                <w:sz w:val="16"/>
                <w:szCs w:val="16"/>
                <w:lang w:eastAsia="en-AU"/>
              </w:rPr>
              <w:t>3.4</w:t>
            </w:r>
            <w:r w:rsidRPr="006D130D">
              <w:rPr>
                <w:rFonts w:eastAsia="Times New Roman" w:cstheme="minorHAnsi"/>
                <w:b/>
                <w:bCs/>
                <w:sz w:val="16"/>
                <w:szCs w:val="16"/>
                <w:lang w:eastAsia="en-AU"/>
              </w:rPr>
              <w:t>%)</w:t>
            </w:r>
          </w:p>
        </w:tc>
        <w:tc>
          <w:tcPr>
            <w:tcW w:w="1131" w:type="dxa"/>
            <w:tcBorders>
              <w:top w:val="single" w:sz="6" w:space="0" w:color="auto"/>
              <w:left w:val="single" w:sz="6" w:space="0" w:color="auto"/>
              <w:bottom w:val="single" w:sz="12" w:space="0" w:color="auto"/>
              <w:right w:val="single" w:sz="6" w:space="0" w:color="auto"/>
            </w:tcBorders>
            <w:noWrap/>
          </w:tcPr>
          <w:p w14:paraId="1E37E8C0" w14:textId="5057B00A" w:rsidR="00E550C8" w:rsidRPr="006D130D" w:rsidRDefault="00DB27AA" w:rsidP="00AF191F">
            <w:pPr>
              <w:spacing w:after="0" w:line="240" w:lineRule="auto"/>
              <w:jc w:val="center"/>
              <w:rPr>
                <w:rFonts w:eastAsia="Times New Roman" w:cstheme="minorHAnsi"/>
                <w:b/>
                <w:bCs/>
                <w:sz w:val="16"/>
                <w:szCs w:val="16"/>
                <w:lang w:eastAsia="en-AU"/>
              </w:rPr>
            </w:pPr>
            <w:r>
              <w:rPr>
                <w:rFonts w:eastAsia="Times New Roman" w:cstheme="minorHAnsi"/>
                <w:b/>
                <w:bCs/>
                <w:sz w:val="16"/>
                <w:szCs w:val="16"/>
                <w:lang w:eastAsia="en-AU"/>
              </w:rPr>
              <w:t>1</w:t>
            </w:r>
            <w:r w:rsidR="0043555C">
              <w:rPr>
                <w:rFonts w:eastAsia="Times New Roman" w:cstheme="minorHAnsi"/>
                <w:b/>
                <w:bCs/>
                <w:sz w:val="16"/>
                <w:szCs w:val="16"/>
                <w:lang w:eastAsia="en-AU"/>
              </w:rPr>
              <w:t>4,994</w:t>
            </w:r>
          </w:p>
          <w:p w14:paraId="61E8DC93" w14:textId="53330E36" w:rsidR="00E550C8" w:rsidRPr="006D130D" w:rsidRDefault="00E550C8" w:rsidP="00AF191F">
            <w:pPr>
              <w:spacing w:after="0" w:line="240" w:lineRule="auto"/>
              <w:jc w:val="center"/>
              <w:rPr>
                <w:rFonts w:eastAsia="Times New Roman" w:cstheme="minorHAnsi"/>
                <w:b/>
                <w:bCs/>
                <w:sz w:val="16"/>
                <w:szCs w:val="16"/>
                <w:lang w:eastAsia="en-AU"/>
              </w:rPr>
            </w:pPr>
            <w:r w:rsidRPr="006D130D">
              <w:rPr>
                <w:rFonts w:eastAsia="Times New Roman" w:cstheme="minorHAnsi"/>
                <w:b/>
                <w:bCs/>
                <w:sz w:val="16"/>
                <w:szCs w:val="16"/>
                <w:lang w:eastAsia="en-AU"/>
              </w:rPr>
              <w:t>(</w:t>
            </w:r>
            <w:r w:rsidR="00DB27AA">
              <w:rPr>
                <w:rFonts w:eastAsia="Times New Roman" w:cstheme="minorHAnsi"/>
                <w:b/>
                <w:bCs/>
                <w:sz w:val="16"/>
                <w:szCs w:val="16"/>
                <w:lang w:eastAsia="en-AU"/>
              </w:rPr>
              <w:t>5.</w:t>
            </w:r>
            <w:r w:rsidR="0043555C">
              <w:rPr>
                <w:rFonts w:eastAsia="Times New Roman" w:cstheme="minorHAnsi"/>
                <w:b/>
                <w:bCs/>
                <w:sz w:val="16"/>
                <w:szCs w:val="16"/>
                <w:lang w:eastAsia="en-AU"/>
              </w:rPr>
              <w:t>5</w:t>
            </w:r>
            <w:r w:rsidRPr="006D130D">
              <w:rPr>
                <w:rFonts w:eastAsia="Times New Roman" w:cstheme="minorHAnsi"/>
                <w:b/>
                <w:bCs/>
                <w:sz w:val="16"/>
                <w:szCs w:val="16"/>
                <w:lang w:eastAsia="en-AU"/>
              </w:rPr>
              <w:t>%)</w:t>
            </w:r>
          </w:p>
        </w:tc>
        <w:tc>
          <w:tcPr>
            <w:tcW w:w="1273" w:type="dxa"/>
            <w:tcBorders>
              <w:top w:val="single" w:sz="6" w:space="0" w:color="auto"/>
              <w:left w:val="single" w:sz="6" w:space="0" w:color="auto"/>
              <w:bottom w:val="single" w:sz="12" w:space="0" w:color="auto"/>
              <w:right w:val="single" w:sz="6" w:space="0" w:color="auto"/>
            </w:tcBorders>
            <w:noWrap/>
          </w:tcPr>
          <w:p w14:paraId="3D62D08A" w14:textId="4E4011C4" w:rsidR="00E550C8" w:rsidRPr="006D130D" w:rsidRDefault="00DB27AA" w:rsidP="00AF191F">
            <w:pPr>
              <w:spacing w:after="0" w:line="240" w:lineRule="auto"/>
              <w:jc w:val="center"/>
              <w:rPr>
                <w:rFonts w:eastAsia="Times New Roman" w:cstheme="minorHAnsi"/>
                <w:b/>
                <w:bCs/>
                <w:sz w:val="16"/>
                <w:szCs w:val="16"/>
                <w:lang w:eastAsia="en-AU"/>
              </w:rPr>
            </w:pPr>
            <w:r>
              <w:rPr>
                <w:rFonts w:eastAsia="Times New Roman" w:cstheme="minorHAnsi"/>
                <w:b/>
                <w:bCs/>
                <w:sz w:val="16"/>
                <w:szCs w:val="16"/>
                <w:lang w:eastAsia="en-AU"/>
              </w:rPr>
              <w:t>21,1</w:t>
            </w:r>
            <w:r w:rsidR="0043555C">
              <w:rPr>
                <w:rFonts w:eastAsia="Times New Roman" w:cstheme="minorHAnsi"/>
                <w:b/>
                <w:bCs/>
                <w:sz w:val="16"/>
                <w:szCs w:val="16"/>
                <w:lang w:eastAsia="en-AU"/>
              </w:rPr>
              <w:t>34</w:t>
            </w:r>
          </w:p>
          <w:p w14:paraId="12E70F82" w14:textId="290CD8FB" w:rsidR="00E550C8" w:rsidRPr="006D130D" w:rsidRDefault="00E550C8" w:rsidP="00AF191F">
            <w:pPr>
              <w:spacing w:after="0" w:line="240" w:lineRule="auto"/>
              <w:jc w:val="center"/>
              <w:rPr>
                <w:rFonts w:eastAsia="Times New Roman" w:cstheme="minorHAnsi"/>
                <w:b/>
                <w:bCs/>
                <w:sz w:val="16"/>
                <w:szCs w:val="16"/>
                <w:lang w:eastAsia="en-AU"/>
              </w:rPr>
            </w:pPr>
            <w:r w:rsidRPr="006D130D">
              <w:rPr>
                <w:rFonts w:eastAsia="Times New Roman" w:cstheme="minorHAnsi"/>
                <w:b/>
                <w:bCs/>
                <w:sz w:val="16"/>
                <w:szCs w:val="16"/>
                <w:lang w:eastAsia="en-AU"/>
              </w:rPr>
              <w:t>(</w:t>
            </w:r>
            <w:r w:rsidR="00DB27AA">
              <w:rPr>
                <w:rFonts w:eastAsia="Times New Roman" w:cstheme="minorHAnsi"/>
                <w:b/>
                <w:bCs/>
                <w:sz w:val="16"/>
                <w:szCs w:val="16"/>
                <w:lang w:eastAsia="en-AU"/>
              </w:rPr>
              <w:t>7.8</w:t>
            </w:r>
            <w:r w:rsidRPr="006D130D">
              <w:rPr>
                <w:rFonts w:eastAsia="Times New Roman" w:cstheme="minorHAnsi"/>
                <w:b/>
                <w:bCs/>
                <w:sz w:val="16"/>
                <w:szCs w:val="16"/>
                <w:lang w:eastAsia="en-AU"/>
              </w:rPr>
              <w:t>%)</w:t>
            </w:r>
          </w:p>
        </w:tc>
        <w:tc>
          <w:tcPr>
            <w:tcW w:w="1131" w:type="dxa"/>
            <w:tcBorders>
              <w:top w:val="single" w:sz="6" w:space="0" w:color="auto"/>
              <w:left w:val="single" w:sz="6" w:space="0" w:color="auto"/>
              <w:bottom w:val="single" w:sz="12" w:space="0" w:color="auto"/>
              <w:right w:val="single" w:sz="6" w:space="0" w:color="auto"/>
            </w:tcBorders>
            <w:noWrap/>
          </w:tcPr>
          <w:p w14:paraId="454AABBE" w14:textId="36E75B77" w:rsidR="00E550C8" w:rsidRPr="006D130D" w:rsidRDefault="00DB27AA" w:rsidP="00AF191F">
            <w:pPr>
              <w:spacing w:after="0" w:line="240" w:lineRule="auto"/>
              <w:jc w:val="center"/>
              <w:rPr>
                <w:rFonts w:eastAsia="Times New Roman" w:cstheme="minorHAnsi"/>
                <w:b/>
                <w:bCs/>
                <w:sz w:val="16"/>
                <w:szCs w:val="16"/>
                <w:lang w:eastAsia="en-AU"/>
              </w:rPr>
            </w:pPr>
            <w:r>
              <w:rPr>
                <w:rFonts w:eastAsia="Times New Roman" w:cstheme="minorHAnsi"/>
                <w:b/>
                <w:bCs/>
                <w:sz w:val="16"/>
                <w:szCs w:val="16"/>
                <w:lang w:eastAsia="en-AU"/>
              </w:rPr>
              <w:t>26,</w:t>
            </w:r>
            <w:r w:rsidR="0043555C">
              <w:rPr>
                <w:rFonts w:eastAsia="Times New Roman" w:cstheme="minorHAnsi"/>
                <w:b/>
                <w:bCs/>
                <w:sz w:val="16"/>
                <w:szCs w:val="16"/>
                <w:lang w:eastAsia="en-AU"/>
              </w:rPr>
              <w:t>250</w:t>
            </w:r>
          </w:p>
          <w:p w14:paraId="5CAB76BB" w14:textId="53C34632" w:rsidR="00E550C8" w:rsidRPr="006D130D" w:rsidRDefault="00E550C8" w:rsidP="00AF191F">
            <w:pPr>
              <w:spacing w:after="0" w:line="240" w:lineRule="auto"/>
              <w:jc w:val="center"/>
              <w:rPr>
                <w:rFonts w:eastAsia="Times New Roman" w:cstheme="minorHAnsi"/>
                <w:b/>
                <w:bCs/>
                <w:sz w:val="16"/>
                <w:szCs w:val="16"/>
                <w:lang w:eastAsia="en-AU"/>
              </w:rPr>
            </w:pPr>
            <w:r w:rsidRPr="006D130D">
              <w:rPr>
                <w:rFonts w:eastAsia="Times New Roman" w:cstheme="minorHAnsi"/>
                <w:b/>
                <w:bCs/>
                <w:sz w:val="16"/>
                <w:szCs w:val="16"/>
                <w:lang w:eastAsia="en-AU"/>
              </w:rPr>
              <w:t>(</w:t>
            </w:r>
            <w:r w:rsidR="00DB27AA">
              <w:rPr>
                <w:rFonts w:eastAsia="Times New Roman" w:cstheme="minorHAnsi"/>
                <w:b/>
                <w:bCs/>
                <w:sz w:val="16"/>
                <w:szCs w:val="16"/>
                <w:lang w:eastAsia="en-AU"/>
              </w:rPr>
              <w:t>9.7</w:t>
            </w:r>
            <w:r w:rsidRPr="006D130D">
              <w:rPr>
                <w:rFonts w:eastAsia="Times New Roman" w:cstheme="minorHAnsi"/>
                <w:b/>
                <w:bCs/>
                <w:sz w:val="16"/>
                <w:szCs w:val="16"/>
                <w:lang w:eastAsia="en-AU"/>
              </w:rPr>
              <w:t>%)</w:t>
            </w:r>
          </w:p>
        </w:tc>
        <w:tc>
          <w:tcPr>
            <w:tcW w:w="1131" w:type="dxa"/>
            <w:tcBorders>
              <w:top w:val="single" w:sz="6" w:space="0" w:color="auto"/>
              <w:left w:val="single" w:sz="6" w:space="0" w:color="auto"/>
              <w:bottom w:val="single" w:sz="12" w:space="0" w:color="auto"/>
              <w:right w:val="single" w:sz="6" w:space="0" w:color="auto"/>
            </w:tcBorders>
            <w:noWrap/>
          </w:tcPr>
          <w:p w14:paraId="38F6D48D" w14:textId="764A9E91" w:rsidR="00E550C8" w:rsidRPr="006D130D" w:rsidRDefault="00DB27AA" w:rsidP="00AF191F">
            <w:pPr>
              <w:spacing w:after="0" w:line="240" w:lineRule="auto"/>
              <w:jc w:val="center"/>
              <w:rPr>
                <w:rFonts w:eastAsia="Times New Roman" w:cstheme="minorHAnsi"/>
                <w:b/>
                <w:bCs/>
                <w:sz w:val="16"/>
                <w:szCs w:val="16"/>
                <w:lang w:eastAsia="en-AU"/>
              </w:rPr>
            </w:pPr>
            <w:r>
              <w:rPr>
                <w:rFonts w:eastAsia="Times New Roman" w:cstheme="minorHAnsi"/>
                <w:b/>
                <w:bCs/>
                <w:sz w:val="16"/>
                <w:szCs w:val="16"/>
                <w:lang w:eastAsia="en-AU"/>
              </w:rPr>
              <w:t>31,</w:t>
            </w:r>
            <w:r w:rsidR="0043555C">
              <w:rPr>
                <w:rFonts w:eastAsia="Times New Roman" w:cstheme="minorHAnsi"/>
                <w:b/>
                <w:bCs/>
                <w:sz w:val="16"/>
                <w:szCs w:val="16"/>
                <w:lang w:eastAsia="en-AU"/>
              </w:rPr>
              <w:t>092</w:t>
            </w:r>
          </w:p>
          <w:p w14:paraId="7044FF49" w14:textId="07755C71" w:rsidR="00E550C8" w:rsidRPr="006D130D" w:rsidRDefault="00E550C8" w:rsidP="00AF191F">
            <w:pPr>
              <w:spacing w:after="0" w:line="240" w:lineRule="auto"/>
              <w:jc w:val="center"/>
              <w:rPr>
                <w:rFonts w:eastAsia="Times New Roman" w:cstheme="minorHAnsi"/>
                <w:b/>
                <w:bCs/>
                <w:sz w:val="16"/>
                <w:szCs w:val="16"/>
                <w:lang w:eastAsia="en-AU"/>
              </w:rPr>
            </w:pPr>
            <w:r w:rsidRPr="006D130D">
              <w:rPr>
                <w:rFonts w:eastAsia="Times New Roman" w:cstheme="minorHAnsi"/>
                <w:b/>
                <w:bCs/>
                <w:sz w:val="16"/>
                <w:szCs w:val="16"/>
                <w:lang w:eastAsia="en-AU"/>
              </w:rPr>
              <w:t>(1</w:t>
            </w:r>
            <w:r w:rsidR="00DB27AA">
              <w:rPr>
                <w:rFonts w:eastAsia="Times New Roman" w:cstheme="minorHAnsi"/>
                <w:b/>
                <w:bCs/>
                <w:sz w:val="16"/>
                <w:szCs w:val="16"/>
                <w:lang w:eastAsia="en-AU"/>
              </w:rPr>
              <w:t>1.</w:t>
            </w:r>
            <w:r w:rsidR="0043555C">
              <w:rPr>
                <w:rFonts w:eastAsia="Times New Roman" w:cstheme="minorHAnsi"/>
                <w:b/>
                <w:bCs/>
                <w:sz w:val="16"/>
                <w:szCs w:val="16"/>
                <w:lang w:eastAsia="en-AU"/>
              </w:rPr>
              <w:t>5</w:t>
            </w:r>
            <w:r w:rsidRPr="006D130D">
              <w:rPr>
                <w:rFonts w:eastAsia="Times New Roman" w:cstheme="minorHAnsi"/>
                <w:b/>
                <w:bCs/>
                <w:sz w:val="16"/>
                <w:szCs w:val="16"/>
                <w:lang w:eastAsia="en-AU"/>
              </w:rPr>
              <w:t>%)</w:t>
            </w:r>
          </w:p>
        </w:tc>
        <w:tc>
          <w:tcPr>
            <w:tcW w:w="1131" w:type="dxa"/>
            <w:tcBorders>
              <w:top w:val="single" w:sz="6" w:space="0" w:color="auto"/>
              <w:left w:val="single" w:sz="6" w:space="0" w:color="auto"/>
              <w:bottom w:val="single" w:sz="12" w:space="0" w:color="auto"/>
              <w:right w:val="single" w:sz="6" w:space="0" w:color="auto"/>
            </w:tcBorders>
          </w:tcPr>
          <w:p w14:paraId="22027A19" w14:textId="246820B9" w:rsidR="00E550C8" w:rsidRPr="006D130D" w:rsidRDefault="00E550C8" w:rsidP="00AF191F">
            <w:pPr>
              <w:spacing w:after="0" w:line="240" w:lineRule="auto"/>
              <w:jc w:val="center"/>
              <w:rPr>
                <w:rFonts w:eastAsia="Times New Roman" w:cstheme="minorHAnsi"/>
                <w:b/>
                <w:bCs/>
                <w:sz w:val="16"/>
                <w:szCs w:val="16"/>
                <w:lang w:eastAsia="en-AU"/>
              </w:rPr>
            </w:pPr>
            <w:r w:rsidRPr="006D130D">
              <w:rPr>
                <w:rFonts w:eastAsia="Times New Roman" w:cstheme="minorHAnsi"/>
                <w:b/>
                <w:bCs/>
                <w:sz w:val="16"/>
                <w:szCs w:val="16"/>
                <w:lang w:eastAsia="en-AU"/>
              </w:rPr>
              <w:t>16</w:t>
            </w:r>
            <w:r w:rsidR="0043555C">
              <w:rPr>
                <w:rFonts w:eastAsia="Times New Roman" w:cstheme="minorHAnsi"/>
                <w:b/>
                <w:bCs/>
                <w:sz w:val="16"/>
                <w:szCs w:val="16"/>
                <w:lang w:eastAsia="en-AU"/>
              </w:rPr>
              <w:t>2,054</w:t>
            </w:r>
          </w:p>
          <w:p w14:paraId="5412DE2F" w14:textId="48E095A9" w:rsidR="00E550C8" w:rsidRPr="006D130D" w:rsidRDefault="00E550C8" w:rsidP="00AF191F">
            <w:pPr>
              <w:spacing w:after="0" w:line="240" w:lineRule="auto"/>
              <w:jc w:val="center"/>
              <w:rPr>
                <w:rFonts w:eastAsia="Times New Roman" w:cstheme="minorHAnsi"/>
                <w:b/>
                <w:bCs/>
                <w:sz w:val="16"/>
                <w:szCs w:val="16"/>
                <w:lang w:eastAsia="en-AU"/>
              </w:rPr>
            </w:pPr>
            <w:r w:rsidRPr="006D130D">
              <w:rPr>
                <w:rFonts w:eastAsia="Times New Roman" w:cstheme="minorHAnsi"/>
                <w:b/>
                <w:bCs/>
                <w:sz w:val="16"/>
                <w:szCs w:val="16"/>
                <w:lang w:eastAsia="en-AU"/>
              </w:rPr>
              <w:t>(</w:t>
            </w:r>
            <w:r w:rsidR="0043555C">
              <w:rPr>
                <w:rFonts w:eastAsia="Times New Roman" w:cstheme="minorHAnsi"/>
                <w:b/>
                <w:bCs/>
                <w:sz w:val="16"/>
                <w:szCs w:val="16"/>
                <w:lang w:eastAsia="en-AU"/>
              </w:rPr>
              <w:t>60.0</w:t>
            </w:r>
            <w:r w:rsidRPr="006D130D">
              <w:rPr>
                <w:rFonts w:eastAsia="Times New Roman" w:cstheme="minorHAnsi"/>
                <w:b/>
                <w:bCs/>
                <w:sz w:val="16"/>
                <w:szCs w:val="16"/>
                <w:lang w:eastAsia="en-AU"/>
              </w:rPr>
              <w:t>%)</w:t>
            </w:r>
          </w:p>
        </w:tc>
        <w:tc>
          <w:tcPr>
            <w:tcW w:w="1164" w:type="dxa"/>
            <w:tcBorders>
              <w:top w:val="single" w:sz="6" w:space="0" w:color="auto"/>
              <w:left w:val="single" w:sz="6" w:space="0" w:color="auto"/>
              <w:bottom w:val="single" w:sz="12" w:space="0" w:color="auto"/>
              <w:right w:val="single" w:sz="4" w:space="0" w:color="auto"/>
            </w:tcBorders>
            <w:noWrap/>
          </w:tcPr>
          <w:p w14:paraId="72E28764" w14:textId="4BA18754" w:rsidR="00E550C8" w:rsidRPr="006D130D" w:rsidRDefault="00E550C8" w:rsidP="00AF191F">
            <w:pPr>
              <w:spacing w:after="0" w:line="240" w:lineRule="auto"/>
              <w:jc w:val="center"/>
              <w:rPr>
                <w:rFonts w:eastAsia="Times New Roman" w:cstheme="minorHAnsi"/>
                <w:b/>
                <w:bCs/>
                <w:sz w:val="16"/>
                <w:szCs w:val="16"/>
                <w:lang w:eastAsia="en-AU"/>
              </w:rPr>
            </w:pPr>
            <w:r w:rsidRPr="006D130D">
              <w:rPr>
                <w:rFonts w:eastAsia="Times New Roman" w:cstheme="minorHAnsi"/>
                <w:b/>
                <w:bCs/>
                <w:sz w:val="16"/>
                <w:szCs w:val="16"/>
                <w:lang w:eastAsia="en-AU"/>
              </w:rPr>
              <w:t>27</w:t>
            </w:r>
            <w:r w:rsidR="00DB27AA">
              <w:rPr>
                <w:rFonts w:eastAsia="Times New Roman" w:cstheme="minorHAnsi"/>
                <w:b/>
                <w:bCs/>
                <w:sz w:val="16"/>
                <w:szCs w:val="16"/>
                <w:lang w:eastAsia="en-AU"/>
              </w:rPr>
              <w:t>0,179</w:t>
            </w:r>
          </w:p>
          <w:p w14:paraId="7770EAC1" w14:textId="77777777" w:rsidR="00E550C8" w:rsidRPr="006D130D" w:rsidRDefault="00E550C8" w:rsidP="00AF191F">
            <w:pPr>
              <w:spacing w:after="0" w:line="240" w:lineRule="auto"/>
              <w:jc w:val="center"/>
              <w:rPr>
                <w:rFonts w:eastAsia="Times New Roman" w:cstheme="minorHAnsi"/>
                <w:b/>
                <w:bCs/>
                <w:sz w:val="16"/>
                <w:szCs w:val="16"/>
                <w:lang w:eastAsia="en-AU"/>
              </w:rPr>
            </w:pPr>
            <w:r w:rsidRPr="006D130D">
              <w:rPr>
                <w:rFonts w:eastAsia="Times New Roman" w:cstheme="minorHAnsi"/>
                <w:b/>
                <w:bCs/>
                <w:sz w:val="16"/>
                <w:szCs w:val="16"/>
                <w:lang w:eastAsia="en-AU"/>
              </w:rPr>
              <w:t>(100.0%)</w:t>
            </w:r>
          </w:p>
        </w:tc>
      </w:tr>
    </w:tbl>
    <w:p w14:paraId="6BA13B2D" w14:textId="55F601E3" w:rsidR="00F5153B" w:rsidRPr="002C5A0F" w:rsidRDefault="002C5A0F" w:rsidP="002C5A0F">
      <w:pPr>
        <w:pStyle w:val="ListBullet"/>
        <w:numPr>
          <w:ilvl w:val="0"/>
          <w:numId w:val="0"/>
        </w:numPr>
        <w:spacing w:after="0" w:line="240" w:lineRule="auto"/>
        <w:rPr>
          <w:rFonts w:eastAsia="Times New Roman"/>
          <w:sz w:val="20"/>
          <w:szCs w:val="20"/>
          <w:lang w:eastAsia="en-AU"/>
        </w:rPr>
      </w:pPr>
      <w:r w:rsidRPr="008512E5">
        <w:rPr>
          <w:rFonts w:eastAsia="Times New Roman"/>
          <w:sz w:val="20"/>
          <w:szCs w:val="20"/>
          <w:lang w:eastAsia="en-AU"/>
        </w:rPr>
        <w:t>*University offers may take account of factors beyond ATAR, such as work experience, bridging courses, other qualifications, leadership and community service, equity, and special circumstances.</w:t>
      </w:r>
    </w:p>
    <w:p w14:paraId="323F1583" w14:textId="77777777" w:rsidR="002C5A0F" w:rsidRDefault="002C5A0F" w:rsidP="00F40AD6">
      <w:pPr>
        <w:keepLines/>
        <w:spacing w:after="0" w:line="240" w:lineRule="auto"/>
        <w:rPr>
          <w:rFonts w:eastAsia="Times New Roman" w:cstheme="minorHAnsi"/>
          <w:lang w:eastAsia="en-AU"/>
        </w:rPr>
      </w:pPr>
    </w:p>
    <w:p w14:paraId="20B6D282" w14:textId="5D5C1FDC" w:rsidR="00F5153B" w:rsidRPr="00122065" w:rsidRDefault="00541072" w:rsidP="00F40AD6">
      <w:pPr>
        <w:keepLines/>
        <w:spacing w:after="0" w:line="240" w:lineRule="auto"/>
        <w:rPr>
          <w:rFonts w:eastAsia="Times New Roman" w:cstheme="minorHAnsi"/>
          <w:lang w:eastAsia="en-AU"/>
        </w:rPr>
      </w:pPr>
      <w:r w:rsidRPr="00122065">
        <w:rPr>
          <w:rFonts w:eastAsia="Times New Roman" w:cstheme="minorHAnsi"/>
          <w:lang w:eastAsia="en-AU"/>
        </w:rPr>
        <w:t xml:space="preserve">The above table shows that </w:t>
      </w:r>
      <w:r w:rsidR="00F40AD6" w:rsidRPr="00122065">
        <w:rPr>
          <w:rFonts w:eastAsia="Times New Roman" w:cstheme="minorHAnsi"/>
          <w:lang w:eastAsia="en-AU"/>
        </w:rPr>
        <w:t xml:space="preserve">Engineering and Related Technologies and Natural and Physical Sciences recorded the largest share of offers made to Year 12 applicants who achieved an ATAR above 90 (24.0% and 19% respectively). This reflects the relatively high ATAR entry requirements for courses in these fields. The largest share of offers made to Year 12 applicants with an ATAR of 50 or less were in the fields of Education 2.8% (694), followed Architecture 2.6% (209) and Society and Culture 2.5% (1,485) and Information Technology 2.4% (259), though the absolute number of students remains small. </w:t>
      </w:r>
      <w:r w:rsidR="0062751D" w:rsidRPr="00122065">
        <w:rPr>
          <w:rFonts w:eastAsia="Times New Roman" w:cstheme="minorHAnsi"/>
          <w:lang w:eastAsia="en-AU"/>
        </w:rPr>
        <w:t xml:space="preserve">Health 1.9%, </w:t>
      </w:r>
      <w:r w:rsidR="00F40AD6" w:rsidRPr="00122065">
        <w:rPr>
          <w:rFonts w:eastAsia="Times New Roman" w:cstheme="minorHAnsi"/>
          <w:lang w:eastAsia="en-AU"/>
        </w:rPr>
        <w:t>Engineering Related Technologies and Natural Physical Sciences (both at 1.2%), Agriculture and Related Studies 1.1%, all recorded a below average share of offers made to applicants who achieved an ATAR of 50.00 or less.</w:t>
      </w:r>
      <w:r w:rsidR="00F5153B" w:rsidRPr="00122065">
        <w:rPr>
          <w:rFonts w:cstheme="minorHAnsi"/>
        </w:rPr>
        <w:br w:type="page"/>
      </w:r>
    </w:p>
    <w:p w14:paraId="1D3758C0" w14:textId="77777777" w:rsidR="004370A5" w:rsidRPr="0027206E" w:rsidRDefault="004370A5" w:rsidP="004370A5">
      <w:pPr>
        <w:pStyle w:val="Heading2"/>
        <w:numPr>
          <w:ilvl w:val="0"/>
          <w:numId w:val="8"/>
        </w:numPr>
        <w:tabs>
          <w:tab w:val="num" w:pos="360"/>
        </w:tabs>
        <w:spacing w:after="120"/>
        <w:ind w:left="425" w:hanging="425"/>
        <w:rPr>
          <w:color w:val="000000" w:themeColor="text1"/>
          <w:sz w:val="28"/>
          <w:szCs w:val="28"/>
        </w:rPr>
      </w:pPr>
      <w:bookmarkStart w:id="28" w:name="_Toc178931689"/>
      <w:bookmarkStart w:id="29" w:name="_Toc212734173"/>
      <w:r w:rsidRPr="0027206E">
        <w:rPr>
          <w:color w:val="000000" w:themeColor="text1"/>
          <w:sz w:val="28"/>
          <w:szCs w:val="28"/>
        </w:rPr>
        <w:lastRenderedPageBreak/>
        <w:t>Applications and offers for undergraduate Initial Teacher Education</w:t>
      </w:r>
      <w:bookmarkEnd w:id="28"/>
      <w:bookmarkEnd w:id="29"/>
      <w:r w:rsidRPr="0027206E">
        <w:rPr>
          <w:color w:val="000000" w:themeColor="text1"/>
          <w:sz w:val="28"/>
          <w:szCs w:val="28"/>
        </w:rPr>
        <w:t xml:space="preserve"> </w:t>
      </w:r>
    </w:p>
    <w:p w14:paraId="622CEC1B" w14:textId="54B8E49F" w:rsidR="004370A5" w:rsidRPr="00AF191F" w:rsidRDefault="004370A5" w:rsidP="00AF191F">
      <w:pPr>
        <w:spacing w:after="0" w:line="240" w:lineRule="auto"/>
        <w:rPr>
          <w:rFonts w:cstheme="minorHAnsi"/>
          <w:b/>
          <w:iCs/>
        </w:rPr>
      </w:pPr>
      <w:r w:rsidRPr="001212F8">
        <w:rPr>
          <w:rFonts w:cstheme="minorHAnsi"/>
          <w:b/>
          <w:iCs/>
        </w:rPr>
        <w:t xml:space="preserve">Figure </w:t>
      </w:r>
      <w:r w:rsidR="004100FA">
        <w:rPr>
          <w:rFonts w:cstheme="minorHAnsi"/>
          <w:b/>
          <w:iCs/>
        </w:rPr>
        <w:t>8</w:t>
      </w:r>
      <w:r w:rsidRPr="001212F8">
        <w:rPr>
          <w:rFonts w:cstheme="minorHAnsi"/>
          <w:b/>
          <w:iCs/>
        </w:rPr>
        <w:t xml:space="preserve">. </w:t>
      </w:r>
      <w:r>
        <w:rPr>
          <w:rFonts w:cstheme="minorHAnsi"/>
          <w:b/>
          <w:iCs/>
        </w:rPr>
        <w:t xml:space="preserve">Percentage change in </w:t>
      </w:r>
      <w:r w:rsidRPr="001212F8">
        <w:rPr>
          <w:rFonts w:cstheme="minorHAnsi"/>
          <w:b/>
          <w:iCs/>
        </w:rPr>
        <w:t>Applications and offers for undergraduate Initial Teacher Education courses, 2012 -</w:t>
      </w:r>
      <w:r w:rsidR="00F83878">
        <w:rPr>
          <w:rFonts w:cstheme="minorHAnsi"/>
          <w:b/>
          <w:iCs/>
        </w:rPr>
        <w:t xml:space="preserve"> </w:t>
      </w:r>
      <w:r w:rsidRPr="001212F8">
        <w:rPr>
          <w:rFonts w:cstheme="minorHAnsi"/>
          <w:b/>
          <w:iCs/>
        </w:rPr>
        <w:t>202</w:t>
      </w:r>
      <w:r w:rsidR="00917647">
        <w:rPr>
          <w:rFonts w:cstheme="minorHAnsi"/>
          <w:b/>
          <w:iCs/>
        </w:rPr>
        <w:t>5</w:t>
      </w:r>
    </w:p>
    <w:p w14:paraId="20B5CA3A" w14:textId="53FEFD29" w:rsidR="004370A5" w:rsidRDefault="00917647" w:rsidP="004370A5">
      <w:pPr>
        <w:spacing w:after="120" w:line="240" w:lineRule="auto"/>
        <w:rPr>
          <w:rFonts w:cstheme="minorHAnsi"/>
          <w:b/>
          <w:bCs/>
          <w:u w:val="single"/>
        </w:rPr>
      </w:pPr>
      <w:r>
        <w:rPr>
          <w:noProof/>
        </w:rPr>
        <w:drawing>
          <wp:inline distT="0" distB="0" distL="0" distR="0" wp14:anchorId="7842EF39" wp14:editId="57DFEE75">
            <wp:extent cx="6301105" cy="2348865"/>
            <wp:effectExtent l="0" t="0" r="4445" b="13335"/>
            <wp:docPr id="655177337" name="Chart 1" descr="Figure 8 shows that applications for undergraduate Initial Teacher Education (ITE) courses sharply increased in 2025, with a 12.3% increase (Figure 8). Offers also recorded a similar increase (13.1%). This follows a decrease in applications by 4.2% in 2024.">
              <a:extLst xmlns:a="http://schemas.openxmlformats.org/drawingml/2006/main">
                <a:ext uri="{FF2B5EF4-FFF2-40B4-BE49-F238E27FC236}">
                  <a16:creationId xmlns:a16="http://schemas.microsoft.com/office/drawing/2014/main" id="{BEC8C4A9-F724-75B3-6F24-0BA0CFF568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61911BA" w14:textId="3E480D83" w:rsidR="00917647" w:rsidRDefault="00917647" w:rsidP="004370A5">
      <w:pPr>
        <w:numPr>
          <w:ilvl w:val="0"/>
          <w:numId w:val="7"/>
        </w:numPr>
        <w:spacing w:before="120" w:after="120" w:line="240" w:lineRule="auto"/>
        <w:ind w:left="425" w:hanging="425"/>
        <w:rPr>
          <w:rFonts w:cstheme="minorHAnsi"/>
        </w:rPr>
      </w:pPr>
      <w:r w:rsidRPr="00CD7D2C">
        <w:rPr>
          <w:rFonts w:cstheme="minorHAnsi"/>
        </w:rPr>
        <w:t>Applications for</w:t>
      </w:r>
      <w:r>
        <w:rPr>
          <w:rFonts w:cstheme="minorHAnsi"/>
        </w:rPr>
        <w:t xml:space="preserve"> undergraduate</w:t>
      </w:r>
      <w:r w:rsidRPr="00CD7D2C">
        <w:rPr>
          <w:rFonts w:cstheme="minorHAnsi"/>
        </w:rPr>
        <w:t xml:space="preserve"> </w:t>
      </w:r>
      <w:r>
        <w:rPr>
          <w:rFonts w:cstheme="minorHAnsi"/>
        </w:rPr>
        <w:t xml:space="preserve">Initial </w:t>
      </w:r>
      <w:r w:rsidRPr="00CD7D2C">
        <w:rPr>
          <w:rFonts w:cstheme="minorHAnsi"/>
        </w:rPr>
        <w:t>Teacher Education</w:t>
      </w:r>
      <w:r>
        <w:rPr>
          <w:rFonts w:cstheme="minorHAnsi"/>
        </w:rPr>
        <w:t xml:space="preserve"> (ITE)</w:t>
      </w:r>
      <w:r w:rsidRPr="00CD7D2C">
        <w:rPr>
          <w:rFonts w:cstheme="minorHAnsi"/>
        </w:rPr>
        <w:t xml:space="preserve"> courses</w:t>
      </w:r>
      <w:r>
        <w:rPr>
          <w:rFonts w:cstheme="minorHAnsi"/>
        </w:rPr>
        <w:t xml:space="preserve"> sharply increased in 2025, with a 12.3</w:t>
      </w:r>
      <w:r w:rsidR="0004619F">
        <w:rPr>
          <w:rFonts w:cstheme="minorHAnsi"/>
        </w:rPr>
        <w:t>%</w:t>
      </w:r>
      <w:r w:rsidR="00DB60E5">
        <w:rPr>
          <w:rFonts w:cstheme="minorHAnsi"/>
        </w:rPr>
        <w:t xml:space="preserve"> </w:t>
      </w:r>
      <w:r>
        <w:rPr>
          <w:rFonts w:cstheme="minorHAnsi"/>
        </w:rPr>
        <w:t xml:space="preserve">increase (Figure </w:t>
      </w:r>
      <w:r w:rsidR="004100FA">
        <w:rPr>
          <w:rFonts w:cstheme="minorHAnsi"/>
        </w:rPr>
        <w:t>8</w:t>
      </w:r>
      <w:r>
        <w:rPr>
          <w:rFonts w:cstheme="minorHAnsi"/>
        </w:rPr>
        <w:t>).</w:t>
      </w:r>
      <w:r w:rsidR="009F71CF">
        <w:rPr>
          <w:rFonts w:cstheme="minorHAnsi"/>
        </w:rPr>
        <w:t xml:space="preserve"> Offers also recorded a similar increase (13.1%).</w:t>
      </w:r>
      <w:r>
        <w:rPr>
          <w:rFonts w:cstheme="minorHAnsi"/>
        </w:rPr>
        <w:t xml:space="preserve"> This follows a decrease </w:t>
      </w:r>
      <w:r w:rsidR="009F71CF">
        <w:rPr>
          <w:rFonts w:cstheme="minorHAnsi"/>
        </w:rPr>
        <w:t>in applications by</w:t>
      </w:r>
      <w:r>
        <w:rPr>
          <w:rFonts w:cstheme="minorHAnsi"/>
        </w:rPr>
        <w:t xml:space="preserve"> 4.2</w:t>
      </w:r>
      <w:r w:rsidR="0004619F">
        <w:rPr>
          <w:rFonts w:cstheme="minorHAnsi"/>
        </w:rPr>
        <w:t>%</w:t>
      </w:r>
      <w:r w:rsidR="00DB60E5">
        <w:rPr>
          <w:rFonts w:cstheme="minorHAnsi"/>
        </w:rPr>
        <w:t xml:space="preserve"> </w:t>
      </w:r>
      <w:r>
        <w:rPr>
          <w:rFonts w:cstheme="minorHAnsi"/>
        </w:rPr>
        <w:t xml:space="preserve">in 2024. </w:t>
      </w:r>
      <w:r w:rsidRPr="008C6840">
        <w:rPr>
          <w:rFonts w:cstheme="minorHAnsi"/>
        </w:rPr>
        <w:t>N</w:t>
      </w:r>
      <w:r>
        <w:rPr>
          <w:rFonts w:cstheme="minorHAnsi"/>
        </w:rPr>
        <w:t>ote, there are no data available on applications to postgraduate ITE courses.</w:t>
      </w:r>
    </w:p>
    <w:p w14:paraId="4A7F78A9" w14:textId="1DEC7051" w:rsidR="004370A5" w:rsidRDefault="004370A5" w:rsidP="004370A5">
      <w:pPr>
        <w:numPr>
          <w:ilvl w:val="0"/>
          <w:numId w:val="7"/>
        </w:numPr>
        <w:spacing w:before="120" w:after="120" w:line="240" w:lineRule="auto"/>
        <w:ind w:left="425" w:hanging="425"/>
        <w:rPr>
          <w:rFonts w:cstheme="minorHAnsi"/>
        </w:rPr>
      </w:pPr>
      <w:bookmarkStart w:id="30" w:name="_Hlk79144097"/>
      <w:r>
        <w:rPr>
          <w:rFonts w:cstheme="minorHAnsi"/>
        </w:rPr>
        <w:t>The share of applicants receiving offers for undergraduate ITE courses who did not have an ATAR or were non-Year 12 applicants was 75.</w:t>
      </w:r>
      <w:r w:rsidR="00030E4C">
        <w:rPr>
          <w:rFonts w:cstheme="minorHAnsi"/>
        </w:rPr>
        <w:t>5</w:t>
      </w:r>
      <w:r w:rsidR="0004619F">
        <w:rPr>
          <w:rFonts w:cstheme="minorHAnsi"/>
        </w:rPr>
        <w:t>%</w:t>
      </w:r>
      <w:r>
        <w:rPr>
          <w:rFonts w:cstheme="minorHAnsi"/>
        </w:rPr>
        <w:t xml:space="preserve"> in 202</w:t>
      </w:r>
      <w:r w:rsidR="00030E4C">
        <w:rPr>
          <w:rFonts w:cstheme="minorHAnsi"/>
        </w:rPr>
        <w:t>5</w:t>
      </w:r>
      <w:r>
        <w:rPr>
          <w:rFonts w:cstheme="minorHAnsi"/>
        </w:rPr>
        <w:t xml:space="preserve"> (Table </w:t>
      </w:r>
      <w:r w:rsidR="00450883">
        <w:rPr>
          <w:rFonts w:cstheme="minorHAnsi"/>
        </w:rPr>
        <w:t>5</w:t>
      </w:r>
      <w:r>
        <w:rPr>
          <w:rFonts w:cstheme="minorHAnsi"/>
        </w:rPr>
        <w:t xml:space="preserve">). </w:t>
      </w:r>
      <w:bookmarkEnd w:id="30"/>
      <w:r>
        <w:rPr>
          <w:rFonts w:cstheme="minorHAnsi"/>
        </w:rPr>
        <w:t xml:space="preserve">This is much higher than the comparable figure for all undergraduate courses of </w:t>
      </w:r>
      <w:r w:rsidR="00A24024">
        <w:rPr>
          <w:rFonts w:cstheme="minorHAnsi"/>
        </w:rPr>
        <w:t>60.0</w:t>
      </w:r>
      <w:r w:rsidR="0004619F">
        <w:rPr>
          <w:rFonts w:cstheme="minorHAnsi"/>
        </w:rPr>
        <w:t>%</w:t>
      </w:r>
      <w:r>
        <w:rPr>
          <w:rFonts w:cstheme="minorHAnsi"/>
        </w:rPr>
        <w:t xml:space="preserve">. </w:t>
      </w:r>
    </w:p>
    <w:p w14:paraId="1744C071" w14:textId="663E2C73" w:rsidR="004370A5" w:rsidRDefault="004370A5" w:rsidP="004370A5">
      <w:pPr>
        <w:numPr>
          <w:ilvl w:val="0"/>
          <w:numId w:val="7"/>
        </w:numPr>
        <w:spacing w:before="120" w:after="120" w:line="240" w:lineRule="auto"/>
        <w:ind w:left="425" w:hanging="425"/>
        <w:rPr>
          <w:rFonts w:cstheme="minorHAnsi"/>
        </w:rPr>
      </w:pPr>
      <w:r>
        <w:rPr>
          <w:rFonts w:cstheme="minorHAnsi"/>
        </w:rPr>
        <w:t xml:space="preserve">While applicants with no ATAR or who were non-Year 12 </w:t>
      </w:r>
      <w:proofErr w:type="gramStart"/>
      <w:r w:rsidR="00832D75">
        <w:rPr>
          <w:rFonts w:cstheme="minorHAnsi"/>
        </w:rPr>
        <w:t>comprise</w:t>
      </w:r>
      <w:proofErr w:type="gramEnd"/>
      <w:r>
        <w:rPr>
          <w:rFonts w:cstheme="minorHAnsi"/>
        </w:rPr>
        <w:t xml:space="preserve"> the majority receiving offers to ITE courses</w:t>
      </w:r>
      <w:bookmarkStart w:id="31" w:name="_Hlk79144292"/>
      <w:r>
        <w:rPr>
          <w:rFonts w:cstheme="minorHAnsi"/>
        </w:rPr>
        <w:t>, applicants with lowest ATARs 0</w:t>
      </w:r>
      <w:r w:rsidR="001A7D51">
        <w:rPr>
          <w:rFonts w:cstheme="minorHAnsi"/>
        </w:rPr>
        <w:t xml:space="preserve"> </w:t>
      </w:r>
      <w:r>
        <w:rPr>
          <w:rFonts w:cstheme="minorHAnsi"/>
        </w:rPr>
        <w:t>-</w:t>
      </w:r>
      <w:r w:rsidR="001A7D51">
        <w:rPr>
          <w:rFonts w:cstheme="minorHAnsi"/>
        </w:rPr>
        <w:t xml:space="preserve"> </w:t>
      </w:r>
      <w:r>
        <w:rPr>
          <w:rFonts w:cstheme="minorHAnsi"/>
        </w:rPr>
        <w:t>50.00 receiving offers have declined slightly from a peak of 2.5</w:t>
      </w:r>
      <w:r w:rsidR="0004619F">
        <w:rPr>
          <w:rFonts w:cstheme="minorHAnsi"/>
        </w:rPr>
        <w:t>%</w:t>
      </w:r>
      <w:r>
        <w:rPr>
          <w:rFonts w:cstheme="minorHAnsi"/>
        </w:rPr>
        <w:t xml:space="preserve"> in 2014 to 2.</w:t>
      </w:r>
      <w:r w:rsidR="00F400F0">
        <w:rPr>
          <w:rFonts w:cstheme="minorHAnsi"/>
        </w:rPr>
        <w:t>3</w:t>
      </w:r>
      <w:r w:rsidR="0004619F">
        <w:rPr>
          <w:rFonts w:cstheme="minorHAnsi"/>
        </w:rPr>
        <w:t>%</w:t>
      </w:r>
      <w:r>
        <w:rPr>
          <w:rFonts w:cstheme="minorHAnsi"/>
        </w:rPr>
        <w:t xml:space="preserve"> in 202</w:t>
      </w:r>
      <w:bookmarkEnd w:id="31"/>
      <w:r w:rsidR="00F400F0">
        <w:rPr>
          <w:rFonts w:cstheme="minorHAnsi"/>
        </w:rPr>
        <w:t>5</w:t>
      </w:r>
      <w:r>
        <w:rPr>
          <w:rFonts w:cstheme="minorHAnsi"/>
        </w:rPr>
        <w:t xml:space="preserve"> (Table </w:t>
      </w:r>
      <w:r w:rsidR="00450883">
        <w:rPr>
          <w:rFonts w:cstheme="minorHAnsi"/>
        </w:rPr>
        <w:t>5</w:t>
      </w:r>
      <w:r>
        <w:rPr>
          <w:rFonts w:cstheme="minorHAnsi"/>
        </w:rPr>
        <w:t>). On the other hand, applicants with highest ATARs 90.05 or more receiving offers have increased slightly from a low of 1.5</w:t>
      </w:r>
      <w:r w:rsidR="0004619F">
        <w:rPr>
          <w:rFonts w:cstheme="minorHAnsi"/>
        </w:rPr>
        <w:t>%</w:t>
      </w:r>
      <w:r>
        <w:rPr>
          <w:rFonts w:cstheme="minorHAnsi"/>
        </w:rPr>
        <w:t xml:space="preserve"> in 2015 to 2.1</w:t>
      </w:r>
      <w:r w:rsidR="0004619F">
        <w:rPr>
          <w:rFonts w:cstheme="minorHAnsi"/>
        </w:rPr>
        <w:t>%</w:t>
      </w:r>
      <w:r>
        <w:rPr>
          <w:rFonts w:cstheme="minorHAnsi"/>
        </w:rPr>
        <w:t xml:space="preserve"> in 202</w:t>
      </w:r>
      <w:r w:rsidR="00F400F0">
        <w:rPr>
          <w:rFonts w:cstheme="minorHAnsi"/>
        </w:rPr>
        <w:t>5</w:t>
      </w:r>
      <w:r>
        <w:rPr>
          <w:rFonts w:cstheme="minorHAnsi"/>
        </w:rPr>
        <w:t xml:space="preserve">. </w:t>
      </w:r>
    </w:p>
    <w:p w14:paraId="439768BF" w14:textId="082510E5" w:rsidR="004370A5" w:rsidRPr="006510FC" w:rsidRDefault="004370A5" w:rsidP="004370A5">
      <w:pPr>
        <w:numPr>
          <w:ilvl w:val="0"/>
          <w:numId w:val="7"/>
        </w:numPr>
        <w:spacing w:before="120" w:after="120" w:line="240" w:lineRule="auto"/>
        <w:ind w:left="425" w:hanging="425"/>
        <w:rPr>
          <w:rFonts w:cstheme="minorHAnsi"/>
        </w:rPr>
      </w:pPr>
      <w:r>
        <w:rPr>
          <w:rFonts w:cstheme="minorHAnsi"/>
        </w:rPr>
        <w:t xml:space="preserve">The average ATAR of applicants receiving offers </w:t>
      </w:r>
      <w:r w:rsidR="00A87FE9">
        <w:rPr>
          <w:rFonts w:cstheme="minorHAnsi"/>
        </w:rPr>
        <w:t xml:space="preserve">for </w:t>
      </w:r>
      <w:r>
        <w:rPr>
          <w:rFonts w:cstheme="minorHAnsi"/>
        </w:rPr>
        <w:t>ITE courses has increased from a low of 68.5 in 2015 to 71.</w:t>
      </w:r>
      <w:r w:rsidR="00F400F0">
        <w:rPr>
          <w:rFonts w:cstheme="minorHAnsi"/>
        </w:rPr>
        <w:t>0</w:t>
      </w:r>
      <w:r>
        <w:rPr>
          <w:rFonts w:cstheme="minorHAnsi"/>
        </w:rPr>
        <w:t xml:space="preserve"> in 202</w:t>
      </w:r>
      <w:r w:rsidR="00F400F0">
        <w:rPr>
          <w:rFonts w:cstheme="minorHAnsi"/>
        </w:rPr>
        <w:t>5</w:t>
      </w:r>
      <w:r>
        <w:rPr>
          <w:rFonts w:cstheme="minorHAnsi"/>
        </w:rPr>
        <w:t xml:space="preserve"> (Table </w:t>
      </w:r>
      <w:r w:rsidR="00450883">
        <w:rPr>
          <w:rFonts w:cstheme="minorHAnsi"/>
        </w:rPr>
        <w:t>7</w:t>
      </w:r>
      <w:r>
        <w:rPr>
          <w:rFonts w:cstheme="minorHAnsi"/>
        </w:rPr>
        <w:t>)</w:t>
      </w:r>
    </w:p>
    <w:p w14:paraId="0CE2C820" w14:textId="014D5CD3" w:rsidR="004370A5" w:rsidRDefault="00F400F0" w:rsidP="004370A5">
      <w:pPr>
        <w:numPr>
          <w:ilvl w:val="0"/>
          <w:numId w:val="7"/>
        </w:numPr>
        <w:spacing w:before="120" w:after="0" w:line="240" w:lineRule="auto"/>
        <w:ind w:left="425" w:hanging="425"/>
        <w:rPr>
          <w:rFonts w:cstheme="minorHAnsi"/>
        </w:rPr>
      </w:pPr>
      <w:r>
        <w:rPr>
          <w:rFonts w:cstheme="minorHAnsi"/>
        </w:rPr>
        <w:t xml:space="preserve">Offers for ITE in 2025 have increased in all states and territories except for Victoria (-0.7%). The greatest increase </w:t>
      </w:r>
      <w:r w:rsidR="00323AA4">
        <w:rPr>
          <w:rFonts w:cstheme="minorHAnsi"/>
        </w:rPr>
        <w:t>is</w:t>
      </w:r>
      <w:r>
        <w:rPr>
          <w:rFonts w:cstheme="minorHAnsi"/>
        </w:rPr>
        <w:t xml:space="preserve"> in NSW (2</w:t>
      </w:r>
      <w:r w:rsidR="00323AA4">
        <w:rPr>
          <w:rFonts w:cstheme="minorHAnsi"/>
        </w:rPr>
        <w:t>5</w:t>
      </w:r>
      <w:r>
        <w:rPr>
          <w:rFonts w:cstheme="minorHAnsi"/>
        </w:rPr>
        <w:t>.</w:t>
      </w:r>
      <w:r w:rsidR="00323AA4">
        <w:rPr>
          <w:rFonts w:cstheme="minorHAnsi"/>
        </w:rPr>
        <w:t>4</w:t>
      </w:r>
      <w:r>
        <w:rPr>
          <w:rFonts w:cstheme="minorHAnsi"/>
        </w:rPr>
        <w:t>%), Queensland (1</w:t>
      </w:r>
      <w:r w:rsidR="00323AA4">
        <w:rPr>
          <w:rFonts w:cstheme="minorHAnsi"/>
        </w:rPr>
        <w:t>6</w:t>
      </w:r>
      <w:r>
        <w:rPr>
          <w:rFonts w:cstheme="minorHAnsi"/>
        </w:rPr>
        <w:t>.</w:t>
      </w:r>
      <w:r w:rsidR="00323AA4">
        <w:rPr>
          <w:rFonts w:cstheme="minorHAnsi"/>
        </w:rPr>
        <w:t>4</w:t>
      </w:r>
      <w:r>
        <w:rPr>
          <w:rFonts w:cstheme="minorHAnsi"/>
        </w:rPr>
        <w:t>%) and South Australia (</w:t>
      </w:r>
      <w:r w:rsidR="00323AA4">
        <w:rPr>
          <w:rFonts w:cstheme="minorHAnsi"/>
        </w:rPr>
        <w:t>15</w:t>
      </w:r>
      <w:r>
        <w:rPr>
          <w:rFonts w:cstheme="minorHAnsi"/>
        </w:rPr>
        <w:t>.</w:t>
      </w:r>
      <w:r w:rsidR="00323AA4">
        <w:rPr>
          <w:rFonts w:cstheme="minorHAnsi"/>
        </w:rPr>
        <w:t>2</w:t>
      </w:r>
      <w:r>
        <w:rPr>
          <w:rFonts w:cstheme="minorHAnsi"/>
        </w:rPr>
        <w:t>%)</w:t>
      </w:r>
      <w:r w:rsidR="00323AA4">
        <w:rPr>
          <w:rFonts w:cstheme="minorHAnsi"/>
        </w:rPr>
        <w:t>, see Table 8</w:t>
      </w:r>
      <w:r>
        <w:rPr>
          <w:rFonts w:cstheme="minorHAnsi"/>
        </w:rPr>
        <w:t>.</w:t>
      </w:r>
    </w:p>
    <w:p w14:paraId="56521DE1" w14:textId="77777777" w:rsidR="00F400F0" w:rsidRPr="00F400F0" w:rsidRDefault="00F400F0" w:rsidP="00F400F0">
      <w:pPr>
        <w:spacing w:before="120" w:after="0" w:line="240" w:lineRule="auto"/>
        <w:ind w:left="425"/>
        <w:rPr>
          <w:rFonts w:cstheme="minorHAnsi"/>
        </w:rPr>
      </w:pPr>
    </w:p>
    <w:p w14:paraId="47FA89C8" w14:textId="05AD9199" w:rsidR="00567817" w:rsidRPr="00AD6963" w:rsidRDefault="00567817" w:rsidP="00567817">
      <w:pPr>
        <w:spacing w:after="0" w:line="240" w:lineRule="auto"/>
        <w:rPr>
          <w:rFonts w:cstheme="minorHAnsi"/>
          <w:b/>
          <w:iCs/>
        </w:rPr>
      </w:pPr>
      <w:r>
        <w:rPr>
          <w:rFonts w:cstheme="minorHAnsi"/>
          <w:b/>
          <w:iCs/>
        </w:rPr>
        <w:t xml:space="preserve">Table </w:t>
      </w:r>
      <w:r w:rsidR="00450883">
        <w:rPr>
          <w:rFonts w:cstheme="minorHAnsi"/>
          <w:b/>
          <w:iCs/>
        </w:rPr>
        <w:t>4</w:t>
      </w:r>
      <w:r>
        <w:rPr>
          <w:rFonts w:cstheme="minorHAnsi"/>
          <w:b/>
          <w:iCs/>
        </w:rPr>
        <w:t>. O</w:t>
      </w:r>
      <w:r w:rsidRPr="00AD6963">
        <w:rPr>
          <w:rFonts w:cstheme="minorHAnsi"/>
          <w:b/>
          <w:iCs/>
        </w:rPr>
        <w:t>ffers for undergraduate Initial Teacher Education courses by ATAR band, 2011</w:t>
      </w:r>
      <w:r>
        <w:rPr>
          <w:rFonts w:cstheme="minorHAnsi"/>
          <w:b/>
          <w:iCs/>
        </w:rPr>
        <w:t xml:space="preserve"> </w:t>
      </w:r>
      <w:r w:rsidRPr="00AD6963">
        <w:rPr>
          <w:rFonts w:cstheme="minorHAnsi"/>
          <w:b/>
          <w:iCs/>
        </w:rPr>
        <w:t>-</w:t>
      </w:r>
      <w:r>
        <w:rPr>
          <w:rFonts w:cstheme="minorHAnsi"/>
          <w:b/>
          <w:iCs/>
        </w:rPr>
        <w:t xml:space="preserve"> </w:t>
      </w:r>
      <w:r w:rsidRPr="00AD6963">
        <w:rPr>
          <w:rFonts w:cstheme="minorHAnsi"/>
          <w:b/>
          <w:iCs/>
        </w:rPr>
        <w:t>202</w:t>
      </w:r>
      <w:r>
        <w:rPr>
          <w:rFonts w:cstheme="minorHAnsi"/>
          <w:b/>
          <w:iCs/>
        </w:rPr>
        <w:t>5</w:t>
      </w:r>
    </w:p>
    <w:p w14:paraId="0F946050" w14:textId="04DABB0E" w:rsidR="00567817" w:rsidRDefault="00567817" w:rsidP="004370A5">
      <w:r w:rsidRPr="00567817">
        <w:rPr>
          <w:noProof/>
        </w:rPr>
        <w:drawing>
          <wp:inline distT="0" distB="0" distL="0" distR="0" wp14:anchorId="560D4BA9" wp14:editId="5253B6DA">
            <wp:extent cx="6300864" cy="1581150"/>
            <wp:effectExtent l="0" t="0" r="5080" b="0"/>
            <wp:docPr id="30492270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08624" cy="1583097"/>
                    </a:xfrm>
                    <a:prstGeom prst="rect">
                      <a:avLst/>
                    </a:prstGeom>
                    <a:noFill/>
                    <a:ln>
                      <a:noFill/>
                    </a:ln>
                  </pic:spPr>
                </pic:pic>
              </a:graphicData>
            </a:graphic>
          </wp:inline>
        </w:drawing>
      </w:r>
    </w:p>
    <w:p w14:paraId="046AA65E" w14:textId="77777777" w:rsidR="00567817" w:rsidRDefault="00567817" w:rsidP="004370A5"/>
    <w:p w14:paraId="2E8719C4" w14:textId="0696E584" w:rsidR="00567817" w:rsidRPr="00AD6963" w:rsidRDefault="00567817" w:rsidP="00567817">
      <w:pPr>
        <w:spacing w:before="120" w:after="0" w:line="240" w:lineRule="auto"/>
        <w:rPr>
          <w:rFonts w:cstheme="minorHAnsi"/>
          <w:b/>
          <w:iCs/>
        </w:rPr>
      </w:pPr>
      <w:r w:rsidRPr="00AD6963">
        <w:rPr>
          <w:rFonts w:cstheme="minorHAnsi"/>
          <w:b/>
          <w:iCs/>
        </w:rPr>
        <w:t xml:space="preserve">Table </w:t>
      </w:r>
      <w:r w:rsidR="00450883">
        <w:rPr>
          <w:rFonts w:cstheme="minorHAnsi"/>
          <w:b/>
          <w:iCs/>
        </w:rPr>
        <w:t>5</w:t>
      </w:r>
      <w:r w:rsidRPr="00AD6963">
        <w:rPr>
          <w:rFonts w:cstheme="minorHAnsi"/>
          <w:b/>
          <w:iCs/>
        </w:rPr>
        <w:t>. Share of applicants receiving offers for undergraduate Initial Teacher Education courses by ATAR band, 2011</w:t>
      </w:r>
      <w:r>
        <w:rPr>
          <w:rFonts w:cstheme="minorHAnsi"/>
          <w:b/>
          <w:iCs/>
        </w:rPr>
        <w:t xml:space="preserve"> </w:t>
      </w:r>
      <w:r w:rsidRPr="00AD6963">
        <w:rPr>
          <w:rFonts w:cstheme="minorHAnsi"/>
          <w:b/>
          <w:iCs/>
        </w:rPr>
        <w:t>-</w:t>
      </w:r>
      <w:r>
        <w:rPr>
          <w:rFonts w:cstheme="minorHAnsi"/>
          <w:b/>
          <w:iCs/>
        </w:rPr>
        <w:t xml:space="preserve"> </w:t>
      </w:r>
      <w:r w:rsidRPr="00AD6963">
        <w:rPr>
          <w:rFonts w:cstheme="minorHAnsi"/>
          <w:b/>
          <w:iCs/>
        </w:rPr>
        <w:t>202</w:t>
      </w:r>
      <w:r w:rsidR="00AE53E8">
        <w:rPr>
          <w:rFonts w:cstheme="minorHAnsi"/>
          <w:b/>
          <w:iCs/>
        </w:rPr>
        <w:t>5</w:t>
      </w:r>
    </w:p>
    <w:p w14:paraId="70535AF1" w14:textId="5D81F402" w:rsidR="004370A5" w:rsidRDefault="00567817" w:rsidP="004370A5">
      <w:r w:rsidRPr="00567817">
        <w:rPr>
          <w:noProof/>
        </w:rPr>
        <w:drawing>
          <wp:inline distT="0" distB="0" distL="0" distR="0" wp14:anchorId="0CBB3630" wp14:editId="618C46B8">
            <wp:extent cx="6242050" cy="1570990"/>
            <wp:effectExtent l="0" t="0" r="6350" b="0"/>
            <wp:docPr id="74317269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62171" cy="1576054"/>
                    </a:xfrm>
                    <a:prstGeom prst="rect">
                      <a:avLst/>
                    </a:prstGeom>
                    <a:noFill/>
                    <a:ln>
                      <a:noFill/>
                    </a:ln>
                  </pic:spPr>
                </pic:pic>
              </a:graphicData>
            </a:graphic>
          </wp:inline>
        </w:drawing>
      </w:r>
    </w:p>
    <w:p w14:paraId="6F336AF8" w14:textId="312E12F2" w:rsidR="00AE53E8" w:rsidRPr="00AE53E8" w:rsidRDefault="00AE53E8" w:rsidP="00AE53E8">
      <w:pPr>
        <w:spacing w:before="120" w:after="0" w:line="240" w:lineRule="auto"/>
        <w:rPr>
          <w:rFonts w:cstheme="minorHAnsi"/>
          <w:b/>
          <w:iCs/>
        </w:rPr>
      </w:pPr>
      <w:r>
        <w:rPr>
          <w:rFonts w:cstheme="minorHAnsi"/>
          <w:b/>
          <w:iCs/>
        </w:rPr>
        <w:t xml:space="preserve">Table </w:t>
      </w:r>
      <w:r w:rsidR="00450883">
        <w:rPr>
          <w:rFonts w:cstheme="minorHAnsi"/>
          <w:b/>
          <w:iCs/>
        </w:rPr>
        <w:t>6</w:t>
      </w:r>
      <w:r>
        <w:rPr>
          <w:rFonts w:cstheme="minorHAnsi"/>
          <w:b/>
          <w:iCs/>
        </w:rPr>
        <w:t xml:space="preserve">. </w:t>
      </w:r>
      <w:r w:rsidRPr="00D81CBE">
        <w:rPr>
          <w:rFonts w:cstheme="minorHAnsi"/>
          <w:b/>
          <w:iCs/>
        </w:rPr>
        <w:t>Applications to study Initial Teacher Education by state and territory, 2011 - 202</w:t>
      </w:r>
      <w:r>
        <w:rPr>
          <w:rFonts w:cstheme="minorHAnsi"/>
          <w:b/>
          <w:iCs/>
        </w:rPr>
        <w:t>5</w:t>
      </w:r>
    </w:p>
    <w:p w14:paraId="34E03BF2" w14:textId="00A70391" w:rsidR="00AE53E8" w:rsidRDefault="00AE53E8" w:rsidP="004370A5">
      <w:r w:rsidRPr="00AE53E8">
        <w:rPr>
          <w:noProof/>
        </w:rPr>
        <w:drawing>
          <wp:inline distT="0" distB="0" distL="0" distR="0" wp14:anchorId="5DF73DC5" wp14:editId="4BA50CB2">
            <wp:extent cx="6242537" cy="1643974"/>
            <wp:effectExtent l="0" t="0" r="6350" b="0"/>
            <wp:docPr id="145914260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42537" cy="1643974"/>
                    </a:xfrm>
                    <a:prstGeom prst="rect">
                      <a:avLst/>
                    </a:prstGeom>
                    <a:noFill/>
                    <a:ln>
                      <a:noFill/>
                    </a:ln>
                  </pic:spPr>
                </pic:pic>
              </a:graphicData>
            </a:graphic>
          </wp:inline>
        </w:drawing>
      </w:r>
    </w:p>
    <w:p w14:paraId="4BC54252" w14:textId="51614FD7" w:rsidR="00AE53E8" w:rsidRPr="001212F8" w:rsidRDefault="00AE53E8" w:rsidP="00AE53E8">
      <w:pPr>
        <w:spacing w:after="0" w:line="240" w:lineRule="auto"/>
        <w:rPr>
          <w:rFonts w:cstheme="minorHAnsi"/>
          <w:b/>
          <w:iCs/>
        </w:rPr>
      </w:pPr>
      <w:r w:rsidRPr="001212F8">
        <w:rPr>
          <w:rFonts w:cstheme="minorHAnsi"/>
          <w:b/>
          <w:iCs/>
        </w:rPr>
        <w:t xml:space="preserve">Table </w:t>
      </w:r>
      <w:r w:rsidR="00450883">
        <w:rPr>
          <w:rFonts w:cstheme="minorHAnsi"/>
          <w:b/>
          <w:iCs/>
        </w:rPr>
        <w:t>7</w:t>
      </w:r>
      <w:r w:rsidRPr="001212F8">
        <w:rPr>
          <w:rFonts w:cstheme="minorHAnsi"/>
          <w:b/>
          <w:iCs/>
        </w:rPr>
        <w:t>. Average ATAR of applicants receiving offers for undergraduate Initial Teacher Education and all courses, 2011</w:t>
      </w:r>
      <w:r>
        <w:rPr>
          <w:rFonts w:cstheme="minorHAnsi"/>
          <w:b/>
          <w:iCs/>
        </w:rPr>
        <w:t xml:space="preserve"> </w:t>
      </w:r>
      <w:r w:rsidRPr="001212F8">
        <w:rPr>
          <w:rFonts w:cstheme="minorHAnsi"/>
          <w:b/>
          <w:iCs/>
        </w:rPr>
        <w:t>-</w:t>
      </w:r>
      <w:r>
        <w:rPr>
          <w:rFonts w:cstheme="minorHAnsi"/>
          <w:b/>
          <w:iCs/>
        </w:rPr>
        <w:t xml:space="preserve"> </w:t>
      </w:r>
      <w:r w:rsidRPr="001212F8">
        <w:rPr>
          <w:rFonts w:cstheme="minorHAnsi"/>
          <w:b/>
          <w:iCs/>
        </w:rPr>
        <w:t>202</w:t>
      </w:r>
      <w:r>
        <w:rPr>
          <w:rFonts w:cstheme="minorHAnsi"/>
          <w:b/>
          <w:iCs/>
        </w:rPr>
        <w:t>5</w:t>
      </w:r>
    </w:p>
    <w:p w14:paraId="23983A73" w14:textId="0BFBFFCF" w:rsidR="004370A5" w:rsidRDefault="00AE53E8" w:rsidP="004370A5">
      <w:r w:rsidRPr="00AE53E8">
        <w:rPr>
          <w:noProof/>
        </w:rPr>
        <w:drawing>
          <wp:inline distT="0" distB="0" distL="0" distR="0" wp14:anchorId="2FFE3189" wp14:editId="456E03B5">
            <wp:extent cx="6242050" cy="457178"/>
            <wp:effectExtent l="0" t="0" r="0" b="635"/>
            <wp:docPr id="47815037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336973" cy="464130"/>
                    </a:xfrm>
                    <a:prstGeom prst="rect">
                      <a:avLst/>
                    </a:prstGeom>
                    <a:noFill/>
                    <a:ln>
                      <a:noFill/>
                    </a:ln>
                  </pic:spPr>
                </pic:pic>
              </a:graphicData>
            </a:graphic>
          </wp:inline>
        </w:drawing>
      </w:r>
    </w:p>
    <w:p w14:paraId="5DA146A2" w14:textId="5B48AD22" w:rsidR="00AE53E8" w:rsidRPr="00D81CBE" w:rsidRDefault="00AE53E8" w:rsidP="00AE53E8">
      <w:pPr>
        <w:spacing w:before="120" w:after="0" w:line="240" w:lineRule="auto"/>
        <w:rPr>
          <w:rFonts w:cstheme="minorHAnsi"/>
          <w:b/>
          <w:iCs/>
        </w:rPr>
      </w:pPr>
      <w:r w:rsidRPr="00D81CBE">
        <w:rPr>
          <w:rFonts w:cstheme="minorHAnsi"/>
          <w:b/>
          <w:iCs/>
        </w:rPr>
        <w:t xml:space="preserve">Table </w:t>
      </w:r>
      <w:r w:rsidR="00450883">
        <w:rPr>
          <w:rFonts w:cstheme="minorHAnsi"/>
          <w:b/>
          <w:iCs/>
        </w:rPr>
        <w:t>8</w:t>
      </w:r>
      <w:r w:rsidRPr="00D81CBE">
        <w:rPr>
          <w:rFonts w:cstheme="minorHAnsi"/>
          <w:b/>
          <w:iCs/>
        </w:rPr>
        <w:t>. Offers to study Initial Teacher Education by state and territory, 2011</w:t>
      </w:r>
      <w:r>
        <w:rPr>
          <w:rFonts w:cstheme="minorHAnsi"/>
          <w:b/>
          <w:iCs/>
        </w:rPr>
        <w:t xml:space="preserve"> </w:t>
      </w:r>
      <w:r w:rsidRPr="00D81CBE">
        <w:rPr>
          <w:rFonts w:cstheme="minorHAnsi"/>
          <w:b/>
          <w:iCs/>
        </w:rPr>
        <w:t>-</w:t>
      </w:r>
      <w:r>
        <w:rPr>
          <w:rFonts w:cstheme="minorHAnsi"/>
          <w:b/>
          <w:iCs/>
        </w:rPr>
        <w:t xml:space="preserve"> </w:t>
      </w:r>
      <w:r w:rsidRPr="00D81CBE">
        <w:rPr>
          <w:rFonts w:cstheme="minorHAnsi"/>
          <w:b/>
          <w:iCs/>
        </w:rPr>
        <w:t>202</w:t>
      </w:r>
      <w:r>
        <w:rPr>
          <w:rFonts w:cstheme="minorHAnsi"/>
          <w:b/>
          <w:iCs/>
        </w:rPr>
        <w:t>5</w:t>
      </w:r>
    </w:p>
    <w:p w14:paraId="0E27D074" w14:textId="673B899C" w:rsidR="004370A5" w:rsidRDefault="00AE53E8" w:rsidP="004370A5">
      <w:r w:rsidRPr="00AE53E8">
        <w:rPr>
          <w:noProof/>
        </w:rPr>
        <w:drawing>
          <wp:inline distT="0" distB="0" distL="0" distR="0" wp14:anchorId="56733A4F" wp14:editId="1821B70D">
            <wp:extent cx="6225702" cy="1662906"/>
            <wp:effectExtent l="0" t="0" r="3810" b="0"/>
            <wp:docPr id="176978208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48737" cy="1669059"/>
                    </a:xfrm>
                    <a:prstGeom prst="rect">
                      <a:avLst/>
                    </a:prstGeom>
                    <a:noFill/>
                    <a:ln>
                      <a:noFill/>
                    </a:ln>
                  </pic:spPr>
                </pic:pic>
              </a:graphicData>
            </a:graphic>
          </wp:inline>
        </w:drawing>
      </w:r>
    </w:p>
    <w:p w14:paraId="7189B785" w14:textId="681D3A79" w:rsidR="00AE53E8" w:rsidRDefault="00AE53E8" w:rsidP="00AE53E8">
      <w:pPr>
        <w:pStyle w:val="Heading2"/>
        <w:numPr>
          <w:ilvl w:val="0"/>
          <w:numId w:val="8"/>
        </w:numPr>
        <w:tabs>
          <w:tab w:val="num" w:pos="360"/>
        </w:tabs>
        <w:spacing w:after="120"/>
        <w:ind w:left="425" w:hanging="425"/>
        <w:rPr>
          <w:color w:val="000000" w:themeColor="text1"/>
          <w:sz w:val="28"/>
          <w:szCs w:val="28"/>
        </w:rPr>
      </w:pPr>
      <w:bookmarkStart w:id="32" w:name="_Toc212734174"/>
      <w:r w:rsidRPr="0027206E">
        <w:rPr>
          <w:color w:val="000000" w:themeColor="text1"/>
          <w:sz w:val="28"/>
          <w:szCs w:val="28"/>
        </w:rPr>
        <w:t xml:space="preserve">Applications and offers for </w:t>
      </w:r>
      <w:r>
        <w:rPr>
          <w:color w:val="000000" w:themeColor="text1"/>
          <w:sz w:val="28"/>
          <w:szCs w:val="28"/>
        </w:rPr>
        <w:t>Nursing</w:t>
      </w:r>
      <w:bookmarkEnd w:id="32"/>
    </w:p>
    <w:p w14:paraId="680A5C70" w14:textId="3784D4AE" w:rsidR="00AE53E8" w:rsidRDefault="00AE53E8" w:rsidP="00AE53E8">
      <w:pPr>
        <w:numPr>
          <w:ilvl w:val="0"/>
          <w:numId w:val="24"/>
        </w:numPr>
        <w:spacing w:before="120" w:after="120" w:line="240" w:lineRule="auto"/>
        <w:rPr>
          <w:rFonts w:cstheme="minorHAnsi"/>
        </w:rPr>
      </w:pPr>
      <w:r>
        <w:rPr>
          <w:rFonts w:cstheme="minorHAnsi"/>
        </w:rPr>
        <w:t xml:space="preserve">Applications to study Nursing peaked in 2021 (43,915 applicants) </w:t>
      </w:r>
      <w:r w:rsidR="00041242">
        <w:rPr>
          <w:rFonts w:cstheme="minorHAnsi"/>
        </w:rPr>
        <w:t>during</w:t>
      </w:r>
      <w:r>
        <w:rPr>
          <w:rFonts w:cstheme="minorHAnsi"/>
        </w:rPr>
        <w:t xml:space="preserve"> the Covid</w:t>
      </w:r>
      <w:r w:rsidR="00450883">
        <w:rPr>
          <w:rFonts w:cstheme="minorHAnsi"/>
        </w:rPr>
        <w:t>-</w:t>
      </w:r>
      <w:r>
        <w:rPr>
          <w:rFonts w:cstheme="minorHAnsi"/>
        </w:rPr>
        <w:t xml:space="preserve">19 pandemic (Table </w:t>
      </w:r>
      <w:r w:rsidR="00450883">
        <w:rPr>
          <w:rFonts w:cstheme="minorHAnsi"/>
        </w:rPr>
        <w:t>9</w:t>
      </w:r>
      <w:r>
        <w:rPr>
          <w:rFonts w:cstheme="minorHAnsi"/>
        </w:rPr>
        <w:t>). However, since then</w:t>
      </w:r>
      <w:r w:rsidR="00DB60E5">
        <w:rPr>
          <w:rFonts w:cstheme="minorHAnsi"/>
        </w:rPr>
        <w:t>, a</w:t>
      </w:r>
      <w:r>
        <w:rPr>
          <w:rFonts w:cstheme="minorHAnsi"/>
        </w:rPr>
        <w:t xml:space="preserve"> </w:t>
      </w:r>
      <w:r w:rsidR="00DB60E5">
        <w:rPr>
          <w:rFonts w:cstheme="minorHAnsi"/>
        </w:rPr>
        <w:t xml:space="preserve">largely </w:t>
      </w:r>
      <w:r>
        <w:rPr>
          <w:rFonts w:cstheme="minorHAnsi"/>
        </w:rPr>
        <w:t>downward trend has been observed</w:t>
      </w:r>
      <w:r w:rsidR="00DB60E5">
        <w:rPr>
          <w:rFonts w:cstheme="minorHAnsi"/>
        </w:rPr>
        <w:t xml:space="preserve"> until 2025 which saw a 2.4% increase</w:t>
      </w:r>
      <w:r>
        <w:rPr>
          <w:rFonts w:cstheme="minorHAnsi"/>
        </w:rPr>
        <w:t>.</w:t>
      </w:r>
      <w:r w:rsidR="00DB60E5">
        <w:rPr>
          <w:rFonts w:cstheme="minorHAnsi"/>
        </w:rPr>
        <w:t xml:space="preserve"> All states and territories recorded growth in 2025 except for South Australia (-8.3%), NSW (-2.1%) and ACT (-0.2%) which saw a decline.</w:t>
      </w:r>
    </w:p>
    <w:p w14:paraId="0C0F4DFD" w14:textId="7DDFDB51" w:rsidR="00AE53E8" w:rsidRPr="00AE53E8" w:rsidRDefault="00AE53E8" w:rsidP="002624C5">
      <w:pPr>
        <w:numPr>
          <w:ilvl w:val="0"/>
          <w:numId w:val="24"/>
        </w:numPr>
        <w:spacing w:before="120" w:after="120" w:line="240" w:lineRule="auto"/>
      </w:pPr>
      <w:r w:rsidRPr="00450883">
        <w:rPr>
          <w:rFonts w:cstheme="minorHAnsi"/>
        </w:rPr>
        <w:lastRenderedPageBreak/>
        <w:t xml:space="preserve">Offers to study Nursing (Table </w:t>
      </w:r>
      <w:r w:rsidR="00450883">
        <w:rPr>
          <w:rFonts w:cstheme="minorHAnsi"/>
        </w:rPr>
        <w:t>10</w:t>
      </w:r>
      <w:r w:rsidRPr="00450883">
        <w:rPr>
          <w:rFonts w:cstheme="minorHAnsi"/>
        </w:rPr>
        <w:t>) peaked in 2021 (29,536 applicants received offers). After a decline</w:t>
      </w:r>
      <w:r w:rsidR="00450883" w:rsidRPr="00450883">
        <w:rPr>
          <w:rFonts w:cstheme="minorHAnsi"/>
        </w:rPr>
        <w:t xml:space="preserve"> from 2021</w:t>
      </w:r>
      <w:r w:rsidRPr="00450883">
        <w:rPr>
          <w:rFonts w:cstheme="minorHAnsi"/>
        </w:rPr>
        <w:t xml:space="preserve">, </w:t>
      </w:r>
      <w:r w:rsidR="00450883" w:rsidRPr="00450883">
        <w:rPr>
          <w:rFonts w:cstheme="minorHAnsi"/>
        </w:rPr>
        <w:t xml:space="preserve">offers in recent years have remained steady, with </w:t>
      </w:r>
      <w:r w:rsidRPr="00450883">
        <w:rPr>
          <w:rFonts w:cstheme="minorHAnsi"/>
        </w:rPr>
        <w:t>202</w:t>
      </w:r>
      <w:r w:rsidR="00450883" w:rsidRPr="00450883">
        <w:rPr>
          <w:rFonts w:cstheme="minorHAnsi"/>
        </w:rPr>
        <w:t>5</w:t>
      </w:r>
      <w:r w:rsidRPr="00450883">
        <w:rPr>
          <w:rFonts w:cstheme="minorHAnsi"/>
        </w:rPr>
        <w:t xml:space="preserve"> record</w:t>
      </w:r>
      <w:r w:rsidR="00450883" w:rsidRPr="00450883">
        <w:rPr>
          <w:rFonts w:cstheme="minorHAnsi"/>
        </w:rPr>
        <w:t>ing a</w:t>
      </w:r>
      <w:r w:rsidRPr="00450883">
        <w:rPr>
          <w:rFonts w:cstheme="minorHAnsi"/>
        </w:rPr>
        <w:t xml:space="preserve"> </w:t>
      </w:r>
      <w:r w:rsidR="00450883" w:rsidRPr="00450883">
        <w:rPr>
          <w:rFonts w:cstheme="minorHAnsi"/>
        </w:rPr>
        <w:t>0.04</w:t>
      </w:r>
      <w:r w:rsidR="0004619F">
        <w:rPr>
          <w:rFonts w:cstheme="minorHAnsi"/>
        </w:rPr>
        <w:t>%</w:t>
      </w:r>
      <w:r w:rsidRPr="00450883">
        <w:rPr>
          <w:rFonts w:cstheme="minorHAnsi"/>
        </w:rPr>
        <w:t xml:space="preserve"> </w:t>
      </w:r>
      <w:r w:rsidR="00450883" w:rsidRPr="00450883">
        <w:rPr>
          <w:rFonts w:cstheme="minorHAnsi"/>
        </w:rPr>
        <w:t>decrease</w:t>
      </w:r>
      <w:r w:rsidRPr="00450883">
        <w:rPr>
          <w:rFonts w:cstheme="minorHAnsi"/>
        </w:rPr>
        <w:t xml:space="preserve">. Except </w:t>
      </w:r>
      <w:r w:rsidR="00450883" w:rsidRPr="00450883">
        <w:rPr>
          <w:rFonts w:cstheme="minorHAnsi"/>
        </w:rPr>
        <w:t>NSW</w:t>
      </w:r>
      <w:r w:rsidRPr="00450883">
        <w:rPr>
          <w:rFonts w:cstheme="minorHAnsi"/>
        </w:rPr>
        <w:t xml:space="preserve">, </w:t>
      </w:r>
      <w:r w:rsidR="00450883" w:rsidRPr="00450883">
        <w:rPr>
          <w:rFonts w:cstheme="minorHAnsi"/>
        </w:rPr>
        <w:t>Victoria, South Australia</w:t>
      </w:r>
      <w:r w:rsidRPr="00450883">
        <w:rPr>
          <w:rFonts w:cstheme="minorHAnsi"/>
        </w:rPr>
        <w:t xml:space="preserve"> and </w:t>
      </w:r>
      <w:r w:rsidR="00450883" w:rsidRPr="00450883">
        <w:rPr>
          <w:rFonts w:cstheme="minorHAnsi"/>
        </w:rPr>
        <w:t>ACT</w:t>
      </w:r>
      <w:r w:rsidRPr="00450883">
        <w:rPr>
          <w:rFonts w:cstheme="minorHAnsi"/>
        </w:rPr>
        <w:t xml:space="preserve">, </w:t>
      </w:r>
      <w:r w:rsidR="00450883">
        <w:rPr>
          <w:rFonts w:cstheme="minorHAnsi"/>
        </w:rPr>
        <w:t xml:space="preserve">all </w:t>
      </w:r>
      <w:r w:rsidR="00450883" w:rsidRPr="00450883">
        <w:rPr>
          <w:rFonts w:cstheme="minorHAnsi"/>
        </w:rPr>
        <w:t>other</w:t>
      </w:r>
      <w:r w:rsidRPr="00450883">
        <w:rPr>
          <w:rFonts w:cstheme="minorHAnsi"/>
        </w:rPr>
        <w:t xml:space="preserve"> states and territories recorded growth in offers. </w:t>
      </w:r>
      <w:r w:rsidR="00450883" w:rsidRPr="00450883">
        <w:rPr>
          <w:rFonts w:cstheme="minorHAnsi"/>
        </w:rPr>
        <w:t>NT</w:t>
      </w:r>
      <w:r w:rsidRPr="00450883">
        <w:rPr>
          <w:rFonts w:cstheme="minorHAnsi"/>
        </w:rPr>
        <w:t xml:space="preserve"> recorded the highest growth in offers (</w:t>
      </w:r>
      <w:r w:rsidR="00450883" w:rsidRPr="00450883">
        <w:rPr>
          <w:rFonts w:cstheme="minorHAnsi"/>
        </w:rPr>
        <w:t>21.1%</w:t>
      </w:r>
      <w:r w:rsidRPr="00450883">
        <w:rPr>
          <w:rFonts w:cstheme="minorHAnsi"/>
        </w:rPr>
        <w:t xml:space="preserve">), followed by </w:t>
      </w:r>
      <w:r w:rsidR="00450883" w:rsidRPr="00450883">
        <w:rPr>
          <w:rFonts w:cstheme="minorHAnsi"/>
        </w:rPr>
        <w:t>Queensland</w:t>
      </w:r>
      <w:r w:rsidRPr="00450883">
        <w:rPr>
          <w:rFonts w:cstheme="minorHAnsi"/>
        </w:rPr>
        <w:t xml:space="preserve"> (</w:t>
      </w:r>
      <w:r w:rsidR="00450883" w:rsidRPr="00450883">
        <w:rPr>
          <w:rFonts w:cstheme="minorHAnsi"/>
        </w:rPr>
        <w:t>4.7%</w:t>
      </w:r>
      <w:r w:rsidRPr="00450883">
        <w:rPr>
          <w:rFonts w:cstheme="minorHAnsi"/>
        </w:rPr>
        <w:t xml:space="preserve">), </w:t>
      </w:r>
      <w:r w:rsidR="00450883" w:rsidRPr="00450883">
        <w:rPr>
          <w:rFonts w:cstheme="minorHAnsi"/>
        </w:rPr>
        <w:t>Western</w:t>
      </w:r>
      <w:r w:rsidRPr="00450883">
        <w:rPr>
          <w:rFonts w:cstheme="minorHAnsi"/>
        </w:rPr>
        <w:t xml:space="preserve"> Australia (1.</w:t>
      </w:r>
      <w:r w:rsidR="00450883" w:rsidRPr="00450883">
        <w:rPr>
          <w:rFonts w:cstheme="minorHAnsi"/>
        </w:rPr>
        <w:t>9%</w:t>
      </w:r>
      <w:r w:rsidRPr="00450883">
        <w:rPr>
          <w:rFonts w:cstheme="minorHAnsi"/>
        </w:rPr>
        <w:t>)</w:t>
      </w:r>
      <w:r w:rsidR="00450883" w:rsidRPr="00450883">
        <w:rPr>
          <w:rFonts w:cstheme="minorHAnsi"/>
        </w:rPr>
        <w:t xml:space="preserve"> and</w:t>
      </w:r>
      <w:r w:rsidRPr="00450883">
        <w:rPr>
          <w:rFonts w:cstheme="minorHAnsi"/>
        </w:rPr>
        <w:t xml:space="preserve"> </w:t>
      </w:r>
      <w:r w:rsidR="00450883" w:rsidRPr="00450883">
        <w:rPr>
          <w:rFonts w:cstheme="minorHAnsi"/>
        </w:rPr>
        <w:t>Tasmania</w:t>
      </w:r>
      <w:r w:rsidRPr="00450883">
        <w:rPr>
          <w:rFonts w:cstheme="minorHAnsi"/>
        </w:rPr>
        <w:t xml:space="preserve"> (</w:t>
      </w:r>
      <w:r w:rsidR="00450883" w:rsidRPr="00450883">
        <w:rPr>
          <w:rFonts w:cstheme="minorHAnsi"/>
        </w:rPr>
        <w:t>0.4</w:t>
      </w:r>
      <w:r w:rsidR="00450883">
        <w:rPr>
          <w:rFonts w:cstheme="minorHAnsi"/>
        </w:rPr>
        <w:t>%).</w:t>
      </w:r>
    </w:p>
    <w:p w14:paraId="16C5809A" w14:textId="15196C05" w:rsidR="00AE53E8" w:rsidRDefault="00AE53E8" w:rsidP="00AE53E8">
      <w:pPr>
        <w:spacing w:after="0" w:line="240" w:lineRule="auto"/>
        <w:rPr>
          <w:rFonts w:cstheme="minorHAnsi"/>
          <w:b/>
          <w:bCs/>
          <w:szCs w:val="24"/>
        </w:rPr>
      </w:pPr>
      <w:r>
        <w:rPr>
          <w:rFonts w:cstheme="minorHAnsi"/>
          <w:b/>
          <w:bCs/>
          <w:szCs w:val="24"/>
        </w:rPr>
        <w:t xml:space="preserve">Table </w:t>
      </w:r>
      <w:r w:rsidR="00450883">
        <w:rPr>
          <w:rFonts w:cstheme="minorHAnsi"/>
          <w:b/>
          <w:bCs/>
          <w:szCs w:val="24"/>
        </w:rPr>
        <w:t>9</w:t>
      </w:r>
      <w:r>
        <w:rPr>
          <w:rFonts w:cstheme="minorHAnsi"/>
          <w:b/>
          <w:bCs/>
          <w:szCs w:val="24"/>
        </w:rPr>
        <w:t>. Applications to study Nursing, 2011 - 202</w:t>
      </w:r>
      <w:r w:rsidR="00F83878">
        <w:rPr>
          <w:rFonts w:cstheme="minorHAnsi"/>
          <w:b/>
          <w:bCs/>
          <w:szCs w:val="24"/>
        </w:rPr>
        <w:t>5</w:t>
      </w:r>
    </w:p>
    <w:p w14:paraId="7D30E117" w14:textId="2089C8FB" w:rsidR="00AE53E8" w:rsidRDefault="00AE53E8" w:rsidP="004370A5">
      <w:r w:rsidRPr="00AE53E8">
        <w:rPr>
          <w:noProof/>
        </w:rPr>
        <w:drawing>
          <wp:inline distT="0" distB="0" distL="0" distR="0" wp14:anchorId="489044FD" wp14:editId="0EB234D7">
            <wp:extent cx="6235311" cy="1673158"/>
            <wp:effectExtent l="0" t="0" r="0" b="3810"/>
            <wp:docPr id="65475604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55729" cy="1678637"/>
                    </a:xfrm>
                    <a:prstGeom prst="rect">
                      <a:avLst/>
                    </a:prstGeom>
                    <a:noFill/>
                    <a:ln>
                      <a:noFill/>
                    </a:ln>
                  </pic:spPr>
                </pic:pic>
              </a:graphicData>
            </a:graphic>
          </wp:inline>
        </w:drawing>
      </w:r>
    </w:p>
    <w:p w14:paraId="186352E4" w14:textId="3B3286BD" w:rsidR="00AE53E8" w:rsidRDefault="00AE53E8" w:rsidP="00AE53E8">
      <w:pPr>
        <w:spacing w:after="0" w:line="240" w:lineRule="auto"/>
        <w:rPr>
          <w:rFonts w:cstheme="minorHAnsi"/>
          <w:b/>
          <w:bCs/>
          <w:szCs w:val="24"/>
        </w:rPr>
      </w:pPr>
      <w:r>
        <w:rPr>
          <w:rFonts w:cstheme="minorHAnsi"/>
          <w:b/>
          <w:bCs/>
          <w:szCs w:val="24"/>
        </w:rPr>
        <w:t xml:space="preserve">Table </w:t>
      </w:r>
      <w:r w:rsidR="00450883">
        <w:rPr>
          <w:rFonts w:cstheme="minorHAnsi"/>
          <w:b/>
          <w:bCs/>
          <w:szCs w:val="24"/>
        </w:rPr>
        <w:t>10</w:t>
      </w:r>
      <w:r>
        <w:rPr>
          <w:rFonts w:cstheme="minorHAnsi"/>
          <w:b/>
          <w:bCs/>
          <w:szCs w:val="24"/>
        </w:rPr>
        <w:t>. Offers</w:t>
      </w:r>
      <w:r w:rsidRPr="001212F8">
        <w:rPr>
          <w:rFonts w:cstheme="minorHAnsi"/>
          <w:b/>
          <w:bCs/>
          <w:szCs w:val="24"/>
        </w:rPr>
        <w:t xml:space="preserve"> to study Nursing, 2011</w:t>
      </w:r>
      <w:r w:rsidR="00F83878">
        <w:rPr>
          <w:rFonts w:cstheme="minorHAnsi"/>
          <w:b/>
          <w:bCs/>
          <w:szCs w:val="24"/>
        </w:rPr>
        <w:t xml:space="preserve"> </w:t>
      </w:r>
      <w:r w:rsidRPr="001212F8">
        <w:rPr>
          <w:rFonts w:cstheme="minorHAnsi"/>
          <w:b/>
          <w:bCs/>
          <w:szCs w:val="24"/>
        </w:rPr>
        <w:t>-</w:t>
      </w:r>
      <w:r>
        <w:rPr>
          <w:rFonts w:cstheme="minorHAnsi"/>
          <w:b/>
          <w:bCs/>
          <w:szCs w:val="24"/>
        </w:rPr>
        <w:t xml:space="preserve"> </w:t>
      </w:r>
      <w:r w:rsidRPr="001212F8">
        <w:rPr>
          <w:rFonts w:cstheme="minorHAnsi"/>
          <w:b/>
          <w:bCs/>
          <w:szCs w:val="24"/>
        </w:rPr>
        <w:t>202</w:t>
      </w:r>
      <w:r w:rsidR="00F83878">
        <w:rPr>
          <w:rFonts w:cstheme="minorHAnsi"/>
          <w:b/>
          <w:bCs/>
          <w:szCs w:val="24"/>
        </w:rPr>
        <w:t>5</w:t>
      </w:r>
    </w:p>
    <w:p w14:paraId="135DFB05" w14:textId="5207F30C" w:rsidR="00AE53E8" w:rsidRDefault="00F83878" w:rsidP="004370A5">
      <w:r w:rsidRPr="00F83878">
        <w:rPr>
          <w:noProof/>
        </w:rPr>
        <w:drawing>
          <wp:inline distT="0" distB="0" distL="0" distR="0" wp14:anchorId="171B82E3" wp14:editId="68BA955A">
            <wp:extent cx="6235311" cy="1673158"/>
            <wp:effectExtent l="0" t="0" r="0" b="3810"/>
            <wp:docPr id="18403146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71998" cy="1683002"/>
                    </a:xfrm>
                    <a:prstGeom prst="rect">
                      <a:avLst/>
                    </a:prstGeom>
                    <a:noFill/>
                    <a:ln>
                      <a:noFill/>
                    </a:ln>
                  </pic:spPr>
                </pic:pic>
              </a:graphicData>
            </a:graphic>
          </wp:inline>
        </w:drawing>
      </w:r>
    </w:p>
    <w:p w14:paraId="44947F7E" w14:textId="09284180" w:rsidR="00AE53E8" w:rsidRDefault="00AE53E8" w:rsidP="004370A5"/>
    <w:p w14:paraId="3EC33912" w14:textId="77777777" w:rsidR="00AE53E8" w:rsidRDefault="00AE53E8" w:rsidP="004370A5"/>
    <w:p w14:paraId="2F7B45AD" w14:textId="77777777" w:rsidR="00AE53E8" w:rsidRDefault="00AE53E8" w:rsidP="004370A5"/>
    <w:p w14:paraId="7D727715" w14:textId="77777777" w:rsidR="00AE53E8" w:rsidRDefault="00AE53E8" w:rsidP="004370A5"/>
    <w:p w14:paraId="6E896505" w14:textId="77777777" w:rsidR="00F400F0" w:rsidRDefault="00F400F0" w:rsidP="004370A5"/>
    <w:p w14:paraId="0C207409" w14:textId="77777777" w:rsidR="00F400F0" w:rsidRDefault="00F400F0" w:rsidP="004370A5"/>
    <w:p w14:paraId="7428856C" w14:textId="77777777" w:rsidR="00450883" w:rsidRDefault="00450883" w:rsidP="004370A5"/>
    <w:p w14:paraId="20D5EFE8" w14:textId="77777777" w:rsidR="00450883" w:rsidRDefault="00450883" w:rsidP="004370A5"/>
    <w:p w14:paraId="454CB789" w14:textId="77777777" w:rsidR="00F400F0" w:rsidRDefault="00F400F0" w:rsidP="004370A5"/>
    <w:p w14:paraId="1D79919E" w14:textId="77777777" w:rsidR="00AE53E8" w:rsidRDefault="00AE53E8" w:rsidP="004370A5"/>
    <w:p w14:paraId="1C122621" w14:textId="1105217F" w:rsidR="00B93C37" w:rsidRPr="00B1719F" w:rsidRDefault="00B93C37" w:rsidP="00D07317">
      <w:pPr>
        <w:pStyle w:val="Heading1"/>
      </w:pPr>
      <w:bookmarkStart w:id="33" w:name="_Toc212734175"/>
      <w:r>
        <w:lastRenderedPageBreak/>
        <w:t>Explanatory Notes</w:t>
      </w:r>
      <w:bookmarkEnd w:id="33"/>
    </w:p>
    <w:p w14:paraId="7F4D90AF" w14:textId="06900EBD" w:rsidR="00B93C37" w:rsidRDefault="00B93C37" w:rsidP="00DF3625">
      <w:pPr>
        <w:spacing w:after="120" w:line="240" w:lineRule="auto"/>
      </w:pPr>
      <w:r w:rsidRPr="00B875BD">
        <w:t xml:space="preserve">The data referred to in this report </w:t>
      </w:r>
      <w:r w:rsidR="00CD1679">
        <w:t>relate</w:t>
      </w:r>
      <w:r w:rsidR="00463BEB">
        <w:t xml:space="preserve"> to</w:t>
      </w:r>
      <w:r w:rsidRPr="00B875BD">
        <w:t xml:space="preserve"> applications and offers for </w:t>
      </w:r>
      <w:r w:rsidR="00794CCF">
        <w:t xml:space="preserve">first semester </w:t>
      </w:r>
      <w:r w:rsidRPr="00B875BD">
        <w:t xml:space="preserve">domestic undergraduate </w:t>
      </w:r>
      <w:r w:rsidR="00463BEB">
        <w:t xml:space="preserve">Commonwealth Supported </w:t>
      </w:r>
      <w:r w:rsidRPr="00B875BD">
        <w:t xml:space="preserve">university places through </w:t>
      </w:r>
      <w:r>
        <w:t>Tertiary Admission Centres</w:t>
      </w:r>
      <w:r w:rsidR="00394444">
        <w:t xml:space="preserve"> (TACs)</w:t>
      </w:r>
      <w:r w:rsidRPr="00B875BD">
        <w:t xml:space="preserve"> </w:t>
      </w:r>
      <w:r>
        <w:t xml:space="preserve">and </w:t>
      </w:r>
      <w:r w:rsidR="00463BEB">
        <w:t xml:space="preserve">Table </w:t>
      </w:r>
      <w:r w:rsidR="00463BEB" w:rsidRPr="003B290C">
        <w:t xml:space="preserve">A </w:t>
      </w:r>
      <w:r w:rsidRPr="003B290C">
        <w:t xml:space="preserve">universities as of 15 May. </w:t>
      </w:r>
      <w:bookmarkStart w:id="34" w:name="_Hlk202787779"/>
      <w:r w:rsidR="00463BEB" w:rsidRPr="003B290C">
        <w:t>The data collection contains no information on applications and offers for postgraduate level study and no information in relation to international students.</w:t>
      </w:r>
      <w:r w:rsidR="00794CCF" w:rsidRPr="003B290C">
        <w:t xml:space="preserve"> It contains no information on second (or third) semester undergraduate study and so does not capture the full cohort of prospective students for each academic year.</w:t>
      </w:r>
    </w:p>
    <w:bookmarkEnd w:id="34"/>
    <w:p w14:paraId="72AD666B" w14:textId="0F84A070" w:rsidR="008B592F" w:rsidRDefault="008B592F" w:rsidP="0097744B">
      <w:pPr>
        <w:pStyle w:val="ListParagraph"/>
        <w:numPr>
          <w:ilvl w:val="0"/>
          <w:numId w:val="5"/>
        </w:numPr>
        <w:spacing w:after="120" w:line="240" w:lineRule="auto"/>
        <w:ind w:left="357" w:hanging="357"/>
        <w:contextualSpacing w:val="0"/>
      </w:pPr>
      <w:r w:rsidRPr="008B592F">
        <w:t xml:space="preserve">Applications for </w:t>
      </w:r>
      <w:r w:rsidR="00394444">
        <w:t xml:space="preserve">undergraduate </w:t>
      </w:r>
      <w:r w:rsidRPr="008B592F">
        <w:t xml:space="preserve">university </w:t>
      </w:r>
      <w:r w:rsidR="00394444">
        <w:t xml:space="preserve">courses </w:t>
      </w:r>
      <w:r w:rsidRPr="008B592F">
        <w:t xml:space="preserve">are processed by TACs and </w:t>
      </w:r>
      <w:r w:rsidR="00394444">
        <w:t>can also be</w:t>
      </w:r>
      <w:r w:rsidRPr="008B592F">
        <w:t xml:space="preserve"> made directly to universities. </w:t>
      </w:r>
      <w:r w:rsidR="00394444">
        <w:t xml:space="preserve">The </w:t>
      </w:r>
      <w:r w:rsidRPr="008B592F">
        <w:t>TAC administrative process</w:t>
      </w:r>
      <w:r w:rsidR="00394444">
        <w:t>es</w:t>
      </w:r>
      <w:r w:rsidRPr="008B592F">
        <w:t xml:space="preserve"> include preference</w:t>
      </w:r>
      <w:r w:rsidR="00394444">
        <w:t>s</w:t>
      </w:r>
      <w:r w:rsidRPr="008B592F">
        <w:t xml:space="preserve"> for courses information whereas direct admission process</w:t>
      </w:r>
      <w:r w:rsidR="00394444">
        <w:t>es through universities are generally</w:t>
      </w:r>
      <w:r w:rsidRPr="008B592F">
        <w:t xml:space="preserve"> more straightforward: </w:t>
      </w:r>
      <w:proofErr w:type="gramStart"/>
      <w:r w:rsidRPr="008B592F">
        <w:t>the majority of</w:t>
      </w:r>
      <w:proofErr w:type="gramEnd"/>
      <w:r w:rsidRPr="008B592F">
        <w:t xml:space="preserve"> direct applicants apply for a single course. </w:t>
      </w:r>
      <w:r w:rsidR="00394444">
        <w:t>Applica</w:t>
      </w:r>
      <w:r w:rsidR="002F712F">
        <w:t>nts</w:t>
      </w:r>
      <w:r w:rsidR="00394444">
        <w:t xml:space="preserve"> who apply directly to universities</w:t>
      </w:r>
      <w:r w:rsidRPr="008B592F">
        <w:t xml:space="preserve"> are less likely to be school leavers and hence are more likely to be older</w:t>
      </w:r>
      <w:r w:rsidR="00394444">
        <w:t xml:space="preserve"> than applicants who apply through TACs</w:t>
      </w:r>
      <w:r w:rsidRPr="008B592F">
        <w:t>.</w:t>
      </w:r>
    </w:p>
    <w:p w14:paraId="47BD06B4" w14:textId="77777777" w:rsidR="00DF3625" w:rsidRDefault="00FC4AF2" w:rsidP="0097744B">
      <w:pPr>
        <w:pStyle w:val="ListParagraph"/>
        <w:numPr>
          <w:ilvl w:val="0"/>
          <w:numId w:val="5"/>
        </w:numPr>
        <w:spacing w:after="120" w:line="240" w:lineRule="auto"/>
        <w:contextualSpacing w:val="0"/>
      </w:pPr>
      <w:r>
        <w:t>Applicants may receive more than one offer for an undergraduate university course place.</w:t>
      </w:r>
    </w:p>
    <w:p w14:paraId="27E441FD" w14:textId="5F920D00" w:rsidR="00FC4AF2" w:rsidRDefault="00394444" w:rsidP="0097744B">
      <w:pPr>
        <w:pStyle w:val="ListParagraph"/>
        <w:numPr>
          <w:ilvl w:val="0"/>
          <w:numId w:val="5"/>
        </w:numPr>
        <w:spacing w:after="120" w:line="240" w:lineRule="auto"/>
        <w:ind w:left="357" w:hanging="357"/>
        <w:contextualSpacing w:val="0"/>
      </w:pPr>
      <w:r>
        <w:t>In this report, data are presented on a unique applica</w:t>
      </w:r>
      <w:r w:rsidR="00FC4AF2">
        <w:t>nt</w:t>
      </w:r>
      <w:r>
        <w:t xml:space="preserve"> basis. However, </w:t>
      </w:r>
      <w:r w:rsidR="00FC4AF2">
        <w:t xml:space="preserve">it should be borne in mind that </w:t>
      </w:r>
      <w:r>
        <w:t xml:space="preserve">individuals can apply through multiple TACs or directly through multiple universities and in other combinations of these. </w:t>
      </w:r>
    </w:p>
    <w:p w14:paraId="01E4CC94" w14:textId="624A7122" w:rsidR="00FC4AF2" w:rsidRDefault="00394444" w:rsidP="00DF3625">
      <w:pPr>
        <w:pStyle w:val="ListBullet"/>
        <w:numPr>
          <w:ilvl w:val="0"/>
          <w:numId w:val="5"/>
        </w:numPr>
        <w:spacing w:after="120"/>
      </w:pPr>
      <w:r>
        <w:t xml:space="preserve">The following process has been used to </w:t>
      </w:r>
      <w:r w:rsidR="00FC4AF2">
        <w:t>report data on a unique applicant basis</w:t>
      </w:r>
      <w:r w:rsidR="005D449B">
        <w:t xml:space="preserve"> (shown in Figure </w:t>
      </w:r>
      <w:r w:rsidR="00DD7599">
        <w:t>9</w:t>
      </w:r>
      <w:r w:rsidR="005D449B">
        <w:t>)</w:t>
      </w:r>
      <w:r w:rsidR="00FC4AF2">
        <w:t>:</w:t>
      </w:r>
    </w:p>
    <w:p w14:paraId="4CB2D93F" w14:textId="77777777" w:rsidR="002F712F" w:rsidRDefault="002F712F" w:rsidP="0097744B">
      <w:pPr>
        <w:pStyle w:val="ListBullet"/>
        <w:numPr>
          <w:ilvl w:val="0"/>
          <w:numId w:val="10"/>
        </w:numPr>
        <w:spacing w:after="120" w:line="240" w:lineRule="auto"/>
        <w:ind w:hanging="357"/>
        <w:contextualSpacing w:val="0"/>
      </w:pPr>
      <w:bookmarkStart w:id="35" w:name="_Hlk180740893"/>
      <w:r>
        <w:t>Application type -TAC</w:t>
      </w:r>
    </w:p>
    <w:p w14:paraId="044528CC" w14:textId="67DFED70" w:rsidR="002F712F" w:rsidRDefault="002F712F" w:rsidP="0097744B">
      <w:pPr>
        <w:pStyle w:val="ListBullet"/>
        <w:numPr>
          <w:ilvl w:val="1"/>
          <w:numId w:val="9"/>
        </w:numPr>
        <w:spacing w:after="120" w:line="240" w:lineRule="auto"/>
        <w:ind w:hanging="357"/>
        <w:contextualSpacing w:val="0"/>
      </w:pPr>
      <w:r>
        <w:t xml:space="preserve">If an applicant has multiple applications </w:t>
      </w:r>
      <w:r w:rsidR="00E542ED">
        <w:t>to different TACs</w:t>
      </w:r>
      <w:r>
        <w:t xml:space="preserve">, </w:t>
      </w:r>
      <w:r w:rsidR="0097744B">
        <w:t xml:space="preserve">the </w:t>
      </w:r>
      <w:r>
        <w:t xml:space="preserve">highest preference for each TAC is chosen. If the applicant has applied to multiple TACs, </w:t>
      </w:r>
      <w:r w:rsidR="00664E81">
        <w:t xml:space="preserve">the </w:t>
      </w:r>
      <w:r>
        <w:t>home state TAC is selected.</w:t>
      </w:r>
    </w:p>
    <w:p w14:paraId="6C3AC497" w14:textId="77777777" w:rsidR="002F712F" w:rsidRDefault="002F712F" w:rsidP="0097744B">
      <w:pPr>
        <w:pStyle w:val="ListBullet"/>
        <w:numPr>
          <w:ilvl w:val="0"/>
          <w:numId w:val="11"/>
        </w:numPr>
        <w:spacing w:after="120" w:line="240" w:lineRule="auto"/>
        <w:ind w:hanging="357"/>
        <w:contextualSpacing w:val="0"/>
      </w:pPr>
      <w:r>
        <w:t xml:space="preserve">   Application Type - Direct</w:t>
      </w:r>
      <w:r w:rsidRPr="00E25A86">
        <w:t xml:space="preserve"> </w:t>
      </w:r>
    </w:p>
    <w:p w14:paraId="2594D4AF" w14:textId="024E1961" w:rsidR="002F712F" w:rsidRDefault="002F712F" w:rsidP="0097744B">
      <w:pPr>
        <w:pStyle w:val="ListBullet"/>
        <w:numPr>
          <w:ilvl w:val="1"/>
          <w:numId w:val="12"/>
        </w:numPr>
        <w:spacing w:after="120" w:line="240" w:lineRule="auto"/>
        <w:ind w:hanging="357"/>
        <w:contextualSpacing w:val="0"/>
      </w:pPr>
      <w:r>
        <w:t>If an applicant has</w:t>
      </w:r>
      <w:r w:rsidR="0097744B">
        <w:t xml:space="preserve"> made</w:t>
      </w:r>
      <w:r>
        <w:t xml:space="preserve"> multiple applications directly to universities,</w:t>
      </w:r>
      <w:r w:rsidR="0097744B">
        <w:t xml:space="preserve"> the</w:t>
      </w:r>
      <w:r>
        <w:t xml:space="preserve"> application to </w:t>
      </w:r>
      <w:r w:rsidR="0097744B">
        <w:t xml:space="preserve">the </w:t>
      </w:r>
      <w:r>
        <w:t>home state universit</w:t>
      </w:r>
      <w:r w:rsidR="0097744B">
        <w:t>y</w:t>
      </w:r>
      <w:r>
        <w:t xml:space="preserve"> is chosen. If multiple applications are made to universities in same state,</w:t>
      </w:r>
      <w:r w:rsidR="0097744B">
        <w:t xml:space="preserve"> the</w:t>
      </w:r>
      <w:r>
        <w:t xml:space="preserve"> first application ordered by field of education is selected.</w:t>
      </w:r>
      <w:r w:rsidR="00EF0297">
        <w:t xml:space="preserve"> It is</w:t>
      </w:r>
      <w:r>
        <w:t xml:space="preserve"> </w:t>
      </w:r>
      <w:r w:rsidR="00EF0297">
        <w:t>i</w:t>
      </w:r>
      <w:r w:rsidR="00EF0297" w:rsidRPr="00EF0297">
        <w:t>mpossible to avoid some bias, but this will have a small impact on some fields of education</w:t>
      </w:r>
      <w:r>
        <w:t>.</w:t>
      </w:r>
    </w:p>
    <w:p w14:paraId="59B012EB" w14:textId="15225A30" w:rsidR="002F712F" w:rsidRDefault="002F712F" w:rsidP="0097744B">
      <w:pPr>
        <w:pStyle w:val="ListBullet"/>
        <w:numPr>
          <w:ilvl w:val="0"/>
          <w:numId w:val="13"/>
        </w:numPr>
        <w:spacing w:after="120" w:line="240" w:lineRule="auto"/>
        <w:ind w:hanging="357"/>
        <w:contextualSpacing w:val="0"/>
      </w:pPr>
      <w:r>
        <w:t xml:space="preserve"> </w:t>
      </w:r>
      <w:r w:rsidR="00915B23" w:rsidRPr="009046F3">
        <w:t>Multiple</w:t>
      </w:r>
      <w:r>
        <w:t xml:space="preserve"> TAC and Direct applications </w:t>
      </w:r>
    </w:p>
    <w:p w14:paraId="52D296F0" w14:textId="17857393" w:rsidR="002F712F" w:rsidRDefault="002F712F" w:rsidP="0097744B">
      <w:pPr>
        <w:pStyle w:val="ListBullet"/>
        <w:numPr>
          <w:ilvl w:val="1"/>
          <w:numId w:val="14"/>
        </w:numPr>
        <w:spacing w:after="120" w:line="240" w:lineRule="auto"/>
        <w:ind w:hanging="357"/>
        <w:contextualSpacing w:val="0"/>
      </w:pPr>
      <w:r>
        <w:t xml:space="preserve">If an applicant applies through both TAC </w:t>
      </w:r>
      <w:r w:rsidR="0097744B">
        <w:t>and</w:t>
      </w:r>
      <w:r>
        <w:t xml:space="preserve"> directly to universities, </w:t>
      </w:r>
      <w:r w:rsidR="0097744B">
        <w:t xml:space="preserve">the </w:t>
      </w:r>
      <w:r>
        <w:t>direct application is given precedent. Therefore,</w:t>
      </w:r>
      <w:r w:rsidR="0097744B">
        <w:t xml:space="preserve"> each</w:t>
      </w:r>
      <w:r>
        <w:t xml:space="preserve"> applicant is counted only </w:t>
      </w:r>
      <w:proofErr w:type="gramStart"/>
      <w:r>
        <w:t>once</w:t>
      </w:r>
      <w:proofErr w:type="gramEnd"/>
      <w:r>
        <w:t xml:space="preserve"> and the data are a headcount.</w:t>
      </w:r>
    </w:p>
    <w:p w14:paraId="218C9D0F" w14:textId="033DA250" w:rsidR="002F712F" w:rsidRDefault="002F712F" w:rsidP="0097744B">
      <w:pPr>
        <w:pStyle w:val="ListBullet"/>
        <w:numPr>
          <w:ilvl w:val="0"/>
          <w:numId w:val="11"/>
        </w:numPr>
        <w:spacing w:after="120" w:line="240" w:lineRule="auto"/>
        <w:ind w:hanging="357"/>
        <w:contextualSpacing w:val="0"/>
      </w:pPr>
      <w:r>
        <w:t>Offers</w:t>
      </w:r>
    </w:p>
    <w:p w14:paraId="5A06EB7A" w14:textId="41C2231A" w:rsidR="002C1C90" w:rsidRDefault="002F712F" w:rsidP="0097744B">
      <w:pPr>
        <w:pStyle w:val="ListBullet"/>
        <w:numPr>
          <w:ilvl w:val="0"/>
          <w:numId w:val="16"/>
        </w:numPr>
        <w:spacing w:after="120" w:line="240" w:lineRule="auto"/>
        <w:ind w:hanging="357"/>
        <w:contextualSpacing w:val="0"/>
      </w:pPr>
      <w:r>
        <w:t>One offer per applicant is derived using the same process to derive one record per applicant. If an applicant receives multiple offers, the most recent offer is taken. In general, applications reflect highest preferences but offers may result from lower order preferences.</w:t>
      </w:r>
    </w:p>
    <w:bookmarkEnd w:id="35"/>
    <w:p w14:paraId="5CE66F95" w14:textId="0883AB59" w:rsidR="00B93C37" w:rsidRDefault="00B93C37" w:rsidP="0097744B">
      <w:pPr>
        <w:pStyle w:val="ListBullet"/>
        <w:numPr>
          <w:ilvl w:val="0"/>
          <w:numId w:val="5"/>
        </w:numPr>
        <w:spacing w:after="120" w:line="240" w:lineRule="auto"/>
        <w:ind w:left="369" w:hanging="369"/>
        <w:contextualSpacing w:val="0"/>
      </w:pPr>
      <w:r>
        <w:t>All references to “202</w:t>
      </w:r>
      <w:r w:rsidR="003C3091">
        <w:t>5</w:t>
      </w:r>
      <w:r w:rsidRPr="00B875BD">
        <w:t xml:space="preserve">” in this report relate to </w:t>
      </w:r>
      <w:r w:rsidRPr="007E793C">
        <w:t xml:space="preserve">the </w:t>
      </w:r>
      <w:r w:rsidRPr="003C6ADF">
        <w:t>202</w:t>
      </w:r>
      <w:r w:rsidR="003C3091">
        <w:t>5</w:t>
      </w:r>
      <w:r w:rsidRPr="003C6ADF">
        <w:t xml:space="preserve"> submission</w:t>
      </w:r>
      <w:r>
        <w:t xml:space="preserve"> through TACs </w:t>
      </w:r>
      <w:r w:rsidRPr="00F75DAA">
        <w:t>and the data submission on application</w:t>
      </w:r>
      <w:r>
        <w:t>s</w:t>
      </w:r>
      <w:r w:rsidRPr="00F75DAA">
        <w:t xml:space="preserve"> made directly to universities </w:t>
      </w:r>
      <w:r>
        <w:t xml:space="preserve">as of 15 May </w:t>
      </w:r>
      <w:r w:rsidRPr="00F75DAA">
        <w:t>fo</w:t>
      </w:r>
      <w:r>
        <w:t>r the first semester of the 202</w:t>
      </w:r>
      <w:r w:rsidR="003C3091">
        <w:t xml:space="preserve">5 </w:t>
      </w:r>
      <w:r w:rsidRPr="00F75DAA">
        <w:t>academic year</w:t>
      </w:r>
      <w:r w:rsidRPr="00B875BD">
        <w:t>.</w:t>
      </w:r>
      <w:r>
        <w:t xml:space="preserve"> </w:t>
      </w:r>
      <w:r w:rsidR="003C3091">
        <w:t xml:space="preserve"> </w:t>
      </w:r>
    </w:p>
    <w:p w14:paraId="0F538E29" w14:textId="77777777" w:rsidR="00B93C37" w:rsidRPr="00D9183B" w:rsidRDefault="00B93C37" w:rsidP="0097744B">
      <w:pPr>
        <w:pStyle w:val="ListBullet"/>
        <w:numPr>
          <w:ilvl w:val="0"/>
          <w:numId w:val="5"/>
        </w:numPr>
        <w:spacing w:after="120" w:line="240" w:lineRule="auto"/>
        <w:ind w:left="369" w:hanging="369"/>
        <w:contextualSpacing w:val="0"/>
      </w:pPr>
      <w:r w:rsidRPr="00EE3778">
        <w:lastRenderedPageBreak/>
        <w:t xml:space="preserve">All references to “Year 12” </w:t>
      </w:r>
      <w:r>
        <w:t xml:space="preserve">applicants </w:t>
      </w:r>
      <w:r w:rsidRPr="00EE3778">
        <w:t>in this report relate to applicant</w:t>
      </w:r>
      <w:r>
        <w:t>s</w:t>
      </w:r>
      <w:r w:rsidRPr="00EE3778">
        <w:t xml:space="preserve"> who attempted an </w:t>
      </w:r>
      <w:r>
        <w:t>Australian Curriculum, Assessment and Certification Authorities (</w:t>
      </w:r>
      <w:r w:rsidRPr="00EE3778">
        <w:t>ACACA</w:t>
      </w:r>
      <w:r>
        <w:t>)</w:t>
      </w:r>
      <w:r w:rsidRPr="00EE3778">
        <w:t xml:space="preserve"> Year 12 program or the International Baccalaureate in the year of application</w:t>
      </w:r>
      <w:r>
        <w:t>.</w:t>
      </w:r>
    </w:p>
    <w:p w14:paraId="106FA422" w14:textId="4F16A00C" w:rsidR="00B93C37" w:rsidRDefault="00B93C37" w:rsidP="009F71CF">
      <w:pPr>
        <w:pStyle w:val="ListBullet"/>
        <w:numPr>
          <w:ilvl w:val="0"/>
          <w:numId w:val="5"/>
        </w:numPr>
        <w:spacing w:after="120" w:line="240" w:lineRule="auto"/>
        <w:ind w:left="369" w:hanging="369"/>
        <w:contextualSpacing w:val="0"/>
      </w:pPr>
      <w:r w:rsidRPr="00B875BD">
        <w:t xml:space="preserve">While completing Year 12 and gaining a tertiary entrance score is the most common way to gain entry to university, TACs and universities take </w:t>
      </w:r>
      <w:proofErr w:type="gramStart"/>
      <w:r w:rsidRPr="00B875BD">
        <w:t>a number of</w:t>
      </w:r>
      <w:proofErr w:type="gramEnd"/>
      <w:r w:rsidRPr="00B875BD">
        <w:t xml:space="preserve"> other qualifications into consideration, particularly for adults applying who have </w:t>
      </w:r>
      <w:r>
        <w:t xml:space="preserve">not recently completed Year 12. </w:t>
      </w:r>
    </w:p>
    <w:p w14:paraId="14E2DE9E" w14:textId="77777777" w:rsidR="009F71CF" w:rsidRPr="009F71CF" w:rsidRDefault="009F71CF" w:rsidP="009F71CF">
      <w:pPr>
        <w:pStyle w:val="ListBullet"/>
        <w:numPr>
          <w:ilvl w:val="0"/>
          <w:numId w:val="0"/>
        </w:numPr>
        <w:spacing w:after="120" w:line="240" w:lineRule="auto"/>
        <w:ind w:left="369"/>
        <w:contextualSpacing w:val="0"/>
      </w:pPr>
    </w:p>
    <w:tbl>
      <w:tblPr>
        <w:tblStyle w:val="EducationTable"/>
        <w:tblW w:w="8931" w:type="dxa"/>
        <w:tblLayout w:type="fixed"/>
        <w:tblLook w:val="0020" w:firstRow="1" w:lastRow="0" w:firstColumn="0" w:lastColumn="0" w:noHBand="0" w:noVBand="0"/>
      </w:tblPr>
      <w:tblGrid>
        <w:gridCol w:w="2802"/>
        <w:gridCol w:w="6129"/>
      </w:tblGrid>
      <w:tr w:rsidR="009C4235" w:rsidRPr="00284299" w14:paraId="1142C797" w14:textId="77777777" w:rsidTr="00023FF7">
        <w:trPr>
          <w:cnfStyle w:val="100000000000" w:firstRow="1" w:lastRow="0" w:firstColumn="0" w:lastColumn="0" w:oddVBand="0" w:evenVBand="0" w:oddHBand="0" w:evenHBand="0" w:firstRowFirstColumn="0" w:firstRowLastColumn="0" w:lastRowFirstColumn="0" w:lastRowLastColumn="0"/>
          <w:trHeight w:val="60"/>
        </w:trPr>
        <w:tc>
          <w:tcPr>
            <w:tcW w:w="8931" w:type="dxa"/>
            <w:gridSpan w:val="2"/>
            <w:tcBorders>
              <w:top w:val="nil"/>
            </w:tcBorders>
            <w:shd w:val="clear" w:color="auto" w:fill="FFC000"/>
          </w:tcPr>
          <w:p w14:paraId="27C6D0BE" w14:textId="263EA64A" w:rsidR="009C4235" w:rsidRPr="00F920B8" w:rsidRDefault="009C4235" w:rsidP="00734418">
            <w:pPr>
              <w:spacing w:after="120"/>
              <w:rPr>
                <w:color w:val="auto"/>
              </w:rPr>
            </w:pPr>
            <w:r w:rsidRPr="00F920B8">
              <w:rPr>
                <w:color w:val="auto"/>
              </w:rPr>
              <w:t>University Groups</w:t>
            </w:r>
            <w:r>
              <w:rPr>
                <w:color w:val="auto"/>
              </w:rPr>
              <w:t xml:space="preserve"> referred to in this report</w:t>
            </w:r>
          </w:p>
        </w:tc>
      </w:tr>
      <w:tr w:rsidR="00734418" w14:paraId="36442B01" w14:textId="77777777" w:rsidTr="00AF191F">
        <w:trPr>
          <w:trHeight w:val="60"/>
        </w:trPr>
        <w:tc>
          <w:tcPr>
            <w:tcW w:w="2802" w:type="dxa"/>
          </w:tcPr>
          <w:p w14:paraId="49EFB908" w14:textId="77777777" w:rsidR="00734418" w:rsidRDefault="00734418" w:rsidP="00734418">
            <w:pPr>
              <w:spacing w:after="120"/>
              <w:rPr>
                <w:rFonts w:ascii="Calibri" w:hAnsi="Calibri"/>
              </w:rPr>
            </w:pPr>
            <w:bookmarkStart w:id="36" w:name="_Hlk78977060"/>
            <w:r>
              <w:rPr>
                <w:rFonts w:ascii="Calibri" w:hAnsi="Calibri"/>
              </w:rPr>
              <w:t xml:space="preserve">Australian Technology Network </w:t>
            </w:r>
            <w:bookmarkEnd w:id="36"/>
            <w:r>
              <w:rPr>
                <w:rFonts w:ascii="Calibri" w:hAnsi="Calibri"/>
              </w:rPr>
              <w:t>(ATN)</w:t>
            </w:r>
          </w:p>
        </w:tc>
        <w:tc>
          <w:tcPr>
            <w:tcW w:w="6129" w:type="dxa"/>
          </w:tcPr>
          <w:p w14:paraId="0C9A4532" w14:textId="77777777" w:rsidR="00734418" w:rsidRPr="003F2447" w:rsidRDefault="00734418" w:rsidP="00734418">
            <w:pPr>
              <w:pStyle w:val="ListBullet"/>
              <w:numPr>
                <w:ilvl w:val="0"/>
                <w:numId w:val="5"/>
              </w:numPr>
              <w:spacing w:after="120" w:line="240" w:lineRule="auto"/>
            </w:pPr>
            <w:r w:rsidRPr="003F2447">
              <w:t>Curtin University of Technology</w:t>
            </w:r>
          </w:p>
          <w:p w14:paraId="155D481D" w14:textId="77777777" w:rsidR="00734418" w:rsidRDefault="00734418" w:rsidP="00734418">
            <w:pPr>
              <w:pStyle w:val="ListBullet"/>
              <w:numPr>
                <w:ilvl w:val="0"/>
                <w:numId w:val="5"/>
              </w:numPr>
              <w:spacing w:after="120" w:line="240" w:lineRule="auto"/>
            </w:pPr>
            <w:r>
              <w:t>Deakin University</w:t>
            </w:r>
          </w:p>
          <w:p w14:paraId="36A435CF" w14:textId="77777777" w:rsidR="00734418" w:rsidRPr="003F2447" w:rsidRDefault="00734418" w:rsidP="00734418">
            <w:pPr>
              <w:pStyle w:val="ListBullet"/>
              <w:numPr>
                <w:ilvl w:val="0"/>
                <w:numId w:val="5"/>
              </w:numPr>
              <w:spacing w:after="120" w:line="240" w:lineRule="auto"/>
            </w:pPr>
            <w:r w:rsidRPr="003F2447">
              <w:t>RMIT University</w:t>
            </w:r>
          </w:p>
          <w:p w14:paraId="54B125A8" w14:textId="77777777" w:rsidR="00734418" w:rsidRPr="003F2447" w:rsidRDefault="00734418" w:rsidP="00734418">
            <w:pPr>
              <w:pStyle w:val="ListBullet"/>
              <w:numPr>
                <w:ilvl w:val="0"/>
                <w:numId w:val="5"/>
              </w:numPr>
              <w:spacing w:after="120" w:line="240" w:lineRule="auto"/>
            </w:pPr>
            <w:r w:rsidRPr="003F2447">
              <w:t>University of South Australia</w:t>
            </w:r>
          </w:p>
          <w:p w14:paraId="2AFE879B" w14:textId="77777777" w:rsidR="00734418" w:rsidRPr="00A913EA" w:rsidRDefault="00734418" w:rsidP="00734418">
            <w:pPr>
              <w:pStyle w:val="ListBullet"/>
              <w:numPr>
                <w:ilvl w:val="0"/>
                <w:numId w:val="5"/>
              </w:numPr>
              <w:spacing w:after="120" w:line="240" w:lineRule="auto"/>
            </w:pPr>
            <w:r w:rsidRPr="003F2447">
              <w:t>University of Technology, Sydney</w:t>
            </w:r>
            <w:r w:rsidRPr="003F2447" w:rsidDel="00B20804">
              <w:rPr>
                <w:b/>
              </w:rPr>
              <w:t xml:space="preserve"> </w:t>
            </w:r>
          </w:p>
          <w:p w14:paraId="01A51C87" w14:textId="77777777" w:rsidR="00734418" w:rsidRPr="00A913EA" w:rsidRDefault="00734418" w:rsidP="00734418">
            <w:pPr>
              <w:pStyle w:val="ListBullet"/>
              <w:numPr>
                <w:ilvl w:val="0"/>
                <w:numId w:val="5"/>
              </w:numPr>
              <w:spacing w:after="120" w:line="240" w:lineRule="auto"/>
              <w:rPr>
                <w:bCs/>
              </w:rPr>
            </w:pPr>
            <w:bookmarkStart w:id="37" w:name="_Hlk175317039"/>
            <w:r w:rsidRPr="00A913EA">
              <w:rPr>
                <w:bCs/>
              </w:rPr>
              <w:t>University of Newcastle</w:t>
            </w:r>
            <w:bookmarkEnd w:id="37"/>
            <w:r>
              <w:rPr>
                <w:rStyle w:val="FootnoteReference"/>
              </w:rPr>
              <w:footnoteReference w:id="2"/>
            </w:r>
          </w:p>
        </w:tc>
      </w:tr>
      <w:tr w:rsidR="00734418" w14:paraId="7568C039" w14:textId="77777777" w:rsidTr="00AF191F">
        <w:trPr>
          <w:trHeight w:val="60"/>
        </w:trPr>
        <w:tc>
          <w:tcPr>
            <w:tcW w:w="2802" w:type="dxa"/>
          </w:tcPr>
          <w:p w14:paraId="70329589" w14:textId="77777777" w:rsidR="00734418" w:rsidRDefault="00734418" w:rsidP="00734418">
            <w:pPr>
              <w:spacing w:after="120"/>
              <w:rPr>
                <w:rFonts w:ascii="Calibri" w:hAnsi="Calibri"/>
              </w:rPr>
            </w:pPr>
            <w:r w:rsidRPr="00522CD1">
              <w:t>Group of Eight</w:t>
            </w:r>
            <w:r>
              <w:t xml:space="preserve"> (Go8)</w:t>
            </w:r>
          </w:p>
        </w:tc>
        <w:tc>
          <w:tcPr>
            <w:tcW w:w="6129" w:type="dxa"/>
          </w:tcPr>
          <w:p w14:paraId="5F9F9BB5" w14:textId="77777777" w:rsidR="00734418" w:rsidRPr="003F2447" w:rsidRDefault="00734418" w:rsidP="00734418">
            <w:pPr>
              <w:pStyle w:val="ListBullet"/>
              <w:numPr>
                <w:ilvl w:val="0"/>
                <w:numId w:val="5"/>
              </w:numPr>
              <w:spacing w:after="120" w:line="240" w:lineRule="auto"/>
            </w:pPr>
            <w:r w:rsidRPr="003F2447">
              <w:t>Monash University</w:t>
            </w:r>
          </w:p>
          <w:p w14:paraId="0925612C" w14:textId="77777777" w:rsidR="00734418" w:rsidRPr="003F2447" w:rsidRDefault="00734418" w:rsidP="00734418">
            <w:pPr>
              <w:pStyle w:val="ListBullet"/>
              <w:numPr>
                <w:ilvl w:val="0"/>
                <w:numId w:val="5"/>
              </w:numPr>
              <w:spacing w:after="120" w:line="240" w:lineRule="auto"/>
            </w:pPr>
            <w:r w:rsidRPr="003F2447">
              <w:t>The Australian National University</w:t>
            </w:r>
          </w:p>
          <w:p w14:paraId="7A0D9678" w14:textId="77777777" w:rsidR="00734418" w:rsidRPr="003F2447" w:rsidRDefault="00734418" w:rsidP="00734418">
            <w:pPr>
              <w:pStyle w:val="ListBullet"/>
              <w:numPr>
                <w:ilvl w:val="0"/>
                <w:numId w:val="5"/>
              </w:numPr>
              <w:spacing w:after="120" w:line="240" w:lineRule="auto"/>
            </w:pPr>
            <w:r w:rsidRPr="003F2447">
              <w:t>The University of Adelaide</w:t>
            </w:r>
          </w:p>
          <w:p w14:paraId="7652705A" w14:textId="77777777" w:rsidR="00734418" w:rsidRPr="003F2447" w:rsidRDefault="00734418" w:rsidP="00734418">
            <w:pPr>
              <w:pStyle w:val="ListBullet"/>
              <w:numPr>
                <w:ilvl w:val="0"/>
                <w:numId w:val="5"/>
              </w:numPr>
              <w:spacing w:after="120" w:line="240" w:lineRule="auto"/>
            </w:pPr>
            <w:r w:rsidRPr="003F2447">
              <w:t>The University of Melbourne</w:t>
            </w:r>
          </w:p>
          <w:p w14:paraId="53AD2926" w14:textId="77777777" w:rsidR="00734418" w:rsidRPr="003F2447" w:rsidRDefault="00734418" w:rsidP="00734418">
            <w:pPr>
              <w:pStyle w:val="ListBullet"/>
              <w:numPr>
                <w:ilvl w:val="0"/>
                <w:numId w:val="5"/>
              </w:numPr>
              <w:spacing w:after="120" w:line="240" w:lineRule="auto"/>
            </w:pPr>
            <w:r w:rsidRPr="003F2447">
              <w:t>The University of New South Wales</w:t>
            </w:r>
          </w:p>
          <w:p w14:paraId="35108BC5" w14:textId="77777777" w:rsidR="00734418" w:rsidRPr="003F2447" w:rsidRDefault="00734418" w:rsidP="00734418">
            <w:pPr>
              <w:pStyle w:val="ListBullet"/>
              <w:numPr>
                <w:ilvl w:val="0"/>
                <w:numId w:val="5"/>
              </w:numPr>
              <w:spacing w:after="120" w:line="240" w:lineRule="auto"/>
            </w:pPr>
            <w:r w:rsidRPr="003F2447">
              <w:t>The University of Queensland</w:t>
            </w:r>
          </w:p>
          <w:p w14:paraId="56CECCCC" w14:textId="77777777" w:rsidR="00734418" w:rsidRPr="003F2447" w:rsidRDefault="00734418" w:rsidP="00734418">
            <w:pPr>
              <w:pStyle w:val="ListBullet"/>
              <w:numPr>
                <w:ilvl w:val="0"/>
                <w:numId w:val="5"/>
              </w:numPr>
              <w:spacing w:after="120" w:line="240" w:lineRule="auto"/>
            </w:pPr>
            <w:r w:rsidRPr="003F2447">
              <w:t>The University of Sydney</w:t>
            </w:r>
          </w:p>
          <w:p w14:paraId="56938BD8" w14:textId="77777777" w:rsidR="00734418" w:rsidRPr="003F2447" w:rsidRDefault="00734418" w:rsidP="00734418">
            <w:pPr>
              <w:pStyle w:val="ListBullet"/>
              <w:numPr>
                <w:ilvl w:val="0"/>
                <w:numId w:val="5"/>
              </w:numPr>
              <w:spacing w:after="120" w:line="240" w:lineRule="auto"/>
            </w:pPr>
            <w:r w:rsidRPr="003F2447">
              <w:t xml:space="preserve">The University of Western </w:t>
            </w:r>
            <w:r>
              <w:t>Australia</w:t>
            </w:r>
          </w:p>
        </w:tc>
      </w:tr>
      <w:tr w:rsidR="00734418" w14:paraId="17F777C0" w14:textId="77777777" w:rsidTr="00AF191F">
        <w:trPr>
          <w:trHeight w:val="60"/>
        </w:trPr>
        <w:tc>
          <w:tcPr>
            <w:tcW w:w="2802" w:type="dxa"/>
          </w:tcPr>
          <w:p w14:paraId="4EA333FB" w14:textId="77777777" w:rsidR="00734418" w:rsidRPr="00522CD1" w:rsidRDefault="00734418" w:rsidP="00734418">
            <w:pPr>
              <w:spacing w:after="120"/>
            </w:pPr>
            <w:r w:rsidRPr="00522CD1">
              <w:t>Innovative Research Universities</w:t>
            </w:r>
            <w:r>
              <w:t xml:space="preserve"> (IRU)</w:t>
            </w:r>
          </w:p>
        </w:tc>
        <w:tc>
          <w:tcPr>
            <w:tcW w:w="6129" w:type="dxa"/>
          </w:tcPr>
          <w:p w14:paraId="660E05F7" w14:textId="77777777" w:rsidR="00734418" w:rsidRPr="003F2447" w:rsidRDefault="00734418" w:rsidP="00734418">
            <w:pPr>
              <w:pStyle w:val="ListBullet"/>
              <w:numPr>
                <w:ilvl w:val="0"/>
                <w:numId w:val="5"/>
              </w:numPr>
              <w:spacing w:after="120" w:line="240" w:lineRule="auto"/>
            </w:pPr>
            <w:r w:rsidRPr="003F2447">
              <w:t>University</w:t>
            </w:r>
            <w:r>
              <w:t xml:space="preserve"> of Canberra</w:t>
            </w:r>
            <w:r>
              <w:rPr>
                <w:rStyle w:val="FootnoteReference"/>
              </w:rPr>
              <w:footnoteReference w:id="3"/>
            </w:r>
          </w:p>
          <w:p w14:paraId="4307B025" w14:textId="77777777" w:rsidR="00734418" w:rsidRPr="003F2447" w:rsidRDefault="00734418" w:rsidP="00734418">
            <w:pPr>
              <w:pStyle w:val="ListBullet"/>
              <w:numPr>
                <w:ilvl w:val="0"/>
                <w:numId w:val="5"/>
              </w:numPr>
              <w:spacing w:after="120" w:line="240" w:lineRule="auto"/>
            </w:pPr>
            <w:r w:rsidRPr="003F2447">
              <w:t>Flinders University of South Australia</w:t>
            </w:r>
          </w:p>
          <w:p w14:paraId="18FD45FF" w14:textId="77777777" w:rsidR="00734418" w:rsidRPr="003F2447" w:rsidRDefault="00734418" w:rsidP="00734418">
            <w:pPr>
              <w:pStyle w:val="ListBullet"/>
              <w:numPr>
                <w:ilvl w:val="0"/>
                <w:numId w:val="5"/>
              </w:numPr>
              <w:spacing w:after="120" w:line="240" w:lineRule="auto"/>
            </w:pPr>
            <w:r w:rsidRPr="003F2447">
              <w:t>Griffith University</w:t>
            </w:r>
          </w:p>
          <w:p w14:paraId="47731736" w14:textId="77777777" w:rsidR="00734418" w:rsidRPr="003F2447" w:rsidRDefault="00734418" w:rsidP="00734418">
            <w:pPr>
              <w:pStyle w:val="ListBullet"/>
              <w:numPr>
                <w:ilvl w:val="0"/>
                <w:numId w:val="5"/>
              </w:numPr>
              <w:spacing w:after="120" w:line="240" w:lineRule="auto"/>
            </w:pPr>
            <w:r w:rsidRPr="003F2447">
              <w:t>James Cook University</w:t>
            </w:r>
          </w:p>
          <w:p w14:paraId="254E48B6" w14:textId="77777777" w:rsidR="00734418" w:rsidRPr="003F2447" w:rsidRDefault="00734418" w:rsidP="00734418">
            <w:pPr>
              <w:pStyle w:val="ListBullet"/>
              <w:numPr>
                <w:ilvl w:val="0"/>
                <w:numId w:val="5"/>
              </w:numPr>
              <w:spacing w:after="120" w:line="240" w:lineRule="auto"/>
            </w:pPr>
            <w:r w:rsidRPr="003F2447">
              <w:t>La Trobe University</w:t>
            </w:r>
          </w:p>
          <w:p w14:paraId="47483CA4" w14:textId="77777777" w:rsidR="00734418" w:rsidRDefault="00734418" w:rsidP="00734418">
            <w:pPr>
              <w:pStyle w:val="ListBullet"/>
              <w:numPr>
                <w:ilvl w:val="0"/>
                <w:numId w:val="5"/>
              </w:numPr>
              <w:spacing w:after="120" w:line="240" w:lineRule="auto"/>
            </w:pPr>
            <w:r>
              <w:t>Murdoch University</w:t>
            </w:r>
          </w:p>
          <w:p w14:paraId="394B4734" w14:textId="77777777" w:rsidR="00734418" w:rsidRPr="003F2447" w:rsidRDefault="00734418" w:rsidP="00734418">
            <w:pPr>
              <w:pStyle w:val="ListBullet"/>
              <w:numPr>
                <w:ilvl w:val="0"/>
                <w:numId w:val="5"/>
              </w:numPr>
              <w:spacing w:after="120" w:line="240" w:lineRule="auto"/>
            </w:pPr>
            <w:r>
              <w:t>Western Sydney University</w:t>
            </w:r>
          </w:p>
        </w:tc>
      </w:tr>
      <w:tr w:rsidR="00734418" w14:paraId="3C1DEE86" w14:textId="77777777" w:rsidTr="00AF191F">
        <w:trPr>
          <w:trHeight w:val="60"/>
        </w:trPr>
        <w:tc>
          <w:tcPr>
            <w:tcW w:w="2802" w:type="dxa"/>
          </w:tcPr>
          <w:p w14:paraId="0BB9BCC5" w14:textId="77777777" w:rsidR="00734418" w:rsidRPr="00522CD1" w:rsidRDefault="00734418" w:rsidP="00734418">
            <w:pPr>
              <w:spacing w:after="120"/>
            </w:pPr>
            <w:r w:rsidRPr="00522CD1">
              <w:t>Regional Universities Network</w:t>
            </w:r>
            <w:r>
              <w:t xml:space="preserve"> (RUN)</w:t>
            </w:r>
          </w:p>
        </w:tc>
        <w:tc>
          <w:tcPr>
            <w:tcW w:w="6129" w:type="dxa"/>
          </w:tcPr>
          <w:p w14:paraId="6F8B97FF" w14:textId="77777777" w:rsidR="00734418" w:rsidRDefault="00734418" w:rsidP="00734418">
            <w:pPr>
              <w:pStyle w:val="ListBullet"/>
              <w:numPr>
                <w:ilvl w:val="0"/>
                <w:numId w:val="5"/>
              </w:numPr>
              <w:spacing w:after="120" w:line="240" w:lineRule="auto"/>
            </w:pPr>
            <w:r>
              <w:t>Charles Sturt University</w:t>
            </w:r>
          </w:p>
          <w:p w14:paraId="595307F3" w14:textId="77777777" w:rsidR="00734418" w:rsidRDefault="00734418" w:rsidP="00734418">
            <w:pPr>
              <w:pStyle w:val="ListBullet"/>
              <w:numPr>
                <w:ilvl w:val="0"/>
                <w:numId w:val="5"/>
              </w:numPr>
              <w:spacing w:after="120" w:line="240" w:lineRule="auto"/>
            </w:pPr>
            <w:r w:rsidRPr="003F2447">
              <w:t>Central Queensland University</w:t>
            </w:r>
          </w:p>
          <w:p w14:paraId="6164C7EC" w14:textId="77777777" w:rsidR="00734418" w:rsidRDefault="00734418" w:rsidP="00734418">
            <w:pPr>
              <w:pStyle w:val="ListBullet"/>
              <w:numPr>
                <w:ilvl w:val="0"/>
                <w:numId w:val="5"/>
              </w:numPr>
              <w:spacing w:after="120" w:line="240" w:lineRule="auto"/>
            </w:pPr>
            <w:r w:rsidRPr="003F2447">
              <w:t xml:space="preserve">Southern Cross University </w:t>
            </w:r>
          </w:p>
          <w:p w14:paraId="72568FFC" w14:textId="77777777" w:rsidR="00734418" w:rsidRDefault="00734418" w:rsidP="00734418">
            <w:pPr>
              <w:pStyle w:val="ListBullet"/>
              <w:numPr>
                <w:ilvl w:val="0"/>
                <w:numId w:val="5"/>
              </w:numPr>
              <w:spacing w:after="120" w:line="240" w:lineRule="auto"/>
            </w:pPr>
            <w:r>
              <w:t>Federation University of Australia</w:t>
            </w:r>
            <w:r w:rsidRPr="003F2447">
              <w:t xml:space="preserve"> </w:t>
            </w:r>
          </w:p>
          <w:p w14:paraId="7DDE9BEC" w14:textId="77777777" w:rsidR="00734418" w:rsidRDefault="00734418" w:rsidP="00734418">
            <w:pPr>
              <w:pStyle w:val="ListBullet"/>
              <w:numPr>
                <w:ilvl w:val="0"/>
                <w:numId w:val="5"/>
              </w:numPr>
              <w:spacing w:after="120" w:line="240" w:lineRule="auto"/>
            </w:pPr>
            <w:r w:rsidRPr="003F2447">
              <w:t>University of New England</w:t>
            </w:r>
          </w:p>
          <w:p w14:paraId="6010A3CB" w14:textId="77777777" w:rsidR="00734418" w:rsidRDefault="00734418" w:rsidP="00734418">
            <w:pPr>
              <w:pStyle w:val="ListBullet"/>
              <w:numPr>
                <w:ilvl w:val="0"/>
                <w:numId w:val="5"/>
              </w:numPr>
              <w:spacing w:after="120" w:line="240" w:lineRule="auto"/>
            </w:pPr>
            <w:r w:rsidRPr="003F2447">
              <w:t>Unive</w:t>
            </w:r>
            <w:r>
              <w:t>rsity of Southern Queensland</w:t>
            </w:r>
          </w:p>
          <w:p w14:paraId="796894B5" w14:textId="77777777" w:rsidR="00734418" w:rsidRPr="00BA703C" w:rsidRDefault="00734418" w:rsidP="00734418">
            <w:pPr>
              <w:pStyle w:val="ListBullet"/>
              <w:numPr>
                <w:ilvl w:val="0"/>
                <w:numId w:val="5"/>
              </w:numPr>
              <w:spacing w:after="120" w:line="240" w:lineRule="auto"/>
            </w:pPr>
            <w:r>
              <w:t>University of Sunshine Coast</w:t>
            </w:r>
          </w:p>
        </w:tc>
      </w:tr>
      <w:tr w:rsidR="00734418" w14:paraId="108E99BF" w14:textId="77777777" w:rsidTr="00AF191F">
        <w:trPr>
          <w:trHeight w:val="60"/>
        </w:trPr>
        <w:tc>
          <w:tcPr>
            <w:tcW w:w="2802" w:type="dxa"/>
          </w:tcPr>
          <w:p w14:paraId="63544D70" w14:textId="77777777" w:rsidR="00734418" w:rsidRPr="00522CD1" w:rsidRDefault="00734418" w:rsidP="00734418">
            <w:pPr>
              <w:spacing w:after="120"/>
            </w:pPr>
            <w:r>
              <w:lastRenderedPageBreak/>
              <w:t>Non-aligned</w:t>
            </w:r>
          </w:p>
        </w:tc>
        <w:tc>
          <w:tcPr>
            <w:tcW w:w="6129" w:type="dxa"/>
          </w:tcPr>
          <w:p w14:paraId="342BBBD2" w14:textId="77777777" w:rsidR="00734418" w:rsidRPr="002D40F3" w:rsidRDefault="00734418" w:rsidP="00734418">
            <w:pPr>
              <w:pStyle w:val="ListBullet"/>
              <w:numPr>
                <w:ilvl w:val="0"/>
                <w:numId w:val="5"/>
              </w:numPr>
              <w:spacing w:after="120" w:line="240" w:lineRule="auto"/>
            </w:pPr>
            <w:r>
              <w:t>Australian Catholic University</w:t>
            </w:r>
          </w:p>
          <w:p w14:paraId="0CD143FB" w14:textId="77777777" w:rsidR="00734418" w:rsidRDefault="00734418" w:rsidP="00734418">
            <w:pPr>
              <w:pStyle w:val="ListBullet"/>
              <w:numPr>
                <w:ilvl w:val="0"/>
                <w:numId w:val="5"/>
              </w:numPr>
              <w:spacing w:after="120" w:line="240" w:lineRule="auto"/>
            </w:pPr>
            <w:r>
              <w:t>Edith Cowan University</w:t>
            </w:r>
          </w:p>
          <w:p w14:paraId="53299BBF" w14:textId="77777777" w:rsidR="00734418" w:rsidRDefault="00734418" w:rsidP="00734418">
            <w:pPr>
              <w:pStyle w:val="ListBullet"/>
              <w:numPr>
                <w:ilvl w:val="0"/>
                <w:numId w:val="5"/>
              </w:numPr>
              <w:spacing w:after="120" w:line="240" w:lineRule="auto"/>
            </w:pPr>
            <w:r>
              <w:t>Macquarie University</w:t>
            </w:r>
          </w:p>
          <w:p w14:paraId="7E48C4A0" w14:textId="77777777" w:rsidR="00734418" w:rsidRDefault="00734418" w:rsidP="00734418">
            <w:pPr>
              <w:pStyle w:val="ListBullet"/>
              <w:numPr>
                <w:ilvl w:val="0"/>
                <w:numId w:val="5"/>
              </w:numPr>
              <w:spacing w:after="120" w:line="240" w:lineRule="auto"/>
            </w:pPr>
            <w:r w:rsidRPr="004165EF">
              <w:t>Swin</w:t>
            </w:r>
            <w:r>
              <w:t>burne University of Technology</w:t>
            </w:r>
          </w:p>
          <w:p w14:paraId="48AC30F3" w14:textId="77777777" w:rsidR="00734418" w:rsidRDefault="00734418" w:rsidP="00734418">
            <w:pPr>
              <w:pStyle w:val="ListBullet"/>
              <w:numPr>
                <w:ilvl w:val="0"/>
                <w:numId w:val="5"/>
              </w:numPr>
              <w:spacing w:after="120" w:line="240" w:lineRule="auto"/>
            </w:pPr>
            <w:r>
              <w:t>Queensland University of Technology</w:t>
            </w:r>
          </w:p>
          <w:p w14:paraId="10DEB9D0" w14:textId="77777777" w:rsidR="00734418" w:rsidRDefault="00734418" w:rsidP="00734418">
            <w:pPr>
              <w:pStyle w:val="ListBullet"/>
              <w:numPr>
                <w:ilvl w:val="0"/>
                <w:numId w:val="5"/>
              </w:numPr>
              <w:spacing w:after="120" w:line="240" w:lineRule="auto"/>
            </w:pPr>
            <w:r>
              <w:t xml:space="preserve">Charles Darwin University </w:t>
            </w:r>
          </w:p>
          <w:p w14:paraId="1614A9CE" w14:textId="52341E75" w:rsidR="00734418" w:rsidRDefault="00734418" w:rsidP="00734418">
            <w:pPr>
              <w:pStyle w:val="ListBullet"/>
              <w:numPr>
                <w:ilvl w:val="0"/>
                <w:numId w:val="5"/>
              </w:numPr>
              <w:spacing w:after="120" w:line="240" w:lineRule="auto"/>
            </w:pPr>
            <w:r w:rsidRPr="00CC028E">
              <w:t>The University of Notre Dame</w:t>
            </w:r>
          </w:p>
          <w:p w14:paraId="34F38E1F" w14:textId="77777777" w:rsidR="00734418" w:rsidRDefault="00734418" w:rsidP="00734418">
            <w:pPr>
              <w:pStyle w:val="ListBullet"/>
              <w:numPr>
                <w:ilvl w:val="0"/>
                <w:numId w:val="5"/>
              </w:numPr>
              <w:spacing w:after="120" w:line="240" w:lineRule="auto"/>
            </w:pPr>
            <w:r>
              <w:t>University of Tasmania</w:t>
            </w:r>
          </w:p>
          <w:p w14:paraId="7E9FFF98" w14:textId="77777777" w:rsidR="00734418" w:rsidRDefault="00734418" w:rsidP="00734418">
            <w:pPr>
              <w:pStyle w:val="ListBullet"/>
              <w:numPr>
                <w:ilvl w:val="0"/>
                <w:numId w:val="5"/>
              </w:numPr>
              <w:spacing w:after="120" w:line="240" w:lineRule="auto"/>
            </w:pPr>
            <w:r>
              <w:t>University of Wollongong</w:t>
            </w:r>
          </w:p>
          <w:p w14:paraId="5B1D5D3B" w14:textId="77777777" w:rsidR="00734418" w:rsidRPr="00BA703C" w:rsidRDefault="00734418" w:rsidP="00734418">
            <w:pPr>
              <w:pStyle w:val="ListBullet"/>
              <w:numPr>
                <w:ilvl w:val="0"/>
                <w:numId w:val="5"/>
              </w:numPr>
              <w:spacing w:after="120" w:line="240" w:lineRule="auto"/>
            </w:pPr>
            <w:r w:rsidRPr="004165EF">
              <w:t>Victoria University</w:t>
            </w:r>
          </w:p>
        </w:tc>
      </w:tr>
    </w:tbl>
    <w:p w14:paraId="49ACEAC9" w14:textId="77777777" w:rsidR="00CF56A8" w:rsidRDefault="00CF56A8" w:rsidP="00CF56A8">
      <w:pPr>
        <w:spacing w:before="120" w:after="0" w:line="240" w:lineRule="auto"/>
        <w:rPr>
          <w:sz w:val="18"/>
        </w:rPr>
      </w:pPr>
    </w:p>
    <w:p w14:paraId="42E03BA6" w14:textId="77777777" w:rsidR="00B93C37" w:rsidRDefault="00B93C37" w:rsidP="00B93C37">
      <w:pPr>
        <w:spacing w:after="160" w:line="259" w:lineRule="auto"/>
        <w:rPr>
          <w:b/>
        </w:rPr>
      </w:pPr>
    </w:p>
    <w:p w14:paraId="52454ECA" w14:textId="77777777" w:rsidR="004100FA" w:rsidRDefault="004100FA" w:rsidP="00273838">
      <w:pPr>
        <w:spacing w:after="0" w:line="240" w:lineRule="auto"/>
        <w:rPr>
          <w:b/>
          <w:bCs/>
        </w:rPr>
      </w:pPr>
    </w:p>
    <w:p w14:paraId="658E1373" w14:textId="77777777" w:rsidR="00C676A5" w:rsidRDefault="00C676A5">
      <w:pPr>
        <w:spacing w:after="160" w:line="259" w:lineRule="auto"/>
        <w:rPr>
          <w:b/>
          <w:bCs/>
        </w:rPr>
      </w:pPr>
      <w:r>
        <w:rPr>
          <w:b/>
          <w:bCs/>
        </w:rPr>
        <w:br w:type="page"/>
      </w:r>
    </w:p>
    <w:p w14:paraId="79D0CE70" w14:textId="21CA3633" w:rsidR="00273838" w:rsidRPr="00273838" w:rsidRDefault="00273838" w:rsidP="00397835">
      <w:pPr>
        <w:spacing w:after="0" w:line="240" w:lineRule="auto"/>
        <w:rPr>
          <w:b/>
          <w:bCs/>
        </w:rPr>
      </w:pPr>
      <w:r>
        <w:rPr>
          <w:b/>
          <w:bCs/>
        </w:rPr>
        <w:lastRenderedPageBreak/>
        <w:t xml:space="preserve">Figure </w:t>
      </w:r>
      <w:r w:rsidR="00DD7599">
        <w:rPr>
          <w:b/>
          <w:bCs/>
        </w:rPr>
        <w:t>9</w:t>
      </w:r>
      <w:r>
        <w:rPr>
          <w:b/>
          <w:bCs/>
        </w:rPr>
        <w:t>. F</w:t>
      </w:r>
      <w:r w:rsidRPr="00DC5A80">
        <w:rPr>
          <w:b/>
          <w:bCs/>
        </w:rPr>
        <w:t>lowchart</w:t>
      </w:r>
      <w:r>
        <w:rPr>
          <w:b/>
          <w:bCs/>
        </w:rPr>
        <w:t>- Unique applicants</w:t>
      </w:r>
    </w:p>
    <w:p w14:paraId="6C76C4D6" w14:textId="7F8810FD" w:rsidR="00273838" w:rsidRPr="00F920B8" w:rsidRDefault="00273838" w:rsidP="00D04FC6">
      <w:pPr>
        <w:spacing w:before="120" w:after="0" w:line="240" w:lineRule="auto"/>
        <w:rPr>
          <w:sz w:val="18"/>
        </w:rPr>
      </w:pPr>
      <w:r w:rsidRPr="00273838">
        <w:rPr>
          <w:noProof/>
        </w:rPr>
        <w:drawing>
          <wp:inline distT="0" distB="0" distL="0" distR="0" wp14:anchorId="0447A30D" wp14:editId="0134BC2B">
            <wp:extent cx="5632939" cy="8201025"/>
            <wp:effectExtent l="0" t="0" r="6350" b="0"/>
            <wp:docPr id="5986177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34155" cy="8202796"/>
                    </a:xfrm>
                    <a:prstGeom prst="rect">
                      <a:avLst/>
                    </a:prstGeom>
                    <a:noFill/>
                    <a:ln>
                      <a:noFill/>
                    </a:ln>
                  </pic:spPr>
                </pic:pic>
              </a:graphicData>
            </a:graphic>
          </wp:inline>
        </w:drawing>
      </w:r>
    </w:p>
    <w:sectPr w:rsidR="00273838" w:rsidRPr="00F920B8" w:rsidSect="00AF191F">
      <w:headerReference w:type="default" r:id="rId38"/>
      <w:footerReference w:type="default" r:id="rId39"/>
      <w:type w:val="continuous"/>
      <w:pgSz w:w="11906" w:h="16838"/>
      <w:pgMar w:top="1985" w:right="1440" w:bottom="1440" w:left="1440" w:header="709" w:footer="10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F4E32" w14:textId="77777777" w:rsidR="00134A6C" w:rsidRDefault="00134A6C" w:rsidP="0051352E">
      <w:pPr>
        <w:spacing w:after="0" w:line="240" w:lineRule="auto"/>
      </w:pPr>
      <w:r>
        <w:separator/>
      </w:r>
    </w:p>
  </w:endnote>
  <w:endnote w:type="continuationSeparator" w:id="0">
    <w:p w14:paraId="4E4E4E4C" w14:textId="77777777" w:rsidR="00134A6C" w:rsidRDefault="00134A6C"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A2CF2" w14:textId="77777777" w:rsidR="00EA67FC" w:rsidRDefault="00EA67FC">
    <w:pPr>
      <w:pStyle w:val="Footer"/>
      <w:jc w:val="right"/>
    </w:pPr>
  </w:p>
  <w:p w14:paraId="073AF9EA" w14:textId="77777777" w:rsidR="00EA67FC" w:rsidRDefault="00EA6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EA52A" w14:textId="579F7DBA" w:rsidR="00B44762" w:rsidRDefault="00907FF1" w:rsidP="00AF191F">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2A3044">
          <w:fldChar w:fldCharType="begin"/>
        </w:r>
        <w:r w:rsidR="002A3044">
          <w:instrText xml:space="preserve"> PAGE   \* MERGEFORMAT </w:instrText>
        </w:r>
        <w:r w:rsidR="002A3044">
          <w:fldChar w:fldCharType="separate"/>
        </w:r>
        <w:r w:rsidR="00D53AAC">
          <w:rPr>
            <w:noProof/>
          </w:rPr>
          <w:t>11</w:t>
        </w:r>
        <w:r w:rsidR="002A3044">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96127" w14:textId="77777777" w:rsidR="00134A6C" w:rsidRDefault="00134A6C" w:rsidP="0051352E">
      <w:pPr>
        <w:spacing w:after="0" w:line="240" w:lineRule="auto"/>
      </w:pPr>
      <w:r>
        <w:separator/>
      </w:r>
    </w:p>
  </w:footnote>
  <w:footnote w:type="continuationSeparator" w:id="0">
    <w:p w14:paraId="63B18DF6" w14:textId="77777777" w:rsidR="00134A6C" w:rsidRDefault="00134A6C" w:rsidP="0051352E">
      <w:pPr>
        <w:spacing w:after="0" w:line="240" w:lineRule="auto"/>
      </w:pPr>
      <w:r>
        <w:continuationSeparator/>
      </w:r>
    </w:p>
  </w:footnote>
  <w:footnote w:id="1">
    <w:p w14:paraId="141D679D" w14:textId="5EDF3419" w:rsidR="002938EC" w:rsidRDefault="002938EC">
      <w:pPr>
        <w:pStyle w:val="FootnoteText"/>
      </w:pPr>
      <w:r>
        <w:rPr>
          <w:rStyle w:val="FootnoteReference"/>
        </w:rPr>
        <w:footnoteRef/>
      </w:r>
      <w:r>
        <w:t xml:space="preserve"> </w:t>
      </w:r>
      <w:r w:rsidRPr="002938EC">
        <w:t xml:space="preserve"> From 2022 onwards</w:t>
      </w:r>
      <w:r w:rsidR="005414D0">
        <w:t>, the</w:t>
      </w:r>
      <w:r w:rsidRPr="002938EC">
        <w:t xml:space="preserve"> SES</w:t>
      </w:r>
      <w:r w:rsidR="005414D0">
        <w:t xml:space="preserve"> measure</w:t>
      </w:r>
      <w:r w:rsidRPr="002938EC">
        <w:t xml:space="preserve"> has been </w:t>
      </w:r>
      <w:r w:rsidR="005414D0">
        <w:t>derived by</w:t>
      </w:r>
      <w:r w:rsidRPr="002938EC">
        <w:t xml:space="preserve"> </w:t>
      </w:r>
      <w:r w:rsidR="005414D0">
        <w:t xml:space="preserve">using the </w:t>
      </w:r>
      <w:r w:rsidRPr="002938EC">
        <w:t xml:space="preserve">SA1 concordance, </w:t>
      </w:r>
      <w:r w:rsidR="005414D0">
        <w:t>whereas prior</w:t>
      </w:r>
      <w:r w:rsidRPr="002938EC">
        <w:t xml:space="preserve"> 2021 </w:t>
      </w:r>
      <w:r w:rsidR="005414D0">
        <w:t>it was based on postcode.</w:t>
      </w:r>
      <w:r w:rsidRPr="002938EC">
        <w:t xml:space="preserve"> </w:t>
      </w:r>
      <w:r w:rsidR="005414D0">
        <w:t>Hence,</w:t>
      </w:r>
      <w:r w:rsidRPr="002938EC">
        <w:t xml:space="preserve"> caution is warranted when comparing across those years.</w:t>
      </w:r>
    </w:p>
  </w:footnote>
  <w:footnote w:id="2">
    <w:p w14:paraId="09B7F5EB" w14:textId="77777777" w:rsidR="00734418" w:rsidRDefault="00734418" w:rsidP="00CF56A8">
      <w:pPr>
        <w:pStyle w:val="FootnoteText"/>
      </w:pPr>
      <w:r>
        <w:rPr>
          <w:rStyle w:val="FootnoteReference"/>
        </w:rPr>
        <w:footnoteRef/>
      </w:r>
      <w:r>
        <w:t xml:space="preserve"> </w:t>
      </w:r>
      <w:r w:rsidRPr="00A913EA">
        <w:t xml:space="preserve">University of Newcastle </w:t>
      </w:r>
      <w:r>
        <w:t xml:space="preserve">joined the </w:t>
      </w:r>
      <w:r w:rsidRPr="00113140">
        <w:t>Australian Technology Network</w:t>
      </w:r>
      <w:r>
        <w:t xml:space="preserve"> universities in November 2021.</w:t>
      </w:r>
    </w:p>
  </w:footnote>
  <w:footnote w:id="3">
    <w:p w14:paraId="7161E420" w14:textId="77777777" w:rsidR="00734418" w:rsidRDefault="00734418" w:rsidP="00CF56A8">
      <w:pPr>
        <w:pStyle w:val="FootnoteText"/>
      </w:pPr>
      <w:r>
        <w:rPr>
          <w:rStyle w:val="FootnoteReference"/>
        </w:rPr>
        <w:footnoteRef/>
      </w:r>
      <w:r>
        <w:t xml:space="preserve"> University of Canberra joined the Innovative Research Universities (IRU) in September 2021.</w:t>
      </w:r>
    </w:p>
    <w:p w14:paraId="5379A2D3" w14:textId="77777777" w:rsidR="00734418" w:rsidRDefault="00734418" w:rsidP="00CF56A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A75F8" w14:textId="29523558" w:rsidR="00B44762" w:rsidRDefault="002A3044" w:rsidP="00AF191F">
    <w:pPr>
      <w:pStyle w:val="Header"/>
      <w:jc w:val="right"/>
    </w:pPr>
    <w:r>
      <w:t>Undergraduate applications</w:t>
    </w:r>
    <w:r w:rsidR="00A23301">
      <w:t xml:space="preserve"> and </w:t>
    </w:r>
    <w:r>
      <w:t xml:space="preserve">offers </w:t>
    </w:r>
    <w:r w:rsidR="00C016F5">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F5452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72601F"/>
    <w:multiLevelType w:val="multilevel"/>
    <w:tmpl w:val="A8B0F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A742E"/>
    <w:multiLevelType w:val="hybridMultilevel"/>
    <w:tmpl w:val="74CAC434"/>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169106A"/>
    <w:multiLevelType w:val="hybridMultilevel"/>
    <w:tmpl w:val="E8A229DC"/>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35B4AD5"/>
    <w:multiLevelType w:val="hybridMultilevel"/>
    <w:tmpl w:val="B67EAB4E"/>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164A41F2"/>
    <w:multiLevelType w:val="hybridMultilevel"/>
    <w:tmpl w:val="BB960FEC"/>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8" w15:restartNumberingAfterBreak="0">
    <w:nsid w:val="16A8614C"/>
    <w:multiLevelType w:val="hybridMultilevel"/>
    <w:tmpl w:val="826A90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9DA6C4F"/>
    <w:multiLevelType w:val="hybridMultilevel"/>
    <w:tmpl w:val="C1C41ED6"/>
    <w:lvl w:ilvl="0" w:tplc="0C090001">
      <w:start w:val="1"/>
      <w:numFmt w:val="bullet"/>
      <w:lvlText w:val=""/>
      <w:lvlJc w:val="left"/>
      <w:pPr>
        <w:ind w:left="418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2A458D"/>
    <w:multiLevelType w:val="hybridMultilevel"/>
    <w:tmpl w:val="BC86F49E"/>
    <w:lvl w:ilvl="0" w:tplc="0C09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221D6BC0"/>
    <w:multiLevelType w:val="hybridMultilevel"/>
    <w:tmpl w:val="7A1012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B301E74"/>
    <w:multiLevelType w:val="hybridMultilevel"/>
    <w:tmpl w:val="9E1C0044"/>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FFD0F1F"/>
    <w:multiLevelType w:val="hybridMultilevel"/>
    <w:tmpl w:val="5C6AD2B4"/>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43525237"/>
    <w:multiLevelType w:val="hybridMultilevel"/>
    <w:tmpl w:val="1CCC4652"/>
    <w:lvl w:ilvl="0" w:tplc="FFFFFFFF">
      <w:start w:val="1"/>
      <w:numFmt w:val="bullet"/>
      <w:lvlText w:val="o"/>
      <w:lvlJc w:val="left"/>
      <w:pPr>
        <w:ind w:left="720" w:hanging="360"/>
      </w:pPr>
      <w:rPr>
        <w:rFonts w:ascii="Courier New" w:hAnsi="Courier New" w:cs="Courier New" w:hint="default"/>
      </w:rPr>
    </w:lvl>
    <w:lvl w:ilvl="1" w:tplc="0C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69D2AA9"/>
    <w:multiLevelType w:val="hybridMultilevel"/>
    <w:tmpl w:val="AABC6540"/>
    <w:lvl w:ilvl="0" w:tplc="7576A054">
      <w:start w:val="1"/>
      <w:numFmt w:val="bullet"/>
      <w:lvlText w:val=""/>
      <w:lvlJc w:val="left"/>
      <w:pPr>
        <w:ind w:left="720" w:hanging="360"/>
      </w:pPr>
      <w:rPr>
        <w:rFonts w:ascii="Symbol" w:hAnsi="Symbol" w:hint="default"/>
      </w:rPr>
    </w:lvl>
    <w:lvl w:ilvl="1" w:tplc="4D9A990C">
      <w:start w:val="1"/>
      <w:numFmt w:val="bullet"/>
      <w:lvlText w:val="o"/>
      <w:lvlJc w:val="left"/>
      <w:pPr>
        <w:ind w:left="1440" w:hanging="360"/>
      </w:pPr>
      <w:rPr>
        <w:rFonts w:ascii="Courier New" w:hAnsi="Courier New" w:cs="Courier New" w:hint="default"/>
      </w:rPr>
    </w:lvl>
    <w:lvl w:ilvl="2" w:tplc="F1642F4E" w:tentative="1">
      <w:start w:val="1"/>
      <w:numFmt w:val="bullet"/>
      <w:lvlText w:val=""/>
      <w:lvlJc w:val="left"/>
      <w:pPr>
        <w:ind w:left="2160" w:hanging="360"/>
      </w:pPr>
      <w:rPr>
        <w:rFonts w:ascii="Wingdings" w:hAnsi="Wingdings" w:hint="default"/>
      </w:rPr>
    </w:lvl>
    <w:lvl w:ilvl="3" w:tplc="3F8EB97C" w:tentative="1">
      <w:start w:val="1"/>
      <w:numFmt w:val="bullet"/>
      <w:lvlText w:val=""/>
      <w:lvlJc w:val="left"/>
      <w:pPr>
        <w:ind w:left="2880" w:hanging="360"/>
      </w:pPr>
      <w:rPr>
        <w:rFonts w:ascii="Symbol" w:hAnsi="Symbol" w:hint="default"/>
      </w:rPr>
    </w:lvl>
    <w:lvl w:ilvl="4" w:tplc="6470919E" w:tentative="1">
      <w:start w:val="1"/>
      <w:numFmt w:val="bullet"/>
      <w:lvlText w:val="o"/>
      <w:lvlJc w:val="left"/>
      <w:pPr>
        <w:ind w:left="3600" w:hanging="360"/>
      </w:pPr>
      <w:rPr>
        <w:rFonts w:ascii="Courier New" w:hAnsi="Courier New" w:cs="Courier New" w:hint="default"/>
      </w:rPr>
    </w:lvl>
    <w:lvl w:ilvl="5" w:tplc="D1846390" w:tentative="1">
      <w:start w:val="1"/>
      <w:numFmt w:val="bullet"/>
      <w:lvlText w:val=""/>
      <w:lvlJc w:val="left"/>
      <w:pPr>
        <w:ind w:left="4320" w:hanging="360"/>
      </w:pPr>
      <w:rPr>
        <w:rFonts w:ascii="Wingdings" w:hAnsi="Wingdings" w:hint="default"/>
      </w:rPr>
    </w:lvl>
    <w:lvl w:ilvl="6" w:tplc="1B168A14" w:tentative="1">
      <w:start w:val="1"/>
      <w:numFmt w:val="bullet"/>
      <w:lvlText w:val=""/>
      <w:lvlJc w:val="left"/>
      <w:pPr>
        <w:ind w:left="5040" w:hanging="360"/>
      </w:pPr>
      <w:rPr>
        <w:rFonts w:ascii="Symbol" w:hAnsi="Symbol" w:hint="default"/>
      </w:rPr>
    </w:lvl>
    <w:lvl w:ilvl="7" w:tplc="AC421610" w:tentative="1">
      <w:start w:val="1"/>
      <w:numFmt w:val="bullet"/>
      <w:lvlText w:val="o"/>
      <w:lvlJc w:val="left"/>
      <w:pPr>
        <w:ind w:left="5760" w:hanging="360"/>
      </w:pPr>
      <w:rPr>
        <w:rFonts w:ascii="Courier New" w:hAnsi="Courier New" w:cs="Courier New" w:hint="default"/>
      </w:rPr>
    </w:lvl>
    <w:lvl w:ilvl="8" w:tplc="C5889BAE" w:tentative="1">
      <w:start w:val="1"/>
      <w:numFmt w:val="bullet"/>
      <w:lvlText w:val=""/>
      <w:lvlJc w:val="left"/>
      <w:pPr>
        <w:ind w:left="6480" w:hanging="360"/>
      </w:pPr>
      <w:rPr>
        <w:rFonts w:ascii="Wingdings" w:hAnsi="Wingdings" w:hint="default"/>
      </w:rPr>
    </w:lvl>
  </w:abstractNum>
  <w:abstractNum w:abstractNumId="18" w15:restartNumberingAfterBreak="0">
    <w:nsid w:val="51B73210"/>
    <w:multiLevelType w:val="multilevel"/>
    <w:tmpl w:val="9C90C164"/>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5A0069EE"/>
    <w:multiLevelType w:val="hybridMultilevel"/>
    <w:tmpl w:val="8C9CD7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65A06CE3"/>
    <w:multiLevelType w:val="hybridMultilevel"/>
    <w:tmpl w:val="D8BC25FC"/>
    <w:lvl w:ilvl="0" w:tplc="FFFFFFFF">
      <w:start w:val="1"/>
      <w:numFmt w:val="bullet"/>
      <w:lvlText w:val="o"/>
      <w:lvlJc w:val="left"/>
      <w:pPr>
        <w:ind w:left="720" w:hanging="360"/>
      </w:pPr>
      <w:rPr>
        <w:rFonts w:ascii="Courier New" w:hAnsi="Courier New" w:cs="Courier New" w:hint="default"/>
      </w:rPr>
    </w:lvl>
    <w:lvl w:ilvl="1" w:tplc="0C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7877BC7"/>
    <w:multiLevelType w:val="hybridMultilevel"/>
    <w:tmpl w:val="CB5AFAEE"/>
    <w:lvl w:ilvl="0" w:tplc="D76E42CA">
      <w:start w:val="1"/>
      <w:numFmt w:val="decimal"/>
      <w:lvlText w:val="%1."/>
      <w:lvlJc w:val="left"/>
      <w:pPr>
        <w:ind w:left="360" w:hanging="360"/>
      </w:pPr>
    </w:lvl>
    <w:lvl w:ilvl="1" w:tplc="B7524FF0">
      <w:start w:val="1"/>
      <w:numFmt w:val="lowerLetter"/>
      <w:lvlText w:val="%2."/>
      <w:lvlJc w:val="left"/>
      <w:pPr>
        <w:ind w:left="1866" w:hanging="360"/>
      </w:pPr>
    </w:lvl>
    <w:lvl w:ilvl="2" w:tplc="3F32B752">
      <w:start w:val="1"/>
      <w:numFmt w:val="lowerRoman"/>
      <w:lvlText w:val="%3."/>
      <w:lvlJc w:val="right"/>
      <w:pPr>
        <w:ind w:left="2586" w:hanging="180"/>
      </w:pPr>
    </w:lvl>
    <w:lvl w:ilvl="3" w:tplc="347A83B0">
      <w:start w:val="1"/>
      <w:numFmt w:val="decimal"/>
      <w:lvlText w:val="%4."/>
      <w:lvlJc w:val="left"/>
      <w:pPr>
        <w:ind w:left="3306" w:hanging="360"/>
      </w:pPr>
    </w:lvl>
    <w:lvl w:ilvl="4" w:tplc="5776CC54">
      <w:start w:val="1"/>
      <w:numFmt w:val="lowerLetter"/>
      <w:lvlText w:val="%5."/>
      <w:lvlJc w:val="left"/>
      <w:pPr>
        <w:ind w:left="4026" w:hanging="360"/>
      </w:pPr>
    </w:lvl>
    <w:lvl w:ilvl="5" w:tplc="5AF6EEB0">
      <w:start w:val="1"/>
      <w:numFmt w:val="lowerRoman"/>
      <w:lvlText w:val="%6."/>
      <w:lvlJc w:val="right"/>
      <w:pPr>
        <w:ind w:left="4746" w:hanging="180"/>
      </w:pPr>
    </w:lvl>
    <w:lvl w:ilvl="6" w:tplc="80801F6C">
      <w:start w:val="1"/>
      <w:numFmt w:val="decimal"/>
      <w:lvlText w:val="%7."/>
      <w:lvlJc w:val="left"/>
      <w:pPr>
        <w:ind w:left="5466" w:hanging="360"/>
      </w:pPr>
    </w:lvl>
    <w:lvl w:ilvl="7" w:tplc="B2224EA8">
      <w:start w:val="1"/>
      <w:numFmt w:val="lowerLetter"/>
      <w:lvlText w:val="%8."/>
      <w:lvlJc w:val="left"/>
      <w:pPr>
        <w:ind w:left="6186" w:hanging="360"/>
      </w:pPr>
    </w:lvl>
    <w:lvl w:ilvl="8" w:tplc="EB083030">
      <w:start w:val="1"/>
      <w:numFmt w:val="lowerRoman"/>
      <w:lvlText w:val="%9."/>
      <w:lvlJc w:val="right"/>
      <w:pPr>
        <w:ind w:left="6906" w:hanging="180"/>
      </w:pPr>
    </w:lvl>
  </w:abstractNum>
  <w:abstractNum w:abstractNumId="22" w15:restartNumberingAfterBreak="0">
    <w:nsid w:val="6C026725"/>
    <w:multiLevelType w:val="hybridMultilevel"/>
    <w:tmpl w:val="7A9426A6"/>
    <w:lvl w:ilvl="0" w:tplc="FFFFFFFF">
      <w:start w:val="1"/>
      <w:numFmt w:val="bullet"/>
      <w:lvlText w:val="o"/>
      <w:lvlJc w:val="left"/>
      <w:pPr>
        <w:ind w:left="720" w:hanging="360"/>
      </w:pPr>
      <w:rPr>
        <w:rFonts w:ascii="Courier New" w:hAnsi="Courier New" w:cs="Courier New" w:hint="default"/>
      </w:rPr>
    </w:lvl>
    <w:lvl w:ilvl="1" w:tplc="0C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76438864">
    <w:abstractNumId w:val="3"/>
  </w:num>
  <w:num w:numId="2" w16cid:durableId="617178872">
    <w:abstractNumId w:val="13"/>
  </w:num>
  <w:num w:numId="3" w16cid:durableId="942149312">
    <w:abstractNumId w:val="14"/>
  </w:num>
  <w:num w:numId="4" w16cid:durableId="20990560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9862327">
    <w:abstractNumId w:val="18"/>
  </w:num>
  <w:num w:numId="6" w16cid:durableId="1885633369">
    <w:abstractNumId w:val="9"/>
  </w:num>
  <w:num w:numId="7" w16cid:durableId="1511260850">
    <w:abstractNumId w:val="17"/>
  </w:num>
  <w:num w:numId="8" w16cid:durableId="1434324432">
    <w:abstractNumId w:val="8"/>
  </w:num>
  <w:num w:numId="9" w16cid:durableId="1294484479">
    <w:abstractNumId w:val="22"/>
  </w:num>
  <w:num w:numId="10" w16cid:durableId="1425997939">
    <w:abstractNumId w:val="4"/>
  </w:num>
  <w:num w:numId="11" w16cid:durableId="489566513">
    <w:abstractNumId w:val="6"/>
  </w:num>
  <w:num w:numId="12" w16cid:durableId="1539929716">
    <w:abstractNumId w:val="16"/>
  </w:num>
  <w:num w:numId="13" w16cid:durableId="89788185">
    <w:abstractNumId w:val="5"/>
  </w:num>
  <w:num w:numId="14" w16cid:durableId="390883924">
    <w:abstractNumId w:val="20"/>
  </w:num>
  <w:num w:numId="15" w16cid:durableId="209076345">
    <w:abstractNumId w:val="7"/>
  </w:num>
  <w:num w:numId="16" w16cid:durableId="2065374538">
    <w:abstractNumId w:val="10"/>
  </w:num>
  <w:num w:numId="17" w16cid:durableId="1526165253">
    <w:abstractNumId w:val="15"/>
  </w:num>
  <w:num w:numId="18" w16cid:durableId="605045947">
    <w:abstractNumId w:val="1"/>
  </w:num>
  <w:num w:numId="19" w16cid:durableId="1292204067">
    <w:abstractNumId w:val="2"/>
  </w:num>
  <w:num w:numId="20" w16cid:durableId="204606289">
    <w:abstractNumId w:val="0"/>
  </w:num>
  <w:num w:numId="21" w16cid:durableId="932713451">
    <w:abstractNumId w:val="19"/>
  </w:num>
  <w:num w:numId="22" w16cid:durableId="665740662">
    <w:abstractNumId w:val="13"/>
  </w:num>
  <w:num w:numId="23" w16cid:durableId="2060783590">
    <w:abstractNumId w:val="11"/>
  </w:num>
  <w:num w:numId="24" w16cid:durableId="1835683540">
    <w:abstractNumId w:val="12"/>
  </w:num>
  <w:num w:numId="25" w16cid:durableId="636689960">
    <w:abstractNumId w:val="13"/>
  </w:num>
  <w:num w:numId="26" w16cid:durableId="1297368236">
    <w:abstractNumId w:val="13"/>
  </w:num>
  <w:num w:numId="27" w16cid:durableId="15134524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53355682">
    <w:abstractNumId w:val="13"/>
  </w:num>
  <w:num w:numId="29" w16cid:durableId="132330480">
    <w:abstractNumId w:val="13"/>
  </w:num>
  <w:num w:numId="30" w16cid:durableId="471288331">
    <w:abstractNumId w:val="13"/>
  </w:num>
  <w:num w:numId="31" w16cid:durableId="2051997832">
    <w:abstractNumId w:val="13"/>
  </w:num>
  <w:num w:numId="32" w16cid:durableId="1581210880">
    <w:abstractNumId w:val="13"/>
  </w:num>
  <w:num w:numId="33" w16cid:durableId="711536310">
    <w:abstractNumId w:val="13"/>
  </w:num>
  <w:num w:numId="34" w16cid:durableId="1046754868">
    <w:abstractNumId w:val="13"/>
  </w:num>
  <w:num w:numId="35" w16cid:durableId="549221601">
    <w:abstractNumId w:val="13"/>
  </w:num>
  <w:num w:numId="36" w16cid:durableId="1309435769">
    <w:abstractNumId w:val="13"/>
  </w:num>
  <w:num w:numId="37" w16cid:durableId="619848143">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050"/>
    <w:rsid w:val="000000EB"/>
    <w:rsid w:val="00001680"/>
    <w:rsid w:val="00003265"/>
    <w:rsid w:val="00003E60"/>
    <w:rsid w:val="00004F27"/>
    <w:rsid w:val="00006EBA"/>
    <w:rsid w:val="0001461D"/>
    <w:rsid w:val="000151E7"/>
    <w:rsid w:val="00016250"/>
    <w:rsid w:val="00016F8E"/>
    <w:rsid w:val="000174EB"/>
    <w:rsid w:val="00020B43"/>
    <w:rsid w:val="00021D66"/>
    <w:rsid w:val="000242B7"/>
    <w:rsid w:val="0002512E"/>
    <w:rsid w:val="000255A9"/>
    <w:rsid w:val="0002686E"/>
    <w:rsid w:val="00030E4C"/>
    <w:rsid w:val="000310C6"/>
    <w:rsid w:val="000350F6"/>
    <w:rsid w:val="00041242"/>
    <w:rsid w:val="00042DDA"/>
    <w:rsid w:val="00043C06"/>
    <w:rsid w:val="0004619F"/>
    <w:rsid w:val="000469E3"/>
    <w:rsid w:val="000520E6"/>
    <w:rsid w:val="00052BBC"/>
    <w:rsid w:val="00060E6E"/>
    <w:rsid w:val="0006463E"/>
    <w:rsid w:val="0007148C"/>
    <w:rsid w:val="00074C90"/>
    <w:rsid w:val="00077596"/>
    <w:rsid w:val="00083D5C"/>
    <w:rsid w:val="00085A50"/>
    <w:rsid w:val="00086FD4"/>
    <w:rsid w:val="00090275"/>
    <w:rsid w:val="00091044"/>
    <w:rsid w:val="00096216"/>
    <w:rsid w:val="000A1321"/>
    <w:rsid w:val="000A453D"/>
    <w:rsid w:val="000A4A16"/>
    <w:rsid w:val="000A56F9"/>
    <w:rsid w:val="000B383E"/>
    <w:rsid w:val="000B3D07"/>
    <w:rsid w:val="000B6276"/>
    <w:rsid w:val="000C2147"/>
    <w:rsid w:val="000C2A55"/>
    <w:rsid w:val="000C37DE"/>
    <w:rsid w:val="000C5BB7"/>
    <w:rsid w:val="000C61FD"/>
    <w:rsid w:val="000C766F"/>
    <w:rsid w:val="000D2EBC"/>
    <w:rsid w:val="000D7057"/>
    <w:rsid w:val="000E0EC9"/>
    <w:rsid w:val="000E20CD"/>
    <w:rsid w:val="000E2CB0"/>
    <w:rsid w:val="000E3D80"/>
    <w:rsid w:val="000F557E"/>
    <w:rsid w:val="000F5AAD"/>
    <w:rsid w:val="00101ACB"/>
    <w:rsid w:val="00106F5E"/>
    <w:rsid w:val="0010715C"/>
    <w:rsid w:val="00111432"/>
    <w:rsid w:val="00113140"/>
    <w:rsid w:val="0012081E"/>
    <w:rsid w:val="00122065"/>
    <w:rsid w:val="001278BB"/>
    <w:rsid w:val="00131D84"/>
    <w:rsid w:val="00133039"/>
    <w:rsid w:val="00134A6C"/>
    <w:rsid w:val="00137C94"/>
    <w:rsid w:val="00140BC0"/>
    <w:rsid w:val="00141434"/>
    <w:rsid w:val="00141696"/>
    <w:rsid w:val="0014173B"/>
    <w:rsid w:val="001452E8"/>
    <w:rsid w:val="00146E1A"/>
    <w:rsid w:val="00151C93"/>
    <w:rsid w:val="00157F35"/>
    <w:rsid w:val="00160958"/>
    <w:rsid w:val="00162020"/>
    <w:rsid w:val="00163655"/>
    <w:rsid w:val="00167C3D"/>
    <w:rsid w:val="0017225E"/>
    <w:rsid w:val="0017657C"/>
    <w:rsid w:val="00176933"/>
    <w:rsid w:val="001775D8"/>
    <w:rsid w:val="00177F28"/>
    <w:rsid w:val="00181499"/>
    <w:rsid w:val="0018199C"/>
    <w:rsid w:val="001904A1"/>
    <w:rsid w:val="00192FB1"/>
    <w:rsid w:val="00193353"/>
    <w:rsid w:val="001942CA"/>
    <w:rsid w:val="00194DAE"/>
    <w:rsid w:val="00196D34"/>
    <w:rsid w:val="001A463F"/>
    <w:rsid w:val="001A5660"/>
    <w:rsid w:val="001A7D51"/>
    <w:rsid w:val="001B02A0"/>
    <w:rsid w:val="001B21F0"/>
    <w:rsid w:val="001B235A"/>
    <w:rsid w:val="001B2650"/>
    <w:rsid w:val="001B3027"/>
    <w:rsid w:val="001B468F"/>
    <w:rsid w:val="001B5BDE"/>
    <w:rsid w:val="001B5F7A"/>
    <w:rsid w:val="001B7C83"/>
    <w:rsid w:val="001C02C9"/>
    <w:rsid w:val="001C0D11"/>
    <w:rsid w:val="001C35E0"/>
    <w:rsid w:val="001C76E9"/>
    <w:rsid w:val="001C7E57"/>
    <w:rsid w:val="001D669A"/>
    <w:rsid w:val="001D6AC5"/>
    <w:rsid w:val="001E17CB"/>
    <w:rsid w:val="001E2883"/>
    <w:rsid w:val="001E2B99"/>
    <w:rsid w:val="001E43AD"/>
    <w:rsid w:val="001E7A47"/>
    <w:rsid w:val="001F40C0"/>
    <w:rsid w:val="001F751A"/>
    <w:rsid w:val="002002C4"/>
    <w:rsid w:val="00200440"/>
    <w:rsid w:val="00200801"/>
    <w:rsid w:val="00201001"/>
    <w:rsid w:val="00201D9F"/>
    <w:rsid w:val="00206282"/>
    <w:rsid w:val="00212670"/>
    <w:rsid w:val="00216921"/>
    <w:rsid w:val="00217EAB"/>
    <w:rsid w:val="0022012B"/>
    <w:rsid w:val="00222D31"/>
    <w:rsid w:val="002231DE"/>
    <w:rsid w:val="00223763"/>
    <w:rsid w:val="00223816"/>
    <w:rsid w:val="0022459D"/>
    <w:rsid w:val="00224869"/>
    <w:rsid w:val="0022498C"/>
    <w:rsid w:val="002330FD"/>
    <w:rsid w:val="00233C66"/>
    <w:rsid w:val="00233CDB"/>
    <w:rsid w:val="00235EB8"/>
    <w:rsid w:val="0024134E"/>
    <w:rsid w:val="00243D31"/>
    <w:rsid w:val="00244359"/>
    <w:rsid w:val="00244C9B"/>
    <w:rsid w:val="0024571E"/>
    <w:rsid w:val="00245E61"/>
    <w:rsid w:val="00246514"/>
    <w:rsid w:val="00252636"/>
    <w:rsid w:val="002529E6"/>
    <w:rsid w:val="002549BC"/>
    <w:rsid w:val="00257BFB"/>
    <w:rsid w:val="002624C5"/>
    <w:rsid w:val="00264A2F"/>
    <w:rsid w:val="00267E11"/>
    <w:rsid w:val="00270EC7"/>
    <w:rsid w:val="002717E8"/>
    <w:rsid w:val="00271AB2"/>
    <w:rsid w:val="0027206E"/>
    <w:rsid w:val="002724D0"/>
    <w:rsid w:val="00273838"/>
    <w:rsid w:val="00273D54"/>
    <w:rsid w:val="00276099"/>
    <w:rsid w:val="00277418"/>
    <w:rsid w:val="00290448"/>
    <w:rsid w:val="00292764"/>
    <w:rsid w:val="0029372F"/>
    <w:rsid w:val="002938EC"/>
    <w:rsid w:val="002940C7"/>
    <w:rsid w:val="002964DA"/>
    <w:rsid w:val="0029736D"/>
    <w:rsid w:val="00297A24"/>
    <w:rsid w:val="002A05C7"/>
    <w:rsid w:val="002A3044"/>
    <w:rsid w:val="002A3C63"/>
    <w:rsid w:val="002A3FB2"/>
    <w:rsid w:val="002A5E5E"/>
    <w:rsid w:val="002B191C"/>
    <w:rsid w:val="002B1C3C"/>
    <w:rsid w:val="002B1CE5"/>
    <w:rsid w:val="002B5C39"/>
    <w:rsid w:val="002C0F77"/>
    <w:rsid w:val="002C1C90"/>
    <w:rsid w:val="002C4AFA"/>
    <w:rsid w:val="002C5A0F"/>
    <w:rsid w:val="002D0BEC"/>
    <w:rsid w:val="002D40F3"/>
    <w:rsid w:val="002D444C"/>
    <w:rsid w:val="002D74C6"/>
    <w:rsid w:val="002E036B"/>
    <w:rsid w:val="002E050F"/>
    <w:rsid w:val="002E3BEE"/>
    <w:rsid w:val="002E5450"/>
    <w:rsid w:val="002E6638"/>
    <w:rsid w:val="002F12D1"/>
    <w:rsid w:val="002F154D"/>
    <w:rsid w:val="002F1B96"/>
    <w:rsid w:val="002F4DB3"/>
    <w:rsid w:val="002F552D"/>
    <w:rsid w:val="002F65B4"/>
    <w:rsid w:val="002F712F"/>
    <w:rsid w:val="002F7B77"/>
    <w:rsid w:val="002F7D9F"/>
    <w:rsid w:val="00303B18"/>
    <w:rsid w:val="00305D9E"/>
    <w:rsid w:val="003077A1"/>
    <w:rsid w:val="0031228E"/>
    <w:rsid w:val="003139D7"/>
    <w:rsid w:val="00313D4E"/>
    <w:rsid w:val="003220F1"/>
    <w:rsid w:val="00323AA4"/>
    <w:rsid w:val="003247BE"/>
    <w:rsid w:val="003252FA"/>
    <w:rsid w:val="00325B23"/>
    <w:rsid w:val="0032744F"/>
    <w:rsid w:val="00327939"/>
    <w:rsid w:val="00336F52"/>
    <w:rsid w:val="00350FFA"/>
    <w:rsid w:val="00352136"/>
    <w:rsid w:val="003605ED"/>
    <w:rsid w:val="00361134"/>
    <w:rsid w:val="003648A9"/>
    <w:rsid w:val="003653B0"/>
    <w:rsid w:val="00365E94"/>
    <w:rsid w:val="0036632D"/>
    <w:rsid w:val="003667A3"/>
    <w:rsid w:val="003667DD"/>
    <w:rsid w:val="003675F6"/>
    <w:rsid w:val="00372347"/>
    <w:rsid w:val="00382F07"/>
    <w:rsid w:val="00383250"/>
    <w:rsid w:val="00383539"/>
    <w:rsid w:val="003927F8"/>
    <w:rsid w:val="00392E46"/>
    <w:rsid w:val="00394444"/>
    <w:rsid w:val="0039608F"/>
    <w:rsid w:val="00396E5C"/>
    <w:rsid w:val="00397835"/>
    <w:rsid w:val="00397B22"/>
    <w:rsid w:val="003A3CCC"/>
    <w:rsid w:val="003B0826"/>
    <w:rsid w:val="003B0EE4"/>
    <w:rsid w:val="003B28F7"/>
    <w:rsid w:val="003B290C"/>
    <w:rsid w:val="003B2FFE"/>
    <w:rsid w:val="003B3155"/>
    <w:rsid w:val="003B4B99"/>
    <w:rsid w:val="003B4D00"/>
    <w:rsid w:val="003B56BE"/>
    <w:rsid w:val="003C009B"/>
    <w:rsid w:val="003C070D"/>
    <w:rsid w:val="003C0D4D"/>
    <w:rsid w:val="003C1363"/>
    <w:rsid w:val="003C15D7"/>
    <w:rsid w:val="003C3091"/>
    <w:rsid w:val="003C5F2C"/>
    <w:rsid w:val="003D05C0"/>
    <w:rsid w:val="003D44F9"/>
    <w:rsid w:val="003D45FF"/>
    <w:rsid w:val="003D575B"/>
    <w:rsid w:val="003D7FF5"/>
    <w:rsid w:val="003E3BFF"/>
    <w:rsid w:val="003F6DB7"/>
    <w:rsid w:val="003F7862"/>
    <w:rsid w:val="00404556"/>
    <w:rsid w:val="004058F1"/>
    <w:rsid w:val="0040650E"/>
    <w:rsid w:val="00407D2B"/>
    <w:rsid w:val="004100FA"/>
    <w:rsid w:val="00412380"/>
    <w:rsid w:val="004131FD"/>
    <w:rsid w:val="00414390"/>
    <w:rsid w:val="00414755"/>
    <w:rsid w:val="0042092C"/>
    <w:rsid w:val="00422D8A"/>
    <w:rsid w:val="00424F72"/>
    <w:rsid w:val="0042554C"/>
    <w:rsid w:val="00427406"/>
    <w:rsid w:val="004302A8"/>
    <w:rsid w:val="004329E8"/>
    <w:rsid w:val="00432FA7"/>
    <w:rsid w:val="0043555C"/>
    <w:rsid w:val="004369DB"/>
    <w:rsid w:val="004370A5"/>
    <w:rsid w:val="0044361E"/>
    <w:rsid w:val="00450883"/>
    <w:rsid w:val="00450BC5"/>
    <w:rsid w:val="0045178B"/>
    <w:rsid w:val="00452E84"/>
    <w:rsid w:val="00453C04"/>
    <w:rsid w:val="004558EB"/>
    <w:rsid w:val="004616A3"/>
    <w:rsid w:val="00463BEB"/>
    <w:rsid w:val="00465BE5"/>
    <w:rsid w:val="00467D8F"/>
    <w:rsid w:val="00472879"/>
    <w:rsid w:val="00476AFF"/>
    <w:rsid w:val="00486546"/>
    <w:rsid w:val="004949F4"/>
    <w:rsid w:val="00494CBC"/>
    <w:rsid w:val="00497764"/>
    <w:rsid w:val="004A2B69"/>
    <w:rsid w:val="004A35AA"/>
    <w:rsid w:val="004A5EE9"/>
    <w:rsid w:val="004A6F7A"/>
    <w:rsid w:val="004B3043"/>
    <w:rsid w:val="004B32F2"/>
    <w:rsid w:val="004B3A8A"/>
    <w:rsid w:val="004B631A"/>
    <w:rsid w:val="004B6ACA"/>
    <w:rsid w:val="004C159D"/>
    <w:rsid w:val="004C2357"/>
    <w:rsid w:val="004C27EE"/>
    <w:rsid w:val="004C5B8C"/>
    <w:rsid w:val="004C6856"/>
    <w:rsid w:val="004D0C2F"/>
    <w:rsid w:val="004D239D"/>
    <w:rsid w:val="004D24B5"/>
    <w:rsid w:val="004D36AD"/>
    <w:rsid w:val="004E006A"/>
    <w:rsid w:val="004E0359"/>
    <w:rsid w:val="004E0750"/>
    <w:rsid w:val="004E2AD1"/>
    <w:rsid w:val="004E332A"/>
    <w:rsid w:val="004E4F0F"/>
    <w:rsid w:val="004E747B"/>
    <w:rsid w:val="004F31F4"/>
    <w:rsid w:val="004F32E3"/>
    <w:rsid w:val="004F61F0"/>
    <w:rsid w:val="004F68DB"/>
    <w:rsid w:val="004F736A"/>
    <w:rsid w:val="004F7B86"/>
    <w:rsid w:val="00501247"/>
    <w:rsid w:val="005021F2"/>
    <w:rsid w:val="0050251E"/>
    <w:rsid w:val="005026CA"/>
    <w:rsid w:val="00502FBB"/>
    <w:rsid w:val="00503A13"/>
    <w:rsid w:val="005048E1"/>
    <w:rsid w:val="00504976"/>
    <w:rsid w:val="0051103D"/>
    <w:rsid w:val="0051352E"/>
    <w:rsid w:val="00515534"/>
    <w:rsid w:val="00517DA7"/>
    <w:rsid w:val="00520A33"/>
    <w:rsid w:val="00522924"/>
    <w:rsid w:val="0052368D"/>
    <w:rsid w:val="005242E0"/>
    <w:rsid w:val="005254E2"/>
    <w:rsid w:val="00527AE4"/>
    <w:rsid w:val="00533869"/>
    <w:rsid w:val="005373E7"/>
    <w:rsid w:val="00541072"/>
    <w:rsid w:val="005414D0"/>
    <w:rsid w:val="0054166E"/>
    <w:rsid w:val="0054402D"/>
    <w:rsid w:val="0054600D"/>
    <w:rsid w:val="00547B72"/>
    <w:rsid w:val="005511A8"/>
    <w:rsid w:val="0055171C"/>
    <w:rsid w:val="00552ED7"/>
    <w:rsid w:val="00553D19"/>
    <w:rsid w:val="005563BF"/>
    <w:rsid w:val="00562A87"/>
    <w:rsid w:val="005644D5"/>
    <w:rsid w:val="0056651A"/>
    <w:rsid w:val="00566C3C"/>
    <w:rsid w:val="005674EA"/>
    <w:rsid w:val="00567674"/>
    <w:rsid w:val="00567817"/>
    <w:rsid w:val="005679F8"/>
    <w:rsid w:val="00570C17"/>
    <w:rsid w:val="00571F1D"/>
    <w:rsid w:val="00575869"/>
    <w:rsid w:val="0058316E"/>
    <w:rsid w:val="0058535E"/>
    <w:rsid w:val="00587C5D"/>
    <w:rsid w:val="00590D6F"/>
    <w:rsid w:val="0059438A"/>
    <w:rsid w:val="00595A7A"/>
    <w:rsid w:val="005A083D"/>
    <w:rsid w:val="005A1559"/>
    <w:rsid w:val="005A3B36"/>
    <w:rsid w:val="005A4A36"/>
    <w:rsid w:val="005B0F58"/>
    <w:rsid w:val="005B2E8E"/>
    <w:rsid w:val="005B3DE1"/>
    <w:rsid w:val="005B4E20"/>
    <w:rsid w:val="005C1825"/>
    <w:rsid w:val="005C4B5A"/>
    <w:rsid w:val="005C50EE"/>
    <w:rsid w:val="005C75B0"/>
    <w:rsid w:val="005C7B30"/>
    <w:rsid w:val="005D0DAC"/>
    <w:rsid w:val="005D18B4"/>
    <w:rsid w:val="005D3969"/>
    <w:rsid w:val="005D449B"/>
    <w:rsid w:val="005E0FD6"/>
    <w:rsid w:val="005E2033"/>
    <w:rsid w:val="005E6035"/>
    <w:rsid w:val="005E66B0"/>
    <w:rsid w:val="005E76B6"/>
    <w:rsid w:val="005F495E"/>
    <w:rsid w:val="005F4B5E"/>
    <w:rsid w:val="00601205"/>
    <w:rsid w:val="00601FBD"/>
    <w:rsid w:val="0060281A"/>
    <w:rsid w:val="00605BBB"/>
    <w:rsid w:val="00606163"/>
    <w:rsid w:val="0060617A"/>
    <w:rsid w:val="0061397F"/>
    <w:rsid w:val="006141C5"/>
    <w:rsid w:val="00614DAF"/>
    <w:rsid w:val="00620B9E"/>
    <w:rsid w:val="00622562"/>
    <w:rsid w:val="00623984"/>
    <w:rsid w:val="0062688D"/>
    <w:rsid w:val="0062751D"/>
    <w:rsid w:val="00627FF6"/>
    <w:rsid w:val="00630DDF"/>
    <w:rsid w:val="006328F8"/>
    <w:rsid w:val="006373C5"/>
    <w:rsid w:val="0064011D"/>
    <w:rsid w:val="006426AF"/>
    <w:rsid w:val="00644318"/>
    <w:rsid w:val="00644B42"/>
    <w:rsid w:val="00646E67"/>
    <w:rsid w:val="0064718B"/>
    <w:rsid w:val="006510FC"/>
    <w:rsid w:val="00651FA2"/>
    <w:rsid w:val="0065798D"/>
    <w:rsid w:val="00661897"/>
    <w:rsid w:val="00663B5C"/>
    <w:rsid w:val="00664E81"/>
    <w:rsid w:val="006729A8"/>
    <w:rsid w:val="006775AB"/>
    <w:rsid w:val="00677646"/>
    <w:rsid w:val="00682464"/>
    <w:rsid w:val="006852F4"/>
    <w:rsid w:val="0068587E"/>
    <w:rsid w:val="00692490"/>
    <w:rsid w:val="00693406"/>
    <w:rsid w:val="00693C11"/>
    <w:rsid w:val="006A040E"/>
    <w:rsid w:val="006A2D4B"/>
    <w:rsid w:val="006B10CB"/>
    <w:rsid w:val="006B239E"/>
    <w:rsid w:val="006B2A60"/>
    <w:rsid w:val="006B412F"/>
    <w:rsid w:val="006B5848"/>
    <w:rsid w:val="006B70C7"/>
    <w:rsid w:val="006C58FC"/>
    <w:rsid w:val="006C7D07"/>
    <w:rsid w:val="006D1430"/>
    <w:rsid w:val="006D19E5"/>
    <w:rsid w:val="006D3457"/>
    <w:rsid w:val="006D60F3"/>
    <w:rsid w:val="006D6200"/>
    <w:rsid w:val="006E2027"/>
    <w:rsid w:val="006E4796"/>
    <w:rsid w:val="006E5C23"/>
    <w:rsid w:val="006E5D6E"/>
    <w:rsid w:val="006F1CAA"/>
    <w:rsid w:val="006F2033"/>
    <w:rsid w:val="006F3811"/>
    <w:rsid w:val="006F6400"/>
    <w:rsid w:val="006F781F"/>
    <w:rsid w:val="00703C4C"/>
    <w:rsid w:val="00704E0E"/>
    <w:rsid w:val="00713AA8"/>
    <w:rsid w:val="0071574B"/>
    <w:rsid w:val="00715C10"/>
    <w:rsid w:val="00715D8C"/>
    <w:rsid w:val="00720D9F"/>
    <w:rsid w:val="00721B03"/>
    <w:rsid w:val="00724D59"/>
    <w:rsid w:val="00727888"/>
    <w:rsid w:val="00730DBE"/>
    <w:rsid w:val="007339EC"/>
    <w:rsid w:val="00734418"/>
    <w:rsid w:val="00734498"/>
    <w:rsid w:val="007357B0"/>
    <w:rsid w:val="00736273"/>
    <w:rsid w:val="00737518"/>
    <w:rsid w:val="00741624"/>
    <w:rsid w:val="00742F66"/>
    <w:rsid w:val="00745509"/>
    <w:rsid w:val="00745627"/>
    <w:rsid w:val="00746B15"/>
    <w:rsid w:val="00751C1B"/>
    <w:rsid w:val="0075201D"/>
    <w:rsid w:val="00752100"/>
    <w:rsid w:val="007529B0"/>
    <w:rsid w:val="00752C8B"/>
    <w:rsid w:val="00753057"/>
    <w:rsid w:val="00754A08"/>
    <w:rsid w:val="00756E10"/>
    <w:rsid w:val="0075718F"/>
    <w:rsid w:val="00757D24"/>
    <w:rsid w:val="00762385"/>
    <w:rsid w:val="00763529"/>
    <w:rsid w:val="00772C3D"/>
    <w:rsid w:val="00774583"/>
    <w:rsid w:val="007756C0"/>
    <w:rsid w:val="00780F58"/>
    <w:rsid w:val="00781E63"/>
    <w:rsid w:val="007844AB"/>
    <w:rsid w:val="007855CC"/>
    <w:rsid w:val="00785669"/>
    <w:rsid w:val="0078690B"/>
    <w:rsid w:val="00791BEA"/>
    <w:rsid w:val="007921F2"/>
    <w:rsid w:val="00792B73"/>
    <w:rsid w:val="00794A52"/>
    <w:rsid w:val="00794CCF"/>
    <w:rsid w:val="00797217"/>
    <w:rsid w:val="007A0C4B"/>
    <w:rsid w:val="007A14DC"/>
    <w:rsid w:val="007A163A"/>
    <w:rsid w:val="007A6FE2"/>
    <w:rsid w:val="007B1ABA"/>
    <w:rsid w:val="007B308A"/>
    <w:rsid w:val="007B42DB"/>
    <w:rsid w:val="007B53FB"/>
    <w:rsid w:val="007B74C5"/>
    <w:rsid w:val="007C02A8"/>
    <w:rsid w:val="007C05CA"/>
    <w:rsid w:val="007D1FD4"/>
    <w:rsid w:val="007D22CC"/>
    <w:rsid w:val="007D250D"/>
    <w:rsid w:val="007D2B96"/>
    <w:rsid w:val="007D5FFC"/>
    <w:rsid w:val="007E2A98"/>
    <w:rsid w:val="007E385E"/>
    <w:rsid w:val="007E4D1E"/>
    <w:rsid w:val="007E4DE1"/>
    <w:rsid w:val="007E5F32"/>
    <w:rsid w:val="007E6F60"/>
    <w:rsid w:val="007E7835"/>
    <w:rsid w:val="007F136F"/>
    <w:rsid w:val="007F26DC"/>
    <w:rsid w:val="007F336B"/>
    <w:rsid w:val="007F40E1"/>
    <w:rsid w:val="007F41A7"/>
    <w:rsid w:val="007F773D"/>
    <w:rsid w:val="0080012D"/>
    <w:rsid w:val="008054C6"/>
    <w:rsid w:val="0080775E"/>
    <w:rsid w:val="00812A28"/>
    <w:rsid w:val="00812F01"/>
    <w:rsid w:val="008136A8"/>
    <w:rsid w:val="0081437C"/>
    <w:rsid w:val="00824A4B"/>
    <w:rsid w:val="00830DC3"/>
    <w:rsid w:val="00831B5B"/>
    <w:rsid w:val="008326D5"/>
    <w:rsid w:val="00832D75"/>
    <w:rsid w:val="00833732"/>
    <w:rsid w:val="00834250"/>
    <w:rsid w:val="0083445B"/>
    <w:rsid w:val="0083506A"/>
    <w:rsid w:val="008431BE"/>
    <w:rsid w:val="00844C9B"/>
    <w:rsid w:val="00846FF9"/>
    <w:rsid w:val="008507C1"/>
    <w:rsid w:val="00850B4E"/>
    <w:rsid w:val="008511DE"/>
    <w:rsid w:val="008512E5"/>
    <w:rsid w:val="008517D9"/>
    <w:rsid w:val="0085293D"/>
    <w:rsid w:val="00853047"/>
    <w:rsid w:val="00861934"/>
    <w:rsid w:val="00861AE3"/>
    <w:rsid w:val="00864D15"/>
    <w:rsid w:val="00867356"/>
    <w:rsid w:val="008716C6"/>
    <w:rsid w:val="008725FA"/>
    <w:rsid w:val="00874C13"/>
    <w:rsid w:val="00880A47"/>
    <w:rsid w:val="008827C2"/>
    <w:rsid w:val="00884214"/>
    <w:rsid w:val="0088591F"/>
    <w:rsid w:val="008859D2"/>
    <w:rsid w:val="00886252"/>
    <w:rsid w:val="00887E4E"/>
    <w:rsid w:val="008929B1"/>
    <w:rsid w:val="00892EA4"/>
    <w:rsid w:val="008936FF"/>
    <w:rsid w:val="0089393E"/>
    <w:rsid w:val="008945B0"/>
    <w:rsid w:val="00895C07"/>
    <w:rsid w:val="008A2126"/>
    <w:rsid w:val="008A3858"/>
    <w:rsid w:val="008A56A1"/>
    <w:rsid w:val="008A60B3"/>
    <w:rsid w:val="008B0DFD"/>
    <w:rsid w:val="008B1A28"/>
    <w:rsid w:val="008B4011"/>
    <w:rsid w:val="008B592F"/>
    <w:rsid w:val="008B6697"/>
    <w:rsid w:val="008C0D59"/>
    <w:rsid w:val="008C225A"/>
    <w:rsid w:val="008C2534"/>
    <w:rsid w:val="008C5649"/>
    <w:rsid w:val="008C6EE3"/>
    <w:rsid w:val="008D1876"/>
    <w:rsid w:val="008D2BB1"/>
    <w:rsid w:val="008D2EB1"/>
    <w:rsid w:val="008D39BF"/>
    <w:rsid w:val="008D43A2"/>
    <w:rsid w:val="008D5CC7"/>
    <w:rsid w:val="008D7120"/>
    <w:rsid w:val="008D7426"/>
    <w:rsid w:val="008E2854"/>
    <w:rsid w:val="008E36A6"/>
    <w:rsid w:val="008E5621"/>
    <w:rsid w:val="008F0839"/>
    <w:rsid w:val="008F0AC9"/>
    <w:rsid w:val="009046F3"/>
    <w:rsid w:val="00907E62"/>
    <w:rsid w:val="00907FF1"/>
    <w:rsid w:val="00910B4C"/>
    <w:rsid w:val="009120A9"/>
    <w:rsid w:val="00915B23"/>
    <w:rsid w:val="00917647"/>
    <w:rsid w:val="00920323"/>
    <w:rsid w:val="00923786"/>
    <w:rsid w:val="00924ABD"/>
    <w:rsid w:val="00924B33"/>
    <w:rsid w:val="00926A0D"/>
    <w:rsid w:val="00930CDA"/>
    <w:rsid w:val="0093114E"/>
    <w:rsid w:val="00931E4C"/>
    <w:rsid w:val="00932A52"/>
    <w:rsid w:val="00933A1E"/>
    <w:rsid w:val="0093434E"/>
    <w:rsid w:val="0093473D"/>
    <w:rsid w:val="009406B0"/>
    <w:rsid w:val="00940B15"/>
    <w:rsid w:val="00940DB6"/>
    <w:rsid w:val="00941A2E"/>
    <w:rsid w:val="00943F2E"/>
    <w:rsid w:val="00944006"/>
    <w:rsid w:val="0094690F"/>
    <w:rsid w:val="0095530C"/>
    <w:rsid w:val="00956306"/>
    <w:rsid w:val="0095636C"/>
    <w:rsid w:val="00956C6A"/>
    <w:rsid w:val="00966210"/>
    <w:rsid w:val="009666EB"/>
    <w:rsid w:val="00966DA7"/>
    <w:rsid w:val="00971B54"/>
    <w:rsid w:val="00972AB9"/>
    <w:rsid w:val="00972F57"/>
    <w:rsid w:val="0097744B"/>
    <w:rsid w:val="00984549"/>
    <w:rsid w:val="00991C3D"/>
    <w:rsid w:val="00993380"/>
    <w:rsid w:val="00995280"/>
    <w:rsid w:val="009A10E8"/>
    <w:rsid w:val="009A1AA8"/>
    <w:rsid w:val="009A5456"/>
    <w:rsid w:val="009A6403"/>
    <w:rsid w:val="009A7998"/>
    <w:rsid w:val="009B1DD4"/>
    <w:rsid w:val="009B2C99"/>
    <w:rsid w:val="009B6046"/>
    <w:rsid w:val="009C0135"/>
    <w:rsid w:val="009C17CF"/>
    <w:rsid w:val="009C3A0D"/>
    <w:rsid w:val="009C4235"/>
    <w:rsid w:val="009D290E"/>
    <w:rsid w:val="009D4773"/>
    <w:rsid w:val="009D5DE4"/>
    <w:rsid w:val="009D63DF"/>
    <w:rsid w:val="009E00A1"/>
    <w:rsid w:val="009E00C6"/>
    <w:rsid w:val="009E3C44"/>
    <w:rsid w:val="009F04FD"/>
    <w:rsid w:val="009F2E0C"/>
    <w:rsid w:val="009F37CA"/>
    <w:rsid w:val="009F5B61"/>
    <w:rsid w:val="009F5D97"/>
    <w:rsid w:val="009F60B9"/>
    <w:rsid w:val="009F6E06"/>
    <w:rsid w:val="009F71CF"/>
    <w:rsid w:val="00A015F6"/>
    <w:rsid w:val="00A01B6F"/>
    <w:rsid w:val="00A02730"/>
    <w:rsid w:val="00A056D2"/>
    <w:rsid w:val="00A12256"/>
    <w:rsid w:val="00A13341"/>
    <w:rsid w:val="00A14040"/>
    <w:rsid w:val="00A1478B"/>
    <w:rsid w:val="00A22849"/>
    <w:rsid w:val="00A23301"/>
    <w:rsid w:val="00A24024"/>
    <w:rsid w:val="00A24227"/>
    <w:rsid w:val="00A24E6E"/>
    <w:rsid w:val="00A303E0"/>
    <w:rsid w:val="00A30DCE"/>
    <w:rsid w:val="00A34B8E"/>
    <w:rsid w:val="00A40E5D"/>
    <w:rsid w:val="00A42782"/>
    <w:rsid w:val="00A43694"/>
    <w:rsid w:val="00A43ECE"/>
    <w:rsid w:val="00A45D11"/>
    <w:rsid w:val="00A47FEC"/>
    <w:rsid w:val="00A51BE1"/>
    <w:rsid w:val="00A5451F"/>
    <w:rsid w:val="00A56FC7"/>
    <w:rsid w:val="00A57D89"/>
    <w:rsid w:val="00A619B5"/>
    <w:rsid w:val="00A61EDB"/>
    <w:rsid w:val="00A6305F"/>
    <w:rsid w:val="00A72575"/>
    <w:rsid w:val="00A74071"/>
    <w:rsid w:val="00A75B1B"/>
    <w:rsid w:val="00A75B3D"/>
    <w:rsid w:val="00A76F60"/>
    <w:rsid w:val="00A812DC"/>
    <w:rsid w:val="00A81ADE"/>
    <w:rsid w:val="00A8400C"/>
    <w:rsid w:val="00A85F9F"/>
    <w:rsid w:val="00A87FE9"/>
    <w:rsid w:val="00A90923"/>
    <w:rsid w:val="00A913EA"/>
    <w:rsid w:val="00A92EC1"/>
    <w:rsid w:val="00A9442F"/>
    <w:rsid w:val="00A95C6A"/>
    <w:rsid w:val="00A97B19"/>
    <w:rsid w:val="00AA124A"/>
    <w:rsid w:val="00AA1606"/>
    <w:rsid w:val="00AA2A96"/>
    <w:rsid w:val="00AA6F5A"/>
    <w:rsid w:val="00AB12B9"/>
    <w:rsid w:val="00AB1DE3"/>
    <w:rsid w:val="00AB447F"/>
    <w:rsid w:val="00AB4723"/>
    <w:rsid w:val="00AC044F"/>
    <w:rsid w:val="00AC4117"/>
    <w:rsid w:val="00AD1964"/>
    <w:rsid w:val="00AD4D58"/>
    <w:rsid w:val="00AD6886"/>
    <w:rsid w:val="00AD7758"/>
    <w:rsid w:val="00AE0EB3"/>
    <w:rsid w:val="00AE53E8"/>
    <w:rsid w:val="00AE57C7"/>
    <w:rsid w:val="00AF13AE"/>
    <w:rsid w:val="00AF191F"/>
    <w:rsid w:val="00AF366B"/>
    <w:rsid w:val="00AF37A9"/>
    <w:rsid w:val="00AF4A3D"/>
    <w:rsid w:val="00AF5DD2"/>
    <w:rsid w:val="00AF5EE3"/>
    <w:rsid w:val="00B100CC"/>
    <w:rsid w:val="00B110D1"/>
    <w:rsid w:val="00B14B2B"/>
    <w:rsid w:val="00B15240"/>
    <w:rsid w:val="00B1719F"/>
    <w:rsid w:val="00B1723A"/>
    <w:rsid w:val="00B22F21"/>
    <w:rsid w:val="00B2304E"/>
    <w:rsid w:val="00B23125"/>
    <w:rsid w:val="00B23D34"/>
    <w:rsid w:val="00B24E6A"/>
    <w:rsid w:val="00B301F6"/>
    <w:rsid w:val="00B30E7E"/>
    <w:rsid w:val="00B31BEC"/>
    <w:rsid w:val="00B31F94"/>
    <w:rsid w:val="00B32C8B"/>
    <w:rsid w:val="00B34282"/>
    <w:rsid w:val="00B36A09"/>
    <w:rsid w:val="00B41CAF"/>
    <w:rsid w:val="00B43285"/>
    <w:rsid w:val="00B44762"/>
    <w:rsid w:val="00B466A8"/>
    <w:rsid w:val="00B527FE"/>
    <w:rsid w:val="00B551E2"/>
    <w:rsid w:val="00B55C68"/>
    <w:rsid w:val="00B63297"/>
    <w:rsid w:val="00B63433"/>
    <w:rsid w:val="00B6526B"/>
    <w:rsid w:val="00B658FD"/>
    <w:rsid w:val="00B661AD"/>
    <w:rsid w:val="00B6689D"/>
    <w:rsid w:val="00B67FA8"/>
    <w:rsid w:val="00B72368"/>
    <w:rsid w:val="00B76A74"/>
    <w:rsid w:val="00B80349"/>
    <w:rsid w:val="00B83BAE"/>
    <w:rsid w:val="00B868D2"/>
    <w:rsid w:val="00B90AA0"/>
    <w:rsid w:val="00B93C37"/>
    <w:rsid w:val="00B964F2"/>
    <w:rsid w:val="00B96AE8"/>
    <w:rsid w:val="00BA34E3"/>
    <w:rsid w:val="00BA7020"/>
    <w:rsid w:val="00BA703C"/>
    <w:rsid w:val="00BB1E03"/>
    <w:rsid w:val="00BB7933"/>
    <w:rsid w:val="00BC1CF7"/>
    <w:rsid w:val="00BC3DA3"/>
    <w:rsid w:val="00BC5A41"/>
    <w:rsid w:val="00BC67F9"/>
    <w:rsid w:val="00BC6989"/>
    <w:rsid w:val="00BD00B2"/>
    <w:rsid w:val="00BD18F6"/>
    <w:rsid w:val="00BD2634"/>
    <w:rsid w:val="00BD2F65"/>
    <w:rsid w:val="00BD3050"/>
    <w:rsid w:val="00BF0DD5"/>
    <w:rsid w:val="00BF4325"/>
    <w:rsid w:val="00C004B1"/>
    <w:rsid w:val="00C016F5"/>
    <w:rsid w:val="00C02FE3"/>
    <w:rsid w:val="00C07810"/>
    <w:rsid w:val="00C078CF"/>
    <w:rsid w:val="00C14A1D"/>
    <w:rsid w:val="00C16FB6"/>
    <w:rsid w:val="00C215DD"/>
    <w:rsid w:val="00C23E73"/>
    <w:rsid w:val="00C36E26"/>
    <w:rsid w:val="00C37AAA"/>
    <w:rsid w:val="00C37C99"/>
    <w:rsid w:val="00C438CF"/>
    <w:rsid w:val="00C43937"/>
    <w:rsid w:val="00C45D7C"/>
    <w:rsid w:val="00C47C34"/>
    <w:rsid w:val="00C531A5"/>
    <w:rsid w:val="00C54D58"/>
    <w:rsid w:val="00C557F3"/>
    <w:rsid w:val="00C561F2"/>
    <w:rsid w:val="00C573E1"/>
    <w:rsid w:val="00C57B79"/>
    <w:rsid w:val="00C64AE1"/>
    <w:rsid w:val="00C65C13"/>
    <w:rsid w:val="00C676A5"/>
    <w:rsid w:val="00C75D49"/>
    <w:rsid w:val="00C76532"/>
    <w:rsid w:val="00C77954"/>
    <w:rsid w:val="00C82366"/>
    <w:rsid w:val="00C8617A"/>
    <w:rsid w:val="00C877B8"/>
    <w:rsid w:val="00C877E2"/>
    <w:rsid w:val="00C8792F"/>
    <w:rsid w:val="00C90F5A"/>
    <w:rsid w:val="00C94290"/>
    <w:rsid w:val="00C94527"/>
    <w:rsid w:val="00C95DF6"/>
    <w:rsid w:val="00CA084C"/>
    <w:rsid w:val="00CA1276"/>
    <w:rsid w:val="00CA431B"/>
    <w:rsid w:val="00CA7252"/>
    <w:rsid w:val="00CB0EC5"/>
    <w:rsid w:val="00CB24FA"/>
    <w:rsid w:val="00CB2ACE"/>
    <w:rsid w:val="00CB5792"/>
    <w:rsid w:val="00CB579F"/>
    <w:rsid w:val="00CB5896"/>
    <w:rsid w:val="00CB6F81"/>
    <w:rsid w:val="00CC028E"/>
    <w:rsid w:val="00CC0A06"/>
    <w:rsid w:val="00CD00CD"/>
    <w:rsid w:val="00CD0DE5"/>
    <w:rsid w:val="00CD1469"/>
    <w:rsid w:val="00CD1679"/>
    <w:rsid w:val="00CD7F37"/>
    <w:rsid w:val="00CE2E4A"/>
    <w:rsid w:val="00CF06D8"/>
    <w:rsid w:val="00CF55D6"/>
    <w:rsid w:val="00CF56A8"/>
    <w:rsid w:val="00CF6A43"/>
    <w:rsid w:val="00CF7991"/>
    <w:rsid w:val="00CF7C7E"/>
    <w:rsid w:val="00D00B3E"/>
    <w:rsid w:val="00D00D30"/>
    <w:rsid w:val="00D040D4"/>
    <w:rsid w:val="00D04FC6"/>
    <w:rsid w:val="00D07317"/>
    <w:rsid w:val="00D112AD"/>
    <w:rsid w:val="00D125B1"/>
    <w:rsid w:val="00D152B1"/>
    <w:rsid w:val="00D1621D"/>
    <w:rsid w:val="00D16432"/>
    <w:rsid w:val="00D165B1"/>
    <w:rsid w:val="00D17E66"/>
    <w:rsid w:val="00D208B3"/>
    <w:rsid w:val="00D22195"/>
    <w:rsid w:val="00D22847"/>
    <w:rsid w:val="00D22DDE"/>
    <w:rsid w:val="00D22F63"/>
    <w:rsid w:val="00D2372D"/>
    <w:rsid w:val="00D265A4"/>
    <w:rsid w:val="00D27F44"/>
    <w:rsid w:val="00D30226"/>
    <w:rsid w:val="00D30E9B"/>
    <w:rsid w:val="00D31246"/>
    <w:rsid w:val="00D4241A"/>
    <w:rsid w:val="00D4422E"/>
    <w:rsid w:val="00D44668"/>
    <w:rsid w:val="00D53AAC"/>
    <w:rsid w:val="00D5525E"/>
    <w:rsid w:val="00D57033"/>
    <w:rsid w:val="00D60309"/>
    <w:rsid w:val="00D60459"/>
    <w:rsid w:val="00D61203"/>
    <w:rsid w:val="00D66D7A"/>
    <w:rsid w:val="00D70E08"/>
    <w:rsid w:val="00D752A7"/>
    <w:rsid w:val="00D759DC"/>
    <w:rsid w:val="00D774A4"/>
    <w:rsid w:val="00D818B5"/>
    <w:rsid w:val="00D84152"/>
    <w:rsid w:val="00D8589D"/>
    <w:rsid w:val="00D85F10"/>
    <w:rsid w:val="00D87A83"/>
    <w:rsid w:val="00D90242"/>
    <w:rsid w:val="00D92192"/>
    <w:rsid w:val="00D927D5"/>
    <w:rsid w:val="00D92A3D"/>
    <w:rsid w:val="00D95DF6"/>
    <w:rsid w:val="00D967ED"/>
    <w:rsid w:val="00D96931"/>
    <w:rsid w:val="00D9759B"/>
    <w:rsid w:val="00D97C8F"/>
    <w:rsid w:val="00DA0C4B"/>
    <w:rsid w:val="00DA1B7B"/>
    <w:rsid w:val="00DA5818"/>
    <w:rsid w:val="00DA63B0"/>
    <w:rsid w:val="00DA7B04"/>
    <w:rsid w:val="00DB27AA"/>
    <w:rsid w:val="00DB3995"/>
    <w:rsid w:val="00DB4126"/>
    <w:rsid w:val="00DB60E5"/>
    <w:rsid w:val="00DB6948"/>
    <w:rsid w:val="00DB707B"/>
    <w:rsid w:val="00DB79DF"/>
    <w:rsid w:val="00DB7FFC"/>
    <w:rsid w:val="00DC061C"/>
    <w:rsid w:val="00DC254A"/>
    <w:rsid w:val="00DC3473"/>
    <w:rsid w:val="00DC3F15"/>
    <w:rsid w:val="00DD0697"/>
    <w:rsid w:val="00DD10B5"/>
    <w:rsid w:val="00DD28E2"/>
    <w:rsid w:val="00DD326C"/>
    <w:rsid w:val="00DD37CA"/>
    <w:rsid w:val="00DD7599"/>
    <w:rsid w:val="00DD7ABE"/>
    <w:rsid w:val="00DE4824"/>
    <w:rsid w:val="00DE4C50"/>
    <w:rsid w:val="00DE6CCF"/>
    <w:rsid w:val="00DF153F"/>
    <w:rsid w:val="00DF3361"/>
    <w:rsid w:val="00DF3625"/>
    <w:rsid w:val="00DF430C"/>
    <w:rsid w:val="00DF7CEE"/>
    <w:rsid w:val="00E01262"/>
    <w:rsid w:val="00E02F1A"/>
    <w:rsid w:val="00E03865"/>
    <w:rsid w:val="00E03CF1"/>
    <w:rsid w:val="00E046A9"/>
    <w:rsid w:val="00E061DE"/>
    <w:rsid w:val="00E06462"/>
    <w:rsid w:val="00E121C5"/>
    <w:rsid w:val="00E128E7"/>
    <w:rsid w:val="00E138FC"/>
    <w:rsid w:val="00E173DE"/>
    <w:rsid w:val="00E21E3C"/>
    <w:rsid w:val="00E24F64"/>
    <w:rsid w:val="00E2571B"/>
    <w:rsid w:val="00E26358"/>
    <w:rsid w:val="00E27D2D"/>
    <w:rsid w:val="00E33D7F"/>
    <w:rsid w:val="00E3717F"/>
    <w:rsid w:val="00E4165F"/>
    <w:rsid w:val="00E426F7"/>
    <w:rsid w:val="00E43FA3"/>
    <w:rsid w:val="00E45588"/>
    <w:rsid w:val="00E467DB"/>
    <w:rsid w:val="00E542ED"/>
    <w:rsid w:val="00E54DEE"/>
    <w:rsid w:val="00E550C8"/>
    <w:rsid w:val="00E61DBC"/>
    <w:rsid w:val="00E6355B"/>
    <w:rsid w:val="00E64D10"/>
    <w:rsid w:val="00E65430"/>
    <w:rsid w:val="00E661C2"/>
    <w:rsid w:val="00E70C26"/>
    <w:rsid w:val="00E747C3"/>
    <w:rsid w:val="00E754B5"/>
    <w:rsid w:val="00E75D5D"/>
    <w:rsid w:val="00E765B0"/>
    <w:rsid w:val="00E803E6"/>
    <w:rsid w:val="00E81686"/>
    <w:rsid w:val="00E84737"/>
    <w:rsid w:val="00E866AC"/>
    <w:rsid w:val="00E86825"/>
    <w:rsid w:val="00E868E0"/>
    <w:rsid w:val="00E900EA"/>
    <w:rsid w:val="00E95952"/>
    <w:rsid w:val="00E95E77"/>
    <w:rsid w:val="00E979AF"/>
    <w:rsid w:val="00EA233E"/>
    <w:rsid w:val="00EA2CDB"/>
    <w:rsid w:val="00EA32F7"/>
    <w:rsid w:val="00EA36F2"/>
    <w:rsid w:val="00EA59FF"/>
    <w:rsid w:val="00EA67FC"/>
    <w:rsid w:val="00EB4271"/>
    <w:rsid w:val="00EB4C5C"/>
    <w:rsid w:val="00EC10FA"/>
    <w:rsid w:val="00EC233D"/>
    <w:rsid w:val="00EC4481"/>
    <w:rsid w:val="00EC695F"/>
    <w:rsid w:val="00ED1F49"/>
    <w:rsid w:val="00ED2A20"/>
    <w:rsid w:val="00ED3309"/>
    <w:rsid w:val="00ED5AAA"/>
    <w:rsid w:val="00ED603E"/>
    <w:rsid w:val="00EE07E6"/>
    <w:rsid w:val="00EE1BE9"/>
    <w:rsid w:val="00EF0297"/>
    <w:rsid w:val="00EF0B08"/>
    <w:rsid w:val="00EF0D67"/>
    <w:rsid w:val="00EF0D96"/>
    <w:rsid w:val="00EF1DE9"/>
    <w:rsid w:val="00EF27B0"/>
    <w:rsid w:val="00EF4488"/>
    <w:rsid w:val="00EF4B26"/>
    <w:rsid w:val="00EF592E"/>
    <w:rsid w:val="00EF7672"/>
    <w:rsid w:val="00EF7D2C"/>
    <w:rsid w:val="00F02A79"/>
    <w:rsid w:val="00F0710E"/>
    <w:rsid w:val="00F13218"/>
    <w:rsid w:val="00F144E7"/>
    <w:rsid w:val="00F14C8A"/>
    <w:rsid w:val="00F1554E"/>
    <w:rsid w:val="00F20069"/>
    <w:rsid w:val="00F230CD"/>
    <w:rsid w:val="00F30233"/>
    <w:rsid w:val="00F34DD1"/>
    <w:rsid w:val="00F362EB"/>
    <w:rsid w:val="00F400F0"/>
    <w:rsid w:val="00F40AD6"/>
    <w:rsid w:val="00F40D31"/>
    <w:rsid w:val="00F42F90"/>
    <w:rsid w:val="00F5153B"/>
    <w:rsid w:val="00F51C18"/>
    <w:rsid w:val="00F63DE4"/>
    <w:rsid w:val="00F64513"/>
    <w:rsid w:val="00F64816"/>
    <w:rsid w:val="00F65DC0"/>
    <w:rsid w:val="00F677B7"/>
    <w:rsid w:val="00F70177"/>
    <w:rsid w:val="00F70DE1"/>
    <w:rsid w:val="00F715F5"/>
    <w:rsid w:val="00F722DF"/>
    <w:rsid w:val="00F72724"/>
    <w:rsid w:val="00F77CC3"/>
    <w:rsid w:val="00F82466"/>
    <w:rsid w:val="00F82669"/>
    <w:rsid w:val="00F83878"/>
    <w:rsid w:val="00F87B85"/>
    <w:rsid w:val="00F912F6"/>
    <w:rsid w:val="00F91952"/>
    <w:rsid w:val="00F920B8"/>
    <w:rsid w:val="00F92840"/>
    <w:rsid w:val="00F93761"/>
    <w:rsid w:val="00F948D6"/>
    <w:rsid w:val="00F96756"/>
    <w:rsid w:val="00F97E55"/>
    <w:rsid w:val="00FA2DE8"/>
    <w:rsid w:val="00FA31E2"/>
    <w:rsid w:val="00FA776A"/>
    <w:rsid w:val="00FB23E1"/>
    <w:rsid w:val="00FB5C18"/>
    <w:rsid w:val="00FC1373"/>
    <w:rsid w:val="00FC1627"/>
    <w:rsid w:val="00FC469B"/>
    <w:rsid w:val="00FC4AF2"/>
    <w:rsid w:val="00FD0138"/>
    <w:rsid w:val="00FD7A94"/>
    <w:rsid w:val="00FE1579"/>
    <w:rsid w:val="00FE49E6"/>
    <w:rsid w:val="00FF04A6"/>
    <w:rsid w:val="00FF5B70"/>
    <w:rsid w:val="00FF5BB9"/>
    <w:rsid w:val="00FF61BE"/>
    <w:rsid w:val="00FF656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A3668D"/>
  <w14:defaultImageDpi w14:val="330"/>
  <w15:chartTrackingRefBased/>
  <w15:docId w15:val="{9C8FA9C2-EC17-466F-AAD4-D6647DC21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527"/>
    <w:pPr>
      <w:spacing w:after="200" w:line="276" w:lineRule="auto"/>
    </w:pPr>
  </w:style>
  <w:style w:type="paragraph" w:styleId="Heading1">
    <w:name w:val="heading 1"/>
    <w:basedOn w:val="Normal"/>
    <w:next w:val="Normal"/>
    <w:link w:val="Heading1Char"/>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8E2854"/>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semiHidden/>
    <w:unhideWhenUsed/>
    <w:qFormat/>
    <w:rsid w:val="00A90923"/>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90923"/>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90923"/>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10"/>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11"/>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11"/>
    <w:rsid w:val="007855CC"/>
    <w:rPr>
      <w:rFonts w:ascii="Calibri" w:eastAsiaTheme="minorEastAsia" w:hAnsi="Calibri"/>
      <w:color w:val="E9A913" w:themeColor="accent5"/>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8E2854"/>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5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qFormat/>
    <w:rsid w:val="0022498C"/>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Paragraph">
    <w:name w:val="List Paragraph"/>
    <w:aliases w:val="0Bullet,Bullet point,Indented bullet,L,List Paragraph1,List Paragraph11,List Paragraph2,Recommendation,bullet point list"/>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A56FC7"/>
    <w:pPr>
      <w:numPr>
        <w:numId w:val="2"/>
      </w:numPr>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character" w:customStyle="1" w:styleId="Heading7Char">
    <w:name w:val="Heading 7 Char"/>
    <w:basedOn w:val="DefaultParagraphFont"/>
    <w:link w:val="Heading7"/>
    <w:uiPriority w:val="9"/>
    <w:semiHidden/>
    <w:rsid w:val="00A90923"/>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90923"/>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90923"/>
    <w:rPr>
      <w:rFonts w:asciiTheme="majorHAnsi" w:eastAsiaTheme="majorEastAsia" w:hAnsiTheme="majorHAnsi" w:cstheme="majorBidi"/>
      <w:i/>
      <w:iCs/>
      <w:spacing w:val="5"/>
      <w:sz w:val="20"/>
      <w:szCs w:val="20"/>
    </w:rPr>
  </w:style>
  <w:style w:type="character" w:styleId="Emphasis">
    <w:name w:val="Emphasis"/>
    <w:uiPriority w:val="20"/>
    <w:qFormat/>
    <w:rsid w:val="00A90923"/>
    <w:rPr>
      <w:b/>
      <w:bCs/>
      <w:i/>
      <w:iCs/>
      <w:spacing w:val="10"/>
      <w:bdr w:val="none" w:sz="0" w:space="0" w:color="auto"/>
      <w:shd w:val="clear" w:color="auto" w:fill="auto"/>
    </w:rPr>
  </w:style>
  <w:style w:type="character" w:styleId="BookTitle">
    <w:name w:val="Book Title"/>
    <w:uiPriority w:val="33"/>
    <w:qFormat/>
    <w:rsid w:val="00A90923"/>
    <w:rPr>
      <w:i/>
      <w:iCs/>
      <w:caps w:val="0"/>
      <w:smallCaps w:val="0"/>
      <w:spacing w:val="5"/>
    </w:rPr>
  </w:style>
  <w:style w:type="paragraph" w:styleId="NoSpacing">
    <w:name w:val="No Spacing"/>
    <w:basedOn w:val="Normal"/>
    <w:link w:val="NoSpacingChar"/>
    <w:uiPriority w:val="1"/>
    <w:qFormat/>
    <w:rsid w:val="00A90923"/>
    <w:pPr>
      <w:spacing w:after="0" w:line="240" w:lineRule="auto"/>
    </w:pPr>
    <w:rPr>
      <w:rFonts w:eastAsiaTheme="minorEastAsia"/>
    </w:rPr>
  </w:style>
  <w:style w:type="paragraph" w:styleId="IntenseQuote">
    <w:name w:val="Intense Quote"/>
    <w:basedOn w:val="Normal"/>
    <w:next w:val="Normal"/>
    <w:link w:val="IntenseQuoteChar"/>
    <w:uiPriority w:val="30"/>
    <w:semiHidden/>
    <w:qFormat/>
    <w:rsid w:val="00A90923"/>
    <w:pPr>
      <w:pBdr>
        <w:bottom w:val="single" w:sz="4" w:space="1" w:color="auto"/>
      </w:pBdr>
      <w:spacing w:before="200" w:after="280"/>
      <w:ind w:left="1008" w:right="1152"/>
      <w:jc w:val="both"/>
    </w:pPr>
    <w:rPr>
      <w:rFonts w:eastAsiaTheme="minorEastAsia"/>
      <w:b/>
      <w:bCs/>
      <w:i/>
      <w:iCs/>
    </w:rPr>
  </w:style>
  <w:style w:type="character" w:customStyle="1" w:styleId="IntenseQuoteChar">
    <w:name w:val="Intense Quote Char"/>
    <w:basedOn w:val="DefaultParagraphFont"/>
    <w:link w:val="IntenseQuote"/>
    <w:uiPriority w:val="30"/>
    <w:semiHidden/>
    <w:rsid w:val="00A90923"/>
    <w:rPr>
      <w:rFonts w:eastAsiaTheme="minorEastAsia"/>
      <w:b/>
      <w:bCs/>
      <w:i/>
      <w:iCs/>
    </w:rPr>
  </w:style>
  <w:style w:type="character" w:styleId="SubtleEmphasis">
    <w:name w:val="Subtle Emphasis"/>
    <w:uiPriority w:val="19"/>
    <w:semiHidden/>
    <w:qFormat/>
    <w:rsid w:val="00A90923"/>
    <w:rPr>
      <w:i/>
      <w:iCs/>
    </w:rPr>
  </w:style>
  <w:style w:type="character" w:styleId="IntenseEmphasis">
    <w:name w:val="Intense Emphasis"/>
    <w:uiPriority w:val="21"/>
    <w:qFormat/>
    <w:rsid w:val="00A90923"/>
    <w:rPr>
      <w:b/>
      <w:bCs/>
    </w:rPr>
  </w:style>
  <w:style w:type="character" w:styleId="SubtleReference">
    <w:name w:val="Subtle Reference"/>
    <w:uiPriority w:val="31"/>
    <w:semiHidden/>
    <w:qFormat/>
    <w:rsid w:val="00A90923"/>
    <w:rPr>
      <w:smallCaps/>
    </w:rPr>
  </w:style>
  <w:style w:type="character" w:styleId="IntenseReference">
    <w:name w:val="Intense Reference"/>
    <w:uiPriority w:val="32"/>
    <w:semiHidden/>
    <w:qFormat/>
    <w:rsid w:val="00A90923"/>
    <w:rPr>
      <w:smallCaps/>
      <w:spacing w:val="5"/>
      <w:u w:val="single"/>
    </w:rPr>
  </w:style>
  <w:style w:type="paragraph" w:styleId="ListNumber2">
    <w:name w:val="List Number 2"/>
    <w:basedOn w:val="Normal"/>
    <w:uiPriority w:val="99"/>
    <w:unhideWhenUsed/>
    <w:rsid w:val="00A90923"/>
    <w:pPr>
      <w:tabs>
        <w:tab w:val="left" w:pos="1134"/>
      </w:tabs>
      <w:spacing w:after="120"/>
      <w:ind w:left="936" w:hanging="567"/>
      <w:contextualSpacing/>
    </w:pPr>
    <w:rPr>
      <w:rFonts w:eastAsiaTheme="minorEastAsia"/>
    </w:rPr>
  </w:style>
  <w:style w:type="paragraph" w:styleId="ListNumber3">
    <w:name w:val="List Number 3"/>
    <w:basedOn w:val="Normal"/>
    <w:uiPriority w:val="99"/>
    <w:unhideWhenUsed/>
    <w:rsid w:val="00A90923"/>
    <w:pPr>
      <w:spacing w:after="120"/>
      <w:ind w:left="1701" w:hanging="765"/>
      <w:contextualSpacing/>
    </w:pPr>
    <w:rPr>
      <w:rFonts w:eastAsiaTheme="minorEastAsia"/>
    </w:rPr>
  </w:style>
  <w:style w:type="paragraph" w:styleId="ListNumber4">
    <w:name w:val="List Number 4"/>
    <w:basedOn w:val="Normal"/>
    <w:uiPriority w:val="99"/>
    <w:unhideWhenUsed/>
    <w:rsid w:val="00A90923"/>
    <w:pPr>
      <w:spacing w:after="120"/>
      <w:ind w:left="2637" w:hanging="936"/>
      <w:contextualSpacing/>
    </w:pPr>
    <w:rPr>
      <w:rFonts w:eastAsiaTheme="minorEastAsia"/>
    </w:rPr>
  </w:style>
  <w:style w:type="paragraph" w:styleId="ListBullet2">
    <w:name w:val="List Bullet 2"/>
    <w:basedOn w:val="Normal"/>
    <w:uiPriority w:val="99"/>
    <w:unhideWhenUsed/>
    <w:rsid w:val="00A90923"/>
    <w:pPr>
      <w:spacing w:after="120"/>
      <w:ind w:left="766" w:hanging="369"/>
      <w:contextualSpacing/>
    </w:pPr>
    <w:rPr>
      <w:rFonts w:eastAsiaTheme="minorEastAsia"/>
    </w:rPr>
  </w:style>
  <w:style w:type="paragraph" w:styleId="ListBullet3">
    <w:name w:val="List Bullet 3"/>
    <w:basedOn w:val="Normal"/>
    <w:uiPriority w:val="99"/>
    <w:unhideWhenUsed/>
    <w:rsid w:val="00A90923"/>
    <w:pPr>
      <w:spacing w:after="120"/>
      <w:ind w:left="1163" w:hanging="369"/>
      <w:contextualSpacing/>
    </w:pPr>
    <w:rPr>
      <w:rFonts w:eastAsiaTheme="minorEastAsia"/>
    </w:rPr>
  </w:style>
  <w:style w:type="paragraph" w:styleId="ListBullet4">
    <w:name w:val="List Bullet 4"/>
    <w:basedOn w:val="Normal"/>
    <w:uiPriority w:val="99"/>
    <w:unhideWhenUsed/>
    <w:rsid w:val="00A90923"/>
    <w:pPr>
      <w:spacing w:after="120"/>
      <w:ind w:left="1503" w:hanging="369"/>
      <w:contextualSpacing/>
    </w:pPr>
    <w:rPr>
      <w:rFonts w:eastAsiaTheme="minorEastAsia"/>
    </w:rPr>
  </w:style>
  <w:style w:type="table" w:customStyle="1" w:styleId="DEEWRTable">
    <w:name w:val="DEEWR Table"/>
    <w:basedOn w:val="TableNormal"/>
    <w:uiPriority w:val="99"/>
    <w:rsid w:val="00A90923"/>
    <w:pPr>
      <w:spacing w:after="0" w:line="240" w:lineRule="auto"/>
    </w:pPr>
    <w:rPr>
      <w:rFonts w:eastAsiaTheme="minorEastAsia"/>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rsid w:val="00A9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A9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A90923"/>
    <w:rPr>
      <w:rFonts w:eastAsia="Times New Roman" w:cs="Times New Roman"/>
      <w:szCs w:val="24"/>
      <w:lang w:eastAsia="en-AU"/>
    </w:rPr>
  </w:style>
  <w:style w:type="character" w:customStyle="1" w:styleId="NoSpacingChar">
    <w:name w:val="No Spacing Char"/>
    <w:basedOn w:val="DefaultParagraphFont"/>
    <w:link w:val="NoSpacing"/>
    <w:uiPriority w:val="1"/>
    <w:rsid w:val="00A90923"/>
    <w:rPr>
      <w:rFonts w:eastAsiaTheme="minorEastAsia"/>
    </w:rPr>
  </w:style>
  <w:style w:type="character" w:styleId="PlaceholderText">
    <w:name w:val="Placeholder Text"/>
    <w:basedOn w:val="DefaultParagraphFont"/>
    <w:uiPriority w:val="99"/>
    <w:semiHidden/>
    <w:rsid w:val="00A90923"/>
    <w:rPr>
      <w:color w:val="808080"/>
    </w:rPr>
  </w:style>
  <w:style w:type="paragraph" w:customStyle="1" w:styleId="DeleteText">
    <w:name w:val="Delete Text"/>
    <w:basedOn w:val="Normal"/>
    <w:qFormat/>
    <w:rsid w:val="00A90923"/>
    <w:rPr>
      <w:rFonts w:eastAsiaTheme="minorEastAsia"/>
      <w:color w:val="B6006A" w:themeColor="accent4"/>
    </w:rPr>
  </w:style>
  <w:style w:type="table" w:styleId="ColorfulGrid-Accent1">
    <w:name w:val="Colorful Grid Accent 1"/>
    <w:basedOn w:val="TableNormal"/>
    <w:uiPriority w:val="73"/>
    <w:semiHidden/>
    <w:rsid w:val="00A90923"/>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A5E5FF" w:themeFill="accent1" w:themeFillTint="33"/>
    </w:tcPr>
    <w:tblStylePr w:type="firstRow">
      <w:rPr>
        <w:b/>
        <w:bCs/>
      </w:rPr>
      <w:tblPr/>
      <w:tcPr>
        <w:shd w:val="clear" w:color="auto" w:fill="4CCBFF" w:themeFill="accent1" w:themeFillTint="66"/>
      </w:tcPr>
    </w:tblStylePr>
    <w:tblStylePr w:type="lastRow">
      <w:rPr>
        <w:b/>
        <w:bCs/>
        <w:color w:val="000000" w:themeColor="text1"/>
      </w:rPr>
      <w:tblPr/>
      <w:tcPr>
        <w:shd w:val="clear" w:color="auto" w:fill="4CCBFF" w:themeFill="accent1" w:themeFillTint="66"/>
      </w:tcPr>
    </w:tblStylePr>
    <w:tblStylePr w:type="firstCol">
      <w:rPr>
        <w:color w:val="FFFFFF" w:themeColor="background1"/>
      </w:rPr>
      <w:tblPr/>
      <w:tcPr>
        <w:shd w:val="clear" w:color="auto" w:fill="00212F" w:themeFill="accent1" w:themeFillShade="BF"/>
      </w:tcPr>
    </w:tblStylePr>
    <w:tblStylePr w:type="lastCol">
      <w:rPr>
        <w:color w:val="FFFFFF" w:themeColor="background1"/>
      </w:rPr>
      <w:tblPr/>
      <w:tcPr>
        <w:shd w:val="clear" w:color="auto" w:fill="00212F" w:themeFill="accent1" w:themeFillShade="BF"/>
      </w:tcPr>
    </w:tblStylePr>
    <w:tblStylePr w:type="band1Vert">
      <w:tblPr/>
      <w:tcPr>
        <w:shd w:val="clear" w:color="auto" w:fill="20BFFF" w:themeFill="accent1" w:themeFillTint="7F"/>
      </w:tcPr>
    </w:tblStylePr>
    <w:tblStylePr w:type="band1Horz">
      <w:tblPr/>
      <w:tcPr>
        <w:shd w:val="clear" w:color="auto" w:fill="20BFFF" w:themeFill="accent1" w:themeFillTint="7F"/>
      </w:tcPr>
    </w:tblStylePr>
  </w:style>
  <w:style w:type="table" w:styleId="ColorfulGrid-Accent2">
    <w:name w:val="Colorful Grid Accent 2"/>
    <w:basedOn w:val="TableNormal"/>
    <w:uiPriority w:val="73"/>
    <w:semiHidden/>
    <w:rsid w:val="00A90923"/>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CDFD2" w:themeFill="accent2" w:themeFillTint="33"/>
    </w:tcPr>
    <w:tblStylePr w:type="firstRow">
      <w:rPr>
        <w:b/>
        <w:bCs/>
      </w:rPr>
      <w:tblPr/>
      <w:tcPr>
        <w:shd w:val="clear" w:color="auto" w:fill="F9C0A6" w:themeFill="accent2" w:themeFillTint="66"/>
      </w:tcPr>
    </w:tblStylePr>
    <w:tblStylePr w:type="lastRow">
      <w:rPr>
        <w:b/>
        <w:bCs/>
        <w:color w:val="000000" w:themeColor="text1"/>
      </w:rPr>
      <w:tblPr/>
      <w:tcPr>
        <w:shd w:val="clear" w:color="auto" w:fill="F9C0A6" w:themeFill="accent2" w:themeFillTint="66"/>
      </w:tcPr>
    </w:tblStylePr>
    <w:tblStylePr w:type="firstCol">
      <w:rPr>
        <w:color w:val="FFFFFF" w:themeColor="background1"/>
      </w:rPr>
      <w:tblPr/>
      <w:tcPr>
        <w:shd w:val="clear" w:color="auto" w:fill="C3440B" w:themeFill="accent2" w:themeFillShade="BF"/>
      </w:tcPr>
    </w:tblStylePr>
    <w:tblStylePr w:type="lastCol">
      <w:rPr>
        <w:color w:val="FFFFFF" w:themeColor="background1"/>
      </w:rPr>
      <w:tblPr/>
      <w:tcPr>
        <w:shd w:val="clear" w:color="auto" w:fill="C3440B" w:themeFill="accent2" w:themeFillShade="BF"/>
      </w:tcPr>
    </w:tblStylePr>
    <w:tblStylePr w:type="band1Vert">
      <w:tblPr/>
      <w:tcPr>
        <w:shd w:val="clear" w:color="auto" w:fill="F8B090" w:themeFill="accent2" w:themeFillTint="7F"/>
      </w:tcPr>
    </w:tblStylePr>
    <w:tblStylePr w:type="band1Horz">
      <w:tblPr/>
      <w:tcPr>
        <w:shd w:val="clear" w:color="auto" w:fill="F8B090" w:themeFill="accent2" w:themeFillTint="7F"/>
      </w:tcPr>
    </w:tblStylePr>
  </w:style>
  <w:style w:type="table" w:styleId="ColorfulGrid-Accent3">
    <w:name w:val="Colorful Grid Accent 3"/>
    <w:basedOn w:val="TableNormal"/>
    <w:uiPriority w:val="73"/>
    <w:semiHidden/>
    <w:rsid w:val="00A90923"/>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B3FFF7" w:themeFill="accent3" w:themeFillTint="33"/>
    </w:tcPr>
    <w:tblStylePr w:type="firstRow">
      <w:rPr>
        <w:b/>
        <w:bCs/>
      </w:rPr>
      <w:tblPr/>
      <w:tcPr>
        <w:shd w:val="clear" w:color="auto" w:fill="67FFF0" w:themeFill="accent3" w:themeFillTint="66"/>
      </w:tcPr>
    </w:tblStylePr>
    <w:tblStylePr w:type="lastRow">
      <w:rPr>
        <w:b/>
        <w:bCs/>
        <w:color w:val="000000" w:themeColor="text1"/>
      </w:rPr>
      <w:tblPr/>
      <w:tcPr>
        <w:shd w:val="clear" w:color="auto" w:fill="67FFF0" w:themeFill="accent3" w:themeFillTint="66"/>
      </w:tcPr>
    </w:tblStylePr>
    <w:tblStylePr w:type="firstCol">
      <w:rPr>
        <w:color w:val="FFFFFF" w:themeColor="background1"/>
      </w:rPr>
      <w:tblPr/>
      <w:tcPr>
        <w:shd w:val="clear" w:color="auto" w:fill="006158" w:themeFill="accent3" w:themeFillShade="BF"/>
      </w:tcPr>
    </w:tblStylePr>
    <w:tblStylePr w:type="lastCol">
      <w:rPr>
        <w:color w:val="FFFFFF" w:themeColor="background1"/>
      </w:rPr>
      <w:tblPr/>
      <w:tcPr>
        <w:shd w:val="clear" w:color="auto" w:fill="006158" w:themeFill="accent3" w:themeFillShade="BF"/>
      </w:tcPr>
    </w:tblStylePr>
    <w:tblStylePr w:type="band1Vert">
      <w:tblPr/>
      <w:tcPr>
        <w:shd w:val="clear" w:color="auto" w:fill="41FFED" w:themeFill="accent3" w:themeFillTint="7F"/>
      </w:tcPr>
    </w:tblStylePr>
    <w:tblStylePr w:type="band1Horz">
      <w:tblPr/>
      <w:tcPr>
        <w:shd w:val="clear" w:color="auto" w:fill="41FFED" w:themeFill="accent3" w:themeFillTint="7F"/>
      </w:tcPr>
    </w:tblStylePr>
  </w:style>
  <w:style w:type="table" w:styleId="ColorfulGrid-Accent4">
    <w:name w:val="Colorful Grid Accent 4"/>
    <w:basedOn w:val="TableNormal"/>
    <w:uiPriority w:val="73"/>
    <w:semiHidden/>
    <w:rsid w:val="00A90923"/>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FBDE3" w:themeFill="accent4" w:themeFillTint="33"/>
    </w:tcPr>
    <w:tblStylePr w:type="firstRow">
      <w:rPr>
        <w:b/>
        <w:bCs/>
      </w:rPr>
      <w:tblPr/>
      <w:tcPr>
        <w:shd w:val="clear" w:color="auto" w:fill="FF7BC7" w:themeFill="accent4" w:themeFillTint="66"/>
      </w:tcPr>
    </w:tblStylePr>
    <w:tblStylePr w:type="lastRow">
      <w:rPr>
        <w:b/>
        <w:bCs/>
        <w:color w:val="000000" w:themeColor="text1"/>
      </w:rPr>
      <w:tblPr/>
      <w:tcPr>
        <w:shd w:val="clear" w:color="auto" w:fill="FF7BC7" w:themeFill="accent4" w:themeFillTint="66"/>
      </w:tcPr>
    </w:tblStylePr>
    <w:tblStylePr w:type="firstCol">
      <w:rPr>
        <w:color w:val="FFFFFF" w:themeColor="background1"/>
      </w:rPr>
      <w:tblPr/>
      <w:tcPr>
        <w:shd w:val="clear" w:color="auto" w:fill="88004E" w:themeFill="accent4" w:themeFillShade="BF"/>
      </w:tcPr>
    </w:tblStylePr>
    <w:tblStylePr w:type="lastCol">
      <w:rPr>
        <w:color w:val="FFFFFF" w:themeColor="background1"/>
      </w:rPr>
      <w:tblPr/>
      <w:tcPr>
        <w:shd w:val="clear" w:color="auto" w:fill="88004E" w:themeFill="accent4" w:themeFillShade="BF"/>
      </w:tcPr>
    </w:tblStylePr>
    <w:tblStylePr w:type="band1Vert">
      <w:tblPr/>
      <w:tcPr>
        <w:shd w:val="clear" w:color="auto" w:fill="FF5BBA" w:themeFill="accent4" w:themeFillTint="7F"/>
      </w:tcPr>
    </w:tblStylePr>
    <w:tblStylePr w:type="band1Horz">
      <w:tblPr/>
      <w:tcPr>
        <w:shd w:val="clear" w:color="auto" w:fill="FF5BBA" w:themeFill="accent4" w:themeFillTint="7F"/>
      </w:tcPr>
    </w:tblStylePr>
  </w:style>
  <w:style w:type="table" w:styleId="ColorfulGrid-Accent5">
    <w:name w:val="Colorful Grid Accent 5"/>
    <w:basedOn w:val="TableNormal"/>
    <w:uiPriority w:val="73"/>
    <w:semiHidden/>
    <w:rsid w:val="00A90923"/>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BEDCF" w:themeFill="accent5" w:themeFillTint="33"/>
    </w:tcPr>
    <w:tblStylePr w:type="firstRow">
      <w:rPr>
        <w:b/>
        <w:bCs/>
      </w:rPr>
      <w:tblPr/>
      <w:tcPr>
        <w:shd w:val="clear" w:color="auto" w:fill="F7DC9F" w:themeFill="accent5" w:themeFillTint="66"/>
      </w:tcPr>
    </w:tblStylePr>
    <w:tblStylePr w:type="lastRow">
      <w:rPr>
        <w:b/>
        <w:bCs/>
        <w:color w:val="000000" w:themeColor="text1"/>
      </w:rPr>
      <w:tblPr/>
      <w:tcPr>
        <w:shd w:val="clear" w:color="auto" w:fill="F7DC9F" w:themeFill="accent5" w:themeFillTint="66"/>
      </w:tcPr>
    </w:tblStylePr>
    <w:tblStylePr w:type="firstCol">
      <w:rPr>
        <w:color w:val="FFFFFF" w:themeColor="background1"/>
      </w:rPr>
      <w:tblPr/>
      <w:tcPr>
        <w:shd w:val="clear" w:color="auto" w:fill="AE7E0E" w:themeFill="accent5" w:themeFillShade="BF"/>
      </w:tcPr>
    </w:tblStylePr>
    <w:tblStylePr w:type="lastCol">
      <w:rPr>
        <w:color w:val="FFFFFF" w:themeColor="background1"/>
      </w:rPr>
      <w:tblPr/>
      <w:tcPr>
        <w:shd w:val="clear" w:color="auto" w:fill="AE7E0E" w:themeFill="accent5" w:themeFillShade="BF"/>
      </w:tcPr>
    </w:tblStylePr>
    <w:tblStylePr w:type="band1Vert">
      <w:tblPr/>
      <w:tcPr>
        <w:shd w:val="clear" w:color="auto" w:fill="F5D488" w:themeFill="accent5" w:themeFillTint="7F"/>
      </w:tcPr>
    </w:tblStylePr>
    <w:tblStylePr w:type="band1Horz">
      <w:tblPr/>
      <w:tcPr>
        <w:shd w:val="clear" w:color="auto" w:fill="F5D488" w:themeFill="accent5" w:themeFillTint="7F"/>
      </w:tcPr>
    </w:tblStylePr>
  </w:style>
  <w:style w:type="table" w:styleId="ColorfulGrid-Accent6">
    <w:name w:val="Colorful Grid Accent 6"/>
    <w:basedOn w:val="TableNormal"/>
    <w:uiPriority w:val="73"/>
    <w:semiHidden/>
    <w:rsid w:val="00A90923"/>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CFE5F4" w:themeFill="accent6" w:themeFillTint="33"/>
    </w:tcPr>
    <w:tblStylePr w:type="firstRow">
      <w:rPr>
        <w:b/>
        <w:bCs/>
      </w:rPr>
      <w:tblPr/>
      <w:tcPr>
        <w:shd w:val="clear" w:color="auto" w:fill="9FCDE9" w:themeFill="accent6" w:themeFillTint="66"/>
      </w:tcPr>
    </w:tblStylePr>
    <w:tblStylePr w:type="lastRow">
      <w:rPr>
        <w:b/>
        <w:bCs/>
        <w:color w:val="000000" w:themeColor="text1"/>
      </w:rPr>
      <w:tblPr/>
      <w:tcPr>
        <w:shd w:val="clear" w:color="auto" w:fill="9FCDE9" w:themeFill="accent6" w:themeFillTint="66"/>
      </w:tcPr>
    </w:tblStylePr>
    <w:tblStylePr w:type="firstCol">
      <w:rPr>
        <w:color w:val="FFFFFF" w:themeColor="background1"/>
      </w:rPr>
      <w:tblPr/>
      <w:tcPr>
        <w:shd w:val="clear" w:color="auto" w:fill="1E5D85" w:themeFill="accent6" w:themeFillShade="BF"/>
      </w:tcPr>
    </w:tblStylePr>
    <w:tblStylePr w:type="lastCol">
      <w:rPr>
        <w:color w:val="FFFFFF" w:themeColor="background1"/>
      </w:rPr>
      <w:tblPr/>
      <w:tcPr>
        <w:shd w:val="clear" w:color="auto" w:fill="1E5D85" w:themeFill="accent6" w:themeFillShade="BF"/>
      </w:tcPr>
    </w:tblStylePr>
    <w:tblStylePr w:type="band1Vert">
      <w:tblPr/>
      <w:tcPr>
        <w:shd w:val="clear" w:color="auto" w:fill="88C0E4" w:themeFill="accent6" w:themeFillTint="7F"/>
      </w:tcPr>
    </w:tblStylePr>
    <w:tblStylePr w:type="band1Horz">
      <w:tblPr/>
      <w:tcPr>
        <w:shd w:val="clear" w:color="auto" w:fill="88C0E4" w:themeFill="accent6" w:themeFillTint="7F"/>
      </w:tcPr>
    </w:tblStylePr>
  </w:style>
  <w:style w:type="table" w:styleId="ColorfulList">
    <w:name w:val="Colorful List"/>
    <w:basedOn w:val="TableNormal"/>
    <w:uiPriority w:val="72"/>
    <w:semiHidden/>
    <w:rsid w:val="00A90923"/>
    <w:pPr>
      <w:spacing w:after="0" w:line="240" w:lineRule="auto"/>
    </w:pPr>
    <w:rPr>
      <w:rFonts w:eastAsiaTheme="minorEastAsi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0490C" w:themeFill="accent2" w:themeFillShade="CC"/>
      </w:tcPr>
    </w:tblStylePr>
    <w:tblStylePr w:type="lastRow">
      <w:rPr>
        <w:b/>
        <w:bCs/>
        <w:color w:val="D049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A90923"/>
    <w:pPr>
      <w:spacing w:after="0" w:line="240" w:lineRule="auto"/>
    </w:pPr>
    <w:rPr>
      <w:rFonts w:eastAsiaTheme="minorEastAsia"/>
      <w:color w:val="000000" w:themeColor="text1"/>
    </w:rPr>
    <w:tblPr>
      <w:tblStyleRowBandSize w:val="1"/>
      <w:tblStyleColBandSize w:val="1"/>
    </w:tblPr>
    <w:tcPr>
      <w:shd w:val="clear" w:color="auto" w:fill="D3F2FF" w:themeFill="accent1" w:themeFillTint="19"/>
    </w:tcPr>
    <w:tblStylePr w:type="firstRow">
      <w:rPr>
        <w:b/>
        <w:bCs/>
        <w:color w:val="FFFFFF" w:themeColor="background1"/>
      </w:rPr>
      <w:tblPr/>
      <w:tcPr>
        <w:tcBorders>
          <w:bottom w:val="single" w:sz="12" w:space="0" w:color="FFFFFF" w:themeColor="background1"/>
        </w:tcBorders>
        <w:shd w:val="clear" w:color="auto" w:fill="D0490C" w:themeFill="accent2" w:themeFillShade="CC"/>
      </w:tcPr>
    </w:tblStylePr>
    <w:tblStylePr w:type="lastRow">
      <w:rPr>
        <w:b/>
        <w:bCs/>
        <w:color w:val="D049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0DFFF" w:themeFill="accent1" w:themeFillTint="3F"/>
      </w:tcPr>
    </w:tblStylePr>
    <w:tblStylePr w:type="band1Horz">
      <w:tblPr/>
      <w:tcPr>
        <w:shd w:val="clear" w:color="auto" w:fill="A5E5FF" w:themeFill="accent1" w:themeFillTint="33"/>
      </w:tcPr>
    </w:tblStylePr>
  </w:style>
  <w:style w:type="table" w:styleId="ColorfulList-Accent2">
    <w:name w:val="Colorful List Accent 2"/>
    <w:basedOn w:val="TableNormal"/>
    <w:uiPriority w:val="72"/>
    <w:semiHidden/>
    <w:rsid w:val="00A90923"/>
    <w:pPr>
      <w:spacing w:after="0" w:line="240" w:lineRule="auto"/>
    </w:pPr>
    <w:rPr>
      <w:rFonts w:eastAsiaTheme="minorEastAsia"/>
      <w:color w:val="000000" w:themeColor="text1"/>
    </w:rPr>
    <w:tblPr>
      <w:tblStyleRowBandSize w:val="1"/>
      <w:tblStyleColBandSize w:val="1"/>
    </w:tblPr>
    <w:tcPr>
      <w:shd w:val="clear" w:color="auto" w:fill="FDEFE9" w:themeFill="accent2" w:themeFillTint="19"/>
    </w:tcPr>
    <w:tblStylePr w:type="firstRow">
      <w:rPr>
        <w:b/>
        <w:bCs/>
        <w:color w:val="FFFFFF" w:themeColor="background1"/>
      </w:rPr>
      <w:tblPr/>
      <w:tcPr>
        <w:tcBorders>
          <w:bottom w:val="single" w:sz="12" w:space="0" w:color="FFFFFF" w:themeColor="background1"/>
        </w:tcBorders>
        <w:shd w:val="clear" w:color="auto" w:fill="D0490C" w:themeFill="accent2" w:themeFillShade="CC"/>
      </w:tcPr>
    </w:tblStylePr>
    <w:tblStylePr w:type="lastRow">
      <w:rPr>
        <w:b/>
        <w:bCs/>
        <w:color w:val="D049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8C8" w:themeFill="accent2" w:themeFillTint="3F"/>
      </w:tcPr>
    </w:tblStylePr>
    <w:tblStylePr w:type="band1Horz">
      <w:tblPr/>
      <w:tcPr>
        <w:shd w:val="clear" w:color="auto" w:fill="FCDFD2" w:themeFill="accent2" w:themeFillTint="33"/>
      </w:tcPr>
    </w:tblStylePr>
  </w:style>
  <w:style w:type="table" w:styleId="ColorfulList-Accent3">
    <w:name w:val="Colorful List Accent 3"/>
    <w:basedOn w:val="TableNormal"/>
    <w:uiPriority w:val="72"/>
    <w:semiHidden/>
    <w:rsid w:val="00A90923"/>
    <w:pPr>
      <w:spacing w:after="0" w:line="240" w:lineRule="auto"/>
    </w:pPr>
    <w:rPr>
      <w:rFonts w:eastAsiaTheme="minorEastAsia"/>
      <w:color w:val="000000" w:themeColor="text1"/>
    </w:rPr>
    <w:tblPr>
      <w:tblStyleRowBandSize w:val="1"/>
      <w:tblStyleColBandSize w:val="1"/>
    </w:tblPr>
    <w:tcPr>
      <w:shd w:val="clear" w:color="auto" w:fill="D9FFFB" w:themeFill="accent3" w:themeFillTint="19"/>
    </w:tcPr>
    <w:tblStylePr w:type="firstRow">
      <w:rPr>
        <w:b/>
        <w:bCs/>
        <w:color w:val="FFFFFF" w:themeColor="background1"/>
      </w:rPr>
      <w:tblPr/>
      <w:tcPr>
        <w:tcBorders>
          <w:bottom w:val="single" w:sz="12" w:space="0" w:color="FFFFFF" w:themeColor="background1"/>
        </w:tcBorders>
        <w:shd w:val="clear" w:color="auto" w:fill="910054" w:themeFill="accent4" w:themeFillShade="CC"/>
      </w:tcPr>
    </w:tblStylePr>
    <w:tblStylePr w:type="lastRow">
      <w:rPr>
        <w:b/>
        <w:bCs/>
        <w:color w:val="91005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1FFF6" w:themeFill="accent3" w:themeFillTint="3F"/>
      </w:tcPr>
    </w:tblStylePr>
    <w:tblStylePr w:type="band1Horz">
      <w:tblPr/>
      <w:tcPr>
        <w:shd w:val="clear" w:color="auto" w:fill="B3FFF7" w:themeFill="accent3" w:themeFillTint="33"/>
      </w:tcPr>
    </w:tblStylePr>
  </w:style>
  <w:style w:type="table" w:styleId="ColorfulList-Accent4">
    <w:name w:val="Colorful List Accent 4"/>
    <w:basedOn w:val="TableNormal"/>
    <w:uiPriority w:val="72"/>
    <w:semiHidden/>
    <w:rsid w:val="00A90923"/>
    <w:pPr>
      <w:spacing w:after="0" w:line="240" w:lineRule="auto"/>
    </w:pPr>
    <w:rPr>
      <w:rFonts w:eastAsiaTheme="minorEastAsia"/>
      <w:color w:val="000000" w:themeColor="text1"/>
    </w:rPr>
    <w:tblPr>
      <w:tblStyleRowBandSize w:val="1"/>
      <w:tblStyleColBandSize w:val="1"/>
    </w:tblPr>
    <w:tcPr>
      <w:shd w:val="clear" w:color="auto" w:fill="FFDEF1" w:themeFill="accent4" w:themeFillTint="19"/>
    </w:tcPr>
    <w:tblStylePr w:type="firstRow">
      <w:rPr>
        <w:b/>
        <w:bCs/>
        <w:color w:val="FFFFFF" w:themeColor="background1"/>
      </w:rPr>
      <w:tblPr/>
      <w:tcPr>
        <w:tcBorders>
          <w:bottom w:val="single" w:sz="12" w:space="0" w:color="FFFFFF" w:themeColor="background1"/>
        </w:tcBorders>
        <w:shd w:val="clear" w:color="auto" w:fill="00685E" w:themeFill="accent3" w:themeFillShade="CC"/>
      </w:tcPr>
    </w:tblStylePr>
    <w:tblStylePr w:type="lastRow">
      <w:rPr>
        <w:b/>
        <w:bCs/>
        <w:color w:val="00685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DDC" w:themeFill="accent4" w:themeFillTint="3F"/>
      </w:tcPr>
    </w:tblStylePr>
    <w:tblStylePr w:type="band1Horz">
      <w:tblPr/>
      <w:tcPr>
        <w:shd w:val="clear" w:color="auto" w:fill="FFBDE3" w:themeFill="accent4" w:themeFillTint="33"/>
      </w:tcPr>
    </w:tblStylePr>
  </w:style>
  <w:style w:type="table" w:styleId="ColorfulList-Accent5">
    <w:name w:val="Colorful List Accent 5"/>
    <w:basedOn w:val="TableNormal"/>
    <w:uiPriority w:val="72"/>
    <w:semiHidden/>
    <w:rsid w:val="00A90923"/>
    <w:pPr>
      <w:spacing w:after="0" w:line="240" w:lineRule="auto"/>
    </w:pPr>
    <w:rPr>
      <w:rFonts w:eastAsiaTheme="minorEastAsia"/>
      <w:color w:val="000000" w:themeColor="text1"/>
    </w:rPr>
    <w:tblPr>
      <w:tblStyleRowBandSize w:val="1"/>
      <w:tblStyleColBandSize w:val="1"/>
    </w:tblPr>
    <w:tcPr>
      <w:shd w:val="clear" w:color="auto" w:fill="FDF6E7" w:themeFill="accent5" w:themeFillTint="19"/>
    </w:tcPr>
    <w:tblStylePr w:type="firstRow">
      <w:rPr>
        <w:b/>
        <w:bCs/>
        <w:color w:val="FFFFFF" w:themeColor="background1"/>
      </w:rPr>
      <w:tblPr/>
      <w:tcPr>
        <w:tcBorders>
          <w:bottom w:val="single" w:sz="12" w:space="0" w:color="FFFFFF" w:themeColor="background1"/>
        </w:tcBorders>
        <w:shd w:val="clear" w:color="auto" w:fill="20638E" w:themeFill="accent6" w:themeFillShade="CC"/>
      </w:tcPr>
    </w:tblStylePr>
    <w:tblStylePr w:type="lastRow">
      <w:rPr>
        <w:b/>
        <w:bCs/>
        <w:color w:val="20638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9C3" w:themeFill="accent5" w:themeFillTint="3F"/>
      </w:tcPr>
    </w:tblStylePr>
    <w:tblStylePr w:type="band1Horz">
      <w:tblPr/>
      <w:tcPr>
        <w:shd w:val="clear" w:color="auto" w:fill="FBEDCF" w:themeFill="accent5" w:themeFillTint="33"/>
      </w:tcPr>
    </w:tblStylePr>
  </w:style>
  <w:style w:type="table" w:styleId="ColorfulList-Accent6">
    <w:name w:val="Colorful List Accent 6"/>
    <w:basedOn w:val="TableNormal"/>
    <w:uiPriority w:val="72"/>
    <w:semiHidden/>
    <w:rsid w:val="00A90923"/>
    <w:pPr>
      <w:spacing w:after="0" w:line="240" w:lineRule="auto"/>
    </w:pPr>
    <w:rPr>
      <w:rFonts w:eastAsiaTheme="minorEastAsia"/>
      <w:color w:val="000000" w:themeColor="text1"/>
    </w:rPr>
    <w:tblPr>
      <w:tblStyleRowBandSize w:val="1"/>
      <w:tblStyleColBandSize w:val="1"/>
    </w:tblPr>
    <w:tcPr>
      <w:shd w:val="clear" w:color="auto" w:fill="E7F2F9" w:themeFill="accent6" w:themeFillTint="19"/>
    </w:tcPr>
    <w:tblStylePr w:type="firstRow">
      <w:rPr>
        <w:b/>
        <w:bCs/>
        <w:color w:val="FFFFFF" w:themeColor="background1"/>
      </w:rPr>
      <w:tblPr/>
      <w:tcPr>
        <w:tcBorders>
          <w:bottom w:val="single" w:sz="12" w:space="0" w:color="FFFFFF" w:themeColor="background1"/>
        </w:tcBorders>
        <w:shd w:val="clear" w:color="auto" w:fill="BA860F" w:themeFill="accent5" w:themeFillShade="CC"/>
      </w:tcPr>
    </w:tblStylePr>
    <w:tblStylePr w:type="lastRow">
      <w:rPr>
        <w:b/>
        <w:bCs/>
        <w:color w:val="BA860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E0F1" w:themeFill="accent6" w:themeFillTint="3F"/>
      </w:tcPr>
    </w:tblStylePr>
    <w:tblStylePr w:type="band1Horz">
      <w:tblPr/>
      <w:tcPr>
        <w:shd w:val="clear" w:color="auto" w:fill="CFE5F4" w:themeFill="accent6" w:themeFillTint="33"/>
      </w:tcPr>
    </w:tblStylePr>
  </w:style>
  <w:style w:type="table" w:styleId="ColorfulShading">
    <w:name w:val="Colorful Shading"/>
    <w:basedOn w:val="TableNormal"/>
    <w:uiPriority w:val="71"/>
    <w:semiHidden/>
    <w:rsid w:val="00A90923"/>
    <w:pPr>
      <w:spacing w:after="0" w:line="240" w:lineRule="auto"/>
    </w:pPr>
    <w:rPr>
      <w:rFonts w:eastAsiaTheme="minorEastAsia"/>
      <w:color w:val="000000" w:themeColor="text1"/>
    </w:rPr>
    <w:tblPr>
      <w:tblStyleRowBandSize w:val="1"/>
      <w:tblStyleColBandSize w:val="1"/>
      <w:tblBorders>
        <w:top w:val="single" w:sz="24" w:space="0" w:color="F2632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63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A90923"/>
    <w:pPr>
      <w:spacing w:after="0" w:line="240" w:lineRule="auto"/>
    </w:pPr>
    <w:rPr>
      <w:rFonts w:eastAsiaTheme="minorEastAsia"/>
      <w:color w:val="000000" w:themeColor="text1"/>
    </w:rPr>
    <w:tblPr>
      <w:tblStyleRowBandSize w:val="1"/>
      <w:tblStyleColBandSize w:val="1"/>
      <w:tblBorders>
        <w:top w:val="single" w:sz="24" w:space="0" w:color="F26322" w:themeColor="accent2"/>
        <w:left w:val="single" w:sz="4" w:space="0" w:color="002D3F" w:themeColor="accent1"/>
        <w:bottom w:val="single" w:sz="4" w:space="0" w:color="002D3F" w:themeColor="accent1"/>
        <w:right w:val="single" w:sz="4" w:space="0" w:color="002D3F" w:themeColor="accent1"/>
        <w:insideH w:val="single" w:sz="4" w:space="0" w:color="FFFFFF" w:themeColor="background1"/>
        <w:insideV w:val="single" w:sz="4" w:space="0" w:color="FFFFFF" w:themeColor="background1"/>
      </w:tblBorders>
    </w:tblPr>
    <w:tcPr>
      <w:shd w:val="clear" w:color="auto" w:fill="D3F2FF" w:themeFill="accent1" w:themeFillTint="19"/>
    </w:tcPr>
    <w:tblStylePr w:type="firstRow">
      <w:rPr>
        <w:b/>
        <w:bCs/>
      </w:rPr>
      <w:tblPr/>
      <w:tcPr>
        <w:tcBorders>
          <w:top w:val="nil"/>
          <w:left w:val="nil"/>
          <w:bottom w:val="single" w:sz="24" w:space="0" w:color="F263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A25" w:themeFill="accent1" w:themeFillShade="99"/>
      </w:tcPr>
    </w:tblStylePr>
    <w:tblStylePr w:type="firstCol">
      <w:rPr>
        <w:color w:val="FFFFFF" w:themeColor="background1"/>
      </w:rPr>
      <w:tblPr/>
      <w:tcPr>
        <w:tcBorders>
          <w:top w:val="nil"/>
          <w:left w:val="nil"/>
          <w:bottom w:val="nil"/>
          <w:right w:val="nil"/>
          <w:insideH w:val="single" w:sz="4" w:space="0" w:color="001A25" w:themeColor="accent1" w:themeShade="99"/>
          <w:insideV w:val="nil"/>
        </w:tcBorders>
        <w:shd w:val="clear" w:color="auto" w:fill="001A2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1A25" w:themeFill="accent1" w:themeFillShade="99"/>
      </w:tcPr>
    </w:tblStylePr>
    <w:tblStylePr w:type="band1Vert">
      <w:tblPr/>
      <w:tcPr>
        <w:shd w:val="clear" w:color="auto" w:fill="4CCBFF" w:themeFill="accent1" w:themeFillTint="66"/>
      </w:tcPr>
    </w:tblStylePr>
    <w:tblStylePr w:type="band1Horz">
      <w:tblPr/>
      <w:tcPr>
        <w:shd w:val="clear" w:color="auto" w:fill="20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A90923"/>
    <w:pPr>
      <w:spacing w:after="0" w:line="240" w:lineRule="auto"/>
    </w:pPr>
    <w:rPr>
      <w:rFonts w:eastAsiaTheme="minorEastAsia"/>
      <w:color w:val="000000" w:themeColor="text1"/>
    </w:rPr>
    <w:tblPr>
      <w:tblStyleRowBandSize w:val="1"/>
      <w:tblStyleColBandSize w:val="1"/>
      <w:tblBorders>
        <w:top w:val="single" w:sz="24" w:space="0" w:color="F26322" w:themeColor="accent2"/>
        <w:left w:val="single" w:sz="4" w:space="0" w:color="F26322" w:themeColor="accent2"/>
        <w:bottom w:val="single" w:sz="4" w:space="0" w:color="F26322" w:themeColor="accent2"/>
        <w:right w:val="single" w:sz="4" w:space="0" w:color="F26322" w:themeColor="accent2"/>
        <w:insideH w:val="single" w:sz="4" w:space="0" w:color="FFFFFF" w:themeColor="background1"/>
        <w:insideV w:val="single" w:sz="4" w:space="0" w:color="FFFFFF" w:themeColor="background1"/>
      </w:tblBorders>
    </w:tblPr>
    <w:tcPr>
      <w:shd w:val="clear" w:color="auto" w:fill="FDEFE9" w:themeFill="accent2" w:themeFillTint="19"/>
    </w:tcPr>
    <w:tblStylePr w:type="firstRow">
      <w:rPr>
        <w:b/>
        <w:bCs/>
      </w:rPr>
      <w:tblPr/>
      <w:tcPr>
        <w:tcBorders>
          <w:top w:val="nil"/>
          <w:left w:val="nil"/>
          <w:bottom w:val="single" w:sz="24" w:space="0" w:color="F263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C3609" w:themeFill="accent2" w:themeFillShade="99"/>
      </w:tcPr>
    </w:tblStylePr>
    <w:tblStylePr w:type="firstCol">
      <w:rPr>
        <w:color w:val="FFFFFF" w:themeColor="background1"/>
      </w:rPr>
      <w:tblPr/>
      <w:tcPr>
        <w:tcBorders>
          <w:top w:val="nil"/>
          <w:left w:val="nil"/>
          <w:bottom w:val="nil"/>
          <w:right w:val="nil"/>
          <w:insideH w:val="single" w:sz="4" w:space="0" w:color="9C3609" w:themeColor="accent2" w:themeShade="99"/>
          <w:insideV w:val="nil"/>
        </w:tcBorders>
        <w:shd w:val="clear" w:color="auto" w:fill="9C360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C3609" w:themeFill="accent2" w:themeFillShade="99"/>
      </w:tcPr>
    </w:tblStylePr>
    <w:tblStylePr w:type="band1Vert">
      <w:tblPr/>
      <w:tcPr>
        <w:shd w:val="clear" w:color="auto" w:fill="F9C0A6" w:themeFill="accent2" w:themeFillTint="66"/>
      </w:tcPr>
    </w:tblStylePr>
    <w:tblStylePr w:type="band1Horz">
      <w:tblPr/>
      <w:tcPr>
        <w:shd w:val="clear" w:color="auto" w:fill="F8B0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A90923"/>
    <w:pPr>
      <w:spacing w:after="0" w:line="240" w:lineRule="auto"/>
    </w:pPr>
    <w:rPr>
      <w:rFonts w:eastAsiaTheme="minorEastAsia"/>
      <w:color w:val="000000" w:themeColor="text1"/>
    </w:rPr>
    <w:tblPr>
      <w:tblStyleRowBandSize w:val="1"/>
      <w:tblStyleColBandSize w:val="1"/>
      <w:tblBorders>
        <w:top w:val="single" w:sz="24" w:space="0" w:color="B6006A" w:themeColor="accent4"/>
        <w:left w:val="single" w:sz="4" w:space="0" w:color="008276" w:themeColor="accent3"/>
        <w:bottom w:val="single" w:sz="4" w:space="0" w:color="008276" w:themeColor="accent3"/>
        <w:right w:val="single" w:sz="4" w:space="0" w:color="008276" w:themeColor="accent3"/>
        <w:insideH w:val="single" w:sz="4" w:space="0" w:color="FFFFFF" w:themeColor="background1"/>
        <w:insideV w:val="single" w:sz="4" w:space="0" w:color="FFFFFF" w:themeColor="background1"/>
      </w:tblBorders>
    </w:tblPr>
    <w:tcPr>
      <w:shd w:val="clear" w:color="auto" w:fill="D9FFFB" w:themeFill="accent3" w:themeFillTint="19"/>
    </w:tcPr>
    <w:tblStylePr w:type="firstRow">
      <w:rPr>
        <w:b/>
        <w:bCs/>
      </w:rPr>
      <w:tblPr/>
      <w:tcPr>
        <w:tcBorders>
          <w:top w:val="nil"/>
          <w:left w:val="nil"/>
          <w:bottom w:val="single" w:sz="24" w:space="0" w:color="B6006A"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E46" w:themeFill="accent3" w:themeFillShade="99"/>
      </w:tcPr>
    </w:tblStylePr>
    <w:tblStylePr w:type="firstCol">
      <w:rPr>
        <w:color w:val="FFFFFF" w:themeColor="background1"/>
      </w:rPr>
      <w:tblPr/>
      <w:tcPr>
        <w:tcBorders>
          <w:top w:val="nil"/>
          <w:left w:val="nil"/>
          <w:bottom w:val="nil"/>
          <w:right w:val="nil"/>
          <w:insideH w:val="single" w:sz="4" w:space="0" w:color="004E46" w:themeColor="accent3" w:themeShade="99"/>
          <w:insideV w:val="nil"/>
        </w:tcBorders>
        <w:shd w:val="clear" w:color="auto" w:fill="004E46"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E46" w:themeFill="accent3" w:themeFillShade="99"/>
      </w:tcPr>
    </w:tblStylePr>
    <w:tblStylePr w:type="band1Vert">
      <w:tblPr/>
      <w:tcPr>
        <w:shd w:val="clear" w:color="auto" w:fill="67FFF0" w:themeFill="accent3" w:themeFillTint="66"/>
      </w:tcPr>
    </w:tblStylePr>
    <w:tblStylePr w:type="band1Horz">
      <w:tblPr/>
      <w:tcPr>
        <w:shd w:val="clear" w:color="auto" w:fill="41FFED" w:themeFill="accent3" w:themeFillTint="7F"/>
      </w:tcPr>
    </w:tblStylePr>
  </w:style>
  <w:style w:type="table" w:styleId="ColorfulShading-Accent4">
    <w:name w:val="Colorful Shading Accent 4"/>
    <w:basedOn w:val="TableNormal"/>
    <w:uiPriority w:val="71"/>
    <w:semiHidden/>
    <w:rsid w:val="00A90923"/>
    <w:pPr>
      <w:spacing w:after="0" w:line="240" w:lineRule="auto"/>
    </w:pPr>
    <w:rPr>
      <w:rFonts w:eastAsiaTheme="minorEastAsia"/>
      <w:color w:val="000000" w:themeColor="text1"/>
    </w:rPr>
    <w:tblPr>
      <w:tblStyleRowBandSize w:val="1"/>
      <w:tblStyleColBandSize w:val="1"/>
      <w:tblBorders>
        <w:top w:val="single" w:sz="24" w:space="0" w:color="008276" w:themeColor="accent3"/>
        <w:left w:val="single" w:sz="4" w:space="0" w:color="B6006A" w:themeColor="accent4"/>
        <w:bottom w:val="single" w:sz="4" w:space="0" w:color="B6006A" w:themeColor="accent4"/>
        <w:right w:val="single" w:sz="4" w:space="0" w:color="B6006A" w:themeColor="accent4"/>
        <w:insideH w:val="single" w:sz="4" w:space="0" w:color="FFFFFF" w:themeColor="background1"/>
        <w:insideV w:val="single" w:sz="4" w:space="0" w:color="FFFFFF" w:themeColor="background1"/>
      </w:tblBorders>
    </w:tblPr>
    <w:tcPr>
      <w:shd w:val="clear" w:color="auto" w:fill="FFDEF1" w:themeFill="accent4" w:themeFillTint="19"/>
    </w:tcPr>
    <w:tblStylePr w:type="firstRow">
      <w:rPr>
        <w:b/>
        <w:bCs/>
      </w:rPr>
      <w:tblPr/>
      <w:tcPr>
        <w:tcBorders>
          <w:top w:val="nil"/>
          <w:left w:val="nil"/>
          <w:bottom w:val="single" w:sz="24" w:space="0" w:color="00827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D003F" w:themeFill="accent4" w:themeFillShade="99"/>
      </w:tcPr>
    </w:tblStylePr>
    <w:tblStylePr w:type="firstCol">
      <w:rPr>
        <w:color w:val="FFFFFF" w:themeColor="background1"/>
      </w:rPr>
      <w:tblPr/>
      <w:tcPr>
        <w:tcBorders>
          <w:top w:val="nil"/>
          <w:left w:val="nil"/>
          <w:bottom w:val="nil"/>
          <w:right w:val="nil"/>
          <w:insideH w:val="single" w:sz="4" w:space="0" w:color="6D003F" w:themeColor="accent4" w:themeShade="99"/>
          <w:insideV w:val="nil"/>
        </w:tcBorders>
        <w:shd w:val="clear" w:color="auto" w:fill="6D003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D003F" w:themeFill="accent4" w:themeFillShade="99"/>
      </w:tcPr>
    </w:tblStylePr>
    <w:tblStylePr w:type="band1Vert">
      <w:tblPr/>
      <w:tcPr>
        <w:shd w:val="clear" w:color="auto" w:fill="FF7BC7" w:themeFill="accent4" w:themeFillTint="66"/>
      </w:tcPr>
    </w:tblStylePr>
    <w:tblStylePr w:type="band1Horz">
      <w:tblPr/>
      <w:tcPr>
        <w:shd w:val="clear" w:color="auto" w:fill="FF5BB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A90923"/>
    <w:pPr>
      <w:spacing w:after="0" w:line="240" w:lineRule="auto"/>
    </w:pPr>
    <w:rPr>
      <w:rFonts w:eastAsiaTheme="minorEastAsia"/>
      <w:color w:val="000000" w:themeColor="text1"/>
    </w:rPr>
    <w:tblPr>
      <w:tblStyleRowBandSize w:val="1"/>
      <w:tblStyleColBandSize w:val="1"/>
      <w:tblBorders>
        <w:top w:val="single" w:sz="24" w:space="0" w:color="287DB2" w:themeColor="accent6"/>
        <w:left w:val="single" w:sz="4" w:space="0" w:color="E9A913" w:themeColor="accent5"/>
        <w:bottom w:val="single" w:sz="4" w:space="0" w:color="E9A913" w:themeColor="accent5"/>
        <w:right w:val="single" w:sz="4" w:space="0" w:color="E9A913" w:themeColor="accent5"/>
        <w:insideH w:val="single" w:sz="4" w:space="0" w:color="FFFFFF" w:themeColor="background1"/>
        <w:insideV w:val="single" w:sz="4" w:space="0" w:color="FFFFFF" w:themeColor="background1"/>
      </w:tblBorders>
    </w:tblPr>
    <w:tcPr>
      <w:shd w:val="clear" w:color="auto" w:fill="FDF6E7" w:themeFill="accent5" w:themeFillTint="19"/>
    </w:tcPr>
    <w:tblStylePr w:type="firstRow">
      <w:rPr>
        <w:b/>
        <w:bCs/>
      </w:rPr>
      <w:tblPr/>
      <w:tcPr>
        <w:tcBorders>
          <w:top w:val="nil"/>
          <w:left w:val="nil"/>
          <w:bottom w:val="single" w:sz="24" w:space="0" w:color="287DB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640B" w:themeFill="accent5" w:themeFillShade="99"/>
      </w:tcPr>
    </w:tblStylePr>
    <w:tblStylePr w:type="firstCol">
      <w:rPr>
        <w:color w:val="FFFFFF" w:themeColor="background1"/>
      </w:rPr>
      <w:tblPr/>
      <w:tcPr>
        <w:tcBorders>
          <w:top w:val="nil"/>
          <w:left w:val="nil"/>
          <w:bottom w:val="nil"/>
          <w:right w:val="nil"/>
          <w:insideH w:val="single" w:sz="4" w:space="0" w:color="8B640B" w:themeColor="accent5" w:themeShade="99"/>
          <w:insideV w:val="nil"/>
        </w:tcBorders>
        <w:shd w:val="clear" w:color="auto" w:fill="8B640B"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B640B" w:themeFill="accent5" w:themeFillShade="99"/>
      </w:tcPr>
    </w:tblStylePr>
    <w:tblStylePr w:type="band1Vert">
      <w:tblPr/>
      <w:tcPr>
        <w:shd w:val="clear" w:color="auto" w:fill="F7DC9F" w:themeFill="accent5" w:themeFillTint="66"/>
      </w:tcPr>
    </w:tblStylePr>
    <w:tblStylePr w:type="band1Horz">
      <w:tblPr/>
      <w:tcPr>
        <w:shd w:val="clear" w:color="auto" w:fill="F5D488"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A90923"/>
    <w:pPr>
      <w:spacing w:after="0" w:line="240" w:lineRule="auto"/>
    </w:pPr>
    <w:rPr>
      <w:rFonts w:eastAsiaTheme="minorEastAsia"/>
      <w:color w:val="000000" w:themeColor="text1"/>
    </w:rPr>
    <w:tblPr>
      <w:tblStyleRowBandSize w:val="1"/>
      <w:tblStyleColBandSize w:val="1"/>
      <w:tblBorders>
        <w:top w:val="single" w:sz="24" w:space="0" w:color="E9A913" w:themeColor="accent5"/>
        <w:left w:val="single" w:sz="4" w:space="0" w:color="287DB2" w:themeColor="accent6"/>
        <w:bottom w:val="single" w:sz="4" w:space="0" w:color="287DB2" w:themeColor="accent6"/>
        <w:right w:val="single" w:sz="4" w:space="0" w:color="287DB2" w:themeColor="accent6"/>
        <w:insideH w:val="single" w:sz="4" w:space="0" w:color="FFFFFF" w:themeColor="background1"/>
        <w:insideV w:val="single" w:sz="4" w:space="0" w:color="FFFFFF" w:themeColor="background1"/>
      </w:tblBorders>
    </w:tblPr>
    <w:tcPr>
      <w:shd w:val="clear" w:color="auto" w:fill="E7F2F9" w:themeFill="accent6" w:themeFillTint="19"/>
    </w:tcPr>
    <w:tblStylePr w:type="firstRow">
      <w:rPr>
        <w:b/>
        <w:bCs/>
      </w:rPr>
      <w:tblPr/>
      <w:tcPr>
        <w:tcBorders>
          <w:top w:val="nil"/>
          <w:left w:val="nil"/>
          <w:bottom w:val="single" w:sz="24" w:space="0" w:color="E9A91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4A6A" w:themeFill="accent6" w:themeFillShade="99"/>
      </w:tcPr>
    </w:tblStylePr>
    <w:tblStylePr w:type="firstCol">
      <w:rPr>
        <w:color w:val="FFFFFF" w:themeColor="background1"/>
      </w:rPr>
      <w:tblPr/>
      <w:tcPr>
        <w:tcBorders>
          <w:top w:val="nil"/>
          <w:left w:val="nil"/>
          <w:bottom w:val="nil"/>
          <w:right w:val="nil"/>
          <w:insideH w:val="single" w:sz="4" w:space="0" w:color="184A6A" w:themeColor="accent6" w:themeShade="99"/>
          <w:insideV w:val="nil"/>
        </w:tcBorders>
        <w:shd w:val="clear" w:color="auto" w:fill="184A6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84A6A" w:themeFill="accent6" w:themeFillShade="99"/>
      </w:tcPr>
    </w:tblStylePr>
    <w:tblStylePr w:type="band1Vert">
      <w:tblPr/>
      <w:tcPr>
        <w:shd w:val="clear" w:color="auto" w:fill="9FCDE9" w:themeFill="accent6" w:themeFillTint="66"/>
      </w:tcPr>
    </w:tblStylePr>
    <w:tblStylePr w:type="band1Horz">
      <w:tblPr/>
      <w:tcPr>
        <w:shd w:val="clear" w:color="auto" w:fill="88C0E4"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A90923"/>
    <w:pPr>
      <w:spacing w:after="0" w:line="240" w:lineRule="auto"/>
    </w:pPr>
    <w:rPr>
      <w:rFonts w:eastAsiaTheme="minorEastAsi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A90923"/>
    <w:pPr>
      <w:spacing w:after="0" w:line="240" w:lineRule="auto"/>
    </w:pPr>
    <w:rPr>
      <w:rFonts w:eastAsiaTheme="minorEastAsia"/>
      <w:color w:val="FFFFFF" w:themeColor="background1"/>
    </w:rPr>
    <w:tblPr>
      <w:tblStyleRowBandSize w:val="1"/>
      <w:tblStyleColBandSize w:val="1"/>
    </w:tblPr>
    <w:tcPr>
      <w:shd w:val="clear" w:color="auto" w:fill="002D3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61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212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212F" w:themeFill="accent1" w:themeFillShade="BF"/>
      </w:tcPr>
    </w:tblStylePr>
    <w:tblStylePr w:type="band1Vert">
      <w:tblPr/>
      <w:tcPr>
        <w:tcBorders>
          <w:top w:val="nil"/>
          <w:left w:val="nil"/>
          <w:bottom w:val="nil"/>
          <w:right w:val="nil"/>
          <w:insideH w:val="nil"/>
          <w:insideV w:val="nil"/>
        </w:tcBorders>
        <w:shd w:val="clear" w:color="auto" w:fill="00212F" w:themeFill="accent1" w:themeFillShade="BF"/>
      </w:tcPr>
    </w:tblStylePr>
    <w:tblStylePr w:type="band1Horz">
      <w:tblPr/>
      <w:tcPr>
        <w:tcBorders>
          <w:top w:val="nil"/>
          <w:left w:val="nil"/>
          <w:bottom w:val="nil"/>
          <w:right w:val="nil"/>
          <w:insideH w:val="nil"/>
          <w:insideV w:val="nil"/>
        </w:tcBorders>
        <w:shd w:val="clear" w:color="auto" w:fill="00212F" w:themeFill="accent1" w:themeFillShade="BF"/>
      </w:tcPr>
    </w:tblStylePr>
  </w:style>
  <w:style w:type="table" w:styleId="DarkList-Accent2">
    <w:name w:val="Dark List Accent 2"/>
    <w:basedOn w:val="TableNormal"/>
    <w:uiPriority w:val="70"/>
    <w:semiHidden/>
    <w:rsid w:val="00A90923"/>
    <w:pPr>
      <w:spacing w:after="0" w:line="240" w:lineRule="auto"/>
    </w:pPr>
    <w:rPr>
      <w:rFonts w:eastAsiaTheme="minorEastAsia"/>
      <w:color w:val="FFFFFF" w:themeColor="background1"/>
    </w:rPr>
    <w:tblPr>
      <w:tblStyleRowBandSize w:val="1"/>
      <w:tblStyleColBandSize w:val="1"/>
    </w:tblPr>
    <w:tcPr>
      <w:shd w:val="clear" w:color="auto" w:fill="F2632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12D0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3440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3440B" w:themeFill="accent2" w:themeFillShade="BF"/>
      </w:tcPr>
    </w:tblStylePr>
    <w:tblStylePr w:type="band1Vert">
      <w:tblPr/>
      <w:tcPr>
        <w:tcBorders>
          <w:top w:val="nil"/>
          <w:left w:val="nil"/>
          <w:bottom w:val="nil"/>
          <w:right w:val="nil"/>
          <w:insideH w:val="nil"/>
          <w:insideV w:val="nil"/>
        </w:tcBorders>
        <w:shd w:val="clear" w:color="auto" w:fill="C3440B" w:themeFill="accent2" w:themeFillShade="BF"/>
      </w:tcPr>
    </w:tblStylePr>
    <w:tblStylePr w:type="band1Horz">
      <w:tblPr/>
      <w:tcPr>
        <w:tcBorders>
          <w:top w:val="nil"/>
          <w:left w:val="nil"/>
          <w:bottom w:val="nil"/>
          <w:right w:val="nil"/>
          <w:insideH w:val="nil"/>
          <w:insideV w:val="nil"/>
        </w:tcBorders>
        <w:shd w:val="clear" w:color="auto" w:fill="C3440B" w:themeFill="accent2" w:themeFillShade="BF"/>
      </w:tcPr>
    </w:tblStylePr>
  </w:style>
  <w:style w:type="table" w:styleId="DarkList-Accent3">
    <w:name w:val="Dark List Accent 3"/>
    <w:basedOn w:val="TableNormal"/>
    <w:uiPriority w:val="70"/>
    <w:semiHidden/>
    <w:rsid w:val="00A90923"/>
    <w:pPr>
      <w:spacing w:after="0" w:line="240" w:lineRule="auto"/>
    </w:pPr>
    <w:rPr>
      <w:rFonts w:eastAsiaTheme="minorEastAsia"/>
      <w:color w:val="FFFFFF" w:themeColor="background1"/>
    </w:rPr>
    <w:tblPr>
      <w:tblStyleRowBandSize w:val="1"/>
      <w:tblStyleColBandSize w:val="1"/>
    </w:tblPr>
    <w:tcPr>
      <w:shd w:val="clear" w:color="auto" w:fill="00827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03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615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6158" w:themeFill="accent3" w:themeFillShade="BF"/>
      </w:tcPr>
    </w:tblStylePr>
    <w:tblStylePr w:type="band1Vert">
      <w:tblPr/>
      <w:tcPr>
        <w:tcBorders>
          <w:top w:val="nil"/>
          <w:left w:val="nil"/>
          <w:bottom w:val="nil"/>
          <w:right w:val="nil"/>
          <w:insideH w:val="nil"/>
          <w:insideV w:val="nil"/>
        </w:tcBorders>
        <w:shd w:val="clear" w:color="auto" w:fill="006158" w:themeFill="accent3" w:themeFillShade="BF"/>
      </w:tcPr>
    </w:tblStylePr>
    <w:tblStylePr w:type="band1Horz">
      <w:tblPr/>
      <w:tcPr>
        <w:tcBorders>
          <w:top w:val="nil"/>
          <w:left w:val="nil"/>
          <w:bottom w:val="nil"/>
          <w:right w:val="nil"/>
          <w:insideH w:val="nil"/>
          <w:insideV w:val="nil"/>
        </w:tcBorders>
        <w:shd w:val="clear" w:color="auto" w:fill="006158" w:themeFill="accent3" w:themeFillShade="BF"/>
      </w:tcPr>
    </w:tblStylePr>
  </w:style>
  <w:style w:type="table" w:styleId="DarkList-Accent4">
    <w:name w:val="Dark List Accent 4"/>
    <w:basedOn w:val="TableNormal"/>
    <w:uiPriority w:val="70"/>
    <w:semiHidden/>
    <w:rsid w:val="00A90923"/>
    <w:pPr>
      <w:spacing w:after="0" w:line="240" w:lineRule="auto"/>
    </w:pPr>
    <w:rPr>
      <w:rFonts w:eastAsiaTheme="minorEastAsia"/>
      <w:color w:val="FFFFFF" w:themeColor="background1"/>
    </w:rPr>
    <w:tblPr>
      <w:tblStyleRowBandSize w:val="1"/>
      <w:tblStyleColBandSize w:val="1"/>
    </w:tblPr>
    <w:tcPr>
      <w:shd w:val="clear" w:color="auto" w:fill="B6006A"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A003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8004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8004E" w:themeFill="accent4" w:themeFillShade="BF"/>
      </w:tcPr>
    </w:tblStylePr>
    <w:tblStylePr w:type="band1Vert">
      <w:tblPr/>
      <w:tcPr>
        <w:tcBorders>
          <w:top w:val="nil"/>
          <w:left w:val="nil"/>
          <w:bottom w:val="nil"/>
          <w:right w:val="nil"/>
          <w:insideH w:val="nil"/>
          <w:insideV w:val="nil"/>
        </w:tcBorders>
        <w:shd w:val="clear" w:color="auto" w:fill="88004E" w:themeFill="accent4" w:themeFillShade="BF"/>
      </w:tcPr>
    </w:tblStylePr>
    <w:tblStylePr w:type="band1Horz">
      <w:tblPr/>
      <w:tcPr>
        <w:tcBorders>
          <w:top w:val="nil"/>
          <w:left w:val="nil"/>
          <w:bottom w:val="nil"/>
          <w:right w:val="nil"/>
          <w:insideH w:val="nil"/>
          <w:insideV w:val="nil"/>
        </w:tcBorders>
        <w:shd w:val="clear" w:color="auto" w:fill="88004E" w:themeFill="accent4" w:themeFillShade="BF"/>
      </w:tcPr>
    </w:tblStylePr>
  </w:style>
  <w:style w:type="table" w:styleId="DarkList-Accent5">
    <w:name w:val="Dark List Accent 5"/>
    <w:basedOn w:val="TableNormal"/>
    <w:uiPriority w:val="70"/>
    <w:semiHidden/>
    <w:rsid w:val="00A90923"/>
    <w:pPr>
      <w:spacing w:after="0" w:line="240" w:lineRule="auto"/>
    </w:pPr>
    <w:rPr>
      <w:rFonts w:eastAsiaTheme="minorEastAsia"/>
      <w:color w:val="FFFFFF" w:themeColor="background1"/>
    </w:rPr>
    <w:tblPr>
      <w:tblStyleRowBandSize w:val="1"/>
      <w:tblStyleColBandSize w:val="1"/>
    </w:tblPr>
    <w:tcPr>
      <w:shd w:val="clear" w:color="auto" w:fill="E9A91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530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E7E0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E7E0E" w:themeFill="accent5" w:themeFillShade="BF"/>
      </w:tcPr>
    </w:tblStylePr>
    <w:tblStylePr w:type="band1Vert">
      <w:tblPr/>
      <w:tcPr>
        <w:tcBorders>
          <w:top w:val="nil"/>
          <w:left w:val="nil"/>
          <w:bottom w:val="nil"/>
          <w:right w:val="nil"/>
          <w:insideH w:val="nil"/>
          <w:insideV w:val="nil"/>
        </w:tcBorders>
        <w:shd w:val="clear" w:color="auto" w:fill="AE7E0E" w:themeFill="accent5" w:themeFillShade="BF"/>
      </w:tcPr>
    </w:tblStylePr>
    <w:tblStylePr w:type="band1Horz">
      <w:tblPr/>
      <w:tcPr>
        <w:tcBorders>
          <w:top w:val="nil"/>
          <w:left w:val="nil"/>
          <w:bottom w:val="nil"/>
          <w:right w:val="nil"/>
          <w:insideH w:val="nil"/>
          <w:insideV w:val="nil"/>
        </w:tcBorders>
        <w:shd w:val="clear" w:color="auto" w:fill="AE7E0E" w:themeFill="accent5" w:themeFillShade="BF"/>
      </w:tcPr>
    </w:tblStylePr>
  </w:style>
  <w:style w:type="table" w:styleId="DarkList-Accent6">
    <w:name w:val="Dark List Accent 6"/>
    <w:basedOn w:val="TableNormal"/>
    <w:uiPriority w:val="70"/>
    <w:semiHidden/>
    <w:rsid w:val="00A90923"/>
    <w:pPr>
      <w:spacing w:after="0" w:line="240" w:lineRule="auto"/>
    </w:pPr>
    <w:rPr>
      <w:rFonts w:eastAsiaTheme="minorEastAsia"/>
      <w:color w:val="FFFFFF" w:themeColor="background1"/>
    </w:rPr>
    <w:tblPr>
      <w:tblStyleRowBandSize w:val="1"/>
      <w:tblStyleColBandSize w:val="1"/>
    </w:tblPr>
    <w:tcPr>
      <w:shd w:val="clear" w:color="auto" w:fill="287DB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43E5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E5D8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E5D85" w:themeFill="accent6" w:themeFillShade="BF"/>
      </w:tcPr>
    </w:tblStylePr>
    <w:tblStylePr w:type="band1Vert">
      <w:tblPr/>
      <w:tcPr>
        <w:tcBorders>
          <w:top w:val="nil"/>
          <w:left w:val="nil"/>
          <w:bottom w:val="nil"/>
          <w:right w:val="nil"/>
          <w:insideH w:val="nil"/>
          <w:insideV w:val="nil"/>
        </w:tcBorders>
        <w:shd w:val="clear" w:color="auto" w:fill="1E5D85" w:themeFill="accent6" w:themeFillShade="BF"/>
      </w:tcPr>
    </w:tblStylePr>
    <w:tblStylePr w:type="band1Horz">
      <w:tblPr/>
      <w:tcPr>
        <w:tcBorders>
          <w:top w:val="nil"/>
          <w:left w:val="nil"/>
          <w:bottom w:val="nil"/>
          <w:right w:val="nil"/>
          <w:insideH w:val="nil"/>
          <w:insideV w:val="nil"/>
        </w:tcBorders>
        <w:shd w:val="clear" w:color="auto" w:fill="1E5D85" w:themeFill="accent6" w:themeFillShade="BF"/>
      </w:tcPr>
    </w:tblStylePr>
  </w:style>
  <w:style w:type="table" w:styleId="LightGrid">
    <w:name w:val="Light Grid"/>
    <w:basedOn w:val="TableNormal"/>
    <w:uiPriority w:val="62"/>
    <w:semiHidden/>
    <w:rsid w:val="00A90923"/>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A90923"/>
    <w:pPr>
      <w:spacing w:after="0" w:line="240" w:lineRule="auto"/>
    </w:pPr>
    <w:rPr>
      <w:rFonts w:eastAsiaTheme="minorEastAsia"/>
    </w:rPr>
    <w:tblPr>
      <w:tblStyleRowBandSize w:val="1"/>
      <w:tblStyleColBandSize w:val="1"/>
      <w:tblBorders>
        <w:top w:val="single" w:sz="8" w:space="0" w:color="002D3F" w:themeColor="accent1"/>
        <w:left w:val="single" w:sz="8" w:space="0" w:color="002D3F" w:themeColor="accent1"/>
        <w:bottom w:val="single" w:sz="8" w:space="0" w:color="002D3F" w:themeColor="accent1"/>
        <w:right w:val="single" w:sz="8" w:space="0" w:color="002D3F" w:themeColor="accent1"/>
        <w:insideH w:val="single" w:sz="8" w:space="0" w:color="002D3F" w:themeColor="accent1"/>
        <w:insideV w:val="single" w:sz="8" w:space="0" w:color="002D3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2D3F" w:themeColor="accent1"/>
          <w:left w:val="single" w:sz="8" w:space="0" w:color="002D3F" w:themeColor="accent1"/>
          <w:bottom w:val="single" w:sz="18" w:space="0" w:color="002D3F" w:themeColor="accent1"/>
          <w:right w:val="single" w:sz="8" w:space="0" w:color="002D3F" w:themeColor="accent1"/>
          <w:insideH w:val="nil"/>
          <w:insideV w:val="single" w:sz="8" w:space="0" w:color="002D3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D3F" w:themeColor="accent1"/>
          <w:left w:val="single" w:sz="8" w:space="0" w:color="002D3F" w:themeColor="accent1"/>
          <w:bottom w:val="single" w:sz="8" w:space="0" w:color="002D3F" w:themeColor="accent1"/>
          <w:right w:val="single" w:sz="8" w:space="0" w:color="002D3F" w:themeColor="accent1"/>
          <w:insideH w:val="nil"/>
          <w:insideV w:val="single" w:sz="8" w:space="0" w:color="002D3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D3F" w:themeColor="accent1"/>
          <w:left w:val="single" w:sz="8" w:space="0" w:color="002D3F" w:themeColor="accent1"/>
          <w:bottom w:val="single" w:sz="8" w:space="0" w:color="002D3F" w:themeColor="accent1"/>
          <w:right w:val="single" w:sz="8" w:space="0" w:color="002D3F" w:themeColor="accent1"/>
        </w:tcBorders>
      </w:tcPr>
    </w:tblStylePr>
    <w:tblStylePr w:type="band1Vert">
      <w:tblPr/>
      <w:tcPr>
        <w:tcBorders>
          <w:top w:val="single" w:sz="8" w:space="0" w:color="002D3F" w:themeColor="accent1"/>
          <w:left w:val="single" w:sz="8" w:space="0" w:color="002D3F" w:themeColor="accent1"/>
          <w:bottom w:val="single" w:sz="8" w:space="0" w:color="002D3F" w:themeColor="accent1"/>
          <w:right w:val="single" w:sz="8" w:space="0" w:color="002D3F" w:themeColor="accent1"/>
        </w:tcBorders>
        <w:shd w:val="clear" w:color="auto" w:fill="90DFFF" w:themeFill="accent1" w:themeFillTint="3F"/>
      </w:tcPr>
    </w:tblStylePr>
    <w:tblStylePr w:type="band1Horz">
      <w:tblPr/>
      <w:tcPr>
        <w:tcBorders>
          <w:top w:val="single" w:sz="8" w:space="0" w:color="002D3F" w:themeColor="accent1"/>
          <w:left w:val="single" w:sz="8" w:space="0" w:color="002D3F" w:themeColor="accent1"/>
          <w:bottom w:val="single" w:sz="8" w:space="0" w:color="002D3F" w:themeColor="accent1"/>
          <w:right w:val="single" w:sz="8" w:space="0" w:color="002D3F" w:themeColor="accent1"/>
          <w:insideV w:val="single" w:sz="8" w:space="0" w:color="002D3F" w:themeColor="accent1"/>
        </w:tcBorders>
        <w:shd w:val="clear" w:color="auto" w:fill="90DFFF" w:themeFill="accent1" w:themeFillTint="3F"/>
      </w:tcPr>
    </w:tblStylePr>
    <w:tblStylePr w:type="band2Horz">
      <w:tblPr/>
      <w:tcPr>
        <w:tcBorders>
          <w:top w:val="single" w:sz="8" w:space="0" w:color="002D3F" w:themeColor="accent1"/>
          <w:left w:val="single" w:sz="8" w:space="0" w:color="002D3F" w:themeColor="accent1"/>
          <w:bottom w:val="single" w:sz="8" w:space="0" w:color="002D3F" w:themeColor="accent1"/>
          <w:right w:val="single" w:sz="8" w:space="0" w:color="002D3F" w:themeColor="accent1"/>
          <w:insideV w:val="single" w:sz="8" w:space="0" w:color="002D3F" w:themeColor="accent1"/>
        </w:tcBorders>
      </w:tcPr>
    </w:tblStylePr>
  </w:style>
  <w:style w:type="table" w:styleId="LightGrid-Accent2">
    <w:name w:val="Light Grid Accent 2"/>
    <w:basedOn w:val="TableNormal"/>
    <w:uiPriority w:val="62"/>
    <w:semiHidden/>
    <w:rsid w:val="00A90923"/>
    <w:pPr>
      <w:spacing w:after="0" w:line="240" w:lineRule="auto"/>
    </w:pPr>
    <w:rPr>
      <w:rFonts w:eastAsiaTheme="minorEastAsia"/>
    </w:rPr>
    <w:tblPr>
      <w:tblStyleRowBandSize w:val="1"/>
      <w:tblStyleColBandSize w:val="1"/>
      <w:tblBorders>
        <w:top w:val="single" w:sz="8" w:space="0" w:color="F26322" w:themeColor="accent2"/>
        <w:left w:val="single" w:sz="8" w:space="0" w:color="F26322" w:themeColor="accent2"/>
        <w:bottom w:val="single" w:sz="8" w:space="0" w:color="F26322" w:themeColor="accent2"/>
        <w:right w:val="single" w:sz="8" w:space="0" w:color="F26322" w:themeColor="accent2"/>
        <w:insideH w:val="single" w:sz="8" w:space="0" w:color="F26322" w:themeColor="accent2"/>
        <w:insideV w:val="single" w:sz="8" w:space="0" w:color="F2632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6322" w:themeColor="accent2"/>
          <w:left w:val="single" w:sz="8" w:space="0" w:color="F26322" w:themeColor="accent2"/>
          <w:bottom w:val="single" w:sz="18" w:space="0" w:color="F26322" w:themeColor="accent2"/>
          <w:right w:val="single" w:sz="8" w:space="0" w:color="F26322" w:themeColor="accent2"/>
          <w:insideH w:val="nil"/>
          <w:insideV w:val="single" w:sz="8" w:space="0" w:color="F2632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6322" w:themeColor="accent2"/>
          <w:left w:val="single" w:sz="8" w:space="0" w:color="F26322" w:themeColor="accent2"/>
          <w:bottom w:val="single" w:sz="8" w:space="0" w:color="F26322" w:themeColor="accent2"/>
          <w:right w:val="single" w:sz="8" w:space="0" w:color="F26322" w:themeColor="accent2"/>
          <w:insideH w:val="nil"/>
          <w:insideV w:val="single" w:sz="8" w:space="0" w:color="F2632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6322" w:themeColor="accent2"/>
          <w:left w:val="single" w:sz="8" w:space="0" w:color="F26322" w:themeColor="accent2"/>
          <w:bottom w:val="single" w:sz="8" w:space="0" w:color="F26322" w:themeColor="accent2"/>
          <w:right w:val="single" w:sz="8" w:space="0" w:color="F26322" w:themeColor="accent2"/>
        </w:tcBorders>
      </w:tcPr>
    </w:tblStylePr>
    <w:tblStylePr w:type="band1Vert">
      <w:tblPr/>
      <w:tcPr>
        <w:tcBorders>
          <w:top w:val="single" w:sz="8" w:space="0" w:color="F26322" w:themeColor="accent2"/>
          <w:left w:val="single" w:sz="8" w:space="0" w:color="F26322" w:themeColor="accent2"/>
          <w:bottom w:val="single" w:sz="8" w:space="0" w:color="F26322" w:themeColor="accent2"/>
          <w:right w:val="single" w:sz="8" w:space="0" w:color="F26322" w:themeColor="accent2"/>
        </w:tcBorders>
        <w:shd w:val="clear" w:color="auto" w:fill="FBD8C8" w:themeFill="accent2" w:themeFillTint="3F"/>
      </w:tcPr>
    </w:tblStylePr>
    <w:tblStylePr w:type="band1Horz">
      <w:tblPr/>
      <w:tcPr>
        <w:tcBorders>
          <w:top w:val="single" w:sz="8" w:space="0" w:color="F26322" w:themeColor="accent2"/>
          <w:left w:val="single" w:sz="8" w:space="0" w:color="F26322" w:themeColor="accent2"/>
          <w:bottom w:val="single" w:sz="8" w:space="0" w:color="F26322" w:themeColor="accent2"/>
          <w:right w:val="single" w:sz="8" w:space="0" w:color="F26322" w:themeColor="accent2"/>
          <w:insideV w:val="single" w:sz="8" w:space="0" w:color="F26322" w:themeColor="accent2"/>
        </w:tcBorders>
        <w:shd w:val="clear" w:color="auto" w:fill="FBD8C8" w:themeFill="accent2" w:themeFillTint="3F"/>
      </w:tcPr>
    </w:tblStylePr>
    <w:tblStylePr w:type="band2Horz">
      <w:tblPr/>
      <w:tcPr>
        <w:tcBorders>
          <w:top w:val="single" w:sz="8" w:space="0" w:color="F26322" w:themeColor="accent2"/>
          <w:left w:val="single" w:sz="8" w:space="0" w:color="F26322" w:themeColor="accent2"/>
          <w:bottom w:val="single" w:sz="8" w:space="0" w:color="F26322" w:themeColor="accent2"/>
          <w:right w:val="single" w:sz="8" w:space="0" w:color="F26322" w:themeColor="accent2"/>
          <w:insideV w:val="single" w:sz="8" w:space="0" w:color="F26322" w:themeColor="accent2"/>
        </w:tcBorders>
      </w:tcPr>
    </w:tblStylePr>
  </w:style>
  <w:style w:type="table" w:styleId="LightGrid-Accent3">
    <w:name w:val="Light Grid Accent 3"/>
    <w:basedOn w:val="TableNormal"/>
    <w:uiPriority w:val="62"/>
    <w:semiHidden/>
    <w:rsid w:val="00A90923"/>
    <w:pPr>
      <w:spacing w:after="0" w:line="240" w:lineRule="auto"/>
    </w:pPr>
    <w:rPr>
      <w:rFonts w:eastAsiaTheme="minorEastAsia"/>
    </w:rPr>
    <w:tblPr>
      <w:tblStyleRowBandSize w:val="1"/>
      <w:tblStyleColBandSize w:val="1"/>
      <w:tblBorders>
        <w:top w:val="single" w:sz="8" w:space="0" w:color="008276" w:themeColor="accent3"/>
        <w:left w:val="single" w:sz="8" w:space="0" w:color="008276" w:themeColor="accent3"/>
        <w:bottom w:val="single" w:sz="8" w:space="0" w:color="008276" w:themeColor="accent3"/>
        <w:right w:val="single" w:sz="8" w:space="0" w:color="008276" w:themeColor="accent3"/>
        <w:insideH w:val="single" w:sz="8" w:space="0" w:color="008276" w:themeColor="accent3"/>
        <w:insideV w:val="single" w:sz="8" w:space="0" w:color="00827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276" w:themeColor="accent3"/>
          <w:left w:val="single" w:sz="8" w:space="0" w:color="008276" w:themeColor="accent3"/>
          <w:bottom w:val="single" w:sz="18" w:space="0" w:color="008276" w:themeColor="accent3"/>
          <w:right w:val="single" w:sz="8" w:space="0" w:color="008276" w:themeColor="accent3"/>
          <w:insideH w:val="nil"/>
          <w:insideV w:val="single" w:sz="8" w:space="0" w:color="00827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276" w:themeColor="accent3"/>
          <w:left w:val="single" w:sz="8" w:space="0" w:color="008276" w:themeColor="accent3"/>
          <w:bottom w:val="single" w:sz="8" w:space="0" w:color="008276" w:themeColor="accent3"/>
          <w:right w:val="single" w:sz="8" w:space="0" w:color="008276" w:themeColor="accent3"/>
          <w:insideH w:val="nil"/>
          <w:insideV w:val="single" w:sz="8" w:space="0" w:color="00827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276" w:themeColor="accent3"/>
          <w:left w:val="single" w:sz="8" w:space="0" w:color="008276" w:themeColor="accent3"/>
          <w:bottom w:val="single" w:sz="8" w:space="0" w:color="008276" w:themeColor="accent3"/>
          <w:right w:val="single" w:sz="8" w:space="0" w:color="008276" w:themeColor="accent3"/>
        </w:tcBorders>
      </w:tcPr>
    </w:tblStylePr>
    <w:tblStylePr w:type="band1Vert">
      <w:tblPr/>
      <w:tcPr>
        <w:tcBorders>
          <w:top w:val="single" w:sz="8" w:space="0" w:color="008276" w:themeColor="accent3"/>
          <w:left w:val="single" w:sz="8" w:space="0" w:color="008276" w:themeColor="accent3"/>
          <w:bottom w:val="single" w:sz="8" w:space="0" w:color="008276" w:themeColor="accent3"/>
          <w:right w:val="single" w:sz="8" w:space="0" w:color="008276" w:themeColor="accent3"/>
        </w:tcBorders>
        <w:shd w:val="clear" w:color="auto" w:fill="A1FFF6" w:themeFill="accent3" w:themeFillTint="3F"/>
      </w:tcPr>
    </w:tblStylePr>
    <w:tblStylePr w:type="band1Horz">
      <w:tblPr/>
      <w:tcPr>
        <w:tcBorders>
          <w:top w:val="single" w:sz="8" w:space="0" w:color="008276" w:themeColor="accent3"/>
          <w:left w:val="single" w:sz="8" w:space="0" w:color="008276" w:themeColor="accent3"/>
          <w:bottom w:val="single" w:sz="8" w:space="0" w:color="008276" w:themeColor="accent3"/>
          <w:right w:val="single" w:sz="8" w:space="0" w:color="008276" w:themeColor="accent3"/>
          <w:insideV w:val="single" w:sz="8" w:space="0" w:color="008276" w:themeColor="accent3"/>
        </w:tcBorders>
        <w:shd w:val="clear" w:color="auto" w:fill="A1FFF6" w:themeFill="accent3" w:themeFillTint="3F"/>
      </w:tcPr>
    </w:tblStylePr>
    <w:tblStylePr w:type="band2Horz">
      <w:tblPr/>
      <w:tcPr>
        <w:tcBorders>
          <w:top w:val="single" w:sz="8" w:space="0" w:color="008276" w:themeColor="accent3"/>
          <w:left w:val="single" w:sz="8" w:space="0" w:color="008276" w:themeColor="accent3"/>
          <w:bottom w:val="single" w:sz="8" w:space="0" w:color="008276" w:themeColor="accent3"/>
          <w:right w:val="single" w:sz="8" w:space="0" w:color="008276" w:themeColor="accent3"/>
          <w:insideV w:val="single" w:sz="8" w:space="0" w:color="008276" w:themeColor="accent3"/>
        </w:tcBorders>
      </w:tcPr>
    </w:tblStylePr>
  </w:style>
  <w:style w:type="table" w:styleId="LightGrid-Accent4">
    <w:name w:val="Light Grid Accent 4"/>
    <w:basedOn w:val="TableNormal"/>
    <w:uiPriority w:val="62"/>
    <w:semiHidden/>
    <w:rsid w:val="00A90923"/>
    <w:pPr>
      <w:spacing w:after="0" w:line="240" w:lineRule="auto"/>
    </w:pPr>
    <w:rPr>
      <w:rFonts w:eastAsiaTheme="minorEastAsia"/>
    </w:rPr>
    <w:tblPr>
      <w:tblStyleRowBandSize w:val="1"/>
      <w:tblStyleColBandSize w:val="1"/>
      <w:tblBorders>
        <w:top w:val="single" w:sz="8" w:space="0" w:color="B6006A" w:themeColor="accent4"/>
        <w:left w:val="single" w:sz="8" w:space="0" w:color="B6006A" w:themeColor="accent4"/>
        <w:bottom w:val="single" w:sz="8" w:space="0" w:color="B6006A" w:themeColor="accent4"/>
        <w:right w:val="single" w:sz="8" w:space="0" w:color="B6006A" w:themeColor="accent4"/>
        <w:insideH w:val="single" w:sz="8" w:space="0" w:color="B6006A" w:themeColor="accent4"/>
        <w:insideV w:val="single" w:sz="8" w:space="0" w:color="B6006A"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6006A" w:themeColor="accent4"/>
          <w:left w:val="single" w:sz="8" w:space="0" w:color="B6006A" w:themeColor="accent4"/>
          <w:bottom w:val="single" w:sz="18" w:space="0" w:color="B6006A" w:themeColor="accent4"/>
          <w:right w:val="single" w:sz="8" w:space="0" w:color="B6006A" w:themeColor="accent4"/>
          <w:insideH w:val="nil"/>
          <w:insideV w:val="single" w:sz="8" w:space="0" w:color="B6006A"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6006A" w:themeColor="accent4"/>
          <w:left w:val="single" w:sz="8" w:space="0" w:color="B6006A" w:themeColor="accent4"/>
          <w:bottom w:val="single" w:sz="8" w:space="0" w:color="B6006A" w:themeColor="accent4"/>
          <w:right w:val="single" w:sz="8" w:space="0" w:color="B6006A" w:themeColor="accent4"/>
          <w:insideH w:val="nil"/>
          <w:insideV w:val="single" w:sz="8" w:space="0" w:color="B6006A"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6006A" w:themeColor="accent4"/>
          <w:left w:val="single" w:sz="8" w:space="0" w:color="B6006A" w:themeColor="accent4"/>
          <w:bottom w:val="single" w:sz="8" w:space="0" w:color="B6006A" w:themeColor="accent4"/>
          <w:right w:val="single" w:sz="8" w:space="0" w:color="B6006A" w:themeColor="accent4"/>
        </w:tcBorders>
      </w:tcPr>
    </w:tblStylePr>
    <w:tblStylePr w:type="band1Vert">
      <w:tblPr/>
      <w:tcPr>
        <w:tcBorders>
          <w:top w:val="single" w:sz="8" w:space="0" w:color="B6006A" w:themeColor="accent4"/>
          <w:left w:val="single" w:sz="8" w:space="0" w:color="B6006A" w:themeColor="accent4"/>
          <w:bottom w:val="single" w:sz="8" w:space="0" w:color="B6006A" w:themeColor="accent4"/>
          <w:right w:val="single" w:sz="8" w:space="0" w:color="B6006A" w:themeColor="accent4"/>
        </w:tcBorders>
        <w:shd w:val="clear" w:color="auto" w:fill="FFADDC" w:themeFill="accent4" w:themeFillTint="3F"/>
      </w:tcPr>
    </w:tblStylePr>
    <w:tblStylePr w:type="band1Horz">
      <w:tblPr/>
      <w:tcPr>
        <w:tcBorders>
          <w:top w:val="single" w:sz="8" w:space="0" w:color="B6006A" w:themeColor="accent4"/>
          <w:left w:val="single" w:sz="8" w:space="0" w:color="B6006A" w:themeColor="accent4"/>
          <w:bottom w:val="single" w:sz="8" w:space="0" w:color="B6006A" w:themeColor="accent4"/>
          <w:right w:val="single" w:sz="8" w:space="0" w:color="B6006A" w:themeColor="accent4"/>
          <w:insideV w:val="single" w:sz="8" w:space="0" w:color="B6006A" w:themeColor="accent4"/>
        </w:tcBorders>
        <w:shd w:val="clear" w:color="auto" w:fill="FFADDC" w:themeFill="accent4" w:themeFillTint="3F"/>
      </w:tcPr>
    </w:tblStylePr>
    <w:tblStylePr w:type="band2Horz">
      <w:tblPr/>
      <w:tcPr>
        <w:tcBorders>
          <w:top w:val="single" w:sz="8" w:space="0" w:color="B6006A" w:themeColor="accent4"/>
          <w:left w:val="single" w:sz="8" w:space="0" w:color="B6006A" w:themeColor="accent4"/>
          <w:bottom w:val="single" w:sz="8" w:space="0" w:color="B6006A" w:themeColor="accent4"/>
          <w:right w:val="single" w:sz="8" w:space="0" w:color="B6006A" w:themeColor="accent4"/>
          <w:insideV w:val="single" w:sz="8" w:space="0" w:color="B6006A" w:themeColor="accent4"/>
        </w:tcBorders>
      </w:tcPr>
    </w:tblStylePr>
  </w:style>
  <w:style w:type="table" w:styleId="LightGrid-Accent5">
    <w:name w:val="Light Grid Accent 5"/>
    <w:basedOn w:val="TableNormal"/>
    <w:uiPriority w:val="62"/>
    <w:semiHidden/>
    <w:rsid w:val="00A90923"/>
    <w:pPr>
      <w:spacing w:after="0" w:line="240" w:lineRule="auto"/>
    </w:pPr>
    <w:rPr>
      <w:rFonts w:eastAsiaTheme="minorEastAsia"/>
    </w:rPr>
    <w:tblPr>
      <w:tblStyleRowBandSize w:val="1"/>
      <w:tblStyleColBandSize w:val="1"/>
      <w:tblBorders>
        <w:top w:val="single" w:sz="8" w:space="0" w:color="E9A913" w:themeColor="accent5"/>
        <w:left w:val="single" w:sz="8" w:space="0" w:color="E9A913" w:themeColor="accent5"/>
        <w:bottom w:val="single" w:sz="8" w:space="0" w:color="E9A913" w:themeColor="accent5"/>
        <w:right w:val="single" w:sz="8" w:space="0" w:color="E9A913" w:themeColor="accent5"/>
        <w:insideH w:val="single" w:sz="8" w:space="0" w:color="E9A913" w:themeColor="accent5"/>
        <w:insideV w:val="single" w:sz="8" w:space="0" w:color="E9A91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A913" w:themeColor="accent5"/>
          <w:left w:val="single" w:sz="8" w:space="0" w:color="E9A913" w:themeColor="accent5"/>
          <w:bottom w:val="single" w:sz="18" w:space="0" w:color="E9A913" w:themeColor="accent5"/>
          <w:right w:val="single" w:sz="8" w:space="0" w:color="E9A913" w:themeColor="accent5"/>
          <w:insideH w:val="nil"/>
          <w:insideV w:val="single" w:sz="8" w:space="0" w:color="E9A91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A913" w:themeColor="accent5"/>
          <w:left w:val="single" w:sz="8" w:space="0" w:color="E9A913" w:themeColor="accent5"/>
          <w:bottom w:val="single" w:sz="8" w:space="0" w:color="E9A913" w:themeColor="accent5"/>
          <w:right w:val="single" w:sz="8" w:space="0" w:color="E9A913" w:themeColor="accent5"/>
          <w:insideH w:val="nil"/>
          <w:insideV w:val="single" w:sz="8" w:space="0" w:color="E9A91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A913" w:themeColor="accent5"/>
          <w:left w:val="single" w:sz="8" w:space="0" w:color="E9A913" w:themeColor="accent5"/>
          <w:bottom w:val="single" w:sz="8" w:space="0" w:color="E9A913" w:themeColor="accent5"/>
          <w:right w:val="single" w:sz="8" w:space="0" w:color="E9A913" w:themeColor="accent5"/>
        </w:tcBorders>
      </w:tcPr>
    </w:tblStylePr>
    <w:tblStylePr w:type="band1Vert">
      <w:tblPr/>
      <w:tcPr>
        <w:tcBorders>
          <w:top w:val="single" w:sz="8" w:space="0" w:color="E9A913" w:themeColor="accent5"/>
          <w:left w:val="single" w:sz="8" w:space="0" w:color="E9A913" w:themeColor="accent5"/>
          <w:bottom w:val="single" w:sz="8" w:space="0" w:color="E9A913" w:themeColor="accent5"/>
          <w:right w:val="single" w:sz="8" w:space="0" w:color="E9A913" w:themeColor="accent5"/>
        </w:tcBorders>
        <w:shd w:val="clear" w:color="auto" w:fill="FAE9C3" w:themeFill="accent5" w:themeFillTint="3F"/>
      </w:tcPr>
    </w:tblStylePr>
    <w:tblStylePr w:type="band1Horz">
      <w:tblPr/>
      <w:tcPr>
        <w:tcBorders>
          <w:top w:val="single" w:sz="8" w:space="0" w:color="E9A913" w:themeColor="accent5"/>
          <w:left w:val="single" w:sz="8" w:space="0" w:color="E9A913" w:themeColor="accent5"/>
          <w:bottom w:val="single" w:sz="8" w:space="0" w:color="E9A913" w:themeColor="accent5"/>
          <w:right w:val="single" w:sz="8" w:space="0" w:color="E9A913" w:themeColor="accent5"/>
          <w:insideV w:val="single" w:sz="8" w:space="0" w:color="E9A913" w:themeColor="accent5"/>
        </w:tcBorders>
        <w:shd w:val="clear" w:color="auto" w:fill="FAE9C3" w:themeFill="accent5" w:themeFillTint="3F"/>
      </w:tcPr>
    </w:tblStylePr>
    <w:tblStylePr w:type="band2Horz">
      <w:tblPr/>
      <w:tcPr>
        <w:tcBorders>
          <w:top w:val="single" w:sz="8" w:space="0" w:color="E9A913" w:themeColor="accent5"/>
          <w:left w:val="single" w:sz="8" w:space="0" w:color="E9A913" w:themeColor="accent5"/>
          <w:bottom w:val="single" w:sz="8" w:space="0" w:color="E9A913" w:themeColor="accent5"/>
          <w:right w:val="single" w:sz="8" w:space="0" w:color="E9A913" w:themeColor="accent5"/>
          <w:insideV w:val="single" w:sz="8" w:space="0" w:color="E9A913" w:themeColor="accent5"/>
        </w:tcBorders>
      </w:tcPr>
    </w:tblStylePr>
  </w:style>
  <w:style w:type="table" w:styleId="LightGrid-Accent6">
    <w:name w:val="Light Grid Accent 6"/>
    <w:basedOn w:val="TableNormal"/>
    <w:uiPriority w:val="62"/>
    <w:semiHidden/>
    <w:rsid w:val="00A90923"/>
    <w:pPr>
      <w:spacing w:after="0" w:line="240" w:lineRule="auto"/>
    </w:pPr>
    <w:rPr>
      <w:rFonts w:eastAsiaTheme="minorEastAsia"/>
    </w:rPr>
    <w:tblPr>
      <w:tblStyleRowBandSize w:val="1"/>
      <w:tblStyleColBandSize w:val="1"/>
      <w:tblBorders>
        <w:top w:val="single" w:sz="8" w:space="0" w:color="287DB2" w:themeColor="accent6"/>
        <w:left w:val="single" w:sz="8" w:space="0" w:color="287DB2" w:themeColor="accent6"/>
        <w:bottom w:val="single" w:sz="8" w:space="0" w:color="287DB2" w:themeColor="accent6"/>
        <w:right w:val="single" w:sz="8" w:space="0" w:color="287DB2" w:themeColor="accent6"/>
        <w:insideH w:val="single" w:sz="8" w:space="0" w:color="287DB2" w:themeColor="accent6"/>
        <w:insideV w:val="single" w:sz="8" w:space="0" w:color="287DB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87DB2" w:themeColor="accent6"/>
          <w:left w:val="single" w:sz="8" w:space="0" w:color="287DB2" w:themeColor="accent6"/>
          <w:bottom w:val="single" w:sz="18" w:space="0" w:color="287DB2" w:themeColor="accent6"/>
          <w:right w:val="single" w:sz="8" w:space="0" w:color="287DB2" w:themeColor="accent6"/>
          <w:insideH w:val="nil"/>
          <w:insideV w:val="single" w:sz="8" w:space="0" w:color="287DB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87DB2" w:themeColor="accent6"/>
          <w:left w:val="single" w:sz="8" w:space="0" w:color="287DB2" w:themeColor="accent6"/>
          <w:bottom w:val="single" w:sz="8" w:space="0" w:color="287DB2" w:themeColor="accent6"/>
          <w:right w:val="single" w:sz="8" w:space="0" w:color="287DB2" w:themeColor="accent6"/>
          <w:insideH w:val="nil"/>
          <w:insideV w:val="single" w:sz="8" w:space="0" w:color="287DB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87DB2" w:themeColor="accent6"/>
          <w:left w:val="single" w:sz="8" w:space="0" w:color="287DB2" w:themeColor="accent6"/>
          <w:bottom w:val="single" w:sz="8" w:space="0" w:color="287DB2" w:themeColor="accent6"/>
          <w:right w:val="single" w:sz="8" w:space="0" w:color="287DB2" w:themeColor="accent6"/>
        </w:tcBorders>
      </w:tcPr>
    </w:tblStylePr>
    <w:tblStylePr w:type="band1Vert">
      <w:tblPr/>
      <w:tcPr>
        <w:tcBorders>
          <w:top w:val="single" w:sz="8" w:space="0" w:color="287DB2" w:themeColor="accent6"/>
          <w:left w:val="single" w:sz="8" w:space="0" w:color="287DB2" w:themeColor="accent6"/>
          <w:bottom w:val="single" w:sz="8" w:space="0" w:color="287DB2" w:themeColor="accent6"/>
          <w:right w:val="single" w:sz="8" w:space="0" w:color="287DB2" w:themeColor="accent6"/>
        </w:tcBorders>
        <w:shd w:val="clear" w:color="auto" w:fill="C3E0F1" w:themeFill="accent6" w:themeFillTint="3F"/>
      </w:tcPr>
    </w:tblStylePr>
    <w:tblStylePr w:type="band1Horz">
      <w:tblPr/>
      <w:tcPr>
        <w:tcBorders>
          <w:top w:val="single" w:sz="8" w:space="0" w:color="287DB2" w:themeColor="accent6"/>
          <w:left w:val="single" w:sz="8" w:space="0" w:color="287DB2" w:themeColor="accent6"/>
          <w:bottom w:val="single" w:sz="8" w:space="0" w:color="287DB2" w:themeColor="accent6"/>
          <w:right w:val="single" w:sz="8" w:space="0" w:color="287DB2" w:themeColor="accent6"/>
          <w:insideV w:val="single" w:sz="8" w:space="0" w:color="287DB2" w:themeColor="accent6"/>
        </w:tcBorders>
        <w:shd w:val="clear" w:color="auto" w:fill="C3E0F1" w:themeFill="accent6" w:themeFillTint="3F"/>
      </w:tcPr>
    </w:tblStylePr>
    <w:tblStylePr w:type="band2Horz">
      <w:tblPr/>
      <w:tcPr>
        <w:tcBorders>
          <w:top w:val="single" w:sz="8" w:space="0" w:color="287DB2" w:themeColor="accent6"/>
          <w:left w:val="single" w:sz="8" w:space="0" w:color="287DB2" w:themeColor="accent6"/>
          <w:bottom w:val="single" w:sz="8" w:space="0" w:color="287DB2" w:themeColor="accent6"/>
          <w:right w:val="single" w:sz="8" w:space="0" w:color="287DB2" w:themeColor="accent6"/>
          <w:insideV w:val="single" w:sz="8" w:space="0" w:color="287DB2" w:themeColor="accent6"/>
        </w:tcBorders>
      </w:tcPr>
    </w:tblStylePr>
  </w:style>
  <w:style w:type="table" w:styleId="LightList">
    <w:name w:val="Light List"/>
    <w:basedOn w:val="TableNormal"/>
    <w:uiPriority w:val="61"/>
    <w:semiHidden/>
    <w:rsid w:val="00A90923"/>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A90923"/>
    <w:pPr>
      <w:spacing w:after="0" w:line="240" w:lineRule="auto"/>
    </w:pPr>
    <w:rPr>
      <w:rFonts w:eastAsiaTheme="minorEastAsia"/>
    </w:rPr>
    <w:tblPr>
      <w:tblStyleRowBandSize w:val="1"/>
      <w:tblStyleColBandSize w:val="1"/>
      <w:tblBorders>
        <w:top w:val="single" w:sz="8" w:space="0" w:color="002D3F" w:themeColor="accent1"/>
        <w:left w:val="single" w:sz="8" w:space="0" w:color="002D3F" w:themeColor="accent1"/>
        <w:bottom w:val="single" w:sz="8" w:space="0" w:color="002D3F" w:themeColor="accent1"/>
        <w:right w:val="single" w:sz="8" w:space="0" w:color="002D3F" w:themeColor="accent1"/>
      </w:tblBorders>
    </w:tblPr>
    <w:tblStylePr w:type="firstRow">
      <w:pPr>
        <w:spacing w:before="0" w:after="0" w:line="240" w:lineRule="auto"/>
      </w:pPr>
      <w:rPr>
        <w:b/>
        <w:bCs/>
        <w:color w:val="FFFFFF" w:themeColor="background1"/>
      </w:rPr>
      <w:tblPr/>
      <w:tcPr>
        <w:shd w:val="clear" w:color="auto" w:fill="002D3F" w:themeFill="accent1"/>
      </w:tcPr>
    </w:tblStylePr>
    <w:tblStylePr w:type="lastRow">
      <w:pPr>
        <w:spacing w:before="0" w:after="0" w:line="240" w:lineRule="auto"/>
      </w:pPr>
      <w:rPr>
        <w:b/>
        <w:bCs/>
      </w:rPr>
      <w:tblPr/>
      <w:tcPr>
        <w:tcBorders>
          <w:top w:val="double" w:sz="6" w:space="0" w:color="002D3F" w:themeColor="accent1"/>
          <w:left w:val="single" w:sz="8" w:space="0" w:color="002D3F" w:themeColor="accent1"/>
          <w:bottom w:val="single" w:sz="8" w:space="0" w:color="002D3F" w:themeColor="accent1"/>
          <w:right w:val="single" w:sz="8" w:space="0" w:color="002D3F" w:themeColor="accent1"/>
        </w:tcBorders>
      </w:tcPr>
    </w:tblStylePr>
    <w:tblStylePr w:type="firstCol">
      <w:rPr>
        <w:b/>
        <w:bCs/>
      </w:rPr>
    </w:tblStylePr>
    <w:tblStylePr w:type="lastCol">
      <w:rPr>
        <w:b/>
        <w:bCs/>
      </w:rPr>
    </w:tblStylePr>
    <w:tblStylePr w:type="band1Vert">
      <w:tblPr/>
      <w:tcPr>
        <w:tcBorders>
          <w:top w:val="single" w:sz="8" w:space="0" w:color="002D3F" w:themeColor="accent1"/>
          <w:left w:val="single" w:sz="8" w:space="0" w:color="002D3F" w:themeColor="accent1"/>
          <w:bottom w:val="single" w:sz="8" w:space="0" w:color="002D3F" w:themeColor="accent1"/>
          <w:right w:val="single" w:sz="8" w:space="0" w:color="002D3F" w:themeColor="accent1"/>
        </w:tcBorders>
      </w:tcPr>
    </w:tblStylePr>
    <w:tblStylePr w:type="band1Horz">
      <w:tblPr/>
      <w:tcPr>
        <w:tcBorders>
          <w:top w:val="single" w:sz="8" w:space="0" w:color="002D3F" w:themeColor="accent1"/>
          <w:left w:val="single" w:sz="8" w:space="0" w:color="002D3F" w:themeColor="accent1"/>
          <w:bottom w:val="single" w:sz="8" w:space="0" w:color="002D3F" w:themeColor="accent1"/>
          <w:right w:val="single" w:sz="8" w:space="0" w:color="002D3F" w:themeColor="accent1"/>
        </w:tcBorders>
      </w:tcPr>
    </w:tblStylePr>
  </w:style>
  <w:style w:type="table" w:styleId="LightList-Accent2">
    <w:name w:val="Light List Accent 2"/>
    <w:basedOn w:val="TableNormal"/>
    <w:uiPriority w:val="61"/>
    <w:semiHidden/>
    <w:rsid w:val="00A90923"/>
    <w:pPr>
      <w:spacing w:after="0" w:line="240" w:lineRule="auto"/>
    </w:pPr>
    <w:rPr>
      <w:rFonts w:eastAsiaTheme="minorEastAsia"/>
    </w:rPr>
    <w:tblPr>
      <w:tblStyleRowBandSize w:val="1"/>
      <w:tblStyleColBandSize w:val="1"/>
      <w:tblBorders>
        <w:top w:val="single" w:sz="8" w:space="0" w:color="F26322" w:themeColor="accent2"/>
        <w:left w:val="single" w:sz="8" w:space="0" w:color="F26322" w:themeColor="accent2"/>
        <w:bottom w:val="single" w:sz="8" w:space="0" w:color="F26322" w:themeColor="accent2"/>
        <w:right w:val="single" w:sz="8" w:space="0" w:color="F26322" w:themeColor="accent2"/>
      </w:tblBorders>
    </w:tblPr>
    <w:tblStylePr w:type="firstRow">
      <w:pPr>
        <w:spacing w:before="0" w:after="0" w:line="240" w:lineRule="auto"/>
      </w:pPr>
      <w:rPr>
        <w:b/>
        <w:bCs/>
        <w:color w:val="FFFFFF" w:themeColor="background1"/>
      </w:rPr>
      <w:tblPr/>
      <w:tcPr>
        <w:shd w:val="clear" w:color="auto" w:fill="F26322" w:themeFill="accent2"/>
      </w:tcPr>
    </w:tblStylePr>
    <w:tblStylePr w:type="lastRow">
      <w:pPr>
        <w:spacing w:before="0" w:after="0" w:line="240" w:lineRule="auto"/>
      </w:pPr>
      <w:rPr>
        <w:b/>
        <w:bCs/>
      </w:rPr>
      <w:tblPr/>
      <w:tcPr>
        <w:tcBorders>
          <w:top w:val="double" w:sz="6" w:space="0" w:color="F26322" w:themeColor="accent2"/>
          <w:left w:val="single" w:sz="8" w:space="0" w:color="F26322" w:themeColor="accent2"/>
          <w:bottom w:val="single" w:sz="8" w:space="0" w:color="F26322" w:themeColor="accent2"/>
          <w:right w:val="single" w:sz="8" w:space="0" w:color="F26322" w:themeColor="accent2"/>
        </w:tcBorders>
      </w:tcPr>
    </w:tblStylePr>
    <w:tblStylePr w:type="firstCol">
      <w:rPr>
        <w:b/>
        <w:bCs/>
      </w:rPr>
    </w:tblStylePr>
    <w:tblStylePr w:type="lastCol">
      <w:rPr>
        <w:b/>
        <w:bCs/>
      </w:rPr>
    </w:tblStylePr>
    <w:tblStylePr w:type="band1Vert">
      <w:tblPr/>
      <w:tcPr>
        <w:tcBorders>
          <w:top w:val="single" w:sz="8" w:space="0" w:color="F26322" w:themeColor="accent2"/>
          <w:left w:val="single" w:sz="8" w:space="0" w:color="F26322" w:themeColor="accent2"/>
          <w:bottom w:val="single" w:sz="8" w:space="0" w:color="F26322" w:themeColor="accent2"/>
          <w:right w:val="single" w:sz="8" w:space="0" w:color="F26322" w:themeColor="accent2"/>
        </w:tcBorders>
      </w:tcPr>
    </w:tblStylePr>
    <w:tblStylePr w:type="band1Horz">
      <w:tblPr/>
      <w:tcPr>
        <w:tcBorders>
          <w:top w:val="single" w:sz="8" w:space="0" w:color="F26322" w:themeColor="accent2"/>
          <w:left w:val="single" w:sz="8" w:space="0" w:color="F26322" w:themeColor="accent2"/>
          <w:bottom w:val="single" w:sz="8" w:space="0" w:color="F26322" w:themeColor="accent2"/>
          <w:right w:val="single" w:sz="8" w:space="0" w:color="F26322" w:themeColor="accent2"/>
        </w:tcBorders>
      </w:tcPr>
    </w:tblStylePr>
  </w:style>
  <w:style w:type="table" w:styleId="LightList-Accent3">
    <w:name w:val="Light List Accent 3"/>
    <w:basedOn w:val="TableNormal"/>
    <w:uiPriority w:val="61"/>
    <w:semiHidden/>
    <w:rsid w:val="00A90923"/>
    <w:pPr>
      <w:spacing w:after="0" w:line="240" w:lineRule="auto"/>
    </w:pPr>
    <w:rPr>
      <w:rFonts w:eastAsiaTheme="minorEastAsia"/>
    </w:rPr>
    <w:tblPr>
      <w:tblStyleRowBandSize w:val="1"/>
      <w:tblStyleColBandSize w:val="1"/>
      <w:tblBorders>
        <w:top w:val="single" w:sz="8" w:space="0" w:color="008276" w:themeColor="accent3"/>
        <w:left w:val="single" w:sz="8" w:space="0" w:color="008276" w:themeColor="accent3"/>
        <w:bottom w:val="single" w:sz="8" w:space="0" w:color="008276" w:themeColor="accent3"/>
        <w:right w:val="single" w:sz="8" w:space="0" w:color="008276" w:themeColor="accent3"/>
      </w:tblBorders>
    </w:tblPr>
    <w:tblStylePr w:type="firstRow">
      <w:pPr>
        <w:spacing w:before="0" w:after="0" w:line="240" w:lineRule="auto"/>
      </w:pPr>
      <w:rPr>
        <w:b/>
        <w:bCs/>
        <w:color w:val="FFFFFF" w:themeColor="background1"/>
      </w:rPr>
      <w:tblPr/>
      <w:tcPr>
        <w:shd w:val="clear" w:color="auto" w:fill="008276" w:themeFill="accent3"/>
      </w:tcPr>
    </w:tblStylePr>
    <w:tblStylePr w:type="lastRow">
      <w:pPr>
        <w:spacing w:before="0" w:after="0" w:line="240" w:lineRule="auto"/>
      </w:pPr>
      <w:rPr>
        <w:b/>
        <w:bCs/>
      </w:rPr>
      <w:tblPr/>
      <w:tcPr>
        <w:tcBorders>
          <w:top w:val="double" w:sz="6" w:space="0" w:color="008276" w:themeColor="accent3"/>
          <w:left w:val="single" w:sz="8" w:space="0" w:color="008276" w:themeColor="accent3"/>
          <w:bottom w:val="single" w:sz="8" w:space="0" w:color="008276" w:themeColor="accent3"/>
          <w:right w:val="single" w:sz="8" w:space="0" w:color="008276" w:themeColor="accent3"/>
        </w:tcBorders>
      </w:tcPr>
    </w:tblStylePr>
    <w:tblStylePr w:type="firstCol">
      <w:rPr>
        <w:b/>
        <w:bCs/>
      </w:rPr>
    </w:tblStylePr>
    <w:tblStylePr w:type="lastCol">
      <w:rPr>
        <w:b/>
        <w:bCs/>
      </w:rPr>
    </w:tblStylePr>
    <w:tblStylePr w:type="band1Vert">
      <w:tblPr/>
      <w:tcPr>
        <w:tcBorders>
          <w:top w:val="single" w:sz="8" w:space="0" w:color="008276" w:themeColor="accent3"/>
          <w:left w:val="single" w:sz="8" w:space="0" w:color="008276" w:themeColor="accent3"/>
          <w:bottom w:val="single" w:sz="8" w:space="0" w:color="008276" w:themeColor="accent3"/>
          <w:right w:val="single" w:sz="8" w:space="0" w:color="008276" w:themeColor="accent3"/>
        </w:tcBorders>
      </w:tcPr>
    </w:tblStylePr>
    <w:tblStylePr w:type="band1Horz">
      <w:tblPr/>
      <w:tcPr>
        <w:tcBorders>
          <w:top w:val="single" w:sz="8" w:space="0" w:color="008276" w:themeColor="accent3"/>
          <w:left w:val="single" w:sz="8" w:space="0" w:color="008276" w:themeColor="accent3"/>
          <w:bottom w:val="single" w:sz="8" w:space="0" w:color="008276" w:themeColor="accent3"/>
          <w:right w:val="single" w:sz="8" w:space="0" w:color="008276" w:themeColor="accent3"/>
        </w:tcBorders>
      </w:tcPr>
    </w:tblStylePr>
  </w:style>
  <w:style w:type="table" w:styleId="LightList-Accent4">
    <w:name w:val="Light List Accent 4"/>
    <w:basedOn w:val="TableNormal"/>
    <w:uiPriority w:val="61"/>
    <w:semiHidden/>
    <w:rsid w:val="00A90923"/>
    <w:pPr>
      <w:spacing w:after="0" w:line="240" w:lineRule="auto"/>
    </w:pPr>
    <w:rPr>
      <w:rFonts w:eastAsiaTheme="minorEastAsia"/>
    </w:rPr>
    <w:tblPr>
      <w:tblStyleRowBandSize w:val="1"/>
      <w:tblStyleColBandSize w:val="1"/>
      <w:tblBorders>
        <w:top w:val="single" w:sz="8" w:space="0" w:color="B6006A" w:themeColor="accent4"/>
        <w:left w:val="single" w:sz="8" w:space="0" w:color="B6006A" w:themeColor="accent4"/>
        <w:bottom w:val="single" w:sz="8" w:space="0" w:color="B6006A" w:themeColor="accent4"/>
        <w:right w:val="single" w:sz="8" w:space="0" w:color="B6006A" w:themeColor="accent4"/>
      </w:tblBorders>
    </w:tblPr>
    <w:tblStylePr w:type="firstRow">
      <w:pPr>
        <w:spacing w:before="0" w:after="0" w:line="240" w:lineRule="auto"/>
      </w:pPr>
      <w:rPr>
        <w:b/>
        <w:bCs/>
        <w:color w:val="FFFFFF" w:themeColor="background1"/>
      </w:rPr>
      <w:tblPr/>
      <w:tcPr>
        <w:shd w:val="clear" w:color="auto" w:fill="B6006A" w:themeFill="accent4"/>
      </w:tcPr>
    </w:tblStylePr>
    <w:tblStylePr w:type="lastRow">
      <w:pPr>
        <w:spacing w:before="0" w:after="0" w:line="240" w:lineRule="auto"/>
      </w:pPr>
      <w:rPr>
        <w:b/>
        <w:bCs/>
      </w:rPr>
      <w:tblPr/>
      <w:tcPr>
        <w:tcBorders>
          <w:top w:val="double" w:sz="6" w:space="0" w:color="B6006A" w:themeColor="accent4"/>
          <w:left w:val="single" w:sz="8" w:space="0" w:color="B6006A" w:themeColor="accent4"/>
          <w:bottom w:val="single" w:sz="8" w:space="0" w:color="B6006A" w:themeColor="accent4"/>
          <w:right w:val="single" w:sz="8" w:space="0" w:color="B6006A" w:themeColor="accent4"/>
        </w:tcBorders>
      </w:tcPr>
    </w:tblStylePr>
    <w:tblStylePr w:type="firstCol">
      <w:rPr>
        <w:b/>
        <w:bCs/>
      </w:rPr>
    </w:tblStylePr>
    <w:tblStylePr w:type="lastCol">
      <w:rPr>
        <w:b/>
        <w:bCs/>
      </w:rPr>
    </w:tblStylePr>
    <w:tblStylePr w:type="band1Vert">
      <w:tblPr/>
      <w:tcPr>
        <w:tcBorders>
          <w:top w:val="single" w:sz="8" w:space="0" w:color="B6006A" w:themeColor="accent4"/>
          <w:left w:val="single" w:sz="8" w:space="0" w:color="B6006A" w:themeColor="accent4"/>
          <w:bottom w:val="single" w:sz="8" w:space="0" w:color="B6006A" w:themeColor="accent4"/>
          <w:right w:val="single" w:sz="8" w:space="0" w:color="B6006A" w:themeColor="accent4"/>
        </w:tcBorders>
      </w:tcPr>
    </w:tblStylePr>
    <w:tblStylePr w:type="band1Horz">
      <w:tblPr/>
      <w:tcPr>
        <w:tcBorders>
          <w:top w:val="single" w:sz="8" w:space="0" w:color="B6006A" w:themeColor="accent4"/>
          <w:left w:val="single" w:sz="8" w:space="0" w:color="B6006A" w:themeColor="accent4"/>
          <w:bottom w:val="single" w:sz="8" w:space="0" w:color="B6006A" w:themeColor="accent4"/>
          <w:right w:val="single" w:sz="8" w:space="0" w:color="B6006A" w:themeColor="accent4"/>
        </w:tcBorders>
      </w:tcPr>
    </w:tblStylePr>
  </w:style>
  <w:style w:type="table" w:styleId="LightList-Accent5">
    <w:name w:val="Light List Accent 5"/>
    <w:basedOn w:val="TableNormal"/>
    <w:uiPriority w:val="61"/>
    <w:semiHidden/>
    <w:rsid w:val="00A90923"/>
    <w:pPr>
      <w:spacing w:after="0" w:line="240" w:lineRule="auto"/>
    </w:pPr>
    <w:rPr>
      <w:rFonts w:eastAsiaTheme="minorEastAsia"/>
    </w:rPr>
    <w:tblPr>
      <w:tblStyleRowBandSize w:val="1"/>
      <w:tblStyleColBandSize w:val="1"/>
      <w:tblBorders>
        <w:top w:val="single" w:sz="8" w:space="0" w:color="E9A913" w:themeColor="accent5"/>
        <w:left w:val="single" w:sz="8" w:space="0" w:color="E9A913" w:themeColor="accent5"/>
        <w:bottom w:val="single" w:sz="8" w:space="0" w:color="E9A913" w:themeColor="accent5"/>
        <w:right w:val="single" w:sz="8" w:space="0" w:color="E9A913" w:themeColor="accent5"/>
      </w:tblBorders>
    </w:tblPr>
    <w:tblStylePr w:type="firstRow">
      <w:pPr>
        <w:spacing w:before="0" w:after="0" w:line="240" w:lineRule="auto"/>
      </w:pPr>
      <w:rPr>
        <w:b/>
        <w:bCs/>
        <w:color w:val="FFFFFF" w:themeColor="background1"/>
      </w:rPr>
      <w:tblPr/>
      <w:tcPr>
        <w:shd w:val="clear" w:color="auto" w:fill="E9A913" w:themeFill="accent5"/>
      </w:tcPr>
    </w:tblStylePr>
    <w:tblStylePr w:type="lastRow">
      <w:pPr>
        <w:spacing w:before="0" w:after="0" w:line="240" w:lineRule="auto"/>
      </w:pPr>
      <w:rPr>
        <w:b/>
        <w:bCs/>
      </w:rPr>
      <w:tblPr/>
      <w:tcPr>
        <w:tcBorders>
          <w:top w:val="double" w:sz="6" w:space="0" w:color="E9A913" w:themeColor="accent5"/>
          <w:left w:val="single" w:sz="8" w:space="0" w:color="E9A913" w:themeColor="accent5"/>
          <w:bottom w:val="single" w:sz="8" w:space="0" w:color="E9A913" w:themeColor="accent5"/>
          <w:right w:val="single" w:sz="8" w:space="0" w:color="E9A913" w:themeColor="accent5"/>
        </w:tcBorders>
      </w:tcPr>
    </w:tblStylePr>
    <w:tblStylePr w:type="firstCol">
      <w:rPr>
        <w:b/>
        <w:bCs/>
      </w:rPr>
    </w:tblStylePr>
    <w:tblStylePr w:type="lastCol">
      <w:rPr>
        <w:b/>
        <w:bCs/>
      </w:rPr>
    </w:tblStylePr>
    <w:tblStylePr w:type="band1Vert">
      <w:tblPr/>
      <w:tcPr>
        <w:tcBorders>
          <w:top w:val="single" w:sz="8" w:space="0" w:color="E9A913" w:themeColor="accent5"/>
          <w:left w:val="single" w:sz="8" w:space="0" w:color="E9A913" w:themeColor="accent5"/>
          <w:bottom w:val="single" w:sz="8" w:space="0" w:color="E9A913" w:themeColor="accent5"/>
          <w:right w:val="single" w:sz="8" w:space="0" w:color="E9A913" w:themeColor="accent5"/>
        </w:tcBorders>
      </w:tcPr>
    </w:tblStylePr>
    <w:tblStylePr w:type="band1Horz">
      <w:tblPr/>
      <w:tcPr>
        <w:tcBorders>
          <w:top w:val="single" w:sz="8" w:space="0" w:color="E9A913" w:themeColor="accent5"/>
          <w:left w:val="single" w:sz="8" w:space="0" w:color="E9A913" w:themeColor="accent5"/>
          <w:bottom w:val="single" w:sz="8" w:space="0" w:color="E9A913" w:themeColor="accent5"/>
          <w:right w:val="single" w:sz="8" w:space="0" w:color="E9A913" w:themeColor="accent5"/>
        </w:tcBorders>
      </w:tcPr>
    </w:tblStylePr>
  </w:style>
  <w:style w:type="table" w:styleId="LightList-Accent6">
    <w:name w:val="Light List Accent 6"/>
    <w:basedOn w:val="TableNormal"/>
    <w:uiPriority w:val="61"/>
    <w:semiHidden/>
    <w:rsid w:val="00A90923"/>
    <w:pPr>
      <w:spacing w:after="0" w:line="240" w:lineRule="auto"/>
    </w:pPr>
    <w:rPr>
      <w:rFonts w:eastAsiaTheme="minorEastAsia"/>
    </w:rPr>
    <w:tblPr>
      <w:tblStyleRowBandSize w:val="1"/>
      <w:tblStyleColBandSize w:val="1"/>
      <w:tblBorders>
        <w:top w:val="single" w:sz="8" w:space="0" w:color="287DB2" w:themeColor="accent6"/>
        <w:left w:val="single" w:sz="8" w:space="0" w:color="287DB2" w:themeColor="accent6"/>
        <w:bottom w:val="single" w:sz="8" w:space="0" w:color="287DB2" w:themeColor="accent6"/>
        <w:right w:val="single" w:sz="8" w:space="0" w:color="287DB2" w:themeColor="accent6"/>
      </w:tblBorders>
    </w:tblPr>
    <w:tblStylePr w:type="firstRow">
      <w:pPr>
        <w:spacing w:before="0" w:after="0" w:line="240" w:lineRule="auto"/>
      </w:pPr>
      <w:rPr>
        <w:b/>
        <w:bCs/>
        <w:color w:val="FFFFFF" w:themeColor="background1"/>
      </w:rPr>
      <w:tblPr/>
      <w:tcPr>
        <w:shd w:val="clear" w:color="auto" w:fill="287DB2" w:themeFill="accent6"/>
      </w:tcPr>
    </w:tblStylePr>
    <w:tblStylePr w:type="lastRow">
      <w:pPr>
        <w:spacing w:before="0" w:after="0" w:line="240" w:lineRule="auto"/>
      </w:pPr>
      <w:rPr>
        <w:b/>
        <w:bCs/>
      </w:rPr>
      <w:tblPr/>
      <w:tcPr>
        <w:tcBorders>
          <w:top w:val="double" w:sz="6" w:space="0" w:color="287DB2" w:themeColor="accent6"/>
          <w:left w:val="single" w:sz="8" w:space="0" w:color="287DB2" w:themeColor="accent6"/>
          <w:bottom w:val="single" w:sz="8" w:space="0" w:color="287DB2" w:themeColor="accent6"/>
          <w:right w:val="single" w:sz="8" w:space="0" w:color="287DB2" w:themeColor="accent6"/>
        </w:tcBorders>
      </w:tcPr>
    </w:tblStylePr>
    <w:tblStylePr w:type="firstCol">
      <w:rPr>
        <w:b/>
        <w:bCs/>
      </w:rPr>
    </w:tblStylePr>
    <w:tblStylePr w:type="lastCol">
      <w:rPr>
        <w:b/>
        <w:bCs/>
      </w:rPr>
    </w:tblStylePr>
    <w:tblStylePr w:type="band1Vert">
      <w:tblPr/>
      <w:tcPr>
        <w:tcBorders>
          <w:top w:val="single" w:sz="8" w:space="0" w:color="287DB2" w:themeColor="accent6"/>
          <w:left w:val="single" w:sz="8" w:space="0" w:color="287DB2" w:themeColor="accent6"/>
          <w:bottom w:val="single" w:sz="8" w:space="0" w:color="287DB2" w:themeColor="accent6"/>
          <w:right w:val="single" w:sz="8" w:space="0" w:color="287DB2" w:themeColor="accent6"/>
        </w:tcBorders>
      </w:tcPr>
    </w:tblStylePr>
    <w:tblStylePr w:type="band1Horz">
      <w:tblPr/>
      <w:tcPr>
        <w:tcBorders>
          <w:top w:val="single" w:sz="8" w:space="0" w:color="287DB2" w:themeColor="accent6"/>
          <w:left w:val="single" w:sz="8" w:space="0" w:color="287DB2" w:themeColor="accent6"/>
          <w:bottom w:val="single" w:sz="8" w:space="0" w:color="287DB2" w:themeColor="accent6"/>
          <w:right w:val="single" w:sz="8" w:space="0" w:color="287DB2" w:themeColor="accent6"/>
        </w:tcBorders>
      </w:tcPr>
    </w:tblStylePr>
  </w:style>
  <w:style w:type="table" w:styleId="LightShading">
    <w:name w:val="Light Shading"/>
    <w:basedOn w:val="TableNormal"/>
    <w:uiPriority w:val="60"/>
    <w:semiHidden/>
    <w:rsid w:val="00A90923"/>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A90923"/>
    <w:pPr>
      <w:spacing w:after="0" w:line="240" w:lineRule="auto"/>
    </w:pPr>
    <w:rPr>
      <w:rFonts w:eastAsiaTheme="minorEastAsia"/>
      <w:color w:val="00212F" w:themeColor="accent1" w:themeShade="BF"/>
    </w:rPr>
    <w:tblPr>
      <w:tblStyleRowBandSize w:val="1"/>
      <w:tblStyleColBandSize w:val="1"/>
      <w:tblBorders>
        <w:top w:val="single" w:sz="8" w:space="0" w:color="002D3F" w:themeColor="accent1"/>
        <w:bottom w:val="single" w:sz="8" w:space="0" w:color="002D3F" w:themeColor="accent1"/>
      </w:tblBorders>
    </w:tblPr>
    <w:tblStylePr w:type="firstRow">
      <w:pPr>
        <w:spacing w:before="0" w:after="0" w:line="240" w:lineRule="auto"/>
      </w:pPr>
      <w:rPr>
        <w:b/>
        <w:bCs/>
      </w:rPr>
      <w:tblPr/>
      <w:tcPr>
        <w:tcBorders>
          <w:top w:val="single" w:sz="8" w:space="0" w:color="002D3F" w:themeColor="accent1"/>
          <w:left w:val="nil"/>
          <w:bottom w:val="single" w:sz="8" w:space="0" w:color="002D3F" w:themeColor="accent1"/>
          <w:right w:val="nil"/>
          <w:insideH w:val="nil"/>
          <w:insideV w:val="nil"/>
        </w:tcBorders>
      </w:tcPr>
    </w:tblStylePr>
    <w:tblStylePr w:type="lastRow">
      <w:pPr>
        <w:spacing w:before="0" w:after="0" w:line="240" w:lineRule="auto"/>
      </w:pPr>
      <w:rPr>
        <w:b/>
        <w:bCs/>
      </w:rPr>
      <w:tblPr/>
      <w:tcPr>
        <w:tcBorders>
          <w:top w:val="single" w:sz="8" w:space="0" w:color="002D3F" w:themeColor="accent1"/>
          <w:left w:val="nil"/>
          <w:bottom w:val="single" w:sz="8" w:space="0" w:color="002D3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0DFFF" w:themeFill="accent1" w:themeFillTint="3F"/>
      </w:tcPr>
    </w:tblStylePr>
    <w:tblStylePr w:type="band1Horz">
      <w:tblPr/>
      <w:tcPr>
        <w:tcBorders>
          <w:left w:val="nil"/>
          <w:right w:val="nil"/>
          <w:insideH w:val="nil"/>
          <w:insideV w:val="nil"/>
        </w:tcBorders>
        <w:shd w:val="clear" w:color="auto" w:fill="90DFFF" w:themeFill="accent1" w:themeFillTint="3F"/>
      </w:tcPr>
    </w:tblStylePr>
  </w:style>
  <w:style w:type="table" w:styleId="LightShading-Accent2">
    <w:name w:val="Light Shading Accent 2"/>
    <w:basedOn w:val="TableNormal"/>
    <w:uiPriority w:val="60"/>
    <w:semiHidden/>
    <w:rsid w:val="00A90923"/>
    <w:pPr>
      <w:spacing w:after="0" w:line="240" w:lineRule="auto"/>
    </w:pPr>
    <w:rPr>
      <w:rFonts w:eastAsiaTheme="minorEastAsia"/>
      <w:color w:val="C3440B" w:themeColor="accent2" w:themeShade="BF"/>
    </w:rPr>
    <w:tblPr>
      <w:tblStyleRowBandSize w:val="1"/>
      <w:tblStyleColBandSize w:val="1"/>
      <w:tblBorders>
        <w:top w:val="single" w:sz="8" w:space="0" w:color="F26322" w:themeColor="accent2"/>
        <w:bottom w:val="single" w:sz="8" w:space="0" w:color="F26322" w:themeColor="accent2"/>
      </w:tblBorders>
    </w:tblPr>
    <w:tblStylePr w:type="firstRow">
      <w:pPr>
        <w:spacing w:before="0" w:after="0" w:line="240" w:lineRule="auto"/>
      </w:pPr>
      <w:rPr>
        <w:b/>
        <w:bCs/>
      </w:rPr>
      <w:tblPr/>
      <w:tcPr>
        <w:tcBorders>
          <w:top w:val="single" w:sz="8" w:space="0" w:color="F26322" w:themeColor="accent2"/>
          <w:left w:val="nil"/>
          <w:bottom w:val="single" w:sz="8" w:space="0" w:color="F26322" w:themeColor="accent2"/>
          <w:right w:val="nil"/>
          <w:insideH w:val="nil"/>
          <w:insideV w:val="nil"/>
        </w:tcBorders>
      </w:tcPr>
    </w:tblStylePr>
    <w:tblStylePr w:type="lastRow">
      <w:pPr>
        <w:spacing w:before="0" w:after="0" w:line="240" w:lineRule="auto"/>
      </w:pPr>
      <w:rPr>
        <w:b/>
        <w:bCs/>
      </w:rPr>
      <w:tblPr/>
      <w:tcPr>
        <w:tcBorders>
          <w:top w:val="single" w:sz="8" w:space="0" w:color="F26322" w:themeColor="accent2"/>
          <w:left w:val="nil"/>
          <w:bottom w:val="single" w:sz="8" w:space="0" w:color="F2632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8C8" w:themeFill="accent2" w:themeFillTint="3F"/>
      </w:tcPr>
    </w:tblStylePr>
    <w:tblStylePr w:type="band1Horz">
      <w:tblPr/>
      <w:tcPr>
        <w:tcBorders>
          <w:left w:val="nil"/>
          <w:right w:val="nil"/>
          <w:insideH w:val="nil"/>
          <w:insideV w:val="nil"/>
        </w:tcBorders>
        <w:shd w:val="clear" w:color="auto" w:fill="FBD8C8" w:themeFill="accent2" w:themeFillTint="3F"/>
      </w:tcPr>
    </w:tblStylePr>
  </w:style>
  <w:style w:type="table" w:styleId="LightShading-Accent3">
    <w:name w:val="Light Shading Accent 3"/>
    <w:basedOn w:val="TableNormal"/>
    <w:uiPriority w:val="60"/>
    <w:semiHidden/>
    <w:rsid w:val="00A90923"/>
    <w:pPr>
      <w:spacing w:after="0" w:line="240" w:lineRule="auto"/>
    </w:pPr>
    <w:rPr>
      <w:rFonts w:eastAsiaTheme="minorEastAsia"/>
      <w:color w:val="006158" w:themeColor="accent3" w:themeShade="BF"/>
    </w:rPr>
    <w:tblPr>
      <w:tblStyleRowBandSize w:val="1"/>
      <w:tblStyleColBandSize w:val="1"/>
      <w:tblBorders>
        <w:top w:val="single" w:sz="8" w:space="0" w:color="008276" w:themeColor="accent3"/>
        <w:bottom w:val="single" w:sz="8" w:space="0" w:color="008276" w:themeColor="accent3"/>
      </w:tblBorders>
    </w:tblPr>
    <w:tblStylePr w:type="firstRow">
      <w:pPr>
        <w:spacing w:before="0" w:after="0" w:line="240" w:lineRule="auto"/>
      </w:pPr>
      <w:rPr>
        <w:b/>
        <w:bCs/>
      </w:rPr>
      <w:tblPr/>
      <w:tcPr>
        <w:tcBorders>
          <w:top w:val="single" w:sz="8" w:space="0" w:color="008276" w:themeColor="accent3"/>
          <w:left w:val="nil"/>
          <w:bottom w:val="single" w:sz="8" w:space="0" w:color="008276" w:themeColor="accent3"/>
          <w:right w:val="nil"/>
          <w:insideH w:val="nil"/>
          <w:insideV w:val="nil"/>
        </w:tcBorders>
      </w:tcPr>
    </w:tblStylePr>
    <w:tblStylePr w:type="lastRow">
      <w:pPr>
        <w:spacing w:before="0" w:after="0" w:line="240" w:lineRule="auto"/>
      </w:pPr>
      <w:rPr>
        <w:b/>
        <w:bCs/>
      </w:rPr>
      <w:tblPr/>
      <w:tcPr>
        <w:tcBorders>
          <w:top w:val="single" w:sz="8" w:space="0" w:color="008276" w:themeColor="accent3"/>
          <w:left w:val="nil"/>
          <w:bottom w:val="single" w:sz="8" w:space="0" w:color="00827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1FFF6" w:themeFill="accent3" w:themeFillTint="3F"/>
      </w:tcPr>
    </w:tblStylePr>
    <w:tblStylePr w:type="band1Horz">
      <w:tblPr/>
      <w:tcPr>
        <w:tcBorders>
          <w:left w:val="nil"/>
          <w:right w:val="nil"/>
          <w:insideH w:val="nil"/>
          <w:insideV w:val="nil"/>
        </w:tcBorders>
        <w:shd w:val="clear" w:color="auto" w:fill="A1FFF6" w:themeFill="accent3" w:themeFillTint="3F"/>
      </w:tcPr>
    </w:tblStylePr>
  </w:style>
  <w:style w:type="table" w:styleId="LightShading-Accent4">
    <w:name w:val="Light Shading Accent 4"/>
    <w:basedOn w:val="TableNormal"/>
    <w:uiPriority w:val="60"/>
    <w:semiHidden/>
    <w:rsid w:val="00A90923"/>
    <w:pPr>
      <w:spacing w:after="0" w:line="240" w:lineRule="auto"/>
    </w:pPr>
    <w:rPr>
      <w:rFonts w:eastAsiaTheme="minorEastAsia"/>
      <w:color w:val="88004E" w:themeColor="accent4" w:themeShade="BF"/>
    </w:rPr>
    <w:tblPr>
      <w:tblStyleRowBandSize w:val="1"/>
      <w:tblStyleColBandSize w:val="1"/>
      <w:tblBorders>
        <w:top w:val="single" w:sz="8" w:space="0" w:color="B6006A" w:themeColor="accent4"/>
        <w:bottom w:val="single" w:sz="8" w:space="0" w:color="B6006A" w:themeColor="accent4"/>
      </w:tblBorders>
    </w:tblPr>
    <w:tblStylePr w:type="firstRow">
      <w:pPr>
        <w:spacing w:before="0" w:after="0" w:line="240" w:lineRule="auto"/>
      </w:pPr>
      <w:rPr>
        <w:b/>
        <w:bCs/>
      </w:rPr>
      <w:tblPr/>
      <w:tcPr>
        <w:tcBorders>
          <w:top w:val="single" w:sz="8" w:space="0" w:color="B6006A" w:themeColor="accent4"/>
          <w:left w:val="nil"/>
          <w:bottom w:val="single" w:sz="8" w:space="0" w:color="B6006A" w:themeColor="accent4"/>
          <w:right w:val="nil"/>
          <w:insideH w:val="nil"/>
          <w:insideV w:val="nil"/>
        </w:tcBorders>
      </w:tcPr>
    </w:tblStylePr>
    <w:tblStylePr w:type="lastRow">
      <w:pPr>
        <w:spacing w:before="0" w:after="0" w:line="240" w:lineRule="auto"/>
      </w:pPr>
      <w:rPr>
        <w:b/>
        <w:bCs/>
      </w:rPr>
      <w:tblPr/>
      <w:tcPr>
        <w:tcBorders>
          <w:top w:val="single" w:sz="8" w:space="0" w:color="B6006A" w:themeColor="accent4"/>
          <w:left w:val="nil"/>
          <w:bottom w:val="single" w:sz="8" w:space="0" w:color="B6006A"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DDC" w:themeFill="accent4" w:themeFillTint="3F"/>
      </w:tcPr>
    </w:tblStylePr>
    <w:tblStylePr w:type="band1Horz">
      <w:tblPr/>
      <w:tcPr>
        <w:tcBorders>
          <w:left w:val="nil"/>
          <w:right w:val="nil"/>
          <w:insideH w:val="nil"/>
          <w:insideV w:val="nil"/>
        </w:tcBorders>
        <w:shd w:val="clear" w:color="auto" w:fill="FFADDC" w:themeFill="accent4" w:themeFillTint="3F"/>
      </w:tcPr>
    </w:tblStylePr>
  </w:style>
  <w:style w:type="table" w:styleId="MediumGrid1">
    <w:name w:val="Medium Grid 1"/>
    <w:basedOn w:val="TableNormal"/>
    <w:uiPriority w:val="67"/>
    <w:semiHidden/>
    <w:rsid w:val="00A90923"/>
    <w:pPr>
      <w:spacing w:after="0" w:line="240" w:lineRule="auto"/>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A90923"/>
    <w:pPr>
      <w:spacing w:after="0" w:line="240" w:lineRule="auto"/>
    </w:pPr>
    <w:rPr>
      <w:rFonts w:eastAsiaTheme="minorEastAsia"/>
    </w:rPr>
    <w:tblPr>
      <w:tblStyleRowBandSize w:val="1"/>
      <w:tblStyleColBandSize w:val="1"/>
      <w:tblBorders>
        <w:top w:val="single" w:sz="8" w:space="0" w:color="007CAF" w:themeColor="accent1" w:themeTint="BF"/>
        <w:left w:val="single" w:sz="8" w:space="0" w:color="007CAF" w:themeColor="accent1" w:themeTint="BF"/>
        <w:bottom w:val="single" w:sz="8" w:space="0" w:color="007CAF" w:themeColor="accent1" w:themeTint="BF"/>
        <w:right w:val="single" w:sz="8" w:space="0" w:color="007CAF" w:themeColor="accent1" w:themeTint="BF"/>
        <w:insideH w:val="single" w:sz="8" w:space="0" w:color="007CAF" w:themeColor="accent1" w:themeTint="BF"/>
        <w:insideV w:val="single" w:sz="8" w:space="0" w:color="007CAF" w:themeColor="accent1" w:themeTint="BF"/>
      </w:tblBorders>
    </w:tblPr>
    <w:tcPr>
      <w:shd w:val="clear" w:color="auto" w:fill="90DFFF" w:themeFill="accent1" w:themeFillTint="3F"/>
    </w:tcPr>
    <w:tblStylePr w:type="firstRow">
      <w:rPr>
        <w:b/>
        <w:bCs/>
      </w:rPr>
    </w:tblStylePr>
    <w:tblStylePr w:type="lastRow">
      <w:rPr>
        <w:b/>
        <w:bCs/>
      </w:rPr>
      <w:tblPr/>
      <w:tcPr>
        <w:tcBorders>
          <w:top w:val="single" w:sz="18" w:space="0" w:color="007CAF" w:themeColor="accent1" w:themeTint="BF"/>
        </w:tcBorders>
      </w:tcPr>
    </w:tblStylePr>
    <w:tblStylePr w:type="firstCol">
      <w:rPr>
        <w:b/>
        <w:bCs/>
      </w:rPr>
    </w:tblStylePr>
    <w:tblStylePr w:type="lastCol">
      <w:rPr>
        <w:b/>
        <w:bCs/>
      </w:rPr>
    </w:tblStylePr>
    <w:tblStylePr w:type="band1Vert">
      <w:tblPr/>
      <w:tcPr>
        <w:shd w:val="clear" w:color="auto" w:fill="20BFFF" w:themeFill="accent1" w:themeFillTint="7F"/>
      </w:tcPr>
    </w:tblStylePr>
    <w:tblStylePr w:type="band1Horz">
      <w:tblPr/>
      <w:tcPr>
        <w:shd w:val="clear" w:color="auto" w:fill="20BFFF" w:themeFill="accent1" w:themeFillTint="7F"/>
      </w:tcPr>
    </w:tblStylePr>
  </w:style>
  <w:style w:type="table" w:styleId="MediumGrid1-Accent2">
    <w:name w:val="Medium Grid 1 Accent 2"/>
    <w:basedOn w:val="TableNormal"/>
    <w:uiPriority w:val="67"/>
    <w:semiHidden/>
    <w:rsid w:val="00A90923"/>
    <w:pPr>
      <w:spacing w:after="0" w:line="240" w:lineRule="auto"/>
    </w:pPr>
    <w:rPr>
      <w:rFonts w:eastAsiaTheme="minorEastAsia"/>
    </w:rPr>
    <w:tblPr>
      <w:tblStyleRowBandSize w:val="1"/>
      <w:tblStyleColBandSize w:val="1"/>
      <w:tblBorders>
        <w:top w:val="single" w:sz="8" w:space="0" w:color="F58959" w:themeColor="accent2" w:themeTint="BF"/>
        <w:left w:val="single" w:sz="8" w:space="0" w:color="F58959" w:themeColor="accent2" w:themeTint="BF"/>
        <w:bottom w:val="single" w:sz="8" w:space="0" w:color="F58959" w:themeColor="accent2" w:themeTint="BF"/>
        <w:right w:val="single" w:sz="8" w:space="0" w:color="F58959" w:themeColor="accent2" w:themeTint="BF"/>
        <w:insideH w:val="single" w:sz="8" w:space="0" w:color="F58959" w:themeColor="accent2" w:themeTint="BF"/>
        <w:insideV w:val="single" w:sz="8" w:space="0" w:color="F58959" w:themeColor="accent2" w:themeTint="BF"/>
      </w:tblBorders>
    </w:tblPr>
    <w:tcPr>
      <w:shd w:val="clear" w:color="auto" w:fill="FBD8C8" w:themeFill="accent2" w:themeFillTint="3F"/>
    </w:tcPr>
    <w:tblStylePr w:type="firstRow">
      <w:rPr>
        <w:b/>
        <w:bCs/>
      </w:rPr>
    </w:tblStylePr>
    <w:tblStylePr w:type="lastRow">
      <w:rPr>
        <w:b/>
        <w:bCs/>
      </w:rPr>
      <w:tblPr/>
      <w:tcPr>
        <w:tcBorders>
          <w:top w:val="single" w:sz="18" w:space="0" w:color="F58959" w:themeColor="accent2" w:themeTint="BF"/>
        </w:tcBorders>
      </w:tcPr>
    </w:tblStylePr>
    <w:tblStylePr w:type="firstCol">
      <w:rPr>
        <w:b/>
        <w:bCs/>
      </w:rPr>
    </w:tblStylePr>
    <w:tblStylePr w:type="lastCol">
      <w:rPr>
        <w:b/>
        <w:bCs/>
      </w:rPr>
    </w:tblStylePr>
    <w:tblStylePr w:type="band1Vert">
      <w:tblPr/>
      <w:tcPr>
        <w:shd w:val="clear" w:color="auto" w:fill="F8B090" w:themeFill="accent2" w:themeFillTint="7F"/>
      </w:tcPr>
    </w:tblStylePr>
    <w:tblStylePr w:type="band1Horz">
      <w:tblPr/>
      <w:tcPr>
        <w:shd w:val="clear" w:color="auto" w:fill="F8B090" w:themeFill="accent2" w:themeFillTint="7F"/>
      </w:tcPr>
    </w:tblStylePr>
  </w:style>
  <w:style w:type="table" w:styleId="MediumGrid1-Accent3">
    <w:name w:val="Medium Grid 1 Accent 3"/>
    <w:basedOn w:val="TableNormal"/>
    <w:uiPriority w:val="67"/>
    <w:semiHidden/>
    <w:rsid w:val="00A90923"/>
    <w:pPr>
      <w:spacing w:after="0" w:line="240" w:lineRule="auto"/>
    </w:pPr>
    <w:rPr>
      <w:rFonts w:eastAsiaTheme="minorEastAsia"/>
    </w:rPr>
    <w:tblPr>
      <w:tblStyleRowBandSize w:val="1"/>
      <w:tblStyleColBandSize w:val="1"/>
      <w:tblBorders>
        <w:top w:val="single" w:sz="8" w:space="0" w:color="00E1CC" w:themeColor="accent3" w:themeTint="BF"/>
        <w:left w:val="single" w:sz="8" w:space="0" w:color="00E1CC" w:themeColor="accent3" w:themeTint="BF"/>
        <w:bottom w:val="single" w:sz="8" w:space="0" w:color="00E1CC" w:themeColor="accent3" w:themeTint="BF"/>
        <w:right w:val="single" w:sz="8" w:space="0" w:color="00E1CC" w:themeColor="accent3" w:themeTint="BF"/>
        <w:insideH w:val="single" w:sz="8" w:space="0" w:color="00E1CC" w:themeColor="accent3" w:themeTint="BF"/>
        <w:insideV w:val="single" w:sz="8" w:space="0" w:color="00E1CC" w:themeColor="accent3" w:themeTint="BF"/>
      </w:tblBorders>
    </w:tblPr>
    <w:tcPr>
      <w:shd w:val="clear" w:color="auto" w:fill="A1FFF6" w:themeFill="accent3" w:themeFillTint="3F"/>
    </w:tcPr>
    <w:tblStylePr w:type="firstRow">
      <w:rPr>
        <w:b/>
        <w:bCs/>
      </w:rPr>
    </w:tblStylePr>
    <w:tblStylePr w:type="lastRow">
      <w:rPr>
        <w:b/>
        <w:bCs/>
      </w:rPr>
      <w:tblPr/>
      <w:tcPr>
        <w:tcBorders>
          <w:top w:val="single" w:sz="18" w:space="0" w:color="00E1CC" w:themeColor="accent3" w:themeTint="BF"/>
        </w:tcBorders>
      </w:tcPr>
    </w:tblStylePr>
    <w:tblStylePr w:type="firstCol">
      <w:rPr>
        <w:b/>
        <w:bCs/>
      </w:rPr>
    </w:tblStylePr>
    <w:tblStylePr w:type="lastCol">
      <w:rPr>
        <w:b/>
        <w:bCs/>
      </w:rPr>
    </w:tblStylePr>
    <w:tblStylePr w:type="band1Vert">
      <w:tblPr/>
      <w:tcPr>
        <w:shd w:val="clear" w:color="auto" w:fill="41FFED" w:themeFill="accent3" w:themeFillTint="7F"/>
      </w:tcPr>
    </w:tblStylePr>
    <w:tblStylePr w:type="band1Horz">
      <w:tblPr/>
      <w:tcPr>
        <w:shd w:val="clear" w:color="auto" w:fill="41FFED" w:themeFill="accent3" w:themeFillTint="7F"/>
      </w:tcPr>
    </w:tblStylePr>
  </w:style>
  <w:style w:type="table" w:styleId="MediumGrid1-Accent4">
    <w:name w:val="Medium Grid 1 Accent 4"/>
    <w:basedOn w:val="TableNormal"/>
    <w:uiPriority w:val="67"/>
    <w:semiHidden/>
    <w:rsid w:val="00A90923"/>
    <w:pPr>
      <w:spacing w:after="0" w:line="240" w:lineRule="auto"/>
    </w:pPr>
    <w:rPr>
      <w:rFonts w:eastAsiaTheme="minorEastAsia"/>
    </w:rPr>
    <w:tblPr>
      <w:tblStyleRowBandSize w:val="1"/>
      <w:tblStyleColBandSize w:val="1"/>
      <w:tblBorders>
        <w:top w:val="single" w:sz="8" w:space="0" w:color="FF0997" w:themeColor="accent4" w:themeTint="BF"/>
        <w:left w:val="single" w:sz="8" w:space="0" w:color="FF0997" w:themeColor="accent4" w:themeTint="BF"/>
        <w:bottom w:val="single" w:sz="8" w:space="0" w:color="FF0997" w:themeColor="accent4" w:themeTint="BF"/>
        <w:right w:val="single" w:sz="8" w:space="0" w:color="FF0997" w:themeColor="accent4" w:themeTint="BF"/>
        <w:insideH w:val="single" w:sz="8" w:space="0" w:color="FF0997" w:themeColor="accent4" w:themeTint="BF"/>
        <w:insideV w:val="single" w:sz="8" w:space="0" w:color="FF0997" w:themeColor="accent4" w:themeTint="BF"/>
      </w:tblBorders>
    </w:tblPr>
    <w:tcPr>
      <w:shd w:val="clear" w:color="auto" w:fill="FFADDC" w:themeFill="accent4" w:themeFillTint="3F"/>
    </w:tcPr>
    <w:tblStylePr w:type="firstRow">
      <w:rPr>
        <w:b/>
        <w:bCs/>
      </w:rPr>
    </w:tblStylePr>
    <w:tblStylePr w:type="lastRow">
      <w:rPr>
        <w:b/>
        <w:bCs/>
      </w:rPr>
      <w:tblPr/>
      <w:tcPr>
        <w:tcBorders>
          <w:top w:val="single" w:sz="18" w:space="0" w:color="FF0997" w:themeColor="accent4" w:themeTint="BF"/>
        </w:tcBorders>
      </w:tcPr>
    </w:tblStylePr>
    <w:tblStylePr w:type="firstCol">
      <w:rPr>
        <w:b/>
        <w:bCs/>
      </w:rPr>
    </w:tblStylePr>
    <w:tblStylePr w:type="lastCol">
      <w:rPr>
        <w:b/>
        <w:bCs/>
      </w:rPr>
    </w:tblStylePr>
    <w:tblStylePr w:type="band1Vert">
      <w:tblPr/>
      <w:tcPr>
        <w:shd w:val="clear" w:color="auto" w:fill="FF5BBA" w:themeFill="accent4" w:themeFillTint="7F"/>
      </w:tcPr>
    </w:tblStylePr>
    <w:tblStylePr w:type="band1Horz">
      <w:tblPr/>
      <w:tcPr>
        <w:shd w:val="clear" w:color="auto" w:fill="FF5BBA" w:themeFill="accent4" w:themeFillTint="7F"/>
      </w:tcPr>
    </w:tblStylePr>
  </w:style>
  <w:style w:type="table" w:styleId="MediumGrid1-Accent5">
    <w:name w:val="Medium Grid 1 Accent 5"/>
    <w:basedOn w:val="TableNormal"/>
    <w:uiPriority w:val="67"/>
    <w:semiHidden/>
    <w:rsid w:val="00A90923"/>
    <w:pPr>
      <w:spacing w:after="0" w:line="240" w:lineRule="auto"/>
    </w:pPr>
    <w:rPr>
      <w:rFonts w:eastAsiaTheme="minorEastAsia"/>
    </w:rPr>
    <w:tblPr>
      <w:tblStyleRowBandSize w:val="1"/>
      <w:tblStyleColBandSize w:val="1"/>
      <w:tblBorders>
        <w:top w:val="single" w:sz="8" w:space="0" w:color="F0BE4C" w:themeColor="accent5" w:themeTint="BF"/>
        <w:left w:val="single" w:sz="8" w:space="0" w:color="F0BE4C" w:themeColor="accent5" w:themeTint="BF"/>
        <w:bottom w:val="single" w:sz="8" w:space="0" w:color="F0BE4C" w:themeColor="accent5" w:themeTint="BF"/>
        <w:right w:val="single" w:sz="8" w:space="0" w:color="F0BE4C" w:themeColor="accent5" w:themeTint="BF"/>
        <w:insideH w:val="single" w:sz="8" w:space="0" w:color="F0BE4C" w:themeColor="accent5" w:themeTint="BF"/>
        <w:insideV w:val="single" w:sz="8" w:space="0" w:color="F0BE4C" w:themeColor="accent5" w:themeTint="BF"/>
      </w:tblBorders>
    </w:tblPr>
    <w:tcPr>
      <w:shd w:val="clear" w:color="auto" w:fill="FAE9C3" w:themeFill="accent5" w:themeFillTint="3F"/>
    </w:tcPr>
    <w:tblStylePr w:type="firstRow">
      <w:rPr>
        <w:b/>
        <w:bCs/>
      </w:rPr>
    </w:tblStylePr>
    <w:tblStylePr w:type="lastRow">
      <w:rPr>
        <w:b/>
        <w:bCs/>
      </w:rPr>
      <w:tblPr/>
      <w:tcPr>
        <w:tcBorders>
          <w:top w:val="single" w:sz="18" w:space="0" w:color="F0BE4C" w:themeColor="accent5" w:themeTint="BF"/>
        </w:tcBorders>
      </w:tcPr>
    </w:tblStylePr>
    <w:tblStylePr w:type="firstCol">
      <w:rPr>
        <w:b/>
        <w:bCs/>
      </w:rPr>
    </w:tblStylePr>
    <w:tblStylePr w:type="lastCol">
      <w:rPr>
        <w:b/>
        <w:bCs/>
      </w:rPr>
    </w:tblStylePr>
    <w:tblStylePr w:type="band1Vert">
      <w:tblPr/>
      <w:tcPr>
        <w:shd w:val="clear" w:color="auto" w:fill="F5D488" w:themeFill="accent5" w:themeFillTint="7F"/>
      </w:tcPr>
    </w:tblStylePr>
    <w:tblStylePr w:type="band1Horz">
      <w:tblPr/>
      <w:tcPr>
        <w:shd w:val="clear" w:color="auto" w:fill="F5D488" w:themeFill="accent5" w:themeFillTint="7F"/>
      </w:tcPr>
    </w:tblStylePr>
  </w:style>
  <w:style w:type="table" w:styleId="MediumGrid1-Accent6">
    <w:name w:val="Medium Grid 1 Accent 6"/>
    <w:basedOn w:val="TableNormal"/>
    <w:uiPriority w:val="67"/>
    <w:semiHidden/>
    <w:rsid w:val="00A90923"/>
    <w:pPr>
      <w:spacing w:after="0" w:line="240" w:lineRule="auto"/>
    </w:pPr>
    <w:rPr>
      <w:rFonts w:eastAsiaTheme="minorEastAsia"/>
    </w:rPr>
    <w:tblPr>
      <w:tblStyleRowBandSize w:val="1"/>
      <w:tblStyleColBandSize w:val="1"/>
      <w:tblBorders>
        <w:top w:val="single" w:sz="8" w:space="0" w:color="4CA1D6" w:themeColor="accent6" w:themeTint="BF"/>
        <w:left w:val="single" w:sz="8" w:space="0" w:color="4CA1D6" w:themeColor="accent6" w:themeTint="BF"/>
        <w:bottom w:val="single" w:sz="8" w:space="0" w:color="4CA1D6" w:themeColor="accent6" w:themeTint="BF"/>
        <w:right w:val="single" w:sz="8" w:space="0" w:color="4CA1D6" w:themeColor="accent6" w:themeTint="BF"/>
        <w:insideH w:val="single" w:sz="8" w:space="0" w:color="4CA1D6" w:themeColor="accent6" w:themeTint="BF"/>
        <w:insideV w:val="single" w:sz="8" w:space="0" w:color="4CA1D6" w:themeColor="accent6" w:themeTint="BF"/>
      </w:tblBorders>
    </w:tblPr>
    <w:tcPr>
      <w:shd w:val="clear" w:color="auto" w:fill="C3E0F1" w:themeFill="accent6" w:themeFillTint="3F"/>
    </w:tcPr>
    <w:tblStylePr w:type="firstRow">
      <w:rPr>
        <w:b/>
        <w:bCs/>
      </w:rPr>
    </w:tblStylePr>
    <w:tblStylePr w:type="lastRow">
      <w:rPr>
        <w:b/>
        <w:bCs/>
      </w:rPr>
      <w:tblPr/>
      <w:tcPr>
        <w:tcBorders>
          <w:top w:val="single" w:sz="18" w:space="0" w:color="4CA1D6" w:themeColor="accent6" w:themeTint="BF"/>
        </w:tcBorders>
      </w:tcPr>
    </w:tblStylePr>
    <w:tblStylePr w:type="firstCol">
      <w:rPr>
        <w:b/>
        <w:bCs/>
      </w:rPr>
    </w:tblStylePr>
    <w:tblStylePr w:type="lastCol">
      <w:rPr>
        <w:b/>
        <w:bCs/>
      </w:rPr>
    </w:tblStylePr>
    <w:tblStylePr w:type="band1Vert">
      <w:tblPr/>
      <w:tcPr>
        <w:shd w:val="clear" w:color="auto" w:fill="88C0E4" w:themeFill="accent6" w:themeFillTint="7F"/>
      </w:tcPr>
    </w:tblStylePr>
    <w:tblStylePr w:type="band1Horz">
      <w:tblPr/>
      <w:tcPr>
        <w:shd w:val="clear" w:color="auto" w:fill="88C0E4" w:themeFill="accent6" w:themeFillTint="7F"/>
      </w:tcPr>
    </w:tblStylePr>
  </w:style>
  <w:style w:type="table" w:styleId="MediumGrid2">
    <w:name w:val="Medium Grid 2"/>
    <w:basedOn w:val="TableNormal"/>
    <w:uiPriority w:val="68"/>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2D3F" w:themeColor="accent1"/>
        <w:left w:val="single" w:sz="8" w:space="0" w:color="002D3F" w:themeColor="accent1"/>
        <w:bottom w:val="single" w:sz="8" w:space="0" w:color="002D3F" w:themeColor="accent1"/>
        <w:right w:val="single" w:sz="8" w:space="0" w:color="002D3F" w:themeColor="accent1"/>
        <w:insideH w:val="single" w:sz="8" w:space="0" w:color="002D3F" w:themeColor="accent1"/>
        <w:insideV w:val="single" w:sz="8" w:space="0" w:color="002D3F" w:themeColor="accent1"/>
      </w:tblBorders>
    </w:tblPr>
    <w:tcPr>
      <w:shd w:val="clear" w:color="auto" w:fill="90DFFF" w:themeFill="accent1" w:themeFillTint="3F"/>
    </w:tcPr>
    <w:tblStylePr w:type="firstRow">
      <w:rPr>
        <w:b/>
        <w:bCs/>
        <w:color w:val="000000" w:themeColor="text1"/>
      </w:rPr>
      <w:tblPr/>
      <w:tcPr>
        <w:shd w:val="clear" w:color="auto" w:fill="D3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5E5FF" w:themeFill="accent1" w:themeFillTint="33"/>
      </w:tcPr>
    </w:tblStylePr>
    <w:tblStylePr w:type="band1Vert">
      <w:tblPr/>
      <w:tcPr>
        <w:shd w:val="clear" w:color="auto" w:fill="20BFFF" w:themeFill="accent1" w:themeFillTint="7F"/>
      </w:tcPr>
    </w:tblStylePr>
    <w:tblStylePr w:type="band1Horz">
      <w:tblPr/>
      <w:tcPr>
        <w:tcBorders>
          <w:insideH w:val="single" w:sz="6" w:space="0" w:color="002D3F" w:themeColor="accent1"/>
          <w:insideV w:val="single" w:sz="6" w:space="0" w:color="002D3F" w:themeColor="accent1"/>
        </w:tcBorders>
        <w:shd w:val="clear" w:color="auto" w:fill="20B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6322" w:themeColor="accent2"/>
        <w:left w:val="single" w:sz="8" w:space="0" w:color="F26322" w:themeColor="accent2"/>
        <w:bottom w:val="single" w:sz="8" w:space="0" w:color="F26322" w:themeColor="accent2"/>
        <w:right w:val="single" w:sz="8" w:space="0" w:color="F26322" w:themeColor="accent2"/>
        <w:insideH w:val="single" w:sz="8" w:space="0" w:color="F26322" w:themeColor="accent2"/>
        <w:insideV w:val="single" w:sz="8" w:space="0" w:color="F26322" w:themeColor="accent2"/>
      </w:tblBorders>
    </w:tblPr>
    <w:tcPr>
      <w:shd w:val="clear" w:color="auto" w:fill="FBD8C8" w:themeFill="accent2" w:themeFillTint="3F"/>
    </w:tcPr>
    <w:tblStylePr w:type="firstRow">
      <w:rPr>
        <w:b/>
        <w:bCs/>
        <w:color w:val="000000" w:themeColor="text1"/>
      </w:rPr>
      <w:tblPr/>
      <w:tcPr>
        <w:shd w:val="clear" w:color="auto" w:fill="FDEF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FD2" w:themeFill="accent2" w:themeFillTint="33"/>
      </w:tcPr>
    </w:tblStylePr>
    <w:tblStylePr w:type="band1Vert">
      <w:tblPr/>
      <w:tcPr>
        <w:shd w:val="clear" w:color="auto" w:fill="F8B090" w:themeFill="accent2" w:themeFillTint="7F"/>
      </w:tcPr>
    </w:tblStylePr>
    <w:tblStylePr w:type="band1Horz">
      <w:tblPr/>
      <w:tcPr>
        <w:tcBorders>
          <w:insideH w:val="single" w:sz="6" w:space="0" w:color="F26322" w:themeColor="accent2"/>
          <w:insideV w:val="single" w:sz="6" w:space="0" w:color="F26322" w:themeColor="accent2"/>
        </w:tcBorders>
        <w:shd w:val="clear" w:color="auto" w:fill="F8B0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276" w:themeColor="accent3"/>
        <w:left w:val="single" w:sz="8" w:space="0" w:color="008276" w:themeColor="accent3"/>
        <w:bottom w:val="single" w:sz="8" w:space="0" w:color="008276" w:themeColor="accent3"/>
        <w:right w:val="single" w:sz="8" w:space="0" w:color="008276" w:themeColor="accent3"/>
        <w:insideH w:val="single" w:sz="8" w:space="0" w:color="008276" w:themeColor="accent3"/>
        <w:insideV w:val="single" w:sz="8" w:space="0" w:color="008276" w:themeColor="accent3"/>
      </w:tblBorders>
    </w:tblPr>
    <w:tcPr>
      <w:shd w:val="clear" w:color="auto" w:fill="A1FFF6" w:themeFill="accent3" w:themeFillTint="3F"/>
    </w:tcPr>
    <w:tblStylePr w:type="firstRow">
      <w:rPr>
        <w:b/>
        <w:bCs/>
        <w:color w:val="000000" w:themeColor="text1"/>
      </w:rPr>
      <w:tblPr/>
      <w:tcPr>
        <w:shd w:val="clear" w:color="auto" w:fill="D9FF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3FFF7" w:themeFill="accent3" w:themeFillTint="33"/>
      </w:tcPr>
    </w:tblStylePr>
    <w:tblStylePr w:type="band1Vert">
      <w:tblPr/>
      <w:tcPr>
        <w:shd w:val="clear" w:color="auto" w:fill="41FFED" w:themeFill="accent3" w:themeFillTint="7F"/>
      </w:tcPr>
    </w:tblStylePr>
    <w:tblStylePr w:type="band1Horz">
      <w:tblPr/>
      <w:tcPr>
        <w:tcBorders>
          <w:insideH w:val="single" w:sz="6" w:space="0" w:color="008276" w:themeColor="accent3"/>
          <w:insideV w:val="single" w:sz="6" w:space="0" w:color="008276" w:themeColor="accent3"/>
        </w:tcBorders>
        <w:shd w:val="clear" w:color="auto" w:fill="41FFE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6006A" w:themeColor="accent4"/>
        <w:left w:val="single" w:sz="8" w:space="0" w:color="B6006A" w:themeColor="accent4"/>
        <w:bottom w:val="single" w:sz="8" w:space="0" w:color="B6006A" w:themeColor="accent4"/>
        <w:right w:val="single" w:sz="8" w:space="0" w:color="B6006A" w:themeColor="accent4"/>
        <w:insideH w:val="single" w:sz="8" w:space="0" w:color="B6006A" w:themeColor="accent4"/>
        <w:insideV w:val="single" w:sz="8" w:space="0" w:color="B6006A" w:themeColor="accent4"/>
      </w:tblBorders>
    </w:tblPr>
    <w:tcPr>
      <w:shd w:val="clear" w:color="auto" w:fill="FFADDC" w:themeFill="accent4" w:themeFillTint="3F"/>
    </w:tcPr>
    <w:tblStylePr w:type="firstRow">
      <w:rPr>
        <w:b/>
        <w:bCs/>
        <w:color w:val="000000" w:themeColor="text1"/>
      </w:rPr>
      <w:tblPr/>
      <w:tcPr>
        <w:shd w:val="clear" w:color="auto" w:fill="FFDEF1"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DE3" w:themeFill="accent4" w:themeFillTint="33"/>
      </w:tcPr>
    </w:tblStylePr>
    <w:tblStylePr w:type="band1Vert">
      <w:tblPr/>
      <w:tcPr>
        <w:shd w:val="clear" w:color="auto" w:fill="FF5BBA" w:themeFill="accent4" w:themeFillTint="7F"/>
      </w:tcPr>
    </w:tblStylePr>
    <w:tblStylePr w:type="band1Horz">
      <w:tblPr/>
      <w:tcPr>
        <w:tcBorders>
          <w:insideH w:val="single" w:sz="6" w:space="0" w:color="B6006A" w:themeColor="accent4"/>
          <w:insideV w:val="single" w:sz="6" w:space="0" w:color="B6006A" w:themeColor="accent4"/>
        </w:tcBorders>
        <w:shd w:val="clear" w:color="auto" w:fill="FF5BB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5"/>
        <w:left w:val="single" w:sz="8" w:space="0" w:color="E9A913" w:themeColor="accent5"/>
        <w:bottom w:val="single" w:sz="8" w:space="0" w:color="E9A913" w:themeColor="accent5"/>
        <w:right w:val="single" w:sz="8" w:space="0" w:color="E9A913" w:themeColor="accent5"/>
        <w:insideH w:val="single" w:sz="8" w:space="0" w:color="E9A913" w:themeColor="accent5"/>
        <w:insideV w:val="single" w:sz="8" w:space="0" w:color="E9A913" w:themeColor="accent5"/>
      </w:tblBorders>
    </w:tblPr>
    <w:tcPr>
      <w:shd w:val="clear" w:color="auto" w:fill="FAE9C3" w:themeFill="accent5" w:themeFillTint="3F"/>
    </w:tcPr>
    <w:tblStylePr w:type="firstRow">
      <w:rPr>
        <w:b/>
        <w:bCs/>
        <w:color w:val="000000" w:themeColor="text1"/>
      </w:rPr>
      <w:tblPr/>
      <w:tcPr>
        <w:shd w:val="clear" w:color="auto" w:fill="FDF6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DCF" w:themeFill="accent5" w:themeFillTint="33"/>
      </w:tcPr>
    </w:tblStylePr>
    <w:tblStylePr w:type="band1Vert">
      <w:tblPr/>
      <w:tcPr>
        <w:shd w:val="clear" w:color="auto" w:fill="F5D488" w:themeFill="accent5" w:themeFillTint="7F"/>
      </w:tcPr>
    </w:tblStylePr>
    <w:tblStylePr w:type="band1Horz">
      <w:tblPr/>
      <w:tcPr>
        <w:tcBorders>
          <w:insideH w:val="single" w:sz="6" w:space="0" w:color="E9A913" w:themeColor="accent5"/>
          <w:insideV w:val="single" w:sz="6" w:space="0" w:color="E9A913" w:themeColor="accent5"/>
        </w:tcBorders>
        <w:shd w:val="clear" w:color="auto" w:fill="F5D48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87DB2" w:themeColor="accent6"/>
        <w:left w:val="single" w:sz="8" w:space="0" w:color="287DB2" w:themeColor="accent6"/>
        <w:bottom w:val="single" w:sz="8" w:space="0" w:color="287DB2" w:themeColor="accent6"/>
        <w:right w:val="single" w:sz="8" w:space="0" w:color="287DB2" w:themeColor="accent6"/>
        <w:insideH w:val="single" w:sz="8" w:space="0" w:color="287DB2" w:themeColor="accent6"/>
        <w:insideV w:val="single" w:sz="8" w:space="0" w:color="287DB2" w:themeColor="accent6"/>
      </w:tblBorders>
    </w:tblPr>
    <w:tcPr>
      <w:shd w:val="clear" w:color="auto" w:fill="C3E0F1" w:themeFill="accent6" w:themeFillTint="3F"/>
    </w:tcPr>
    <w:tblStylePr w:type="firstRow">
      <w:rPr>
        <w:b/>
        <w:bCs/>
        <w:color w:val="000000" w:themeColor="text1"/>
      </w:rPr>
      <w:tblPr/>
      <w:tcPr>
        <w:shd w:val="clear" w:color="auto" w:fill="E7F2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FE5F4" w:themeFill="accent6" w:themeFillTint="33"/>
      </w:tcPr>
    </w:tblStylePr>
    <w:tblStylePr w:type="band1Vert">
      <w:tblPr/>
      <w:tcPr>
        <w:shd w:val="clear" w:color="auto" w:fill="88C0E4" w:themeFill="accent6" w:themeFillTint="7F"/>
      </w:tcPr>
    </w:tblStylePr>
    <w:tblStylePr w:type="band1Horz">
      <w:tblPr/>
      <w:tcPr>
        <w:tcBorders>
          <w:insideH w:val="single" w:sz="6" w:space="0" w:color="287DB2" w:themeColor="accent6"/>
          <w:insideV w:val="single" w:sz="6" w:space="0" w:color="287DB2" w:themeColor="accent6"/>
        </w:tcBorders>
        <w:shd w:val="clear" w:color="auto" w:fill="88C0E4"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A90923"/>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A90923"/>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0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2D3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2D3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2D3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2D3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0B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0BFFF" w:themeFill="accent1" w:themeFillTint="7F"/>
      </w:tcPr>
    </w:tblStylePr>
  </w:style>
  <w:style w:type="table" w:styleId="MediumGrid3-Accent2">
    <w:name w:val="Medium Grid 3 Accent 2"/>
    <w:basedOn w:val="TableNormal"/>
    <w:uiPriority w:val="69"/>
    <w:semiHidden/>
    <w:rsid w:val="00A90923"/>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8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632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632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632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632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B0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B090" w:themeFill="accent2" w:themeFillTint="7F"/>
      </w:tcPr>
    </w:tblStylePr>
  </w:style>
  <w:style w:type="table" w:styleId="MediumGrid3-Accent3">
    <w:name w:val="Medium Grid 3 Accent 3"/>
    <w:basedOn w:val="TableNormal"/>
    <w:uiPriority w:val="69"/>
    <w:semiHidden/>
    <w:rsid w:val="00A90923"/>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1FF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27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27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27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27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1FFE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1FFED" w:themeFill="accent3" w:themeFillTint="7F"/>
      </w:tcPr>
    </w:tblStylePr>
  </w:style>
  <w:style w:type="table" w:styleId="MediumGrid3-Accent4">
    <w:name w:val="Medium Grid 3 Accent 4"/>
    <w:basedOn w:val="TableNormal"/>
    <w:uiPriority w:val="69"/>
    <w:semiHidden/>
    <w:rsid w:val="00A90923"/>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DD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6006A"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6006A"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6006A"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6006A"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5BB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5BBA" w:themeFill="accent4" w:themeFillTint="7F"/>
      </w:tcPr>
    </w:tblStylePr>
  </w:style>
  <w:style w:type="table" w:styleId="MediumGrid3-Accent5">
    <w:name w:val="Medium Grid 3 Accent 5"/>
    <w:basedOn w:val="TableNormal"/>
    <w:uiPriority w:val="69"/>
    <w:semiHidden/>
    <w:rsid w:val="00A90923"/>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9C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A91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A91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A91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A91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D48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D488" w:themeFill="accent5" w:themeFillTint="7F"/>
      </w:tcPr>
    </w:tblStylePr>
  </w:style>
  <w:style w:type="table" w:styleId="MediumGrid3-Accent6">
    <w:name w:val="Medium Grid 3 Accent 6"/>
    <w:basedOn w:val="TableNormal"/>
    <w:uiPriority w:val="69"/>
    <w:semiHidden/>
    <w:rsid w:val="00A90923"/>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E0F1"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87DB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87DB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87DB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87DB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8C0E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8C0E4" w:themeFill="accent6" w:themeFillTint="7F"/>
      </w:tcPr>
    </w:tblStylePr>
  </w:style>
  <w:style w:type="table" w:styleId="MediumList1">
    <w:name w:val="Medium List 1"/>
    <w:basedOn w:val="TableNormal"/>
    <w:uiPriority w:val="65"/>
    <w:semiHidden/>
    <w:rsid w:val="00A90923"/>
    <w:pPr>
      <w:spacing w:after="0" w:line="240" w:lineRule="auto"/>
    </w:pPr>
    <w:rPr>
      <w:rFonts w:eastAsiaTheme="minorEastAsia"/>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2D3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A90923"/>
    <w:pPr>
      <w:spacing w:after="0" w:line="240" w:lineRule="auto"/>
    </w:pPr>
    <w:rPr>
      <w:rFonts w:eastAsiaTheme="minorEastAsia"/>
      <w:color w:val="000000" w:themeColor="text1"/>
    </w:rPr>
    <w:tblPr>
      <w:tblStyleRowBandSize w:val="1"/>
      <w:tblStyleColBandSize w:val="1"/>
      <w:tblBorders>
        <w:top w:val="single" w:sz="8" w:space="0" w:color="002D3F" w:themeColor="accent1"/>
        <w:bottom w:val="single" w:sz="8" w:space="0" w:color="002D3F" w:themeColor="accent1"/>
      </w:tblBorders>
    </w:tblPr>
    <w:tblStylePr w:type="firstRow">
      <w:rPr>
        <w:rFonts w:asciiTheme="majorHAnsi" w:eastAsiaTheme="majorEastAsia" w:hAnsiTheme="majorHAnsi" w:cstheme="majorBidi"/>
      </w:rPr>
      <w:tblPr/>
      <w:tcPr>
        <w:tcBorders>
          <w:top w:val="nil"/>
          <w:bottom w:val="single" w:sz="8" w:space="0" w:color="002D3F" w:themeColor="accent1"/>
        </w:tcBorders>
      </w:tcPr>
    </w:tblStylePr>
    <w:tblStylePr w:type="lastRow">
      <w:rPr>
        <w:b/>
        <w:bCs/>
        <w:color w:val="002D3F" w:themeColor="text2"/>
      </w:rPr>
      <w:tblPr/>
      <w:tcPr>
        <w:tcBorders>
          <w:top w:val="single" w:sz="8" w:space="0" w:color="002D3F" w:themeColor="accent1"/>
          <w:bottom w:val="single" w:sz="8" w:space="0" w:color="002D3F" w:themeColor="accent1"/>
        </w:tcBorders>
      </w:tcPr>
    </w:tblStylePr>
    <w:tblStylePr w:type="firstCol">
      <w:rPr>
        <w:b/>
        <w:bCs/>
      </w:rPr>
    </w:tblStylePr>
    <w:tblStylePr w:type="lastCol">
      <w:rPr>
        <w:b/>
        <w:bCs/>
      </w:rPr>
      <w:tblPr/>
      <w:tcPr>
        <w:tcBorders>
          <w:top w:val="single" w:sz="8" w:space="0" w:color="002D3F" w:themeColor="accent1"/>
          <w:bottom w:val="single" w:sz="8" w:space="0" w:color="002D3F" w:themeColor="accent1"/>
        </w:tcBorders>
      </w:tcPr>
    </w:tblStylePr>
    <w:tblStylePr w:type="band1Vert">
      <w:tblPr/>
      <w:tcPr>
        <w:shd w:val="clear" w:color="auto" w:fill="90DFFF" w:themeFill="accent1" w:themeFillTint="3F"/>
      </w:tcPr>
    </w:tblStylePr>
    <w:tblStylePr w:type="band1Horz">
      <w:tblPr/>
      <w:tcPr>
        <w:shd w:val="clear" w:color="auto" w:fill="90DFFF" w:themeFill="accent1" w:themeFillTint="3F"/>
      </w:tcPr>
    </w:tblStylePr>
  </w:style>
  <w:style w:type="table" w:styleId="MediumList1-Accent2">
    <w:name w:val="Medium List 1 Accent 2"/>
    <w:basedOn w:val="TableNormal"/>
    <w:uiPriority w:val="65"/>
    <w:semiHidden/>
    <w:rsid w:val="00A90923"/>
    <w:pPr>
      <w:spacing w:after="0" w:line="240" w:lineRule="auto"/>
    </w:pPr>
    <w:rPr>
      <w:rFonts w:eastAsiaTheme="minorEastAsia"/>
      <w:color w:val="000000" w:themeColor="text1"/>
    </w:rPr>
    <w:tblPr>
      <w:tblStyleRowBandSize w:val="1"/>
      <w:tblStyleColBandSize w:val="1"/>
      <w:tblBorders>
        <w:top w:val="single" w:sz="8" w:space="0" w:color="F26322" w:themeColor="accent2"/>
        <w:bottom w:val="single" w:sz="8" w:space="0" w:color="F26322" w:themeColor="accent2"/>
      </w:tblBorders>
    </w:tblPr>
    <w:tblStylePr w:type="firstRow">
      <w:rPr>
        <w:rFonts w:asciiTheme="majorHAnsi" w:eastAsiaTheme="majorEastAsia" w:hAnsiTheme="majorHAnsi" w:cstheme="majorBidi"/>
      </w:rPr>
      <w:tblPr/>
      <w:tcPr>
        <w:tcBorders>
          <w:top w:val="nil"/>
          <w:bottom w:val="single" w:sz="8" w:space="0" w:color="F26322" w:themeColor="accent2"/>
        </w:tcBorders>
      </w:tcPr>
    </w:tblStylePr>
    <w:tblStylePr w:type="lastRow">
      <w:rPr>
        <w:b/>
        <w:bCs/>
        <w:color w:val="002D3F" w:themeColor="text2"/>
      </w:rPr>
      <w:tblPr/>
      <w:tcPr>
        <w:tcBorders>
          <w:top w:val="single" w:sz="8" w:space="0" w:color="F26322" w:themeColor="accent2"/>
          <w:bottom w:val="single" w:sz="8" w:space="0" w:color="F26322" w:themeColor="accent2"/>
        </w:tcBorders>
      </w:tcPr>
    </w:tblStylePr>
    <w:tblStylePr w:type="firstCol">
      <w:rPr>
        <w:b/>
        <w:bCs/>
      </w:rPr>
    </w:tblStylePr>
    <w:tblStylePr w:type="lastCol">
      <w:rPr>
        <w:b/>
        <w:bCs/>
      </w:rPr>
      <w:tblPr/>
      <w:tcPr>
        <w:tcBorders>
          <w:top w:val="single" w:sz="8" w:space="0" w:color="F26322" w:themeColor="accent2"/>
          <w:bottom w:val="single" w:sz="8" w:space="0" w:color="F26322" w:themeColor="accent2"/>
        </w:tcBorders>
      </w:tcPr>
    </w:tblStylePr>
    <w:tblStylePr w:type="band1Vert">
      <w:tblPr/>
      <w:tcPr>
        <w:shd w:val="clear" w:color="auto" w:fill="FBD8C8" w:themeFill="accent2" w:themeFillTint="3F"/>
      </w:tcPr>
    </w:tblStylePr>
    <w:tblStylePr w:type="band1Horz">
      <w:tblPr/>
      <w:tcPr>
        <w:shd w:val="clear" w:color="auto" w:fill="FBD8C8" w:themeFill="accent2" w:themeFillTint="3F"/>
      </w:tcPr>
    </w:tblStylePr>
  </w:style>
  <w:style w:type="table" w:styleId="MediumList1-Accent3">
    <w:name w:val="Medium List 1 Accent 3"/>
    <w:basedOn w:val="TableNormal"/>
    <w:uiPriority w:val="65"/>
    <w:semiHidden/>
    <w:rsid w:val="00A90923"/>
    <w:pPr>
      <w:spacing w:after="0" w:line="240" w:lineRule="auto"/>
    </w:pPr>
    <w:rPr>
      <w:rFonts w:eastAsiaTheme="minorEastAsia"/>
      <w:color w:val="000000" w:themeColor="text1"/>
    </w:rPr>
    <w:tblPr>
      <w:tblStyleRowBandSize w:val="1"/>
      <w:tblStyleColBandSize w:val="1"/>
      <w:tblBorders>
        <w:top w:val="single" w:sz="8" w:space="0" w:color="008276" w:themeColor="accent3"/>
        <w:bottom w:val="single" w:sz="8" w:space="0" w:color="008276" w:themeColor="accent3"/>
      </w:tblBorders>
    </w:tblPr>
    <w:tblStylePr w:type="firstRow">
      <w:rPr>
        <w:rFonts w:asciiTheme="majorHAnsi" w:eastAsiaTheme="majorEastAsia" w:hAnsiTheme="majorHAnsi" w:cstheme="majorBidi"/>
      </w:rPr>
      <w:tblPr/>
      <w:tcPr>
        <w:tcBorders>
          <w:top w:val="nil"/>
          <w:bottom w:val="single" w:sz="8" w:space="0" w:color="008276" w:themeColor="accent3"/>
        </w:tcBorders>
      </w:tcPr>
    </w:tblStylePr>
    <w:tblStylePr w:type="lastRow">
      <w:rPr>
        <w:b/>
        <w:bCs/>
        <w:color w:val="002D3F" w:themeColor="text2"/>
      </w:rPr>
      <w:tblPr/>
      <w:tcPr>
        <w:tcBorders>
          <w:top w:val="single" w:sz="8" w:space="0" w:color="008276" w:themeColor="accent3"/>
          <w:bottom w:val="single" w:sz="8" w:space="0" w:color="008276" w:themeColor="accent3"/>
        </w:tcBorders>
      </w:tcPr>
    </w:tblStylePr>
    <w:tblStylePr w:type="firstCol">
      <w:rPr>
        <w:b/>
        <w:bCs/>
      </w:rPr>
    </w:tblStylePr>
    <w:tblStylePr w:type="lastCol">
      <w:rPr>
        <w:b/>
        <w:bCs/>
      </w:rPr>
      <w:tblPr/>
      <w:tcPr>
        <w:tcBorders>
          <w:top w:val="single" w:sz="8" w:space="0" w:color="008276" w:themeColor="accent3"/>
          <w:bottom w:val="single" w:sz="8" w:space="0" w:color="008276" w:themeColor="accent3"/>
        </w:tcBorders>
      </w:tcPr>
    </w:tblStylePr>
    <w:tblStylePr w:type="band1Vert">
      <w:tblPr/>
      <w:tcPr>
        <w:shd w:val="clear" w:color="auto" w:fill="A1FFF6" w:themeFill="accent3" w:themeFillTint="3F"/>
      </w:tcPr>
    </w:tblStylePr>
    <w:tblStylePr w:type="band1Horz">
      <w:tblPr/>
      <w:tcPr>
        <w:shd w:val="clear" w:color="auto" w:fill="A1FFF6" w:themeFill="accent3" w:themeFillTint="3F"/>
      </w:tcPr>
    </w:tblStylePr>
  </w:style>
  <w:style w:type="table" w:styleId="MediumList1-Accent4">
    <w:name w:val="Medium List 1 Accent 4"/>
    <w:basedOn w:val="TableNormal"/>
    <w:uiPriority w:val="65"/>
    <w:semiHidden/>
    <w:rsid w:val="00A90923"/>
    <w:pPr>
      <w:spacing w:after="0" w:line="240" w:lineRule="auto"/>
    </w:pPr>
    <w:rPr>
      <w:rFonts w:eastAsiaTheme="minorEastAsia"/>
      <w:color w:val="000000" w:themeColor="text1"/>
    </w:rPr>
    <w:tblPr>
      <w:tblStyleRowBandSize w:val="1"/>
      <w:tblStyleColBandSize w:val="1"/>
      <w:tblBorders>
        <w:top w:val="single" w:sz="8" w:space="0" w:color="B6006A" w:themeColor="accent4"/>
        <w:bottom w:val="single" w:sz="8" w:space="0" w:color="B6006A" w:themeColor="accent4"/>
      </w:tblBorders>
    </w:tblPr>
    <w:tblStylePr w:type="firstRow">
      <w:rPr>
        <w:rFonts w:asciiTheme="majorHAnsi" w:eastAsiaTheme="majorEastAsia" w:hAnsiTheme="majorHAnsi" w:cstheme="majorBidi"/>
      </w:rPr>
      <w:tblPr/>
      <w:tcPr>
        <w:tcBorders>
          <w:top w:val="nil"/>
          <w:bottom w:val="single" w:sz="8" w:space="0" w:color="B6006A" w:themeColor="accent4"/>
        </w:tcBorders>
      </w:tcPr>
    </w:tblStylePr>
    <w:tblStylePr w:type="lastRow">
      <w:rPr>
        <w:b/>
        <w:bCs/>
        <w:color w:val="002D3F" w:themeColor="text2"/>
      </w:rPr>
      <w:tblPr/>
      <w:tcPr>
        <w:tcBorders>
          <w:top w:val="single" w:sz="8" w:space="0" w:color="B6006A" w:themeColor="accent4"/>
          <w:bottom w:val="single" w:sz="8" w:space="0" w:color="B6006A" w:themeColor="accent4"/>
        </w:tcBorders>
      </w:tcPr>
    </w:tblStylePr>
    <w:tblStylePr w:type="firstCol">
      <w:rPr>
        <w:b/>
        <w:bCs/>
      </w:rPr>
    </w:tblStylePr>
    <w:tblStylePr w:type="lastCol">
      <w:rPr>
        <w:b/>
        <w:bCs/>
      </w:rPr>
      <w:tblPr/>
      <w:tcPr>
        <w:tcBorders>
          <w:top w:val="single" w:sz="8" w:space="0" w:color="B6006A" w:themeColor="accent4"/>
          <w:bottom w:val="single" w:sz="8" w:space="0" w:color="B6006A" w:themeColor="accent4"/>
        </w:tcBorders>
      </w:tcPr>
    </w:tblStylePr>
    <w:tblStylePr w:type="band1Vert">
      <w:tblPr/>
      <w:tcPr>
        <w:shd w:val="clear" w:color="auto" w:fill="FFADDC" w:themeFill="accent4" w:themeFillTint="3F"/>
      </w:tcPr>
    </w:tblStylePr>
    <w:tblStylePr w:type="band1Horz">
      <w:tblPr/>
      <w:tcPr>
        <w:shd w:val="clear" w:color="auto" w:fill="FFADDC" w:themeFill="accent4" w:themeFillTint="3F"/>
      </w:tcPr>
    </w:tblStylePr>
  </w:style>
  <w:style w:type="table" w:styleId="MediumList1-Accent5">
    <w:name w:val="Medium List 1 Accent 5"/>
    <w:basedOn w:val="TableNormal"/>
    <w:uiPriority w:val="65"/>
    <w:semiHidden/>
    <w:rsid w:val="00A90923"/>
    <w:pPr>
      <w:spacing w:after="0" w:line="240" w:lineRule="auto"/>
    </w:pPr>
    <w:rPr>
      <w:rFonts w:eastAsiaTheme="minorEastAsia"/>
      <w:color w:val="000000" w:themeColor="text1"/>
    </w:rPr>
    <w:tblPr>
      <w:tblStyleRowBandSize w:val="1"/>
      <w:tblStyleColBandSize w:val="1"/>
      <w:tblBorders>
        <w:top w:val="single" w:sz="8" w:space="0" w:color="E9A913" w:themeColor="accent5"/>
        <w:bottom w:val="single" w:sz="8" w:space="0" w:color="E9A913" w:themeColor="accent5"/>
      </w:tblBorders>
    </w:tblPr>
    <w:tblStylePr w:type="firstRow">
      <w:rPr>
        <w:rFonts w:asciiTheme="majorHAnsi" w:eastAsiaTheme="majorEastAsia" w:hAnsiTheme="majorHAnsi" w:cstheme="majorBidi"/>
      </w:rPr>
      <w:tblPr/>
      <w:tcPr>
        <w:tcBorders>
          <w:top w:val="nil"/>
          <w:bottom w:val="single" w:sz="8" w:space="0" w:color="E9A913" w:themeColor="accent5"/>
        </w:tcBorders>
      </w:tcPr>
    </w:tblStylePr>
    <w:tblStylePr w:type="lastRow">
      <w:rPr>
        <w:b/>
        <w:bCs/>
        <w:color w:val="002D3F" w:themeColor="text2"/>
      </w:rPr>
      <w:tblPr/>
      <w:tcPr>
        <w:tcBorders>
          <w:top w:val="single" w:sz="8" w:space="0" w:color="E9A913" w:themeColor="accent5"/>
          <w:bottom w:val="single" w:sz="8" w:space="0" w:color="E9A913" w:themeColor="accent5"/>
        </w:tcBorders>
      </w:tcPr>
    </w:tblStylePr>
    <w:tblStylePr w:type="firstCol">
      <w:rPr>
        <w:b/>
        <w:bCs/>
      </w:rPr>
    </w:tblStylePr>
    <w:tblStylePr w:type="lastCol">
      <w:rPr>
        <w:b/>
        <w:bCs/>
      </w:rPr>
      <w:tblPr/>
      <w:tcPr>
        <w:tcBorders>
          <w:top w:val="single" w:sz="8" w:space="0" w:color="E9A913" w:themeColor="accent5"/>
          <w:bottom w:val="single" w:sz="8" w:space="0" w:color="E9A913" w:themeColor="accent5"/>
        </w:tcBorders>
      </w:tcPr>
    </w:tblStylePr>
    <w:tblStylePr w:type="band1Vert">
      <w:tblPr/>
      <w:tcPr>
        <w:shd w:val="clear" w:color="auto" w:fill="FAE9C3" w:themeFill="accent5" w:themeFillTint="3F"/>
      </w:tcPr>
    </w:tblStylePr>
    <w:tblStylePr w:type="band1Horz">
      <w:tblPr/>
      <w:tcPr>
        <w:shd w:val="clear" w:color="auto" w:fill="FAE9C3" w:themeFill="accent5" w:themeFillTint="3F"/>
      </w:tcPr>
    </w:tblStylePr>
  </w:style>
  <w:style w:type="table" w:styleId="MediumList1-Accent6">
    <w:name w:val="Medium List 1 Accent 6"/>
    <w:basedOn w:val="TableNormal"/>
    <w:uiPriority w:val="65"/>
    <w:semiHidden/>
    <w:rsid w:val="00A90923"/>
    <w:pPr>
      <w:spacing w:after="0" w:line="240" w:lineRule="auto"/>
    </w:pPr>
    <w:rPr>
      <w:rFonts w:eastAsiaTheme="minorEastAsia"/>
      <w:color w:val="000000" w:themeColor="text1"/>
    </w:rPr>
    <w:tblPr>
      <w:tblStyleRowBandSize w:val="1"/>
      <w:tblStyleColBandSize w:val="1"/>
      <w:tblBorders>
        <w:top w:val="single" w:sz="8" w:space="0" w:color="287DB2" w:themeColor="accent6"/>
        <w:bottom w:val="single" w:sz="8" w:space="0" w:color="287DB2" w:themeColor="accent6"/>
      </w:tblBorders>
    </w:tblPr>
    <w:tblStylePr w:type="firstRow">
      <w:rPr>
        <w:rFonts w:asciiTheme="majorHAnsi" w:eastAsiaTheme="majorEastAsia" w:hAnsiTheme="majorHAnsi" w:cstheme="majorBidi"/>
      </w:rPr>
      <w:tblPr/>
      <w:tcPr>
        <w:tcBorders>
          <w:top w:val="nil"/>
          <w:bottom w:val="single" w:sz="8" w:space="0" w:color="287DB2" w:themeColor="accent6"/>
        </w:tcBorders>
      </w:tcPr>
    </w:tblStylePr>
    <w:tblStylePr w:type="lastRow">
      <w:rPr>
        <w:b/>
        <w:bCs/>
        <w:color w:val="002D3F" w:themeColor="text2"/>
      </w:rPr>
      <w:tblPr/>
      <w:tcPr>
        <w:tcBorders>
          <w:top w:val="single" w:sz="8" w:space="0" w:color="287DB2" w:themeColor="accent6"/>
          <w:bottom w:val="single" w:sz="8" w:space="0" w:color="287DB2" w:themeColor="accent6"/>
        </w:tcBorders>
      </w:tcPr>
    </w:tblStylePr>
    <w:tblStylePr w:type="firstCol">
      <w:rPr>
        <w:b/>
        <w:bCs/>
      </w:rPr>
    </w:tblStylePr>
    <w:tblStylePr w:type="lastCol">
      <w:rPr>
        <w:b/>
        <w:bCs/>
      </w:rPr>
      <w:tblPr/>
      <w:tcPr>
        <w:tcBorders>
          <w:top w:val="single" w:sz="8" w:space="0" w:color="287DB2" w:themeColor="accent6"/>
          <w:bottom w:val="single" w:sz="8" w:space="0" w:color="287DB2" w:themeColor="accent6"/>
        </w:tcBorders>
      </w:tcPr>
    </w:tblStylePr>
    <w:tblStylePr w:type="band1Vert">
      <w:tblPr/>
      <w:tcPr>
        <w:shd w:val="clear" w:color="auto" w:fill="C3E0F1" w:themeFill="accent6" w:themeFillTint="3F"/>
      </w:tcPr>
    </w:tblStylePr>
    <w:tblStylePr w:type="band1Horz">
      <w:tblPr/>
      <w:tcPr>
        <w:shd w:val="clear" w:color="auto" w:fill="C3E0F1" w:themeFill="accent6" w:themeFillTint="3F"/>
      </w:tcPr>
    </w:tblStylePr>
  </w:style>
  <w:style w:type="table" w:styleId="MediumList2">
    <w:name w:val="Medium List 2"/>
    <w:basedOn w:val="TableNormal"/>
    <w:uiPriority w:val="66"/>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2D3F" w:themeColor="accent1"/>
        <w:left w:val="single" w:sz="8" w:space="0" w:color="002D3F" w:themeColor="accent1"/>
        <w:bottom w:val="single" w:sz="8" w:space="0" w:color="002D3F" w:themeColor="accent1"/>
        <w:right w:val="single" w:sz="8" w:space="0" w:color="002D3F" w:themeColor="accent1"/>
      </w:tblBorders>
    </w:tblPr>
    <w:tblStylePr w:type="firstRow">
      <w:rPr>
        <w:sz w:val="24"/>
        <w:szCs w:val="24"/>
      </w:rPr>
      <w:tblPr/>
      <w:tcPr>
        <w:tcBorders>
          <w:top w:val="nil"/>
          <w:left w:val="nil"/>
          <w:bottom w:val="single" w:sz="24" w:space="0" w:color="002D3F" w:themeColor="accent1"/>
          <w:right w:val="nil"/>
          <w:insideH w:val="nil"/>
          <w:insideV w:val="nil"/>
        </w:tcBorders>
        <w:shd w:val="clear" w:color="auto" w:fill="FFFFFF" w:themeFill="background1"/>
      </w:tcPr>
    </w:tblStylePr>
    <w:tblStylePr w:type="lastRow">
      <w:tblPr/>
      <w:tcPr>
        <w:tcBorders>
          <w:top w:val="single" w:sz="8" w:space="0" w:color="002D3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2D3F" w:themeColor="accent1"/>
          <w:insideH w:val="nil"/>
          <w:insideV w:val="nil"/>
        </w:tcBorders>
        <w:shd w:val="clear" w:color="auto" w:fill="FFFFFF" w:themeFill="background1"/>
      </w:tcPr>
    </w:tblStylePr>
    <w:tblStylePr w:type="lastCol">
      <w:tblPr/>
      <w:tcPr>
        <w:tcBorders>
          <w:top w:val="nil"/>
          <w:left w:val="single" w:sz="8" w:space="0" w:color="002D3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0DFFF" w:themeFill="accent1" w:themeFillTint="3F"/>
      </w:tcPr>
    </w:tblStylePr>
    <w:tblStylePr w:type="band1Horz">
      <w:tblPr/>
      <w:tcPr>
        <w:tcBorders>
          <w:top w:val="nil"/>
          <w:bottom w:val="nil"/>
          <w:insideH w:val="nil"/>
          <w:insideV w:val="nil"/>
        </w:tcBorders>
        <w:shd w:val="clear" w:color="auto" w:fill="90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6322" w:themeColor="accent2"/>
        <w:left w:val="single" w:sz="8" w:space="0" w:color="F26322" w:themeColor="accent2"/>
        <w:bottom w:val="single" w:sz="8" w:space="0" w:color="F26322" w:themeColor="accent2"/>
        <w:right w:val="single" w:sz="8" w:space="0" w:color="F26322" w:themeColor="accent2"/>
      </w:tblBorders>
    </w:tblPr>
    <w:tblStylePr w:type="firstRow">
      <w:rPr>
        <w:sz w:val="24"/>
        <w:szCs w:val="24"/>
      </w:rPr>
      <w:tblPr/>
      <w:tcPr>
        <w:tcBorders>
          <w:top w:val="nil"/>
          <w:left w:val="nil"/>
          <w:bottom w:val="single" w:sz="24" w:space="0" w:color="F26322" w:themeColor="accent2"/>
          <w:right w:val="nil"/>
          <w:insideH w:val="nil"/>
          <w:insideV w:val="nil"/>
        </w:tcBorders>
        <w:shd w:val="clear" w:color="auto" w:fill="FFFFFF" w:themeFill="background1"/>
      </w:tcPr>
    </w:tblStylePr>
    <w:tblStylePr w:type="lastRow">
      <w:tblPr/>
      <w:tcPr>
        <w:tcBorders>
          <w:top w:val="single" w:sz="8" w:space="0" w:color="F2632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6322" w:themeColor="accent2"/>
          <w:insideH w:val="nil"/>
          <w:insideV w:val="nil"/>
        </w:tcBorders>
        <w:shd w:val="clear" w:color="auto" w:fill="FFFFFF" w:themeFill="background1"/>
      </w:tcPr>
    </w:tblStylePr>
    <w:tblStylePr w:type="lastCol">
      <w:tblPr/>
      <w:tcPr>
        <w:tcBorders>
          <w:top w:val="nil"/>
          <w:left w:val="single" w:sz="8" w:space="0" w:color="F2632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8C8" w:themeFill="accent2" w:themeFillTint="3F"/>
      </w:tcPr>
    </w:tblStylePr>
    <w:tblStylePr w:type="band1Horz">
      <w:tblPr/>
      <w:tcPr>
        <w:tcBorders>
          <w:top w:val="nil"/>
          <w:bottom w:val="nil"/>
          <w:insideH w:val="nil"/>
          <w:insideV w:val="nil"/>
        </w:tcBorders>
        <w:shd w:val="clear" w:color="auto" w:fill="FBD8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276" w:themeColor="accent3"/>
        <w:left w:val="single" w:sz="8" w:space="0" w:color="008276" w:themeColor="accent3"/>
        <w:bottom w:val="single" w:sz="8" w:space="0" w:color="008276" w:themeColor="accent3"/>
        <w:right w:val="single" w:sz="8" w:space="0" w:color="008276" w:themeColor="accent3"/>
      </w:tblBorders>
    </w:tblPr>
    <w:tblStylePr w:type="firstRow">
      <w:rPr>
        <w:sz w:val="24"/>
        <w:szCs w:val="24"/>
      </w:rPr>
      <w:tblPr/>
      <w:tcPr>
        <w:tcBorders>
          <w:top w:val="nil"/>
          <w:left w:val="nil"/>
          <w:bottom w:val="single" w:sz="24" w:space="0" w:color="008276" w:themeColor="accent3"/>
          <w:right w:val="nil"/>
          <w:insideH w:val="nil"/>
          <w:insideV w:val="nil"/>
        </w:tcBorders>
        <w:shd w:val="clear" w:color="auto" w:fill="FFFFFF" w:themeFill="background1"/>
      </w:tcPr>
    </w:tblStylePr>
    <w:tblStylePr w:type="lastRow">
      <w:tblPr/>
      <w:tcPr>
        <w:tcBorders>
          <w:top w:val="single" w:sz="8" w:space="0" w:color="00827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276" w:themeColor="accent3"/>
          <w:insideH w:val="nil"/>
          <w:insideV w:val="nil"/>
        </w:tcBorders>
        <w:shd w:val="clear" w:color="auto" w:fill="FFFFFF" w:themeFill="background1"/>
      </w:tcPr>
    </w:tblStylePr>
    <w:tblStylePr w:type="lastCol">
      <w:tblPr/>
      <w:tcPr>
        <w:tcBorders>
          <w:top w:val="nil"/>
          <w:left w:val="single" w:sz="8" w:space="0" w:color="00827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1FFF6" w:themeFill="accent3" w:themeFillTint="3F"/>
      </w:tcPr>
    </w:tblStylePr>
    <w:tblStylePr w:type="band1Horz">
      <w:tblPr/>
      <w:tcPr>
        <w:tcBorders>
          <w:top w:val="nil"/>
          <w:bottom w:val="nil"/>
          <w:insideH w:val="nil"/>
          <w:insideV w:val="nil"/>
        </w:tcBorders>
        <w:shd w:val="clear" w:color="auto" w:fill="A1FF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6006A" w:themeColor="accent4"/>
        <w:left w:val="single" w:sz="8" w:space="0" w:color="B6006A" w:themeColor="accent4"/>
        <w:bottom w:val="single" w:sz="8" w:space="0" w:color="B6006A" w:themeColor="accent4"/>
        <w:right w:val="single" w:sz="8" w:space="0" w:color="B6006A" w:themeColor="accent4"/>
      </w:tblBorders>
    </w:tblPr>
    <w:tblStylePr w:type="firstRow">
      <w:rPr>
        <w:sz w:val="24"/>
        <w:szCs w:val="24"/>
      </w:rPr>
      <w:tblPr/>
      <w:tcPr>
        <w:tcBorders>
          <w:top w:val="nil"/>
          <w:left w:val="nil"/>
          <w:bottom w:val="single" w:sz="24" w:space="0" w:color="B6006A" w:themeColor="accent4"/>
          <w:right w:val="nil"/>
          <w:insideH w:val="nil"/>
          <w:insideV w:val="nil"/>
        </w:tcBorders>
        <w:shd w:val="clear" w:color="auto" w:fill="FFFFFF" w:themeFill="background1"/>
      </w:tcPr>
    </w:tblStylePr>
    <w:tblStylePr w:type="lastRow">
      <w:tblPr/>
      <w:tcPr>
        <w:tcBorders>
          <w:top w:val="single" w:sz="8" w:space="0" w:color="B6006A"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6006A" w:themeColor="accent4"/>
          <w:insideH w:val="nil"/>
          <w:insideV w:val="nil"/>
        </w:tcBorders>
        <w:shd w:val="clear" w:color="auto" w:fill="FFFFFF" w:themeFill="background1"/>
      </w:tcPr>
    </w:tblStylePr>
    <w:tblStylePr w:type="lastCol">
      <w:tblPr/>
      <w:tcPr>
        <w:tcBorders>
          <w:top w:val="nil"/>
          <w:left w:val="single" w:sz="8" w:space="0" w:color="B6006A"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DDC" w:themeFill="accent4" w:themeFillTint="3F"/>
      </w:tcPr>
    </w:tblStylePr>
    <w:tblStylePr w:type="band1Horz">
      <w:tblPr/>
      <w:tcPr>
        <w:tcBorders>
          <w:top w:val="nil"/>
          <w:bottom w:val="nil"/>
          <w:insideH w:val="nil"/>
          <w:insideV w:val="nil"/>
        </w:tcBorders>
        <w:shd w:val="clear" w:color="auto" w:fill="FFADD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5"/>
        <w:left w:val="single" w:sz="8" w:space="0" w:color="E9A913" w:themeColor="accent5"/>
        <w:bottom w:val="single" w:sz="8" w:space="0" w:color="E9A913" w:themeColor="accent5"/>
        <w:right w:val="single" w:sz="8" w:space="0" w:color="E9A913" w:themeColor="accent5"/>
      </w:tblBorders>
    </w:tblPr>
    <w:tblStylePr w:type="firstRow">
      <w:rPr>
        <w:sz w:val="24"/>
        <w:szCs w:val="24"/>
      </w:rPr>
      <w:tblPr/>
      <w:tcPr>
        <w:tcBorders>
          <w:top w:val="nil"/>
          <w:left w:val="nil"/>
          <w:bottom w:val="single" w:sz="24" w:space="0" w:color="E9A913" w:themeColor="accent5"/>
          <w:right w:val="nil"/>
          <w:insideH w:val="nil"/>
          <w:insideV w:val="nil"/>
        </w:tcBorders>
        <w:shd w:val="clear" w:color="auto" w:fill="FFFFFF" w:themeFill="background1"/>
      </w:tcPr>
    </w:tblStylePr>
    <w:tblStylePr w:type="lastRow">
      <w:tblPr/>
      <w:tcPr>
        <w:tcBorders>
          <w:top w:val="single" w:sz="8" w:space="0" w:color="E9A91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A913" w:themeColor="accent5"/>
          <w:insideH w:val="nil"/>
          <w:insideV w:val="nil"/>
        </w:tcBorders>
        <w:shd w:val="clear" w:color="auto" w:fill="FFFFFF" w:themeFill="background1"/>
      </w:tcPr>
    </w:tblStylePr>
    <w:tblStylePr w:type="lastCol">
      <w:tblPr/>
      <w:tcPr>
        <w:tcBorders>
          <w:top w:val="nil"/>
          <w:left w:val="single" w:sz="8" w:space="0" w:color="E9A91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9C3" w:themeFill="accent5" w:themeFillTint="3F"/>
      </w:tcPr>
    </w:tblStylePr>
    <w:tblStylePr w:type="band1Horz">
      <w:tblPr/>
      <w:tcPr>
        <w:tcBorders>
          <w:top w:val="nil"/>
          <w:bottom w:val="nil"/>
          <w:insideH w:val="nil"/>
          <w:insideV w:val="nil"/>
        </w:tcBorders>
        <w:shd w:val="clear" w:color="auto" w:fill="FAE9C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87DB2" w:themeColor="accent6"/>
        <w:left w:val="single" w:sz="8" w:space="0" w:color="287DB2" w:themeColor="accent6"/>
        <w:bottom w:val="single" w:sz="8" w:space="0" w:color="287DB2" w:themeColor="accent6"/>
        <w:right w:val="single" w:sz="8" w:space="0" w:color="287DB2" w:themeColor="accent6"/>
      </w:tblBorders>
    </w:tblPr>
    <w:tblStylePr w:type="firstRow">
      <w:rPr>
        <w:sz w:val="24"/>
        <w:szCs w:val="24"/>
      </w:rPr>
      <w:tblPr/>
      <w:tcPr>
        <w:tcBorders>
          <w:top w:val="nil"/>
          <w:left w:val="nil"/>
          <w:bottom w:val="single" w:sz="24" w:space="0" w:color="287DB2" w:themeColor="accent6"/>
          <w:right w:val="nil"/>
          <w:insideH w:val="nil"/>
          <w:insideV w:val="nil"/>
        </w:tcBorders>
        <w:shd w:val="clear" w:color="auto" w:fill="FFFFFF" w:themeFill="background1"/>
      </w:tcPr>
    </w:tblStylePr>
    <w:tblStylePr w:type="lastRow">
      <w:tblPr/>
      <w:tcPr>
        <w:tcBorders>
          <w:top w:val="single" w:sz="8" w:space="0" w:color="287DB2"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87DB2" w:themeColor="accent6"/>
          <w:insideH w:val="nil"/>
          <w:insideV w:val="nil"/>
        </w:tcBorders>
        <w:shd w:val="clear" w:color="auto" w:fill="FFFFFF" w:themeFill="background1"/>
      </w:tcPr>
    </w:tblStylePr>
    <w:tblStylePr w:type="lastCol">
      <w:tblPr/>
      <w:tcPr>
        <w:tcBorders>
          <w:top w:val="nil"/>
          <w:left w:val="single" w:sz="8" w:space="0" w:color="287DB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E0F1" w:themeFill="accent6" w:themeFillTint="3F"/>
      </w:tcPr>
    </w:tblStylePr>
    <w:tblStylePr w:type="band1Horz">
      <w:tblPr/>
      <w:tcPr>
        <w:tcBorders>
          <w:top w:val="nil"/>
          <w:bottom w:val="nil"/>
          <w:insideH w:val="nil"/>
          <w:insideV w:val="nil"/>
        </w:tcBorders>
        <w:shd w:val="clear" w:color="auto" w:fill="C3E0F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A90923"/>
    <w:pPr>
      <w:spacing w:after="0" w:line="240" w:lineRule="auto"/>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A90923"/>
    <w:pPr>
      <w:spacing w:after="0" w:line="240" w:lineRule="auto"/>
    </w:pPr>
    <w:rPr>
      <w:rFonts w:eastAsiaTheme="minorEastAsia"/>
    </w:rPr>
    <w:tblPr>
      <w:tblStyleRowBandSize w:val="1"/>
      <w:tblStyleColBandSize w:val="1"/>
      <w:tblBorders>
        <w:top w:val="single" w:sz="8" w:space="0" w:color="007CAF" w:themeColor="accent1" w:themeTint="BF"/>
        <w:left w:val="single" w:sz="8" w:space="0" w:color="007CAF" w:themeColor="accent1" w:themeTint="BF"/>
        <w:bottom w:val="single" w:sz="8" w:space="0" w:color="007CAF" w:themeColor="accent1" w:themeTint="BF"/>
        <w:right w:val="single" w:sz="8" w:space="0" w:color="007CAF" w:themeColor="accent1" w:themeTint="BF"/>
        <w:insideH w:val="single" w:sz="8" w:space="0" w:color="007CAF" w:themeColor="accent1" w:themeTint="BF"/>
      </w:tblBorders>
    </w:tblPr>
    <w:tblStylePr w:type="firstRow">
      <w:pPr>
        <w:spacing w:before="0" w:after="0" w:line="240" w:lineRule="auto"/>
      </w:pPr>
      <w:rPr>
        <w:b/>
        <w:bCs/>
        <w:color w:val="FFFFFF" w:themeColor="background1"/>
      </w:rPr>
      <w:tblPr/>
      <w:tcPr>
        <w:tcBorders>
          <w:top w:val="single" w:sz="8" w:space="0" w:color="007CAF" w:themeColor="accent1" w:themeTint="BF"/>
          <w:left w:val="single" w:sz="8" w:space="0" w:color="007CAF" w:themeColor="accent1" w:themeTint="BF"/>
          <w:bottom w:val="single" w:sz="8" w:space="0" w:color="007CAF" w:themeColor="accent1" w:themeTint="BF"/>
          <w:right w:val="single" w:sz="8" w:space="0" w:color="007CAF" w:themeColor="accent1" w:themeTint="BF"/>
          <w:insideH w:val="nil"/>
          <w:insideV w:val="nil"/>
        </w:tcBorders>
        <w:shd w:val="clear" w:color="auto" w:fill="002D3F" w:themeFill="accent1"/>
      </w:tcPr>
    </w:tblStylePr>
    <w:tblStylePr w:type="lastRow">
      <w:pPr>
        <w:spacing w:before="0" w:after="0" w:line="240" w:lineRule="auto"/>
      </w:pPr>
      <w:rPr>
        <w:b/>
        <w:bCs/>
      </w:rPr>
      <w:tblPr/>
      <w:tcPr>
        <w:tcBorders>
          <w:top w:val="double" w:sz="6" w:space="0" w:color="007CAF" w:themeColor="accent1" w:themeTint="BF"/>
          <w:left w:val="single" w:sz="8" w:space="0" w:color="007CAF" w:themeColor="accent1" w:themeTint="BF"/>
          <w:bottom w:val="single" w:sz="8" w:space="0" w:color="007CAF" w:themeColor="accent1" w:themeTint="BF"/>
          <w:right w:val="single" w:sz="8" w:space="0" w:color="007CAF" w:themeColor="accent1" w:themeTint="BF"/>
          <w:insideH w:val="nil"/>
          <w:insideV w:val="nil"/>
        </w:tcBorders>
      </w:tcPr>
    </w:tblStylePr>
    <w:tblStylePr w:type="firstCol">
      <w:rPr>
        <w:b/>
        <w:bCs/>
      </w:rPr>
    </w:tblStylePr>
    <w:tblStylePr w:type="lastCol">
      <w:rPr>
        <w:b/>
        <w:bCs/>
      </w:rPr>
    </w:tblStylePr>
    <w:tblStylePr w:type="band1Vert">
      <w:tblPr/>
      <w:tcPr>
        <w:shd w:val="clear" w:color="auto" w:fill="90DFFF" w:themeFill="accent1" w:themeFillTint="3F"/>
      </w:tcPr>
    </w:tblStylePr>
    <w:tblStylePr w:type="band1Horz">
      <w:tblPr/>
      <w:tcPr>
        <w:tcBorders>
          <w:insideH w:val="nil"/>
          <w:insideV w:val="nil"/>
        </w:tcBorders>
        <w:shd w:val="clear" w:color="auto" w:fill="90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A90923"/>
    <w:pPr>
      <w:spacing w:after="0" w:line="240" w:lineRule="auto"/>
    </w:pPr>
    <w:rPr>
      <w:rFonts w:eastAsiaTheme="minorEastAsia"/>
    </w:rPr>
    <w:tblPr>
      <w:tblStyleRowBandSize w:val="1"/>
      <w:tblStyleColBandSize w:val="1"/>
      <w:tblBorders>
        <w:top w:val="single" w:sz="8" w:space="0" w:color="F58959" w:themeColor="accent2" w:themeTint="BF"/>
        <w:left w:val="single" w:sz="8" w:space="0" w:color="F58959" w:themeColor="accent2" w:themeTint="BF"/>
        <w:bottom w:val="single" w:sz="8" w:space="0" w:color="F58959" w:themeColor="accent2" w:themeTint="BF"/>
        <w:right w:val="single" w:sz="8" w:space="0" w:color="F58959" w:themeColor="accent2" w:themeTint="BF"/>
        <w:insideH w:val="single" w:sz="8" w:space="0" w:color="F58959" w:themeColor="accent2" w:themeTint="BF"/>
      </w:tblBorders>
    </w:tblPr>
    <w:tblStylePr w:type="firstRow">
      <w:pPr>
        <w:spacing w:before="0" w:after="0" w:line="240" w:lineRule="auto"/>
      </w:pPr>
      <w:rPr>
        <w:b/>
        <w:bCs/>
        <w:color w:val="FFFFFF" w:themeColor="background1"/>
      </w:rPr>
      <w:tblPr/>
      <w:tcPr>
        <w:tcBorders>
          <w:top w:val="single" w:sz="8" w:space="0" w:color="F58959" w:themeColor="accent2" w:themeTint="BF"/>
          <w:left w:val="single" w:sz="8" w:space="0" w:color="F58959" w:themeColor="accent2" w:themeTint="BF"/>
          <w:bottom w:val="single" w:sz="8" w:space="0" w:color="F58959" w:themeColor="accent2" w:themeTint="BF"/>
          <w:right w:val="single" w:sz="8" w:space="0" w:color="F58959" w:themeColor="accent2" w:themeTint="BF"/>
          <w:insideH w:val="nil"/>
          <w:insideV w:val="nil"/>
        </w:tcBorders>
        <w:shd w:val="clear" w:color="auto" w:fill="F26322" w:themeFill="accent2"/>
      </w:tcPr>
    </w:tblStylePr>
    <w:tblStylePr w:type="lastRow">
      <w:pPr>
        <w:spacing w:before="0" w:after="0" w:line="240" w:lineRule="auto"/>
      </w:pPr>
      <w:rPr>
        <w:b/>
        <w:bCs/>
      </w:rPr>
      <w:tblPr/>
      <w:tcPr>
        <w:tcBorders>
          <w:top w:val="double" w:sz="6" w:space="0" w:color="F58959" w:themeColor="accent2" w:themeTint="BF"/>
          <w:left w:val="single" w:sz="8" w:space="0" w:color="F58959" w:themeColor="accent2" w:themeTint="BF"/>
          <w:bottom w:val="single" w:sz="8" w:space="0" w:color="F58959" w:themeColor="accent2" w:themeTint="BF"/>
          <w:right w:val="single" w:sz="8" w:space="0" w:color="F589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BD8C8" w:themeFill="accent2" w:themeFillTint="3F"/>
      </w:tcPr>
    </w:tblStylePr>
    <w:tblStylePr w:type="band1Horz">
      <w:tblPr/>
      <w:tcPr>
        <w:tcBorders>
          <w:insideH w:val="nil"/>
          <w:insideV w:val="nil"/>
        </w:tcBorders>
        <w:shd w:val="clear" w:color="auto" w:fill="FBD8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A90923"/>
    <w:pPr>
      <w:spacing w:after="0" w:line="240" w:lineRule="auto"/>
    </w:pPr>
    <w:rPr>
      <w:rFonts w:eastAsiaTheme="minorEastAsia"/>
    </w:rPr>
    <w:tblPr>
      <w:tblStyleRowBandSize w:val="1"/>
      <w:tblStyleColBandSize w:val="1"/>
      <w:tblBorders>
        <w:top w:val="single" w:sz="8" w:space="0" w:color="00E1CC" w:themeColor="accent3" w:themeTint="BF"/>
        <w:left w:val="single" w:sz="8" w:space="0" w:color="00E1CC" w:themeColor="accent3" w:themeTint="BF"/>
        <w:bottom w:val="single" w:sz="8" w:space="0" w:color="00E1CC" w:themeColor="accent3" w:themeTint="BF"/>
        <w:right w:val="single" w:sz="8" w:space="0" w:color="00E1CC" w:themeColor="accent3" w:themeTint="BF"/>
        <w:insideH w:val="single" w:sz="8" w:space="0" w:color="00E1CC" w:themeColor="accent3" w:themeTint="BF"/>
      </w:tblBorders>
    </w:tblPr>
    <w:tblStylePr w:type="firstRow">
      <w:pPr>
        <w:spacing w:before="0" w:after="0" w:line="240" w:lineRule="auto"/>
      </w:pPr>
      <w:rPr>
        <w:b/>
        <w:bCs/>
        <w:color w:val="FFFFFF" w:themeColor="background1"/>
      </w:rPr>
      <w:tblPr/>
      <w:tcPr>
        <w:tcBorders>
          <w:top w:val="single" w:sz="8" w:space="0" w:color="00E1CC" w:themeColor="accent3" w:themeTint="BF"/>
          <w:left w:val="single" w:sz="8" w:space="0" w:color="00E1CC" w:themeColor="accent3" w:themeTint="BF"/>
          <w:bottom w:val="single" w:sz="8" w:space="0" w:color="00E1CC" w:themeColor="accent3" w:themeTint="BF"/>
          <w:right w:val="single" w:sz="8" w:space="0" w:color="00E1CC" w:themeColor="accent3" w:themeTint="BF"/>
          <w:insideH w:val="nil"/>
          <w:insideV w:val="nil"/>
        </w:tcBorders>
        <w:shd w:val="clear" w:color="auto" w:fill="008276" w:themeFill="accent3"/>
      </w:tcPr>
    </w:tblStylePr>
    <w:tblStylePr w:type="lastRow">
      <w:pPr>
        <w:spacing w:before="0" w:after="0" w:line="240" w:lineRule="auto"/>
      </w:pPr>
      <w:rPr>
        <w:b/>
        <w:bCs/>
      </w:rPr>
      <w:tblPr/>
      <w:tcPr>
        <w:tcBorders>
          <w:top w:val="double" w:sz="6" w:space="0" w:color="00E1CC" w:themeColor="accent3" w:themeTint="BF"/>
          <w:left w:val="single" w:sz="8" w:space="0" w:color="00E1CC" w:themeColor="accent3" w:themeTint="BF"/>
          <w:bottom w:val="single" w:sz="8" w:space="0" w:color="00E1CC" w:themeColor="accent3" w:themeTint="BF"/>
          <w:right w:val="single" w:sz="8" w:space="0" w:color="00E1CC" w:themeColor="accent3" w:themeTint="BF"/>
          <w:insideH w:val="nil"/>
          <w:insideV w:val="nil"/>
        </w:tcBorders>
      </w:tcPr>
    </w:tblStylePr>
    <w:tblStylePr w:type="firstCol">
      <w:rPr>
        <w:b/>
        <w:bCs/>
      </w:rPr>
    </w:tblStylePr>
    <w:tblStylePr w:type="lastCol">
      <w:rPr>
        <w:b/>
        <w:bCs/>
      </w:rPr>
    </w:tblStylePr>
    <w:tblStylePr w:type="band1Vert">
      <w:tblPr/>
      <w:tcPr>
        <w:shd w:val="clear" w:color="auto" w:fill="A1FFF6" w:themeFill="accent3" w:themeFillTint="3F"/>
      </w:tcPr>
    </w:tblStylePr>
    <w:tblStylePr w:type="band1Horz">
      <w:tblPr/>
      <w:tcPr>
        <w:tcBorders>
          <w:insideH w:val="nil"/>
          <w:insideV w:val="nil"/>
        </w:tcBorders>
        <w:shd w:val="clear" w:color="auto" w:fill="A1FFF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A90923"/>
    <w:pPr>
      <w:spacing w:after="0" w:line="240" w:lineRule="auto"/>
    </w:pPr>
    <w:rPr>
      <w:rFonts w:eastAsiaTheme="minorEastAsia"/>
    </w:rPr>
    <w:tblPr>
      <w:tblStyleRowBandSize w:val="1"/>
      <w:tblStyleColBandSize w:val="1"/>
      <w:tblBorders>
        <w:top w:val="single" w:sz="8" w:space="0" w:color="FF0997" w:themeColor="accent4" w:themeTint="BF"/>
        <w:left w:val="single" w:sz="8" w:space="0" w:color="FF0997" w:themeColor="accent4" w:themeTint="BF"/>
        <w:bottom w:val="single" w:sz="8" w:space="0" w:color="FF0997" w:themeColor="accent4" w:themeTint="BF"/>
        <w:right w:val="single" w:sz="8" w:space="0" w:color="FF0997" w:themeColor="accent4" w:themeTint="BF"/>
        <w:insideH w:val="single" w:sz="8" w:space="0" w:color="FF0997" w:themeColor="accent4" w:themeTint="BF"/>
      </w:tblBorders>
    </w:tblPr>
    <w:tblStylePr w:type="firstRow">
      <w:pPr>
        <w:spacing w:before="0" w:after="0" w:line="240" w:lineRule="auto"/>
      </w:pPr>
      <w:rPr>
        <w:b/>
        <w:bCs/>
        <w:color w:val="FFFFFF" w:themeColor="background1"/>
      </w:rPr>
      <w:tblPr/>
      <w:tcPr>
        <w:tcBorders>
          <w:top w:val="single" w:sz="8" w:space="0" w:color="FF0997" w:themeColor="accent4" w:themeTint="BF"/>
          <w:left w:val="single" w:sz="8" w:space="0" w:color="FF0997" w:themeColor="accent4" w:themeTint="BF"/>
          <w:bottom w:val="single" w:sz="8" w:space="0" w:color="FF0997" w:themeColor="accent4" w:themeTint="BF"/>
          <w:right w:val="single" w:sz="8" w:space="0" w:color="FF0997" w:themeColor="accent4" w:themeTint="BF"/>
          <w:insideH w:val="nil"/>
          <w:insideV w:val="nil"/>
        </w:tcBorders>
        <w:shd w:val="clear" w:color="auto" w:fill="B6006A" w:themeFill="accent4"/>
      </w:tcPr>
    </w:tblStylePr>
    <w:tblStylePr w:type="lastRow">
      <w:pPr>
        <w:spacing w:before="0" w:after="0" w:line="240" w:lineRule="auto"/>
      </w:pPr>
      <w:rPr>
        <w:b/>
        <w:bCs/>
      </w:rPr>
      <w:tblPr/>
      <w:tcPr>
        <w:tcBorders>
          <w:top w:val="double" w:sz="6" w:space="0" w:color="FF0997" w:themeColor="accent4" w:themeTint="BF"/>
          <w:left w:val="single" w:sz="8" w:space="0" w:color="FF0997" w:themeColor="accent4" w:themeTint="BF"/>
          <w:bottom w:val="single" w:sz="8" w:space="0" w:color="FF0997" w:themeColor="accent4" w:themeTint="BF"/>
          <w:right w:val="single" w:sz="8" w:space="0" w:color="FF09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ADDC" w:themeFill="accent4" w:themeFillTint="3F"/>
      </w:tcPr>
    </w:tblStylePr>
    <w:tblStylePr w:type="band1Horz">
      <w:tblPr/>
      <w:tcPr>
        <w:tcBorders>
          <w:insideH w:val="nil"/>
          <w:insideV w:val="nil"/>
        </w:tcBorders>
        <w:shd w:val="clear" w:color="auto" w:fill="FFADD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A90923"/>
    <w:pPr>
      <w:spacing w:after="0" w:line="240" w:lineRule="auto"/>
    </w:pPr>
    <w:rPr>
      <w:rFonts w:eastAsiaTheme="minorEastAsia"/>
    </w:rPr>
    <w:tblPr>
      <w:tblStyleRowBandSize w:val="1"/>
      <w:tblStyleColBandSize w:val="1"/>
      <w:tblBorders>
        <w:top w:val="single" w:sz="8" w:space="0" w:color="F0BE4C" w:themeColor="accent5" w:themeTint="BF"/>
        <w:left w:val="single" w:sz="8" w:space="0" w:color="F0BE4C" w:themeColor="accent5" w:themeTint="BF"/>
        <w:bottom w:val="single" w:sz="8" w:space="0" w:color="F0BE4C" w:themeColor="accent5" w:themeTint="BF"/>
        <w:right w:val="single" w:sz="8" w:space="0" w:color="F0BE4C" w:themeColor="accent5" w:themeTint="BF"/>
        <w:insideH w:val="single" w:sz="8" w:space="0" w:color="F0BE4C" w:themeColor="accent5" w:themeTint="BF"/>
      </w:tblBorders>
    </w:tblPr>
    <w:tblStylePr w:type="firstRow">
      <w:pPr>
        <w:spacing w:before="0" w:after="0" w:line="240" w:lineRule="auto"/>
      </w:pPr>
      <w:rPr>
        <w:b/>
        <w:bCs/>
        <w:color w:val="FFFFFF" w:themeColor="background1"/>
      </w:rPr>
      <w:tblPr/>
      <w:tcPr>
        <w:tcBorders>
          <w:top w:val="single" w:sz="8" w:space="0" w:color="F0BE4C" w:themeColor="accent5" w:themeTint="BF"/>
          <w:left w:val="single" w:sz="8" w:space="0" w:color="F0BE4C" w:themeColor="accent5" w:themeTint="BF"/>
          <w:bottom w:val="single" w:sz="8" w:space="0" w:color="F0BE4C" w:themeColor="accent5" w:themeTint="BF"/>
          <w:right w:val="single" w:sz="8" w:space="0" w:color="F0BE4C" w:themeColor="accent5" w:themeTint="BF"/>
          <w:insideH w:val="nil"/>
          <w:insideV w:val="nil"/>
        </w:tcBorders>
        <w:shd w:val="clear" w:color="auto" w:fill="E9A913" w:themeFill="accent5"/>
      </w:tcPr>
    </w:tblStylePr>
    <w:tblStylePr w:type="lastRow">
      <w:pPr>
        <w:spacing w:before="0" w:after="0" w:line="240" w:lineRule="auto"/>
      </w:pPr>
      <w:rPr>
        <w:b/>
        <w:bCs/>
      </w:rPr>
      <w:tblPr/>
      <w:tcPr>
        <w:tcBorders>
          <w:top w:val="double" w:sz="6" w:space="0" w:color="F0BE4C" w:themeColor="accent5" w:themeTint="BF"/>
          <w:left w:val="single" w:sz="8" w:space="0" w:color="F0BE4C" w:themeColor="accent5" w:themeTint="BF"/>
          <w:bottom w:val="single" w:sz="8" w:space="0" w:color="F0BE4C" w:themeColor="accent5" w:themeTint="BF"/>
          <w:right w:val="single" w:sz="8" w:space="0" w:color="F0BE4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AE9C3" w:themeFill="accent5" w:themeFillTint="3F"/>
      </w:tcPr>
    </w:tblStylePr>
    <w:tblStylePr w:type="band1Horz">
      <w:tblPr/>
      <w:tcPr>
        <w:tcBorders>
          <w:insideH w:val="nil"/>
          <w:insideV w:val="nil"/>
        </w:tcBorders>
        <w:shd w:val="clear" w:color="auto" w:fill="FAE9C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A90923"/>
    <w:pPr>
      <w:spacing w:after="0" w:line="240" w:lineRule="auto"/>
    </w:pPr>
    <w:rPr>
      <w:rFonts w:eastAsiaTheme="minorEastAsia"/>
    </w:rPr>
    <w:tblPr>
      <w:tblStyleRowBandSize w:val="1"/>
      <w:tblStyleColBandSize w:val="1"/>
      <w:tblBorders>
        <w:top w:val="single" w:sz="8" w:space="0" w:color="4CA1D6" w:themeColor="accent6" w:themeTint="BF"/>
        <w:left w:val="single" w:sz="8" w:space="0" w:color="4CA1D6" w:themeColor="accent6" w:themeTint="BF"/>
        <w:bottom w:val="single" w:sz="8" w:space="0" w:color="4CA1D6" w:themeColor="accent6" w:themeTint="BF"/>
        <w:right w:val="single" w:sz="8" w:space="0" w:color="4CA1D6" w:themeColor="accent6" w:themeTint="BF"/>
        <w:insideH w:val="single" w:sz="8" w:space="0" w:color="4CA1D6" w:themeColor="accent6" w:themeTint="BF"/>
      </w:tblBorders>
    </w:tblPr>
    <w:tblStylePr w:type="firstRow">
      <w:pPr>
        <w:spacing w:before="0" w:after="0" w:line="240" w:lineRule="auto"/>
      </w:pPr>
      <w:rPr>
        <w:b/>
        <w:bCs/>
        <w:color w:val="FFFFFF" w:themeColor="background1"/>
      </w:rPr>
      <w:tblPr/>
      <w:tcPr>
        <w:tcBorders>
          <w:top w:val="single" w:sz="8" w:space="0" w:color="4CA1D6" w:themeColor="accent6" w:themeTint="BF"/>
          <w:left w:val="single" w:sz="8" w:space="0" w:color="4CA1D6" w:themeColor="accent6" w:themeTint="BF"/>
          <w:bottom w:val="single" w:sz="8" w:space="0" w:color="4CA1D6" w:themeColor="accent6" w:themeTint="BF"/>
          <w:right w:val="single" w:sz="8" w:space="0" w:color="4CA1D6" w:themeColor="accent6" w:themeTint="BF"/>
          <w:insideH w:val="nil"/>
          <w:insideV w:val="nil"/>
        </w:tcBorders>
        <w:shd w:val="clear" w:color="auto" w:fill="287DB2" w:themeFill="accent6"/>
      </w:tcPr>
    </w:tblStylePr>
    <w:tblStylePr w:type="lastRow">
      <w:pPr>
        <w:spacing w:before="0" w:after="0" w:line="240" w:lineRule="auto"/>
      </w:pPr>
      <w:rPr>
        <w:b/>
        <w:bCs/>
      </w:rPr>
      <w:tblPr/>
      <w:tcPr>
        <w:tcBorders>
          <w:top w:val="double" w:sz="6" w:space="0" w:color="4CA1D6" w:themeColor="accent6" w:themeTint="BF"/>
          <w:left w:val="single" w:sz="8" w:space="0" w:color="4CA1D6" w:themeColor="accent6" w:themeTint="BF"/>
          <w:bottom w:val="single" w:sz="8" w:space="0" w:color="4CA1D6" w:themeColor="accent6" w:themeTint="BF"/>
          <w:right w:val="single" w:sz="8" w:space="0" w:color="4CA1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C3E0F1" w:themeFill="accent6" w:themeFillTint="3F"/>
      </w:tcPr>
    </w:tblStylePr>
    <w:tblStylePr w:type="band1Horz">
      <w:tblPr/>
      <w:tcPr>
        <w:tcBorders>
          <w:insideH w:val="nil"/>
          <w:insideV w:val="nil"/>
        </w:tcBorders>
        <w:shd w:val="clear" w:color="auto" w:fill="C3E0F1"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A9092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A9092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2D3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2D3F" w:themeFill="accent1"/>
      </w:tcPr>
    </w:tblStylePr>
    <w:tblStylePr w:type="lastCol">
      <w:rPr>
        <w:b/>
        <w:bCs/>
        <w:color w:val="FFFFFF" w:themeColor="background1"/>
      </w:rPr>
      <w:tblPr/>
      <w:tcPr>
        <w:tcBorders>
          <w:left w:val="nil"/>
          <w:right w:val="nil"/>
          <w:insideH w:val="nil"/>
          <w:insideV w:val="nil"/>
        </w:tcBorders>
        <w:shd w:val="clear" w:color="auto" w:fill="002D3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A9092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632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6322" w:themeFill="accent2"/>
      </w:tcPr>
    </w:tblStylePr>
    <w:tblStylePr w:type="lastCol">
      <w:rPr>
        <w:b/>
        <w:bCs/>
        <w:color w:val="FFFFFF" w:themeColor="background1"/>
      </w:rPr>
      <w:tblPr/>
      <w:tcPr>
        <w:tcBorders>
          <w:left w:val="nil"/>
          <w:right w:val="nil"/>
          <w:insideH w:val="nil"/>
          <w:insideV w:val="nil"/>
        </w:tcBorders>
        <w:shd w:val="clear" w:color="auto" w:fill="F2632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A9092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27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276" w:themeFill="accent3"/>
      </w:tcPr>
    </w:tblStylePr>
    <w:tblStylePr w:type="lastCol">
      <w:rPr>
        <w:b/>
        <w:bCs/>
        <w:color w:val="FFFFFF" w:themeColor="background1"/>
      </w:rPr>
      <w:tblPr/>
      <w:tcPr>
        <w:tcBorders>
          <w:left w:val="nil"/>
          <w:right w:val="nil"/>
          <w:insideH w:val="nil"/>
          <w:insideV w:val="nil"/>
        </w:tcBorders>
        <w:shd w:val="clear" w:color="auto" w:fill="00827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A9092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6006A"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6006A" w:themeFill="accent4"/>
      </w:tcPr>
    </w:tblStylePr>
    <w:tblStylePr w:type="lastCol">
      <w:rPr>
        <w:b/>
        <w:bCs/>
        <w:color w:val="FFFFFF" w:themeColor="background1"/>
      </w:rPr>
      <w:tblPr/>
      <w:tcPr>
        <w:tcBorders>
          <w:left w:val="nil"/>
          <w:right w:val="nil"/>
          <w:insideH w:val="nil"/>
          <w:insideV w:val="nil"/>
        </w:tcBorders>
        <w:shd w:val="clear" w:color="auto" w:fill="B6006A"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A9092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A91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A913" w:themeFill="accent5"/>
      </w:tcPr>
    </w:tblStylePr>
    <w:tblStylePr w:type="lastCol">
      <w:rPr>
        <w:b/>
        <w:bCs/>
        <w:color w:val="FFFFFF" w:themeColor="background1"/>
      </w:rPr>
      <w:tblPr/>
      <w:tcPr>
        <w:tcBorders>
          <w:left w:val="nil"/>
          <w:right w:val="nil"/>
          <w:insideH w:val="nil"/>
          <w:insideV w:val="nil"/>
        </w:tcBorders>
        <w:shd w:val="clear" w:color="auto" w:fill="E9A91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A9092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87DB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87DB2" w:themeFill="accent6"/>
      </w:tcPr>
    </w:tblStylePr>
    <w:tblStylePr w:type="lastCol">
      <w:rPr>
        <w:b/>
        <w:bCs/>
        <w:color w:val="FFFFFF" w:themeColor="background1"/>
      </w:rPr>
      <w:tblPr/>
      <w:tcPr>
        <w:tcBorders>
          <w:left w:val="nil"/>
          <w:right w:val="nil"/>
          <w:insideH w:val="nil"/>
          <w:insideV w:val="nil"/>
        </w:tcBorders>
        <w:shd w:val="clear" w:color="auto" w:fill="287DB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A90923"/>
    <w:pPr>
      <w:spacing w:after="200" w:line="276" w:lineRule="auto"/>
    </w:pPr>
    <w:rPr>
      <w:rFonts w:eastAsiaTheme="minorEastAsi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A90923"/>
    <w:pPr>
      <w:spacing w:after="200" w:line="276" w:lineRule="auto"/>
    </w:pPr>
    <w:rPr>
      <w:rFonts w:eastAsiaTheme="minorEastAsia"/>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A90923"/>
    <w:pPr>
      <w:spacing w:after="200" w:line="276" w:lineRule="auto"/>
    </w:pPr>
    <w:rPr>
      <w:rFonts w:eastAsiaTheme="minorEastAsia"/>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A90923"/>
    <w:pPr>
      <w:spacing w:after="200" w:line="276" w:lineRule="auto"/>
    </w:pPr>
    <w:rPr>
      <w:rFonts w:eastAsiaTheme="minorEastAsi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A90923"/>
    <w:pPr>
      <w:spacing w:after="200" w:line="276" w:lineRule="auto"/>
    </w:pPr>
    <w:rPr>
      <w:rFonts w:eastAsiaTheme="minorEastAsia"/>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A90923"/>
    <w:pPr>
      <w:spacing w:after="200" w:line="276" w:lineRule="auto"/>
    </w:pPr>
    <w:rPr>
      <w:rFonts w:eastAsiaTheme="minorEastAsia"/>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A90923"/>
    <w:pPr>
      <w:spacing w:after="200" w:line="276" w:lineRule="auto"/>
    </w:pPr>
    <w:rPr>
      <w:rFonts w:eastAsiaTheme="minorEastAsi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A90923"/>
    <w:pPr>
      <w:spacing w:after="200" w:line="276" w:lineRule="auto"/>
    </w:pPr>
    <w:rPr>
      <w:rFonts w:eastAsiaTheme="minorEastAsia"/>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A90923"/>
    <w:pPr>
      <w:spacing w:after="200" w:line="276" w:lineRule="auto"/>
    </w:pPr>
    <w:rPr>
      <w:rFonts w:eastAsiaTheme="minorEastAsia"/>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A90923"/>
    <w:pPr>
      <w:spacing w:after="200" w:line="276" w:lineRule="auto"/>
    </w:pPr>
    <w:rPr>
      <w:rFonts w:eastAsiaTheme="minorEastAsia"/>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A90923"/>
    <w:pPr>
      <w:spacing w:after="200" w:line="276" w:lineRule="auto"/>
    </w:pPr>
    <w:rPr>
      <w:rFonts w:eastAsiaTheme="minorEastAsia"/>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A90923"/>
    <w:pPr>
      <w:spacing w:after="200" w:line="276" w:lineRule="auto"/>
    </w:pPr>
    <w:rPr>
      <w:rFonts w:eastAsiaTheme="minorEastAsia"/>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A90923"/>
    <w:pPr>
      <w:spacing w:after="200" w:line="276" w:lineRule="auto"/>
    </w:pPr>
    <w:rPr>
      <w:rFonts w:eastAsiaTheme="minorEastAsia"/>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A90923"/>
    <w:pPr>
      <w:spacing w:after="200" w:line="276" w:lineRule="auto"/>
    </w:pPr>
    <w:rPr>
      <w:rFonts w:eastAsiaTheme="minorEastAsia"/>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A90923"/>
    <w:pPr>
      <w:spacing w:after="200" w:line="276" w:lineRule="auto"/>
    </w:pPr>
    <w:rPr>
      <w:rFonts w:eastAsiaTheme="minorEastAsi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A90923"/>
    <w:pPr>
      <w:spacing w:after="200" w:line="276" w:lineRule="auto"/>
    </w:pPr>
    <w:rPr>
      <w:rFonts w:eastAsiaTheme="minorEastAsi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A90923"/>
    <w:pPr>
      <w:spacing w:after="200" w:line="276" w:lineRule="auto"/>
    </w:pPr>
    <w:rPr>
      <w:rFonts w:eastAsiaTheme="minorEastAsi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A90923"/>
    <w:pPr>
      <w:spacing w:after="200" w:line="276" w:lineRule="auto"/>
    </w:pPr>
    <w:rPr>
      <w:rFonts w:eastAsiaTheme="minorEastAsi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A90923"/>
    <w:pPr>
      <w:spacing w:after="200" w:line="276" w:lineRule="auto"/>
    </w:pPr>
    <w:rPr>
      <w:rFonts w:eastAsiaTheme="minorEastAsia"/>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A90923"/>
    <w:pPr>
      <w:spacing w:after="200" w:line="276" w:lineRule="auto"/>
    </w:pPr>
    <w:rPr>
      <w:rFonts w:eastAsiaTheme="minorEastAsia"/>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A90923"/>
    <w:pPr>
      <w:spacing w:after="200" w:line="276" w:lineRule="auto"/>
    </w:pPr>
    <w:rPr>
      <w:rFonts w:eastAsiaTheme="minorEastAsia"/>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A90923"/>
    <w:pPr>
      <w:spacing w:after="200" w:line="276" w:lineRule="auto"/>
    </w:pPr>
    <w:rPr>
      <w:rFonts w:eastAsiaTheme="minorEastAsi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A90923"/>
    <w:pPr>
      <w:spacing w:after="200" w:line="276" w:lineRule="auto"/>
    </w:pPr>
    <w:rPr>
      <w:rFonts w:eastAsiaTheme="minorEastAsia"/>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A90923"/>
    <w:pPr>
      <w:spacing w:after="200" w:line="276" w:lineRule="auto"/>
    </w:pPr>
    <w:rPr>
      <w:rFonts w:eastAsiaTheme="minorEastAsia"/>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A90923"/>
    <w:pPr>
      <w:spacing w:after="200" w:line="276" w:lineRule="auto"/>
    </w:pPr>
    <w:rPr>
      <w:rFonts w:eastAsiaTheme="minorEastAsi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A90923"/>
    <w:pPr>
      <w:spacing w:after="200" w:line="276" w:lineRule="auto"/>
    </w:pPr>
    <w:rPr>
      <w:rFonts w:eastAsiaTheme="minorEastAsi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A90923"/>
    <w:pPr>
      <w:spacing w:after="200" w:line="276" w:lineRule="auto"/>
    </w:pPr>
    <w:rPr>
      <w:rFonts w:eastAsiaTheme="minorEastAsia"/>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A90923"/>
    <w:pPr>
      <w:spacing w:after="200" w:line="276" w:lineRule="auto"/>
    </w:pPr>
    <w:rPr>
      <w:rFonts w:eastAsiaTheme="minorEastAsia"/>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A90923"/>
    <w:pPr>
      <w:spacing w:after="200" w:line="276" w:lineRule="auto"/>
    </w:pPr>
    <w:rPr>
      <w:rFonts w:eastAsiaTheme="minorEastAsia"/>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A90923"/>
    <w:pPr>
      <w:spacing w:after="200" w:line="276" w:lineRule="auto"/>
    </w:pPr>
    <w:rPr>
      <w:rFonts w:eastAsiaTheme="minorEastAsia"/>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A90923"/>
    <w:pPr>
      <w:spacing w:after="200" w:line="276" w:lineRule="auto"/>
    </w:pPr>
    <w:rPr>
      <w:rFonts w:eastAsiaTheme="minorEastAsia"/>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TableofAuthorities">
    <w:name w:val="table of authorities"/>
    <w:basedOn w:val="Normal"/>
    <w:next w:val="Normal"/>
    <w:uiPriority w:val="99"/>
    <w:semiHidden/>
    <w:rsid w:val="00A90923"/>
    <w:pPr>
      <w:spacing w:after="0"/>
      <w:ind w:left="220" w:hanging="220"/>
    </w:pPr>
    <w:rPr>
      <w:rFonts w:eastAsiaTheme="minorEastAsia"/>
    </w:rPr>
  </w:style>
  <w:style w:type="paragraph" w:styleId="TableofFigures">
    <w:name w:val="table of figures"/>
    <w:basedOn w:val="Normal"/>
    <w:next w:val="Normal"/>
    <w:uiPriority w:val="99"/>
    <w:semiHidden/>
    <w:rsid w:val="00A90923"/>
    <w:pPr>
      <w:spacing w:after="0"/>
    </w:pPr>
    <w:rPr>
      <w:rFonts w:eastAsiaTheme="minorEastAsia"/>
    </w:rPr>
  </w:style>
  <w:style w:type="table" w:styleId="TableProfessional">
    <w:name w:val="Table Professional"/>
    <w:basedOn w:val="TableNormal"/>
    <w:uiPriority w:val="99"/>
    <w:semiHidden/>
    <w:rsid w:val="00A90923"/>
    <w:pPr>
      <w:spacing w:after="200" w:line="276" w:lineRule="auto"/>
    </w:pPr>
    <w:rPr>
      <w:rFonts w:eastAsiaTheme="minorEastAsi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A90923"/>
    <w:pPr>
      <w:spacing w:after="200" w:line="276" w:lineRule="auto"/>
    </w:pPr>
    <w:rPr>
      <w:rFonts w:eastAsiaTheme="minorEastAsi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A90923"/>
    <w:pPr>
      <w:spacing w:after="200" w:line="276" w:lineRule="auto"/>
    </w:pPr>
    <w:rPr>
      <w:rFonts w:eastAsiaTheme="minorEastAsia"/>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A90923"/>
    <w:pPr>
      <w:spacing w:after="200" w:line="276" w:lineRule="auto"/>
    </w:pPr>
    <w:rPr>
      <w:rFonts w:eastAsiaTheme="minorEastAsia"/>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A90923"/>
    <w:pPr>
      <w:spacing w:after="200" w:line="276" w:lineRule="auto"/>
    </w:pPr>
    <w:rPr>
      <w:rFonts w:eastAsiaTheme="minorEastAsia"/>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A90923"/>
    <w:pPr>
      <w:spacing w:after="200" w:line="276" w:lineRule="auto"/>
    </w:pPr>
    <w:rPr>
      <w:rFonts w:eastAsiaTheme="minorEastAsia"/>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A90923"/>
    <w:pPr>
      <w:spacing w:after="200" w:line="276"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A90923"/>
    <w:pPr>
      <w:spacing w:after="200" w:line="276" w:lineRule="auto"/>
    </w:pPr>
    <w:rPr>
      <w:rFonts w:eastAsiaTheme="minorEastAsi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EducationTable">
    <w:name w:val="Education Table"/>
    <w:basedOn w:val="TableNormal"/>
    <w:uiPriority w:val="99"/>
    <w:rsid w:val="00A90923"/>
    <w:pPr>
      <w:spacing w:after="0" w:line="240" w:lineRule="auto"/>
    </w:pPr>
    <w:rPr>
      <w:rFonts w:eastAsiaTheme="minorEastAsia"/>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character" w:customStyle="1" w:styleId="StyleCalibri16ptBoldCustomColorRGB2287136">
    <w:name w:val="Style Calibri 16 pt Bold Custom Color(RGB(2287136))"/>
    <w:basedOn w:val="DefaultParagraphFont"/>
    <w:rsid w:val="00A90923"/>
    <w:rPr>
      <w:rFonts w:ascii="Calibri" w:hAnsi="Calibri"/>
      <w:b/>
      <w:bCs/>
      <w:color w:val="165788"/>
      <w:sz w:val="32"/>
    </w:rPr>
  </w:style>
  <w:style w:type="paragraph" w:customStyle="1" w:styleId="Brief-BODYTEXT">
    <w:name w:val="Brief - BODY TEXT"/>
    <w:basedOn w:val="Normal"/>
    <w:rsid w:val="00A90923"/>
    <w:pPr>
      <w:spacing w:after="120" w:line="234" w:lineRule="exact"/>
    </w:pPr>
    <w:rPr>
      <w:rFonts w:ascii="Times New Roman" w:eastAsia="Times New Roman" w:hAnsi="Times New Roman" w:cstheme="minorHAnsi"/>
      <w:lang w:eastAsia="en-AU"/>
    </w:rPr>
  </w:style>
  <w:style w:type="paragraph" w:styleId="FootnoteText">
    <w:name w:val="footnote text"/>
    <w:basedOn w:val="Normal"/>
    <w:link w:val="FootnoteTextChar"/>
    <w:uiPriority w:val="99"/>
    <w:semiHidden/>
    <w:unhideWhenUsed/>
    <w:rsid w:val="00A90923"/>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A90923"/>
    <w:rPr>
      <w:rFonts w:eastAsiaTheme="minorEastAsia"/>
      <w:sz w:val="20"/>
      <w:szCs w:val="20"/>
    </w:rPr>
  </w:style>
  <w:style w:type="character" w:styleId="FootnoteReference">
    <w:name w:val="footnote reference"/>
    <w:basedOn w:val="DefaultParagraphFont"/>
    <w:uiPriority w:val="99"/>
    <w:semiHidden/>
    <w:unhideWhenUsed/>
    <w:rsid w:val="00A90923"/>
    <w:rPr>
      <w:vertAlign w:val="superscript"/>
    </w:rPr>
  </w:style>
  <w:style w:type="character" w:styleId="CommentReference">
    <w:name w:val="annotation reference"/>
    <w:basedOn w:val="DefaultParagraphFont"/>
    <w:uiPriority w:val="99"/>
    <w:semiHidden/>
    <w:unhideWhenUsed/>
    <w:rsid w:val="00E61DBC"/>
    <w:rPr>
      <w:sz w:val="16"/>
      <w:szCs w:val="16"/>
    </w:rPr>
  </w:style>
  <w:style w:type="paragraph" w:styleId="CommentText">
    <w:name w:val="annotation text"/>
    <w:basedOn w:val="Normal"/>
    <w:link w:val="CommentTextChar"/>
    <w:uiPriority w:val="99"/>
    <w:unhideWhenUsed/>
    <w:rsid w:val="00E61DBC"/>
    <w:pPr>
      <w:spacing w:line="240" w:lineRule="auto"/>
    </w:pPr>
    <w:rPr>
      <w:sz w:val="20"/>
      <w:szCs w:val="20"/>
    </w:rPr>
  </w:style>
  <w:style w:type="character" w:customStyle="1" w:styleId="CommentTextChar">
    <w:name w:val="Comment Text Char"/>
    <w:basedOn w:val="DefaultParagraphFont"/>
    <w:link w:val="CommentText"/>
    <w:uiPriority w:val="99"/>
    <w:rsid w:val="00E61DBC"/>
    <w:rPr>
      <w:sz w:val="20"/>
      <w:szCs w:val="20"/>
    </w:rPr>
  </w:style>
  <w:style w:type="paragraph" w:styleId="CommentSubject">
    <w:name w:val="annotation subject"/>
    <w:basedOn w:val="CommentText"/>
    <w:next w:val="CommentText"/>
    <w:link w:val="CommentSubjectChar"/>
    <w:uiPriority w:val="99"/>
    <w:semiHidden/>
    <w:unhideWhenUsed/>
    <w:rsid w:val="00E61DBC"/>
    <w:rPr>
      <w:b/>
      <w:bCs/>
    </w:rPr>
  </w:style>
  <w:style w:type="character" w:customStyle="1" w:styleId="CommentSubjectChar">
    <w:name w:val="Comment Subject Char"/>
    <w:basedOn w:val="CommentTextChar"/>
    <w:link w:val="CommentSubject"/>
    <w:uiPriority w:val="99"/>
    <w:semiHidden/>
    <w:rsid w:val="00E61DBC"/>
    <w:rPr>
      <w:b/>
      <w:bCs/>
      <w:sz w:val="20"/>
      <w:szCs w:val="20"/>
    </w:rPr>
  </w:style>
  <w:style w:type="paragraph" w:styleId="EndnoteText">
    <w:name w:val="endnote text"/>
    <w:basedOn w:val="Normal"/>
    <w:link w:val="EndnoteTextChar"/>
    <w:uiPriority w:val="99"/>
    <w:semiHidden/>
    <w:unhideWhenUsed/>
    <w:rsid w:val="00397B2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97B22"/>
    <w:rPr>
      <w:sz w:val="20"/>
      <w:szCs w:val="20"/>
    </w:rPr>
  </w:style>
  <w:style w:type="character" w:styleId="EndnoteReference">
    <w:name w:val="endnote reference"/>
    <w:basedOn w:val="DefaultParagraphFont"/>
    <w:uiPriority w:val="99"/>
    <w:semiHidden/>
    <w:unhideWhenUsed/>
    <w:rsid w:val="00397B22"/>
    <w:rPr>
      <w:vertAlign w:val="superscript"/>
    </w:rPr>
  </w:style>
  <w:style w:type="paragraph" w:styleId="Revision">
    <w:name w:val="Revision"/>
    <w:hidden/>
    <w:uiPriority w:val="99"/>
    <w:semiHidden/>
    <w:rsid w:val="00F677B7"/>
    <w:pPr>
      <w:spacing w:after="0" w:line="240" w:lineRule="auto"/>
    </w:pPr>
  </w:style>
  <w:style w:type="character" w:customStyle="1" w:styleId="ListParagraphChar">
    <w:name w:val="List Paragraph Char"/>
    <w:aliases w:val="0Bullet Char,Bullet point Char,Indented bullet Char,L Char,List Paragraph1 Char,List Paragraph11 Char,List Paragraph2 Char,Recommendation Char,bullet point list Char"/>
    <w:basedOn w:val="DefaultParagraphFont"/>
    <w:link w:val="ListParagraph"/>
    <w:uiPriority w:val="34"/>
    <w:rsid w:val="00C57B79"/>
  </w:style>
  <w:style w:type="paragraph" w:styleId="NormalWeb">
    <w:name w:val="Normal (Web)"/>
    <w:basedOn w:val="Normal"/>
    <w:uiPriority w:val="99"/>
    <w:semiHidden/>
    <w:unhideWhenUsed/>
    <w:rsid w:val="001C02C9"/>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10170">
      <w:bodyDiv w:val="1"/>
      <w:marLeft w:val="0"/>
      <w:marRight w:val="0"/>
      <w:marTop w:val="0"/>
      <w:marBottom w:val="0"/>
      <w:divBdr>
        <w:top w:val="none" w:sz="0" w:space="0" w:color="auto"/>
        <w:left w:val="none" w:sz="0" w:space="0" w:color="auto"/>
        <w:bottom w:val="none" w:sz="0" w:space="0" w:color="auto"/>
        <w:right w:val="none" w:sz="0" w:space="0" w:color="auto"/>
      </w:divBdr>
    </w:div>
    <w:div w:id="223637264">
      <w:bodyDiv w:val="1"/>
      <w:marLeft w:val="0"/>
      <w:marRight w:val="0"/>
      <w:marTop w:val="0"/>
      <w:marBottom w:val="0"/>
      <w:divBdr>
        <w:top w:val="none" w:sz="0" w:space="0" w:color="auto"/>
        <w:left w:val="none" w:sz="0" w:space="0" w:color="auto"/>
        <w:bottom w:val="none" w:sz="0" w:space="0" w:color="auto"/>
        <w:right w:val="none" w:sz="0" w:space="0" w:color="auto"/>
      </w:divBdr>
    </w:div>
    <w:div w:id="589854942">
      <w:bodyDiv w:val="1"/>
      <w:marLeft w:val="0"/>
      <w:marRight w:val="0"/>
      <w:marTop w:val="0"/>
      <w:marBottom w:val="0"/>
      <w:divBdr>
        <w:top w:val="none" w:sz="0" w:space="0" w:color="auto"/>
        <w:left w:val="none" w:sz="0" w:space="0" w:color="auto"/>
        <w:bottom w:val="none" w:sz="0" w:space="0" w:color="auto"/>
        <w:right w:val="none" w:sz="0" w:space="0" w:color="auto"/>
      </w:divBdr>
    </w:div>
    <w:div w:id="592009832">
      <w:bodyDiv w:val="1"/>
      <w:marLeft w:val="0"/>
      <w:marRight w:val="0"/>
      <w:marTop w:val="0"/>
      <w:marBottom w:val="0"/>
      <w:divBdr>
        <w:top w:val="none" w:sz="0" w:space="0" w:color="auto"/>
        <w:left w:val="none" w:sz="0" w:space="0" w:color="auto"/>
        <w:bottom w:val="none" w:sz="0" w:space="0" w:color="auto"/>
        <w:right w:val="none" w:sz="0" w:space="0" w:color="auto"/>
      </w:divBdr>
    </w:div>
    <w:div w:id="635916360">
      <w:bodyDiv w:val="1"/>
      <w:marLeft w:val="0"/>
      <w:marRight w:val="0"/>
      <w:marTop w:val="0"/>
      <w:marBottom w:val="0"/>
      <w:divBdr>
        <w:top w:val="none" w:sz="0" w:space="0" w:color="auto"/>
        <w:left w:val="none" w:sz="0" w:space="0" w:color="auto"/>
        <w:bottom w:val="none" w:sz="0" w:space="0" w:color="auto"/>
        <w:right w:val="none" w:sz="0" w:space="0" w:color="auto"/>
      </w:divBdr>
    </w:div>
    <w:div w:id="656810213">
      <w:bodyDiv w:val="1"/>
      <w:marLeft w:val="0"/>
      <w:marRight w:val="0"/>
      <w:marTop w:val="0"/>
      <w:marBottom w:val="0"/>
      <w:divBdr>
        <w:top w:val="none" w:sz="0" w:space="0" w:color="auto"/>
        <w:left w:val="none" w:sz="0" w:space="0" w:color="auto"/>
        <w:bottom w:val="none" w:sz="0" w:space="0" w:color="auto"/>
        <w:right w:val="none" w:sz="0" w:space="0" w:color="auto"/>
      </w:divBdr>
    </w:div>
    <w:div w:id="809398754">
      <w:bodyDiv w:val="1"/>
      <w:marLeft w:val="0"/>
      <w:marRight w:val="0"/>
      <w:marTop w:val="0"/>
      <w:marBottom w:val="0"/>
      <w:divBdr>
        <w:top w:val="none" w:sz="0" w:space="0" w:color="auto"/>
        <w:left w:val="none" w:sz="0" w:space="0" w:color="auto"/>
        <w:bottom w:val="none" w:sz="0" w:space="0" w:color="auto"/>
        <w:right w:val="none" w:sz="0" w:space="0" w:color="auto"/>
      </w:divBdr>
    </w:div>
    <w:div w:id="842086416">
      <w:bodyDiv w:val="1"/>
      <w:marLeft w:val="0"/>
      <w:marRight w:val="0"/>
      <w:marTop w:val="0"/>
      <w:marBottom w:val="0"/>
      <w:divBdr>
        <w:top w:val="none" w:sz="0" w:space="0" w:color="auto"/>
        <w:left w:val="none" w:sz="0" w:space="0" w:color="auto"/>
        <w:bottom w:val="none" w:sz="0" w:space="0" w:color="auto"/>
        <w:right w:val="none" w:sz="0" w:space="0" w:color="auto"/>
      </w:divBdr>
    </w:div>
    <w:div w:id="1069038537">
      <w:bodyDiv w:val="1"/>
      <w:marLeft w:val="0"/>
      <w:marRight w:val="0"/>
      <w:marTop w:val="0"/>
      <w:marBottom w:val="0"/>
      <w:divBdr>
        <w:top w:val="none" w:sz="0" w:space="0" w:color="auto"/>
        <w:left w:val="none" w:sz="0" w:space="0" w:color="auto"/>
        <w:bottom w:val="none" w:sz="0" w:space="0" w:color="auto"/>
        <w:right w:val="none" w:sz="0" w:space="0" w:color="auto"/>
      </w:divBdr>
    </w:div>
    <w:div w:id="1107118839">
      <w:bodyDiv w:val="1"/>
      <w:marLeft w:val="0"/>
      <w:marRight w:val="0"/>
      <w:marTop w:val="0"/>
      <w:marBottom w:val="0"/>
      <w:divBdr>
        <w:top w:val="none" w:sz="0" w:space="0" w:color="auto"/>
        <w:left w:val="none" w:sz="0" w:space="0" w:color="auto"/>
        <w:bottom w:val="none" w:sz="0" w:space="0" w:color="auto"/>
        <w:right w:val="none" w:sz="0" w:space="0" w:color="auto"/>
      </w:divBdr>
    </w:div>
    <w:div w:id="1125343116">
      <w:bodyDiv w:val="1"/>
      <w:marLeft w:val="0"/>
      <w:marRight w:val="0"/>
      <w:marTop w:val="0"/>
      <w:marBottom w:val="0"/>
      <w:divBdr>
        <w:top w:val="none" w:sz="0" w:space="0" w:color="auto"/>
        <w:left w:val="none" w:sz="0" w:space="0" w:color="auto"/>
        <w:bottom w:val="none" w:sz="0" w:space="0" w:color="auto"/>
        <w:right w:val="none" w:sz="0" w:space="0" w:color="auto"/>
      </w:divBdr>
    </w:div>
    <w:div w:id="1179806141">
      <w:bodyDiv w:val="1"/>
      <w:marLeft w:val="0"/>
      <w:marRight w:val="0"/>
      <w:marTop w:val="0"/>
      <w:marBottom w:val="0"/>
      <w:divBdr>
        <w:top w:val="none" w:sz="0" w:space="0" w:color="auto"/>
        <w:left w:val="none" w:sz="0" w:space="0" w:color="auto"/>
        <w:bottom w:val="none" w:sz="0" w:space="0" w:color="auto"/>
        <w:right w:val="none" w:sz="0" w:space="0" w:color="auto"/>
      </w:divBdr>
    </w:div>
    <w:div w:id="1293903478">
      <w:bodyDiv w:val="1"/>
      <w:marLeft w:val="0"/>
      <w:marRight w:val="0"/>
      <w:marTop w:val="0"/>
      <w:marBottom w:val="0"/>
      <w:divBdr>
        <w:top w:val="none" w:sz="0" w:space="0" w:color="auto"/>
        <w:left w:val="none" w:sz="0" w:space="0" w:color="auto"/>
        <w:bottom w:val="none" w:sz="0" w:space="0" w:color="auto"/>
        <w:right w:val="none" w:sz="0" w:space="0" w:color="auto"/>
      </w:divBdr>
    </w:div>
    <w:div w:id="1446970868">
      <w:bodyDiv w:val="1"/>
      <w:marLeft w:val="0"/>
      <w:marRight w:val="0"/>
      <w:marTop w:val="0"/>
      <w:marBottom w:val="0"/>
      <w:divBdr>
        <w:top w:val="none" w:sz="0" w:space="0" w:color="auto"/>
        <w:left w:val="none" w:sz="0" w:space="0" w:color="auto"/>
        <w:bottom w:val="none" w:sz="0" w:space="0" w:color="auto"/>
        <w:right w:val="none" w:sz="0" w:space="0" w:color="auto"/>
      </w:divBdr>
    </w:div>
    <w:div w:id="1570995632">
      <w:bodyDiv w:val="1"/>
      <w:marLeft w:val="0"/>
      <w:marRight w:val="0"/>
      <w:marTop w:val="0"/>
      <w:marBottom w:val="0"/>
      <w:divBdr>
        <w:top w:val="none" w:sz="0" w:space="0" w:color="auto"/>
        <w:left w:val="none" w:sz="0" w:space="0" w:color="auto"/>
        <w:bottom w:val="none" w:sz="0" w:space="0" w:color="auto"/>
        <w:right w:val="none" w:sz="0" w:space="0" w:color="auto"/>
      </w:divBdr>
    </w:div>
    <w:div w:id="1573613808">
      <w:bodyDiv w:val="1"/>
      <w:marLeft w:val="0"/>
      <w:marRight w:val="0"/>
      <w:marTop w:val="0"/>
      <w:marBottom w:val="0"/>
      <w:divBdr>
        <w:top w:val="none" w:sz="0" w:space="0" w:color="auto"/>
        <w:left w:val="none" w:sz="0" w:space="0" w:color="auto"/>
        <w:bottom w:val="none" w:sz="0" w:space="0" w:color="auto"/>
        <w:right w:val="none" w:sz="0" w:space="0" w:color="auto"/>
      </w:divBdr>
    </w:div>
    <w:div w:id="1845896748">
      <w:bodyDiv w:val="1"/>
      <w:marLeft w:val="0"/>
      <w:marRight w:val="0"/>
      <w:marTop w:val="0"/>
      <w:marBottom w:val="0"/>
      <w:divBdr>
        <w:top w:val="none" w:sz="0" w:space="0" w:color="auto"/>
        <w:left w:val="none" w:sz="0" w:space="0" w:color="auto"/>
        <w:bottom w:val="none" w:sz="0" w:space="0" w:color="auto"/>
        <w:right w:val="none" w:sz="0" w:space="0" w:color="auto"/>
      </w:divBdr>
    </w:div>
    <w:div w:id="1941329572">
      <w:bodyDiv w:val="1"/>
      <w:marLeft w:val="0"/>
      <w:marRight w:val="0"/>
      <w:marTop w:val="0"/>
      <w:marBottom w:val="0"/>
      <w:divBdr>
        <w:top w:val="none" w:sz="0" w:space="0" w:color="auto"/>
        <w:left w:val="none" w:sz="0" w:space="0" w:color="auto"/>
        <w:bottom w:val="none" w:sz="0" w:space="0" w:color="auto"/>
        <w:right w:val="none" w:sz="0" w:space="0" w:color="auto"/>
      </w:divBdr>
      <w:divsChild>
        <w:div w:id="520440529">
          <w:marLeft w:val="0"/>
          <w:marRight w:val="0"/>
          <w:marTop w:val="0"/>
          <w:marBottom w:val="0"/>
          <w:divBdr>
            <w:top w:val="none" w:sz="0" w:space="0" w:color="auto"/>
            <w:left w:val="none" w:sz="0" w:space="0" w:color="auto"/>
            <w:bottom w:val="none" w:sz="0" w:space="0" w:color="auto"/>
            <w:right w:val="none" w:sz="0" w:space="0" w:color="auto"/>
          </w:divBdr>
          <w:divsChild>
            <w:div w:id="147849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666801">
      <w:bodyDiv w:val="1"/>
      <w:marLeft w:val="0"/>
      <w:marRight w:val="0"/>
      <w:marTop w:val="0"/>
      <w:marBottom w:val="0"/>
      <w:divBdr>
        <w:top w:val="none" w:sz="0" w:space="0" w:color="auto"/>
        <w:left w:val="none" w:sz="0" w:space="0" w:color="auto"/>
        <w:bottom w:val="none" w:sz="0" w:space="0" w:color="auto"/>
        <w:right w:val="none" w:sz="0" w:space="0" w:color="auto"/>
      </w:divBdr>
    </w:div>
    <w:div w:id="2097895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chart" Target="charts/chart1.xml"/><Relationship Id="rId26" Type="http://schemas.openxmlformats.org/officeDocument/2006/relationships/image" Target="media/image4.emf"/><Relationship Id="rId39" Type="http://schemas.openxmlformats.org/officeDocument/2006/relationships/footer" Target="footer2.xml"/><Relationship Id="rId21" Type="http://schemas.openxmlformats.org/officeDocument/2006/relationships/chart" Target="charts/chart4.xml"/><Relationship Id="rId34" Type="http://schemas.openxmlformats.org/officeDocument/2006/relationships/image" Target="media/image9.emf"/><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dnet.hosts.network/education/Resources/Documents/CC%20BY%204.0%20International" TargetMode="External"/><Relationship Id="rId20" Type="http://schemas.openxmlformats.org/officeDocument/2006/relationships/chart" Target="charts/chart3.xml"/><Relationship Id="rId29" Type="http://schemas.openxmlformats.org/officeDocument/2006/relationships/chart" Target="charts/chart1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7.xml"/><Relationship Id="rId32" Type="http://schemas.openxmlformats.org/officeDocument/2006/relationships/image" Target="media/image7.emf"/><Relationship Id="rId37" Type="http://schemas.openxmlformats.org/officeDocument/2006/relationships/image" Target="media/image12.emf"/><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dnet.hosts.network/education/Resources/Documents/Creative%20Commons%20Attribution%204.0%20International" TargetMode="External"/><Relationship Id="rId23" Type="http://schemas.openxmlformats.org/officeDocument/2006/relationships/chart" Target="charts/chart6.xml"/><Relationship Id="rId28" Type="http://schemas.openxmlformats.org/officeDocument/2006/relationships/chart" Target="charts/chart10.xml"/><Relationship Id="rId36" Type="http://schemas.openxmlformats.org/officeDocument/2006/relationships/image" Target="media/image11.emf"/><Relationship Id="rId10" Type="http://schemas.openxmlformats.org/officeDocument/2006/relationships/endnotes" Target="endnotes.xml"/><Relationship Id="rId19" Type="http://schemas.openxmlformats.org/officeDocument/2006/relationships/chart" Target="charts/chart2.xml"/><Relationship Id="rId31"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hart" Target="charts/chart5.xml"/><Relationship Id="rId27" Type="http://schemas.openxmlformats.org/officeDocument/2006/relationships/chart" Target="charts/chart9.xml"/><Relationship Id="rId30" Type="http://schemas.openxmlformats.org/officeDocument/2006/relationships/image" Target="media/image5.emf"/><Relationship Id="rId35" Type="http://schemas.openxmlformats.org/officeDocument/2006/relationships/image" Target="media/image10.emf"/><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hyperlink" Target="https://www.education.gov.au/undergraduate-applications-offers-and-acceptances-publications" TargetMode="External"/><Relationship Id="rId25" Type="http://schemas.openxmlformats.org/officeDocument/2006/relationships/chart" Target="charts/chart8.xml"/><Relationship Id="rId33" Type="http://schemas.openxmlformats.org/officeDocument/2006/relationships/image" Target="media/image8.emf"/><Relationship Id="rId38"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griddata\DET\Restricted\analysis\appsandoffers\2025\additional%20analysis\additional%20appendix%20graphs%20&amp;%20tables.xlsx" TargetMode="Externa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Book3"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griddata\DET\Restricted\analysis\appsandoffers\2025\additional%20analysis\additional%20appendix%20graphs%20&amp;%20tables.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griddata\DET\Restricted\analysis\appsandoffers\2025\additional%20analysis\additional%20appendix%20graphs%20&amp;%20tables.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griddata\DET\Restricted\analysis\appsandoffers\2025\additional%20analysis\additional%20appendix%20graphs%20&amp;%20tables.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griddata\DET\Restricted\analysis\appsandoffers\2025\additional%20analysis\additional%20appendix%20graphs%20&amp;%20tables.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embeddings/oleObject1.bin"/></Relationships>
</file>

<file path=word/charts/_rels/chart8.xml.rels><?xml version="1.0" encoding="UTF-8" standalone="yes"?>
<Relationships xmlns="http://schemas.openxmlformats.org/package/2006/relationships"><Relationship Id="rId3" Type="http://schemas.openxmlformats.org/officeDocument/2006/relationships/oleObject" Target="file:///\\griddata\DET\Restricted\analysis\appsandoffers\2025\additional%20analysis\additional%20appendix%20graphs%20&amp;%20table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Non</a:t>
            </a:r>
            <a:r>
              <a:rPr lang="en-US" sz="1200" baseline="0"/>
              <a:t>-</a:t>
            </a:r>
            <a:r>
              <a:rPr lang="en-US" sz="1200"/>
              <a:t>Year 12</a:t>
            </a:r>
            <a:r>
              <a:rPr lang="en-US" sz="1200" baseline="0"/>
              <a:t> by Gender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v>Gender</c:v>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577-4F33-97BE-CAAD6580315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577-4F33-97BE-CAAD6580315D}"/>
              </c:ext>
            </c:extLst>
          </c:dPt>
          <c:dLbls>
            <c:dLbl>
              <c:idx val="0"/>
              <c:layout>
                <c:manualLayout>
                  <c:x val="0.12549427880866085"/>
                  <c:y val="0.11143169639448225"/>
                </c:manualLayout>
              </c:layout>
              <c:tx>
                <c:rich>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fld id="{94FF535D-FD3D-402F-B7D3-6FE3D4D4107C}" type="CATEGORYNAME">
                      <a:rPr lang="en-US" sz="900"/>
                      <a:pPr>
                        <a:defRPr sz="1200"/>
                      </a:pPr>
                      <a:t>[CATEGORY NAME]</a:t>
                    </a:fld>
                    <a:r>
                      <a:rPr lang="en-US" sz="900" baseline="0"/>
                      <a:t>
</a:t>
                    </a:r>
                    <a:fld id="{A84E85A4-7BE6-4D50-ADB4-51B31D181580}" type="PERCENTAGE">
                      <a:rPr lang="en-US" sz="900" baseline="0"/>
                      <a:pPr>
                        <a:defRPr sz="1200"/>
                      </a:pPr>
                      <a:t>[PERCENTAGE]</a:t>
                    </a:fld>
                    <a:endParaRPr lang="en-US" sz="900" baseline="0"/>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layout>
                    <c:manualLayout>
                      <c:w val="0.25802389102935003"/>
                      <c:h val="0.26782658300057038"/>
                    </c:manualLayout>
                  </c15:layout>
                  <c15:dlblFieldTable/>
                  <c15:showDataLabelsRange val="0"/>
                </c:ext>
                <c:ext xmlns:c16="http://schemas.microsoft.com/office/drawing/2014/chart" uri="{C3380CC4-5D6E-409C-BE32-E72D297353CC}">
                  <c16:uniqueId val="{00000001-3577-4F33-97BE-CAAD6580315D}"/>
                </c:ext>
              </c:extLst>
            </c:dLbl>
            <c:dLbl>
              <c:idx val="1"/>
              <c:layout>
                <c:manualLayout>
                  <c:x val="-0.10934953617245086"/>
                  <c:y val="-0.11758311824998584"/>
                </c:manualLayout>
              </c:layout>
              <c:tx>
                <c:rich>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fld id="{D20284F5-1937-4932-8F56-E1E1D9717715}" type="CATEGORYNAME">
                      <a:rPr lang="en-US" sz="900"/>
                      <a:pPr>
                        <a:defRPr sz="1200"/>
                      </a:pPr>
                      <a:t>[CATEGORY NAME]</a:t>
                    </a:fld>
                    <a:r>
                      <a:rPr lang="en-US" sz="900" baseline="0"/>
                      <a:t>
</a:t>
                    </a:r>
                    <a:fld id="{4088090D-9ECC-4755-9FBA-59DF546AC951}" type="PERCENTAGE">
                      <a:rPr lang="en-US" sz="900" baseline="0"/>
                      <a:pPr>
                        <a:defRPr sz="1200"/>
                      </a:pPr>
                      <a:t>[PERCENTAGE]</a:t>
                    </a:fld>
                    <a:endParaRPr lang="en-US" sz="900" baseline="0"/>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layout>
                    <c:manualLayout>
                      <c:w val="0.25526360627241068"/>
                      <c:h val="0.24212893553223386"/>
                    </c:manualLayout>
                  </c15:layout>
                  <c15:dlblFieldTable/>
                  <c15:showDataLabelsRange val="0"/>
                </c:ext>
                <c:ext xmlns:c16="http://schemas.microsoft.com/office/drawing/2014/chart" uri="{C3380CC4-5D6E-409C-BE32-E72D297353CC}">
                  <c16:uniqueId val="{00000003-3577-4F33-97BE-CAAD6580315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'Non-Y12 graphs'!$A$8:$A$9</c:f>
              <c:strCache>
                <c:ptCount val="2"/>
                <c:pt idx="0">
                  <c:v>Female</c:v>
                </c:pt>
                <c:pt idx="1">
                  <c:v>Male</c:v>
                </c:pt>
              </c:strCache>
            </c:strRef>
          </c:cat>
          <c:val>
            <c:numRef>
              <c:f>'Non-Y12 graphs'!$B$8:$B$9</c:f>
              <c:numCache>
                <c:formatCode>General</c:formatCode>
                <c:ptCount val="2"/>
                <c:pt idx="0">
                  <c:v>117478</c:v>
                </c:pt>
                <c:pt idx="1">
                  <c:v>66631</c:v>
                </c:pt>
              </c:numCache>
            </c:numRef>
          </c:val>
          <c:extLst>
            <c:ext xmlns:c16="http://schemas.microsoft.com/office/drawing/2014/chart" uri="{C3380CC4-5D6E-409C-BE32-E72D297353CC}">
              <c16:uniqueId val="{00000004-3577-4F33-97BE-CAAD6580315D}"/>
            </c:ext>
          </c:extLst>
        </c:ser>
        <c:dLbls>
          <c:showLegendKey val="0"/>
          <c:showVal val="0"/>
          <c:showCatName val="1"/>
          <c:showSerName val="0"/>
          <c:showPercent val="1"/>
          <c:showBubbleSize val="0"/>
          <c:showLeaderLines val="1"/>
        </c:dLbls>
        <c:firstSliceAng val="0"/>
        <c:holeSize val="50"/>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Unemployment and Applications</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9575293966247384E-2"/>
          <c:y val="3.450974169790489E-2"/>
          <c:w val="0.88532054721453846"/>
          <c:h val="0.69476912338866248"/>
        </c:manualLayout>
      </c:layout>
      <c:lineChart>
        <c:grouping val="stacked"/>
        <c:varyColors val="0"/>
        <c:ser>
          <c:idx val="1"/>
          <c:order val="1"/>
          <c:tx>
            <c:strRef>
              <c:f>'11. Unemp rate &amp; Apps growth'!$L$8</c:f>
              <c:strCache>
                <c:ptCount val="1"/>
                <c:pt idx="0">
                  <c:v>One year lagged percentage point change in unemployment rate (rhs)</c:v>
                </c:pt>
              </c:strCache>
            </c:strRef>
          </c:tx>
          <c:spPr>
            <a:ln w="28575" cap="rnd">
              <a:solidFill>
                <a:schemeClr val="accent2"/>
              </a:solidFill>
              <a:round/>
            </a:ln>
            <a:effectLst/>
          </c:spPr>
          <c:marker>
            <c:symbol val="none"/>
          </c:marker>
          <c:cat>
            <c:numRef>
              <c:f>'11. Unemp rate &amp; Apps growth'!$J$11:$J$47</c:f>
              <c:numCache>
                <c:formatCode>General</c:formatCode>
                <c:ptCount val="37"/>
                <c:pt idx="0">
                  <c:v>1989</c:v>
                </c:pt>
                <c:pt idx="1">
                  <c:v>1990</c:v>
                </c:pt>
                <c:pt idx="2">
                  <c:v>1991</c:v>
                </c:pt>
                <c:pt idx="3">
                  <c:v>1992</c:v>
                </c:pt>
                <c:pt idx="4">
                  <c:v>1993</c:v>
                </c:pt>
                <c:pt idx="5">
                  <c:v>1994</c:v>
                </c:pt>
                <c:pt idx="6">
                  <c:v>1995</c:v>
                </c:pt>
                <c:pt idx="7">
                  <c:v>1996</c:v>
                </c:pt>
                <c:pt idx="8">
                  <c:v>1997</c:v>
                </c:pt>
                <c:pt idx="9">
                  <c:v>1998</c:v>
                </c:pt>
                <c:pt idx="10">
                  <c:v>1999</c:v>
                </c:pt>
                <c:pt idx="11">
                  <c:v>2000</c:v>
                </c:pt>
                <c:pt idx="12">
                  <c:v>2001</c:v>
                </c:pt>
                <c:pt idx="13">
                  <c:v>2002</c:v>
                </c:pt>
                <c:pt idx="14">
                  <c:v>2003</c:v>
                </c:pt>
                <c:pt idx="15">
                  <c:v>2004</c:v>
                </c:pt>
                <c:pt idx="16">
                  <c:v>2005</c:v>
                </c:pt>
                <c:pt idx="17">
                  <c:v>2006</c:v>
                </c:pt>
                <c:pt idx="18">
                  <c:v>2007</c:v>
                </c:pt>
                <c:pt idx="19">
                  <c:v>2008</c:v>
                </c:pt>
                <c:pt idx="20">
                  <c:v>2009</c:v>
                </c:pt>
                <c:pt idx="21">
                  <c:v>2010</c:v>
                </c:pt>
                <c:pt idx="22">
                  <c:v>2011</c:v>
                </c:pt>
                <c:pt idx="23">
                  <c:v>2012</c:v>
                </c:pt>
                <c:pt idx="24">
                  <c:v>2013</c:v>
                </c:pt>
                <c:pt idx="25">
                  <c:v>2014</c:v>
                </c:pt>
                <c:pt idx="26">
                  <c:v>2015</c:v>
                </c:pt>
                <c:pt idx="27">
                  <c:v>2016</c:v>
                </c:pt>
                <c:pt idx="28">
                  <c:v>2017</c:v>
                </c:pt>
                <c:pt idx="29">
                  <c:v>2018</c:v>
                </c:pt>
                <c:pt idx="30">
                  <c:v>2019</c:v>
                </c:pt>
                <c:pt idx="31">
                  <c:v>2020</c:v>
                </c:pt>
                <c:pt idx="32">
                  <c:v>2021</c:v>
                </c:pt>
                <c:pt idx="33">
                  <c:v>2022</c:v>
                </c:pt>
                <c:pt idx="34">
                  <c:v>2023</c:v>
                </c:pt>
                <c:pt idx="35">
                  <c:v>2024</c:v>
                </c:pt>
                <c:pt idx="36">
                  <c:v>2025</c:v>
                </c:pt>
              </c:numCache>
            </c:numRef>
          </c:cat>
          <c:val>
            <c:numRef>
              <c:f>'11. Unemp rate &amp; Apps growth'!$L$11:$L$47</c:f>
              <c:numCache>
                <c:formatCode>0.0_ ;\-0.0\ </c:formatCode>
                <c:ptCount val="37"/>
                <c:pt idx="0">
                  <c:v>-1.0346789999999997</c:v>
                </c:pt>
                <c:pt idx="1">
                  <c:v>-1.1205802</c:v>
                </c:pt>
                <c:pt idx="2">
                  <c:v>1.2673708000000001</c:v>
                </c:pt>
                <c:pt idx="3">
                  <c:v>2.5813041000000005</c:v>
                </c:pt>
                <c:pt idx="4">
                  <c:v>0.93178729999999987</c:v>
                </c:pt>
                <c:pt idx="5">
                  <c:v>0.26193849999999941</c:v>
                </c:pt>
                <c:pt idx="6">
                  <c:v>-1.5383323000000004</c:v>
                </c:pt>
                <c:pt idx="7">
                  <c:v>-1.1233554999999988</c:v>
                </c:pt>
                <c:pt idx="8">
                  <c:v>0.4056886999999989</c:v>
                </c:pt>
                <c:pt idx="9">
                  <c:v>-0.25989639999999881</c:v>
                </c:pt>
                <c:pt idx="10">
                  <c:v>-0.70997490000000063</c:v>
                </c:pt>
                <c:pt idx="11">
                  <c:v>-0.84586750000000066</c:v>
                </c:pt>
                <c:pt idx="12">
                  <c:v>-0.85469159999999977</c:v>
                </c:pt>
                <c:pt idx="13">
                  <c:v>0.83087050000000051</c:v>
                </c:pt>
                <c:pt idx="14">
                  <c:v>-0.52462470000000039</c:v>
                </c:pt>
                <c:pt idx="15">
                  <c:v>-0.53575899999999965</c:v>
                </c:pt>
                <c:pt idx="16">
                  <c:v>-0.29496520000000004</c:v>
                </c:pt>
                <c:pt idx="17">
                  <c:v>-0.6199268</c:v>
                </c:pt>
                <c:pt idx="18">
                  <c:v>-0.19117690000000032</c:v>
                </c:pt>
                <c:pt idx="19">
                  <c:v>-0.41468129999999981</c:v>
                </c:pt>
                <c:pt idx="20">
                  <c:v>-0.28935010000000005</c:v>
                </c:pt>
                <c:pt idx="21">
                  <c:v>1.6944460000000001</c:v>
                </c:pt>
                <c:pt idx="22">
                  <c:v>-0.68783750000000055</c:v>
                </c:pt>
                <c:pt idx="23">
                  <c:v>0.23428249999999995</c:v>
                </c:pt>
                <c:pt idx="24">
                  <c:v>-0.11684949999999983</c:v>
                </c:pt>
                <c:pt idx="25">
                  <c:v>0.67794820000000033</c:v>
                </c:pt>
                <c:pt idx="26">
                  <c:v>0.31106600000000029</c:v>
                </c:pt>
                <c:pt idx="27">
                  <c:v>-1.0175999999999519E-3</c:v>
                </c:pt>
                <c:pt idx="28">
                  <c:v>-0.47911570000000037</c:v>
                </c:pt>
                <c:pt idx="29">
                  <c:v>-9.8206900000000097E-2</c:v>
                </c:pt>
                <c:pt idx="30">
                  <c:v>-0.24812950000000011</c:v>
                </c:pt>
                <c:pt idx="31">
                  <c:v>-9.9999999999999645E-2</c:v>
                </c:pt>
                <c:pt idx="32">
                  <c:v>1.5999999999999996</c:v>
                </c:pt>
                <c:pt idx="33">
                  <c:v>-2.2999999999999998</c:v>
                </c:pt>
                <c:pt idx="34">
                  <c:v>-1</c:v>
                </c:pt>
                <c:pt idx="35">
                  <c:v>0.20000000000000018</c:v>
                </c:pt>
                <c:pt idx="36">
                  <c:v>0.39999999999999947</c:v>
                </c:pt>
              </c:numCache>
            </c:numRef>
          </c:val>
          <c:smooth val="0"/>
          <c:extLst>
            <c:ext xmlns:c16="http://schemas.microsoft.com/office/drawing/2014/chart" uri="{C3380CC4-5D6E-409C-BE32-E72D297353CC}">
              <c16:uniqueId val="{00000000-40AD-48FA-A7F2-E15E0D23AEA1}"/>
            </c:ext>
          </c:extLst>
        </c:ser>
        <c:dLbls>
          <c:showLegendKey val="0"/>
          <c:showVal val="0"/>
          <c:showCatName val="0"/>
          <c:showSerName val="0"/>
          <c:showPercent val="0"/>
          <c:showBubbleSize val="0"/>
        </c:dLbls>
        <c:marker val="1"/>
        <c:smooth val="0"/>
        <c:axId val="876743232"/>
        <c:axId val="876740280"/>
      </c:lineChart>
      <c:lineChart>
        <c:grouping val="stacked"/>
        <c:varyColors val="0"/>
        <c:ser>
          <c:idx val="0"/>
          <c:order val="0"/>
          <c:tx>
            <c:strRef>
              <c:f>'11. Unemp rate &amp; Apps growth'!$K$8</c:f>
              <c:strCache>
                <c:ptCount val="1"/>
                <c:pt idx="0">
                  <c:v>Percentage change in applications (lhs)</c:v>
                </c:pt>
              </c:strCache>
            </c:strRef>
          </c:tx>
          <c:spPr>
            <a:ln w="28575" cap="rnd">
              <a:solidFill>
                <a:schemeClr val="accent1"/>
              </a:solidFill>
              <a:round/>
            </a:ln>
            <a:effectLst/>
          </c:spPr>
          <c:marker>
            <c:symbol val="none"/>
          </c:marker>
          <c:cat>
            <c:numRef>
              <c:f>'11. Unemp rate &amp; Apps growth'!$J$11:$J$47</c:f>
              <c:numCache>
                <c:formatCode>General</c:formatCode>
                <c:ptCount val="37"/>
                <c:pt idx="0">
                  <c:v>1989</c:v>
                </c:pt>
                <c:pt idx="1">
                  <c:v>1990</c:v>
                </c:pt>
                <c:pt idx="2">
                  <c:v>1991</c:v>
                </c:pt>
                <c:pt idx="3">
                  <c:v>1992</c:v>
                </c:pt>
                <c:pt idx="4">
                  <c:v>1993</c:v>
                </c:pt>
                <c:pt idx="5">
                  <c:v>1994</c:v>
                </c:pt>
                <c:pt idx="6">
                  <c:v>1995</c:v>
                </c:pt>
                <c:pt idx="7">
                  <c:v>1996</c:v>
                </c:pt>
                <c:pt idx="8">
                  <c:v>1997</c:v>
                </c:pt>
                <c:pt idx="9">
                  <c:v>1998</c:v>
                </c:pt>
                <c:pt idx="10">
                  <c:v>1999</c:v>
                </c:pt>
                <c:pt idx="11">
                  <c:v>2000</c:v>
                </c:pt>
                <c:pt idx="12">
                  <c:v>2001</c:v>
                </c:pt>
                <c:pt idx="13">
                  <c:v>2002</c:v>
                </c:pt>
                <c:pt idx="14">
                  <c:v>2003</c:v>
                </c:pt>
                <c:pt idx="15">
                  <c:v>2004</c:v>
                </c:pt>
                <c:pt idx="16">
                  <c:v>2005</c:v>
                </c:pt>
                <c:pt idx="17">
                  <c:v>2006</c:v>
                </c:pt>
                <c:pt idx="18">
                  <c:v>2007</c:v>
                </c:pt>
                <c:pt idx="19">
                  <c:v>2008</c:v>
                </c:pt>
                <c:pt idx="20">
                  <c:v>2009</c:v>
                </c:pt>
                <c:pt idx="21">
                  <c:v>2010</c:v>
                </c:pt>
                <c:pt idx="22">
                  <c:v>2011</c:v>
                </c:pt>
                <c:pt idx="23">
                  <c:v>2012</c:v>
                </c:pt>
                <c:pt idx="24">
                  <c:v>2013</c:v>
                </c:pt>
                <c:pt idx="25">
                  <c:v>2014</c:v>
                </c:pt>
                <c:pt idx="26">
                  <c:v>2015</c:v>
                </c:pt>
                <c:pt idx="27">
                  <c:v>2016</c:v>
                </c:pt>
                <c:pt idx="28">
                  <c:v>2017</c:v>
                </c:pt>
                <c:pt idx="29">
                  <c:v>2018</c:v>
                </c:pt>
                <c:pt idx="30">
                  <c:v>2019</c:v>
                </c:pt>
                <c:pt idx="31">
                  <c:v>2020</c:v>
                </c:pt>
                <c:pt idx="32">
                  <c:v>2021</c:v>
                </c:pt>
                <c:pt idx="33">
                  <c:v>2022</c:v>
                </c:pt>
                <c:pt idx="34">
                  <c:v>2023</c:v>
                </c:pt>
                <c:pt idx="35">
                  <c:v>2024</c:v>
                </c:pt>
                <c:pt idx="36">
                  <c:v>2025</c:v>
                </c:pt>
              </c:numCache>
            </c:numRef>
          </c:cat>
          <c:val>
            <c:numRef>
              <c:f>'11. Unemp rate &amp; Apps growth'!$K$11:$K$47</c:f>
              <c:numCache>
                <c:formatCode>0.00%</c:formatCode>
                <c:ptCount val="37"/>
                <c:pt idx="0">
                  <c:v>6.2E-2</c:v>
                </c:pt>
                <c:pt idx="1">
                  <c:v>5.0000000000000001E-3</c:v>
                </c:pt>
                <c:pt idx="2">
                  <c:v>7.0000000000000007E-2</c:v>
                </c:pt>
                <c:pt idx="3">
                  <c:v>9.5000000000000001E-2</c:v>
                </c:pt>
                <c:pt idx="4">
                  <c:v>7.0999999999999994E-2</c:v>
                </c:pt>
                <c:pt idx="5">
                  <c:v>-4.3999999999999997E-2</c:v>
                </c:pt>
                <c:pt idx="6">
                  <c:v>1.7000000000000001E-2</c:v>
                </c:pt>
                <c:pt idx="7">
                  <c:v>-5.8999999999999997E-2</c:v>
                </c:pt>
                <c:pt idx="8">
                  <c:v>-4.4999999999999998E-2</c:v>
                </c:pt>
                <c:pt idx="9">
                  <c:v>-4.7E-2</c:v>
                </c:pt>
                <c:pt idx="10">
                  <c:v>1.2E-2</c:v>
                </c:pt>
                <c:pt idx="11">
                  <c:v>0.02</c:v>
                </c:pt>
                <c:pt idx="12">
                  <c:v>-2.1000000000000001E-2</c:v>
                </c:pt>
                <c:pt idx="13">
                  <c:v>6.2E-2</c:v>
                </c:pt>
                <c:pt idx="14">
                  <c:v>0.03</c:v>
                </c:pt>
                <c:pt idx="15">
                  <c:v>-4.0000000000000001E-3</c:v>
                </c:pt>
                <c:pt idx="16">
                  <c:v>-0.03</c:v>
                </c:pt>
                <c:pt idx="17">
                  <c:v>-1.4E-2</c:v>
                </c:pt>
                <c:pt idx="18">
                  <c:v>0</c:v>
                </c:pt>
                <c:pt idx="19">
                  <c:v>-1.0999999999999999E-2</c:v>
                </c:pt>
                <c:pt idx="20">
                  <c:v>5.1999999999999998E-2</c:v>
                </c:pt>
                <c:pt idx="21">
                  <c:v>7.0000000000000007E-2</c:v>
                </c:pt>
                <c:pt idx="22">
                  <c:v>3.3000000000000002E-2</c:v>
                </c:pt>
                <c:pt idx="23">
                  <c:v>2.4E-2</c:v>
                </c:pt>
                <c:pt idx="24">
                  <c:v>2.3E-2</c:v>
                </c:pt>
                <c:pt idx="25">
                  <c:v>2.5999999999999999E-2</c:v>
                </c:pt>
                <c:pt idx="26">
                  <c:v>3.2000000000000001E-2</c:v>
                </c:pt>
                <c:pt idx="27">
                  <c:v>1.7000000000000001E-2</c:v>
                </c:pt>
                <c:pt idx="28">
                  <c:v>1.6E-2</c:v>
                </c:pt>
                <c:pt idx="29">
                  <c:v>-2.5999999999999999E-2</c:v>
                </c:pt>
                <c:pt idx="30">
                  <c:v>-1.2999999999999999E-2</c:v>
                </c:pt>
                <c:pt idx="31">
                  <c:v>8.9999999999999993E-3</c:v>
                </c:pt>
                <c:pt idx="32">
                  <c:v>2.3E-2</c:v>
                </c:pt>
                <c:pt idx="33">
                  <c:v>-7.1999999999999995E-2</c:v>
                </c:pt>
                <c:pt idx="34">
                  <c:v>-5.4000000000000006E-2</c:v>
                </c:pt>
                <c:pt idx="35">
                  <c:v>7.0000000000000001E-3</c:v>
                </c:pt>
                <c:pt idx="36">
                  <c:v>5.4000000000000006E-2</c:v>
                </c:pt>
              </c:numCache>
            </c:numRef>
          </c:val>
          <c:smooth val="0"/>
          <c:extLst>
            <c:ext xmlns:c16="http://schemas.microsoft.com/office/drawing/2014/chart" uri="{C3380CC4-5D6E-409C-BE32-E72D297353CC}">
              <c16:uniqueId val="{00000001-40AD-48FA-A7F2-E15E0D23AEA1}"/>
            </c:ext>
          </c:extLst>
        </c:ser>
        <c:dLbls>
          <c:showLegendKey val="0"/>
          <c:showVal val="0"/>
          <c:showCatName val="0"/>
          <c:showSerName val="0"/>
          <c:showPercent val="0"/>
          <c:showBubbleSize val="0"/>
        </c:dLbls>
        <c:marker val="1"/>
        <c:smooth val="0"/>
        <c:axId val="749970776"/>
        <c:axId val="749968480"/>
      </c:lineChart>
      <c:valAx>
        <c:axId val="876740280"/>
        <c:scaling>
          <c:orientation val="minMax"/>
        </c:scaling>
        <c:delete val="0"/>
        <c:axPos val="r"/>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6743232"/>
        <c:crosses val="max"/>
        <c:crossBetween val="midCat"/>
      </c:valAx>
      <c:dateAx>
        <c:axId val="876743232"/>
        <c:scaling>
          <c:orientation val="minMax"/>
        </c:scaling>
        <c:delete val="0"/>
        <c:axPos val="b"/>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6740280"/>
        <c:crosses val="autoZero"/>
        <c:auto val="0"/>
        <c:lblOffset val="100"/>
        <c:baseTimeUnit val="days"/>
      </c:dateAx>
      <c:valAx>
        <c:axId val="749968480"/>
        <c:scaling>
          <c:orientation val="minMax"/>
          <c:max val="0.15000000000000002"/>
          <c:min val="-0.15000000000000002"/>
        </c:scaling>
        <c:delete val="0"/>
        <c:axPos val="l"/>
        <c:numFmt formatCode="0%" sourceLinked="0"/>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9970776"/>
        <c:crosses val="autoZero"/>
        <c:crossBetween val="between"/>
      </c:valAx>
      <c:catAx>
        <c:axId val="749970776"/>
        <c:scaling>
          <c:orientation val="minMax"/>
        </c:scaling>
        <c:delete val="1"/>
        <c:axPos val="b"/>
        <c:numFmt formatCode="General" sourceLinked="1"/>
        <c:majorTickMark val="out"/>
        <c:minorTickMark val="none"/>
        <c:tickLblPos val="nextTo"/>
        <c:crossAx val="749968480"/>
        <c:crossesAt val="0"/>
        <c:auto val="1"/>
        <c:lblAlgn val="ctr"/>
        <c:lblOffset val="100"/>
        <c:noMultiLvlLbl val="0"/>
      </c:catAx>
      <c:spPr>
        <a:noFill/>
        <a:ln>
          <a:noFill/>
        </a:ln>
        <a:effectLst/>
      </c:spPr>
    </c:plotArea>
    <c:legend>
      <c:legendPos val="b"/>
      <c:layout>
        <c:manualLayout>
          <c:xMode val="edge"/>
          <c:yMode val="edge"/>
          <c:x val="0"/>
          <c:y val="0.85260024577852622"/>
          <c:w val="0.96290875405280207"/>
          <c:h val="0.1473997542214737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Applications</c:v>
          </c:tx>
          <c:spPr>
            <a:solidFill>
              <a:schemeClr val="accent1"/>
            </a:solidFill>
            <a:ln>
              <a:noFill/>
            </a:ln>
            <a:effectLst/>
          </c:spPr>
          <c:invertIfNegative val="0"/>
          <c:dLbls>
            <c:dLbl>
              <c:idx val="2"/>
              <c:layout>
                <c:manualLayout>
                  <c:x val="0"/>
                  <c:y val="-1.62206001622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EFB-4233-B820-003CFD39FF00}"/>
                </c:ext>
              </c:extLst>
            </c:dLbl>
            <c:dLbl>
              <c:idx val="8"/>
              <c:layout>
                <c:manualLayout>
                  <c:x val="0"/>
                  <c:y val="-1.902496789848744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1B1-4FAD-8A60-BECFD3BB244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Sheet1!$E$2:$R$2</c:f>
              <c:numCache>
                <c:formatCode>General</c:formatCod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numCache>
            </c:numRef>
          </c:cat>
          <c:val>
            <c:numRef>
              <c:f>Sheet1!$E$6:$R$6</c:f>
              <c:numCache>
                <c:formatCode>0.0%</c:formatCode>
                <c:ptCount val="14"/>
                <c:pt idx="0">
                  <c:v>4.2592007858821779E-2</c:v>
                </c:pt>
                <c:pt idx="1">
                  <c:v>-3.8025372682303216E-3</c:v>
                </c:pt>
                <c:pt idx="2">
                  <c:v>-2.675314146736929E-2</c:v>
                </c:pt>
                <c:pt idx="3">
                  <c:v>-1.4924337081771433E-2</c:v>
                </c:pt>
                <c:pt idx="4">
                  <c:v>-4.21746177154535E-2</c:v>
                </c:pt>
                <c:pt idx="5">
                  <c:v>2.0158175464410455E-2</c:v>
                </c:pt>
                <c:pt idx="6">
                  <c:v>-8.8162117333141055E-2</c:v>
                </c:pt>
                <c:pt idx="7">
                  <c:v>-1.4275545713381854E-2</c:v>
                </c:pt>
                <c:pt idx="8">
                  <c:v>-2.3267942391783647E-3</c:v>
                </c:pt>
                <c:pt idx="9">
                  <c:v>3.9406490007640738E-3</c:v>
                </c:pt>
                <c:pt idx="10">
                  <c:v>6.6367605238915273E-2</c:v>
                </c:pt>
                <c:pt idx="11">
                  <c:v>-8.1655649038461564E-2</c:v>
                </c:pt>
                <c:pt idx="12">
                  <c:v>-4.2494887525562408E-2</c:v>
                </c:pt>
                <c:pt idx="13">
                  <c:v>0.12323266840374192</c:v>
                </c:pt>
              </c:numCache>
            </c:numRef>
          </c:val>
          <c:extLst>
            <c:ext xmlns:c16="http://schemas.microsoft.com/office/drawing/2014/chart" uri="{C3380CC4-5D6E-409C-BE32-E72D297353CC}">
              <c16:uniqueId val="{00000001-61B1-4FAD-8A60-BECFD3BB244A}"/>
            </c:ext>
          </c:extLst>
        </c:ser>
        <c:ser>
          <c:idx val="1"/>
          <c:order val="1"/>
          <c:tx>
            <c:v>Offers</c:v>
          </c:tx>
          <c:spPr>
            <a:solidFill>
              <a:schemeClr val="accent2"/>
            </a:solidFill>
            <a:ln>
              <a:noFill/>
            </a:ln>
            <a:effectLst/>
          </c:spPr>
          <c:invertIfNegative val="0"/>
          <c:dLbls>
            <c:dLbl>
              <c:idx val="0"/>
              <c:layout>
                <c:manualLayout>
                  <c:x val="0"/>
                  <c:y val="-2.162746688294133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EFB-4233-B820-003CFD39FF00}"/>
                </c:ext>
              </c:extLst>
            </c:dLbl>
            <c:dLbl>
              <c:idx val="8"/>
              <c:layout>
                <c:manualLayout>
                  <c:x val="-7.3901527955452146E-17"/>
                  <c:y val="1.62206001622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EFB-4233-B820-003CFD39FF00}"/>
                </c:ext>
              </c:extLst>
            </c:dLbl>
            <c:dLbl>
              <c:idx val="11"/>
              <c:layout>
                <c:manualLayout>
                  <c:x val="0"/>
                  <c:y val="-3.524510774352709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1B1-4FAD-8A60-BECFD3BB244A}"/>
                </c:ext>
              </c:extLst>
            </c:dLbl>
            <c:dLbl>
              <c:idx val="12"/>
              <c:layout>
                <c:manualLayout>
                  <c:x val="-1.4780305591090429E-16"/>
                  <c:y val="9.8813682352966222E-3"/>
                </c:manualLayout>
              </c:layout>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3-61B1-4FAD-8A60-BECFD3BB244A}"/>
                </c:ext>
              </c:extLst>
            </c:dLbl>
            <c:dLbl>
              <c:idx val="13"/>
              <c:layout>
                <c:manualLayout>
                  <c:x val="0"/>
                  <c:y val="-3.244120032441200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EFB-4233-B820-003CFD39FF0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Sheet1!$E$2:$R$2</c:f>
              <c:numCache>
                <c:formatCode>General</c:formatCod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numCache>
            </c:numRef>
          </c:cat>
          <c:val>
            <c:numRef>
              <c:f>Sheet1!$E$10:$R$10</c:f>
              <c:numCache>
                <c:formatCode>0.0%</c:formatCode>
                <c:ptCount val="14"/>
                <c:pt idx="0">
                  <c:v>5.2306208347948191E-2</c:v>
                </c:pt>
                <c:pt idx="1">
                  <c:v>1.4374401066622244E-2</c:v>
                </c:pt>
                <c:pt idx="2">
                  <c:v>-1.4170705660067395E-2</c:v>
                </c:pt>
                <c:pt idx="3">
                  <c:v>4.9997916753468097E-3</c:v>
                </c:pt>
                <c:pt idx="4">
                  <c:v>-7.9018282824095176E-2</c:v>
                </c:pt>
                <c:pt idx="5">
                  <c:v>7.5174431690299137E-3</c:v>
                </c:pt>
                <c:pt idx="6">
                  <c:v>-0.11473505495487446</c:v>
                </c:pt>
                <c:pt idx="7">
                  <c:v>-2.7707681437367571E-2</c:v>
                </c:pt>
                <c:pt idx="8">
                  <c:v>-7.7861406696078106E-4</c:v>
                </c:pt>
                <c:pt idx="9">
                  <c:v>-1.464935064935069E-2</c:v>
                </c:pt>
                <c:pt idx="10">
                  <c:v>0.14260860396457198</c:v>
                </c:pt>
                <c:pt idx="11">
                  <c:v>-8.6790015226318462E-2</c:v>
                </c:pt>
                <c:pt idx="12">
                  <c:v>-2.8142683912692035E-2</c:v>
                </c:pt>
                <c:pt idx="13">
                  <c:v>0.13127112035352217</c:v>
                </c:pt>
              </c:numCache>
            </c:numRef>
          </c:val>
          <c:extLst>
            <c:ext xmlns:c16="http://schemas.microsoft.com/office/drawing/2014/chart" uri="{C3380CC4-5D6E-409C-BE32-E72D297353CC}">
              <c16:uniqueId val="{00000004-61B1-4FAD-8A60-BECFD3BB244A}"/>
            </c:ext>
          </c:extLst>
        </c:ser>
        <c:dLbls>
          <c:dLblPos val="outEnd"/>
          <c:showLegendKey val="0"/>
          <c:showVal val="1"/>
          <c:showCatName val="0"/>
          <c:showSerName val="0"/>
          <c:showPercent val="0"/>
          <c:showBubbleSize val="0"/>
        </c:dLbls>
        <c:gapWidth val="219"/>
        <c:overlap val="-27"/>
        <c:axId val="1326794288"/>
        <c:axId val="1399831232"/>
      </c:barChart>
      <c:catAx>
        <c:axId val="132679428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b" anchorCtr="0"/>
          <a:lstStyle/>
          <a:p>
            <a:pPr>
              <a:defRPr sz="900" b="0" i="0" u="none" strike="noStrike" kern="1200" baseline="0">
                <a:solidFill>
                  <a:schemeClr val="tx1">
                    <a:lumMod val="65000"/>
                    <a:lumOff val="35000"/>
                  </a:schemeClr>
                </a:solidFill>
                <a:latin typeface="+mn-lt"/>
                <a:ea typeface="+mn-ea"/>
                <a:cs typeface="+mn-cs"/>
              </a:defRPr>
            </a:pPr>
            <a:endParaRPr lang="en-US"/>
          </a:p>
        </c:txPr>
        <c:crossAx val="1399831232"/>
        <c:crosses val="autoZero"/>
        <c:auto val="1"/>
        <c:lblAlgn val="ctr"/>
        <c:lblOffset val="100"/>
        <c:noMultiLvlLbl val="0"/>
      </c:catAx>
      <c:valAx>
        <c:axId val="1399831232"/>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6794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400" b="0" i="0" u="none" strike="noStrike" kern="1200" spc="0" baseline="0">
                <a:solidFill>
                  <a:schemeClr val="tx1"/>
                </a:solidFill>
                <a:latin typeface="+mn-lt"/>
                <a:ea typeface="+mn-ea"/>
                <a:cs typeface="+mn-cs"/>
              </a:defRPr>
            </a:pPr>
            <a:r>
              <a:rPr lang="en-AU" sz="1200"/>
              <a:t>Current Year 12 by Gender</a:t>
            </a:r>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solidFill>
              <a:latin typeface="+mn-lt"/>
              <a:ea typeface="+mn-ea"/>
              <a:cs typeface="+mn-cs"/>
            </a:defRPr>
          </a:pPr>
          <a:endParaRPr lang="en-US"/>
        </a:p>
      </c:txPr>
    </c:title>
    <c:autoTitleDeleted val="0"/>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175-4E1A-B0F4-A3BA6D16A9E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175-4E1A-B0F4-A3BA6D16A9EA}"/>
              </c:ext>
            </c:extLst>
          </c:dPt>
          <c:dLbls>
            <c:dLbl>
              <c:idx val="0"/>
              <c:layout>
                <c:manualLayout>
                  <c:x val="0.14210780166820422"/>
                  <c:y val="3.5968896004182051E-2"/>
                </c:manualLayout>
              </c:layout>
              <c:tx>
                <c:rich>
                  <a:bodyPr/>
                  <a:lstStyle/>
                  <a:p>
                    <a:r>
                      <a:rPr lang="en-US"/>
                      <a:t>Female 56%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175-4E1A-B0F4-A3BA6D16A9EA}"/>
                </c:ext>
              </c:extLst>
            </c:dLbl>
            <c:dLbl>
              <c:idx val="1"/>
              <c:layout>
                <c:manualLayout>
                  <c:x val="-0.11972733780178305"/>
                  <c:y val="-1.1471232071094895E-2"/>
                </c:manualLayout>
              </c:layout>
              <c:tx>
                <c:rich>
                  <a:bodyPr rot="0" spcFirstLastPara="1" vertOverflow="ellipsis" vert="horz" wrap="square" lIns="38100" tIns="19050" rIns="38100" bIns="19050" anchor="ctr" anchorCtr="1">
                    <a:noAutofit/>
                  </a:bodyPr>
                  <a:lstStyle/>
                  <a:p>
                    <a:pPr>
                      <a:defRPr lang="en-US" sz="900" b="0" i="0" u="none" strike="noStrike" kern="1200" baseline="0">
                        <a:solidFill>
                          <a:schemeClr val="tx1"/>
                        </a:solidFill>
                        <a:latin typeface="+mn-lt"/>
                        <a:ea typeface="+mn-ea"/>
                        <a:cs typeface="+mn-cs"/>
                      </a:defRPr>
                    </a:pPr>
                    <a:r>
                      <a:rPr lang="en-US"/>
                      <a:t>Male</a:t>
                    </a:r>
                  </a:p>
                  <a:p>
                    <a:pPr>
                      <a:defRPr/>
                    </a:pPr>
                    <a:r>
                      <a:rPr lang="en-US"/>
                      <a:t>44%</a:t>
                    </a:r>
                  </a:p>
                </c:rich>
              </c:tx>
              <c:spPr>
                <a:noFill/>
                <a:ln>
                  <a:noFill/>
                </a:ln>
                <a:effectLst/>
              </c:spPr>
              <c:txPr>
                <a:bodyPr rot="0" spcFirstLastPara="1" vertOverflow="ellipsis" vert="horz" wrap="square" lIns="38100" tIns="19050" rIns="38100" bIns="19050" anchor="ctr" anchorCtr="1">
                  <a:noAutofit/>
                </a:bodyPr>
                <a:lstStyle/>
                <a:p>
                  <a:pPr>
                    <a:defRPr lang="en-US"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6553883608496431"/>
                      <c:h val="0.19079298585496413"/>
                    </c:manualLayout>
                  </c15:layout>
                  <c15:showDataLabelsRange val="0"/>
                </c:ext>
                <c:ext xmlns:c16="http://schemas.microsoft.com/office/drawing/2014/chart" uri="{C3380CC4-5D6E-409C-BE32-E72D297353CC}">
                  <c16:uniqueId val="{00000003-E175-4E1A-B0F4-A3BA6D16A9EA}"/>
                </c:ext>
              </c:extLst>
            </c:dLbl>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'Yr12 graphs'!$B$15:$B$16</c:f>
              <c:strCache>
                <c:ptCount val="2"/>
                <c:pt idx="0">
                  <c:v>Female</c:v>
                </c:pt>
                <c:pt idx="1">
                  <c:v>Male</c:v>
                </c:pt>
              </c:strCache>
            </c:strRef>
          </c:cat>
          <c:val>
            <c:numRef>
              <c:f>'Yr12 graphs'!$C$15:$C$16</c:f>
              <c:numCache>
                <c:formatCode>0.0%</c:formatCode>
                <c:ptCount val="2"/>
                <c:pt idx="0">
                  <c:v>0.56024427526901155</c:v>
                </c:pt>
                <c:pt idx="1">
                  <c:v>0.43975572473098845</c:v>
                </c:pt>
              </c:numCache>
            </c:numRef>
          </c:val>
          <c:extLst>
            <c:ext xmlns:c16="http://schemas.microsoft.com/office/drawing/2014/chart" uri="{C3380CC4-5D6E-409C-BE32-E72D297353CC}">
              <c16:uniqueId val="{00000004-E175-4E1A-B0F4-A3BA6D16A9EA}"/>
            </c:ext>
          </c:extLst>
        </c:ser>
        <c:dLbls>
          <c:showLegendKey val="0"/>
          <c:showVal val="0"/>
          <c:showCatName val="0"/>
          <c:showSerName val="0"/>
          <c:showPercent val="0"/>
          <c:showBubbleSize val="0"/>
          <c:showLeaderLines val="1"/>
        </c:dLbls>
        <c:firstSliceAng val="0"/>
        <c:holeSize val="56"/>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lang="en-US" sz="900" b="0" i="0" u="none" strike="noStrike" kern="1200" baseline="0">
          <a:solidFill>
            <a:schemeClr val="tx1"/>
          </a:solidFill>
          <a:latin typeface="+mn-lt"/>
          <a:ea typeface="+mn-ea"/>
          <a:cs typeface="+mn-cs"/>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200"/>
              <a:t>Non-Year 12 by Region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1A1-47E3-92B6-9010584C72A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1A1-47E3-92B6-9010584C72AE}"/>
              </c:ext>
            </c:extLst>
          </c:dPt>
          <c:dLbls>
            <c:dLbl>
              <c:idx val="0"/>
              <c:layout>
                <c:manualLayout>
                  <c:x val="0.17701360546834422"/>
                  <c:y val="9.661413015386195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616D0176-878F-49B9-AF09-B0BACDD451C4}" type="CATEGORYNAME">
                      <a:rPr lang="en-US" sz="900"/>
                      <a:pPr>
                        <a:defRPr/>
                      </a:pPr>
                      <a:t>[CATEGORY NAME]</a:t>
                    </a:fld>
                    <a:r>
                      <a:rPr lang="en-US" sz="900" baseline="0"/>
                      <a:t>
</a:t>
                    </a:r>
                    <a:fld id="{7A7BF010-E791-4317-AA2F-D9052E2A6D54}" type="PERCENTAGE">
                      <a:rPr lang="en-US" sz="900" baseline="0"/>
                      <a:pPr>
                        <a:defRPr/>
                      </a:pPr>
                      <a:t>[PERCENTAGE]</a:t>
                    </a:fld>
                    <a:endParaRPr lang="en-US" sz="900" baseline="0"/>
                  </a:p>
                </c:rich>
              </c:tx>
              <c:numFmt formatCode="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layout>
                    <c:manualLayout>
                      <c:w val="0.26578236813559852"/>
                      <c:h val="0.24345768254378036"/>
                    </c:manualLayout>
                  </c15:layout>
                  <c15:dlblFieldTable/>
                  <c15:showDataLabelsRange val="0"/>
                </c:ext>
                <c:ext xmlns:c16="http://schemas.microsoft.com/office/drawing/2014/chart" uri="{C3380CC4-5D6E-409C-BE32-E72D297353CC}">
                  <c16:uniqueId val="{00000001-F1A1-47E3-92B6-9010584C72AE}"/>
                </c:ext>
              </c:extLst>
            </c:dLbl>
            <c:dLbl>
              <c:idx val="1"/>
              <c:layout>
                <c:manualLayout>
                  <c:x val="-0.17284739443549407"/>
                  <c:y val="-7.4944527837931596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A5982F99-E8EF-49EC-8569-5B6672521959}" type="CATEGORYNAME">
                      <a:rPr lang="en-US" sz="900"/>
                      <a:pPr>
                        <a:defRPr/>
                      </a:pPr>
                      <a:t>[CATEGORY NAME]</a:t>
                    </a:fld>
                    <a:r>
                      <a:rPr lang="en-US" sz="900" baseline="0"/>
                      <a:t>
</a:t>
                    </a:r>
                    <a:fld id="{220A3F4A-3315-4E9A-89B4-5A18DC4E23CE}" type="PERCENTAGE">
                      <a:rPr lang="en-US" sz="900" baseline="0"/>
                      <a:pPr>
                        <a:defRPr/>
                      </a:pPr>
                      <a:t>[PERCENTAGE]</a:t>
                    </a:fld>
                    <a:endParaRPr lang="en-US" sz="900" baseline="0"/>
                  </a:p>
                </c:rich>
              </c:tx>
              <c:numFmt formatCode="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layout>
                    <c:manualLayout>
                      <c:w val="0.35951294046987226"/>
                      <c:h val="0.3120583749020901"/>
                    </c:manualLayout>
                  </c15:layout>
                  <c15:dlblFieldTable/>
                  <c15:showDataLabelsRange val="0"/>
                </c:ext>
                <c:ext xmlns:c16="http://schemas.microsoft.com/office/drawing/2014/chart" uri="{C3380CC4-5D6E-409C-BE32-E72D297353CC}">
                  <c16:uniqueId val="{00000003-F1A1-47E3-92B6-9010584C72AE}"/>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'Non-Y12 graphs'!$B$40:$B$41</c:f>
              <c:strCache>
                <c:ptCount val="2"/>
                <c:pt idx="0">
                  <c:v>Metropolitan</c:v>
                </c:pt>
                <c:pt idx="1">
                  <c:v>Non-Metropolitan</c:v>
                </c:pt>
              </c:strCache>
            </c:strRef>
          </c:cat>
          <c:val>
            <c:numRef>
              <c:f>'Non-Y12 graphs'!$C$40:$C$41</c:f>
              <c:numCache>
                <c:formatCode>0</c:formatCode>
                <c:ptCount val="2"/>
                <c:pt idx="0" formatCode="General">
                  <c:v>138356.97</c:v>
                </c:pt>
                <c:pt idx="1">
                  <c:v>41682.03</c:v>
                </c:pt>
              </c:numCache>
            </c:numRef>
          </c:val>
          <c:extLst>
            <c:ext xmlns:c16="http://schemas.microsoft.com/office/drawing/2014/chart" uri="{C3380CC4-5D6E-409C-BE32-E72D297353CC}">
              <c16:uniqueId val="{00000004-F1A1-47E3-92B6-9010584C72AE}"/>
            </c:ext>
          </c:extLst>
        </c:ser>
        <c:dLbls>
          <c:showLegendKey val="0"/>
          <c:showVal val="0"/>
          <c:showCatName val="1"/>
          <c:showSerName val="0"/>
          <c:showPercent val="1"/>
          <c:showBubbleSize val="0"/>
          <c:showLeaderLines val="1"/>
        </c:dLbls>
        <c:firstSliceAng val="0"/>
        <c:holeSize val="50"/>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200"/>
              <a:t>Current Year 12 by Region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EC5-4176-BA2B-8BFDD392B35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EC5-4176-BA2B-8BFDD392B35F}"/>
              </c:ext>
            </c:extLst>
          </c:dPt>
          <c:dLbls>
            <c:dLbl>
              <c:idx val="0"/>
              <c:layout>
                <c:manualLayout>
                  <c:x val="0.22067164713553936"/>
                  <c:y val="3.494370333366463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Metropolitan </a:t>
                    </a:r>
                    <a:fld id="{60287E87-966E-46AA-B2A3-66AA8D431430}" type="VALUE">
                      <a:rPr lang="en-US"/>
                      <a:pPr>
                        <a:defRPr/>
                      </a:pPr>
                      <a:t>[VALUE]</a:t>
                    </a:fld>
                    <a:endParaRPr lang="en-US"/>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26167772835042147"/>
                      <c:h val="0.17578703703703702"/>
                    </c:manualLayout>
                  </c15:layout>
                  <c15:dlblFieldTable/>
                  <c15:showDataLabelsRange val="0"/>
                </c:ext>
                <c:ext xmlns:c16="http://schemas.microsoft.com/office/drawing/2014/chart" uri="{C3380CC4-5D6E-409C-BE32-E72D297353CC}">
                  <c16:uniqueId val="{00000001-9EC5-4176-BA2B-8BFDD392B35F}"/>
                </c:ext>
              </c:extLst>
            </c:dLbl>
            <c:dLbl>
              <c:idx val="1"/>
              <c:layout>
                <c:manualLayout>
                  <c:x val="-0.17089591900581599"/>
                  <c:y val="-4.792600801709148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sz="800"/>
                      <a:t>Non-Metropolitan </a:t>
                    </a:r>
                    <a:fld id="{DE55DF5A-9C85-4F83-AFD6-AD41DF1441F7}" type="VALUE">
                      <a:rPr lang="en-US" sz="800"/>
                      <a:pPr>
                        <a:defRPr/>
                      </a:pPr>
                      <a:t>[VALUE]</a:t>
                    </a:fld>
                    <a:endParaRPr lang="en-US" sz="800"/>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36850846013803085"/>
                      <c:h val="0.22031384512414851"/>
                    </c:manualLayout>
                  </c15:layout>
                  <c15:dlblFieldTable/>
                  <c15:showDataLabelsRange val="0"/>
                </c:ext>
                <c:ext xmlns:c16="http://schemas.microsoft.com/office/drawing/2014/chart" uri="{C3380CC4-5D6E-409C-BE32-E72D297353CC}">
                  <c16:uniqueId val="{00000003-9EC5-4176-BA2B-8BFDD392B35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'Yr12 graphs'!$D$24:$D$25</c:f>
              <c:strCache>
                <c:ptCount val="2"/>
                <c:pt idx="0">
                  <c:v>Metropolitan</c:v>
                </c:pt>
                <c:pt idx="1">
                  <c:v>Non-Metropolitan</c:v>
                </c:pt>
              </c:strCache>
            </c:strRef>
          </c:cat>
          <c:val>
            <c:numRef>
              <c:f>'Yr12 graphs'!$E$24:$E$25</c:f>
              <c:numCache>
                <c:formatCode>0.0%</c:formatCode>
                <c:ptCount val="2"/>
                <c:pt idx="0">
                  <c:v>0.82640151290365793</c:v>
                </c:pt>
                <c:pt idx="1">
                  <c:v>0.17359848709634196</c:v>
                </c:pt>
              </c:numCache>
            </c:numRef>
          </c:val>
          <c:extLst>
            <c:ext xmlns:c16="http://schemas.microsoft.com/office/drawing/2014/chart" uri="{C3380CC4-5D6E-409C-BE32-E72D297353CC}">
              <c16:uniqueId val="{00000004-9EC5-4176-BA2B-8BFDD392B35F}"/>
            </c:ext>
          </c:extLst>
        </c:ser>
        <c:dLbls>
          <c:showLegendKey val="0"/>
          <c:showVal val="0"/>
          <c:showCatName val="0"/>
          <c:showSerName val="0"/>
          <c:showPercent val="0"/>
          <c:showBubbleSize val="0"/>
          <c:showLeaderLines val="1"/>
        </c:dLbls>
        <c:firstSliceAng val="0"/>
        <c:holeSize val="58"/>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200"/>
              <a:t>Current Year</a:t>
            </a:r>
            <a:r>
              <a:rPr lang="en-AU" sz="1200" baseline="0"/>
              <a:t> 12 by Socioeconomic Status</a:t>
            </a:r>
            <a:endParaRPr lang="en-AU"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'Yr12 graphs'!$B$41:$B$43</c:f>
              <c:strCache>
                <c:ptCount val="3"/>
                <c:pt idx="0">
                  <c:v>Low</c:v>
                </c:pt>
                <c:pt idx="1">
                  <c:v>Medium</c:v>
                </c:pt>
                <c:pt idx="2">
                  <c:v>High</c:v>
                </c:pt>
              </c:strCache>
            </c:strRef>
          </c:cat>
          <c:val>
            <c:numRef>
              <c:f>'Yr12 graphs'!$C$41:$C$43</c:f>
              <c:numCache>
                <c:formatCode>0.0%</c:formatCode>
                <c:ptCount val="3"/>
                <c:pt idx="0">
                  <c:v>0.13929923177815251</c:v>
                </c:pt>
                <c:pt idx="1">
                  <c:v>0.50573730560239838</c:v>
                </c:pt>
                <c:pt idx="2">
                  <c:v>0.34820311036162638</c:v>
                </c:pt>
              </c:numCache>
            </c:numRef>
          </c:val>
          <c:extLst>
            <c:ext xmlns:c16="http://schemas.microsoft.com/office/drawing/2014/chart" uri="{C3380CC4-5D6E-409C-BE32-E72D297353CC}">
              <c16:uniqueId val="{00000000-AB38-4608-A4A5-46484FFF7EC8}"/>
            </c:ext>
          </c:extLst>
        </c:ser>
        <c:dLbls>
          <c:showLegendKey val="0"/>
          <c:showVal val="0"/>
          <c:showCatName val="0"/>
          <c:showSerName val="0"/>
          <c:showPercent val="0"/>
          <c:showBubbleSize val="0"/>
        </c:dLbls>
        <c:gapWidth val="219"/>
        <c:overlap val="-27"/>
        <c:axId val="1629805391"/>
        <c:axId val="1629802991"/>
      </c:barChart>
      <c:catAx>
        <c:axId val="16298053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9802991"/>
        <c:crosses val="autoZero"/>
        <c:auto val="1"/>
        <c:lblAlgn val="ctr"/>
        <c:lblOffset val="100"/>
        <c:noMultiLvlLbl val="0"/>
      </c:catAx>
      <c:valAx>
        <c:axId val="1629802991"/>
        <c:scaling>
          <c:orientation val="minMax"/>
        </c:scaling>
        <c:delete val="0"/>
        <c:axPos val="l"/>
        <c:majorGridlines>
          <c:spPr>
            <a:ln w="9525" cap="flat" cmpd="sng" algn="ctr">
              <a:no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980539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Non</a:t>
            </a:r>
            <a:r>
              <a:rPr lang="en-US" sz="1200" baseline="0"/>
              <a:t>-</a:t>
            </a:r>
            <a:r>
              <a:rPr lang="en-US" sz="1200"/>
              <a:t>Year 12 by Socioeconomic Status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Socioeconomic Status</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'Non-Y12 graphs'!$G$27:$G$29</c:f>
              <c:strCache>
                <c:ptCount val="3"/>
                <c:pt idx="0">
                  <c:v>Low</c:v>
                </c:pt>
                <c:pt idx="1">
                  <c:v>Medium</c:v>
                </c:pt>
                <c:pt idx="2">
                  <c:v>High</c:v>
                </c:pt>
              </c:strCache>
            </c:strRef>
          </c:cat>
          <c:val>
            <c:numRef>
              <c:f>'Non-Y12 graphs'!$I$27:$I$29</c:f>
              <c:numCache>
                <c:formatCode>0.0%</c:formatCode>
                <c:ptCount val="3"/>
                <c:pt idx="0">
                  <c:v>0.191</c:v>
                </c:pt>
                <c:pt idx="1">
                  <c:v>0.51900000000000002</c:v>
                </c:pt>
                <c:pt idx="2">
                  <c:v>0.28300000000000003</c:v>
                </c:pt>
              </c:numCache>
            </c:numRef>
          </c:val>
          <c:extLst>
            <c:ext xmlns:c16="http://schemas.microsoft.com/office/drawing/2014/chart" uri="{C3380CC4-5D6E-409C-BE32-E72D297353CC}">
              <c16:uniqueId val="{00000000-9C98-43EA-B618-10ED92A08A71}"/>
            </c:ext>
          </c:extLst>
        </c:ser>
        <c:dLbls>
          <c:dLblPos val="outEnd"/>
          <c:showLegendKey val="0"/>
          <c:showVal val="1"/>
          <c:showCatName val="0"/>
          <c:showSerName val="0"/>
          <c:showPercent val="0"/>
          <c:showBubbleSize val="0"/>
        </c:dLbls>
        <c:gapWidth val="219"/>
        <c:overlap val="-27"/>
        <c:axId val="1903200591"/>
        <c:axId val="1903208271"/>
      </c:barChart>
      <c:catAx>
        <c:axId val="19032005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3208271"/>
        <c:crosses val="autoZero"/>
        <c:auto val="1"/>
        <c:lblAlgn val="ctr"/>
        <c:lblOffset val="100"/>
        <c:noMultiLvlLbl val="0"/>
      </c:catAx>
      <c:valAx>
        <c:axId val="1903208271"/>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320059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'[Chart in Microsoft Word]Excl QLD TAC from 2019-2021'!$B$3</c:f>
              <c:strCache>
                <c:ptCount val="1"/>
                <c:pt idx="0">
                  <c:v>Applicants with Low SES background</c:v>
                </c:pt>
              </c:strCache>
            </c:strRef>
          </c:tx>
          <c:spPr>
            <a:solidFill>
              <a:schemeClr val="accent1"/>
            </a:solidFill>
            <a:ln>
              <a:noFill/>
            </a:ln>
            <a:effectLst/>
          </c:spPr>
          <c:invertIfNegative val="0"/>
          <c:cat>
            <c:strRef>
              <c:f>'[Chart in Microsoft Word]Excl QLD TAC from 2019-2021'!$C$2:$N$2</c:f>
              <c:strCach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strCache>
            </c:strRef>
          </c:cat>
          <c:val>
            <c:numRef>
              <c:f>'[Chart in Microsoft Word]Excl QLD TAC from 2019-2021'!$C$3:$N$3</c:f>
              <c:numCache>
                <c:formatCode>_-* #,##0_-;\-* #,##0_-;_-* "-"??_-;_-@_-</c:formatCode>
                <c:ptCount val="12"/>
                <c:pt idx="0">
                  <c:v>62982</c:v>
                </c:pt>
                <c:pt idx="1">
                  <c:v>66024</c:v>
                </c:pt>
                <c:pt idx="2">
                  <c:v>67464</c:v>
                </c:pt>
                <c:pt idx="3">
                  <c:v>69065</c:v>
                </c:pt>
                <c:pt idx="4">
                  <c:v>67268</c:v>
                </c:pt>
                <c:pt idx="5">
                  <c:v>54460</c:v>
                </c:pt>
                <c:pt idx="6">
                  <c:v>55996</c:v>
                </c:pt>
                <c:pt idx="7">
                  <c:v>58156</c:v>
                </c:pt>
                <c:pt idx="8">
                  <c:v>53768</c:v>
                </c:pt>
                <c:pt idx="9">
                  <c:v>50209</c:v>
                </c:pt>
                <c:pt idx="10">
                  <c:v>50009</c:v>
                </c:pt>
                <c:pt idx="11">
                  <c:v>53105</c:v>
                </c:pt>
              </c:numCache>
            </c:numRef>
          </c:val>
          <c:extLst>
            <c:ext xmlns:c16="http://schemas.microsoft.com/office/drawing/2014/chart" uri="{C3380CC4-5D6E-409C-BE32-E72D297353CC}">
              <c16:uniqueId val="{00000000-992F-4CF7-AC48-604ECDFCDC9B}"/>
            </c:ext>
          </c:extLst>
        </c:ser>
        <c:dLbls>
          <c:showLegendKey val="0"/>
          <c:showVal val="0"/>
          <c:showCatName val="0"/>
          <c:showSerName val="0"/>
          <c:showPercent val="0"/>
          <c:showBubbleSize val="0"/>
        </c:dLbls>
        <c:gapWidth val="150"/>
        <c:axId val="2011520624"/>
        <c:axId val="2011521104"/>
      </c:barChart>
      <c:lineChart>
        <c:grouping val="standard"/>
        <c:varyColors val="0"/>
        <c:ser>
          <c:idx val="1"/>
          <c:order val="1"/>
          <c:tx>
            <c:strRef>
              <c:f>'[Chart in Microsoft Word]Excl QLD TAC from 2019-2021'!$B$5</c:f>
              <c:strCache>
                <c:ptCount val="1"/>
                <c:pt idx="0">
                  <c:v>Share of Applicants with Low SES background</c:v>
                </c:pt>
              </c:strCache>
            </c:strRef>
          </c:tx>
          <c:spPr>
            <a:ln w="28575" cap="rnd">
              <a:solidFill>
                <a:schemeClr val="accent2"/>
              </a:solidFill>
              <a:round/>
            </a:ln>
            <a:effectLst/>
          </c:spPr>
          <c:marker>
            <c:symbol val="none"/>
          </c:marker>
          <c:val>
            <c:numRef>
              <c:f>'[Chart in Microsoft Word]Excl QLD TAC from 2019-2021'!$C$5:$N$5</c:f>
              <c:numCache>
                <c:formatCode>0.0%</c:formatCode>
                <c:ptCount val="12"/>
                <c:pt idx="0">
                  <c:v>0.19386413935120062</c:v>
                </c:pt>
                <c:pt idx="1">
                  <c:v>0.19796470313090306</c:v>
                </c:pt>
                <c:pt idx="2">
                  <c:v>0.1975976873127312</c:v>
                </c:pt>
                <c:pt idx="3">
                  <c:v>0.19914936562860439</c:v>
                </c:pt>
                <c:pt idx="4">
                  <c:v>0.20074007758877946</c:v>
                </c:pt>
                <c:pt idx="5">
                  <c:v>0.19117693520133958</c:v>
                </c:pt>
                <c:pt idx="6">
                  <c:v>0.19416896680860507</c:v>
                </c:pt>
                <c:pt idx="7">
                  <c:v>0.1970755180535082</c:v>
                </c:pt>
                <c:pt idx="8">
                  <c:v>0.16951354077997416</c:v>
                </c:pt>
                <c:pt idx="9">
                  <c:v>0.16730143180356602</c:v>
                </c:pt>
                <c:pt idx="10">
                  <c:v>0.16545355892725985</c:v>
                </c:pt>
                <c:pt idx="11" formatCode="General">
                  <c:v>0.1666671897410468</c:v>
                </c:pt>
              </c:numCache>
            </c:numRef>
          </c:val>
          <c:smooth val="0"/>
          <c:extLst>
            <c:ext xmlns:c16="http://schemas.microsoft.com/office/drawing/2014/chart" uri="{C3380CC4-5D6E-409C-BE32-E72D297353CC}">
              <c16:uniqueId val="{00000001-992F-4CF7-AC48-604ECDFCDC9B}"/>
            </c:ext>
          </c:extLst>
        </c:ser>
        <c:dLbls>
          <c:showLegendKey val="0"/>
          <c:showVal val="0"/>
          <c:showCatName val="0"/>
          <c:showSerName val="0"/>
          <c:showPercent val="0"/>
          <c:showBubbleSize val="0"/>
        </c:dLbls>
        <c:marker val="1"/>
        <c:smooth val="0"/>
        <c:axId val="1472294447"/>
        <c:axId val="1472293487"/>
      </c:lineChart>
      <c:catAx>
        <c:axId val="2011520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1521104"/>
        <c:crosses val="autoZero"/>
        <c:auto val="1"/>
        <c:lblAlgn val="ctr"/>
        <c:lblOffset val="100"/>
        <c:noMultiLvlLbl val="0"/>
      </c:catAx>
      <c:valAx>
        <c:axId val="2011521104"/>
        <c:scaling>
          <c:orientation val="minMax"/>
        </c:scaling>
        <c:delete val="0"/>
        <c:axPos val="l"/>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1520624"/>
        <c:crosses val="autoZero"/>
        <c:crossBetween val="between"/>
      </c:valAx>
      <c:valAx>
        <c:axId val="1472293487"/>
        <c:scaling>
          <c:orientation val="minMax"/>
        </c:scaling>
        <c:delete val="0"/>
        <c:axPos val="r"/>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2294447"/>
        <c:crosses val="max"/>
        <c:crossBetween val="between"/>
      </c:valAx>
      <c:catAx>
        <c:axId val="1472294447"/>
        <c:scaling>
          <c:orientation val="minMax"/>
        </c:scaling>
        <c:delete val="1"/>
        <c:axPos val="b"/>
        <c:numFmt formatCode="General" sourceLinked="1"/>
        <c:majorTickMark val="none"/>
        <c:minorTickMark val="none"/>
        <c:tickLblPos val="nextTo"/>
        <c:crossAx val="1472293487"/>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Metropolitan</a:t>
            </a:r>
            <a:r>
              <a:rPr lang="en-US" baseline="0"/>
              <a:t> and Non-Metropolitan Applications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1"/>
          <c:order val="0"/>
          <c:tx>
            <c:strRef>
              <c:f>Regionality!$B$2</c:f>
              <c:strCache>
                <c:ptCount val="1"/>
                <c:pt idx="0">
                  <c:v>Metropolitan</c:v>
                </c:pt>
              </c:strCache>
            </c:strRef>
          </c:tx>
          <c:spPr>
            <a:solidFill>
              <a:schemeClr val="accent2"/>
            </a:solidFill>
            <a:ln>
              <a:noFill/>
            </a:ln>
            <a:effectLst/>
          </c:spPr>
          <c:invertIfNegative val="0"/>
          <c:dLbls>
            <c:dLbl>
              <c:idx val="0"/>
              <c:layout>
                <c:manualLayout>
                  <c:x val="0"/>
                  <c:y val="-1.351047061472645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0E6-465D-9654-000FE8C1ECC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Regionality!$A$4:$A$13</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Regionality!$D$4:$D$13</c:f>
              <c:numCache>
                <c:formatCode>0.0%</c:formatCode>
                <c:ptCount val="10"/>
                <c:pt idx="0">
                  <c:v>2.4136796483843481E-2</c:v>
                </c:pt>
                <c:pt idx="1">
                  <c:v>2.0774796893421987E-2</c:v>
                </c:pt>
                <c:pt idx="2">
                  <c:v>-2.9568285150836982E-2</c:v>
                </c:pt>
                <c:pt idx="3">
                  <c:v>-2.055694913794226E-2</c:v>
                </c:pt>
                <c:pt idx="4">
                  <c:v>-1.235302391752624E-2</c:v>
                </c:pt>
                <c:pt idx="5">
                  <c:v>6.355250178326366E-2</c:v>
                </c:pt>
                <c:pt idx="6">
                  <c:v>-5.5797536040381623E-2</c:v>
                </c:pt>
                <c:pt idx="7">
                  <c:v>-5.5090227596932828E-2</c:v>
                </c:pt>
                <c:pt idx="8">
                  <c:v>1.0164567464152618E-2</c:v>
                </c:pt>
                <c:pt idx="9">
                  <c:v>5.4669303685346726E-2</c:v>
                </c:pt>
              </c:numCache>
            </c:numRef>
          </c:val>
          <c:extLst>
            <c:ext xmlns:c16="http://schemas.microsoft.com/office/drawing/2014/chart" uri="{C3380CC4-5D6E-409C-BE32-E72D297353CC}">
              <c16:uniqueId val="{00000000-F0E6-465D-9654-000FE8C1ECCF}"/>
            </c:ext>
          </c:extLst>
        </c:ser>
        <c:ser>
          <c:idx val="2"/>
          <c:order val="1"/>
          <c:tx>
            <c:strRef>
              <c:f>Regionality!$C$2</c:f>
              <c:strCache>
                <c:ptCount val="1"/>
                <c:pt idx="0">
                  <c:v>Non-Metropolitan</c:v>
                </c:pt>
              </c:strCache>
            </c:strRef>
          </c:tx>
          <c:spPr>
            <a:solidFill>
              <a:schemeClr val="accent6"/>
            </a:solidFill>
            <a:ln>
              <a:solidFill>
                <a:schemeClr val="accent6"/>
              </a:solidFill>
            </a:ln>
            <a:effectLst/>
          </c:spPr>
          <c:invertIfNegative val="0"/>
          <c:dLbls>
            <c:dLbl>
              <c:idx val="0"/>
              <c:layout>
                <c:manualLayout>
                  <c:x val="-2.0311457508917339E-17"/>
                  <c:y val="1.351047061472637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0E6-465D-9654-000FE8C1ECCF}"/>
                </c:ext>
              </c:extLst>
            </c:dLbl>
            <c:dLbl>
              <c:idx val="3"/>
              <c:layout>
                <c:manualLayout>
                  <c:x val="2.2158209616662972E-3"/>
                  <c:y val="-2.25174510245440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0E6-465D-9654-000FE8C1ECCF}"/>
                </c:ext>
              </c:extLst>
            </c:dLbl>
            <c:dLbl>
              <c:idx val="4"/>
              <c:layout>
                <c:manualLayout>
                  <c:x val="2.2158209616662972E-3"/>
                  <c:y val="-2.251674181348813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0E6-465D-9654-000FE8C1ECCF}"/>
                </c:ext>
              </c:extLst>
            </c:dLbl>
            <c:dLbl>
              <c:idx val="7"/>
              <c:layout>
                <c:manualLayout>
                  <c:x val="2.2158209616662972E-3"/>
                  <c:y val="-2.702094122945282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0E6-465D-9654-000FE8C1ECC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Regionality!$A$4:$A$13</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Regionality!$E$4:$E$13</c:f>
              <c:numCache>
                <c:formatCode>0.0%</c:formatCode>
                <c:ptCount val="10"/>
                <c:pt idx="0">
                  <c:v>2.2245959891133094E-2</c:v>
                </c:pt>
                <c:pt idx="1">
                  <c:v>-5.7017052041242744E-3</c:v>
                </c:pt>
                <c:pt idx="2">
                  <c:v>-4.5769692831081121E-2</c:v>
                </c:pt>
                <c:pt idx="3">
                  <c:v>-2.3439421620983447E-2</c:v>
                </c:pt>
                <c:pt idx="4">
                  <c:v>-1.6973649887561115E-2</c:v>
                </c:pt>
                <c:pt idx="5">
                  <c:v>2.8482710061343841E-2</c:v>
                </c:pt>
                <c:pt idx="6">
                  <c:v>-0.12897212695899862</c:v>
                </c:pt>
                <c:pt idx="7">
                  <c:v>-5.7537026665068103E-2</c:v>
                </c:pt>
                <c:pt idx="8">
                  <c:v>-8.284654074449227E-3</c:v>
                </c:pt>
                <c:pt idx="9">
                  <c:v>3.3175907795851556E-2</c:v>
                </c:pt>
              </c:numCache>
            </c:numRef>
          </c:val>
          <c:extLst>
            <c:ext xmlns:c16="http://schemas.microsoft.com/office/drawing/2014/chart" uri="{C3380CC4-5D6E-409C-BE32-E72D297353CC}">
              <c16:uniqueId val="{00000001-F0E6-465D-9654-000FE8C1ECCF}"/>
            </c:ext>
          </c:extLst>
        </c:ser>
        <c:dLbls>
          <c:dLblPos val="outEnd"/>
          <c:showLegendKey val="0"/>
          <c:showVal val="1"/>
          <c:showCatName val="0"/>
          <c:showSerName val="0"/>
          <c:showPercent val="0"/>
          <c:showBubbleSize val="0"/>
        </c:dLbls>
        <c:gapWidth val="150"/>
        <c:axId val="2033207664"/>
        <c:axId val="2033207184"/>
      </c:barChart>
      <c:catAx>
        <c:axId val="203320766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3207184"/>
        <c:crosses val="autoZero"/>
        <c:auto val="1"/>
        <c:lblAlgn val="ctr"/>
        <c:lblOffset val="100"/>
        <c:noMultiLvlLbl val="0"/>
      </c:catAx>
      <c:valAx>
        <c:axId val="2033207184"/>
        <c:scaling>
          <c:orientation val="minMax"/>
        </c:scaling>
        <c:delete val="0"/>
        <c:axPos val="l"/>
        <c:numFmt formatCode="0%" sourceLinked="0"/>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3207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100" b="1"/>
              <a:t>Propensity </a:t>
            </a:r>
            <a:r>
              <a:rPr lang="en-US" sz="1100" b="1" baseline="0"/>
              <a:t>to Apply by Current Year 12 students, 2010-2025  </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'Propensity for Y12 to apply'!$G$4</c:f>
              <c:strCache>
                <c:ptCount val="1"/>
                <c:pt idx="0">
                  <c:v>Year</c:v>
                </c:pt>
              </c:strCache>
            </c:strRef>
          </c:tx>
          <c:spPr>
            <a:ln w="28575" cap="rnd">
              <a:solidFill>
                <a:schemeClr val="accent1"/>
              </a:solidFill>
              <a:round/>
            </a:ln>
            <a:effectLst/>
          </c:spPr>
          <c:marker>
            <c:symbol val="none"/>
          </c:marker>
          <c:dLbls>
            <c:dLbl>
              <c:idx val="4"/>
              <c:layout>
                <c:manualLayout>
                  <c:x val="-4.5690022548408202E-17"/>
                  <c:y val="3.29218106995884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9A6-43A5-8955-EE13AC3DB33B}"/>
                </c:ext>
              </c:extLst>
            </c:dLbl>
            <c:dLbl>
              <c:idx val="11"/>
              <c:layout>
                <c:manualLayout>
                  <c:x val="-2.4922118380063217E-3"/>
                  <c:y val="-3.2921810699588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9A6-43A5-8955-EE13AC3DB33B}"/>
                </c:ext>
              </c:extLst>
            </c:dLbl>
            <c:dLbl>
              <c:idx val="13"/>
              <c:layout>
                <c:manualLayout>
                  <c:x val="9.8118576299457901E-8"/>
                  <c:y val="-4.3895531577071385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6.4560845782127688E-2"/>
                      <c:h val="7.5528336735685805E-2"/>
                    </c:manualLayout>
                  </c15:layout>
                </c:ext>
                <c:ext xmlns:c16="http://schemas.microsoft.com/office/drawing/2014/chart" uri="{C3380CC4-5D6E-409C-BE32-E72D297353CC}">
                  <c16:uniqueId val="{00000002-A9A6-43A5-8955-EE13AC3DB33B}"/>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'Propensity for Y12 to apply'!$G$5:$G$20</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'Propensity for Y12 to apply'!$I$5:$I$20</c:f>
              <c:numCache>
                <c:formatCode>0.0%</c:formatCode>
                <c:ptCount val="16"/>
                <c:pt idx="0">
                  <c:v>0.55984568561935166</c:v>
                </c:pt>
                <c:pt idx="1">
                  <c:v>0.57704875355709762</c:v>
                </c:pt>
                <c:pt idx="2">
                  <c:v>0.58602269704761056</c:v>
                </c:pt>
                <c:pt idx="3">
                  <c:v>0.59071752048375692</c:v>
                </c:pt>
                <c:pt idx="4">
                  <c:v>0.58165835135826338</c:v>
                </c:pt>
                <c:pt idx="5">
                  <c:v>0.58295266146954039</c:v>
                </c:pt>
                <c:pt idx="6">
                  <c:v>0.56148390754986843</c:v>
                </c:pt>
                <c:pt idx="7">
                  <c:v>0.57523259275409111</c:v>
                </c:pt>
                <c:pt idx="8">
                  <c:v>0.56472208932077272</c:v>
                </c:pt>
                <c:pt idx="9">
                  <c:v>0.55724755802697801</c:v>
                </c:pt>
                <c:pt idx="10">
                  <c:v>0.57290954917124071</c:v>
                </c:pt>
                <c:pt idx="11">
                  <c:v>0.52699628824952482</c:v>
                </c:pt>
                <c:pt idx="12">
                  <c:v>0.52719658276839232</c:v>
                </c:pt>
                <c:pt idx="13">
                  <c:v>0.51693027257973134</c:v>
                </c:pt>
                <c:pt idx="14">
                  <c:v>0.51369537059643866</c:v>
                </c:pt>
                <c:pt idx="15">
                  <c:v>0.52984450562888041</c:v>
                </c:pt>
              </c:numCache>
            </c:numRef>
          </c:val>
          <c:smooth val="0"/>
          <c:extLst>
            <c:ext xmlns:c16="http://schemas.microsoft.com/office/drawing/2014/chart" uri="{C3380CC4-5D6E-409C-BE32-E72D297353CC}">
              <c16:uniqueId val="{00000000-BC4B-441B-A1BE-4DC29319599F}"/>
            </c:ext>
          </c:extLst>
        </c:ser>
        <c:dLbls>
          <c:showLegendKey val="0"/>
          <c:showVal val="0"/>
          <c:showCatName val="0"/>
          <c:showSerName val="0"/>
          <c:showPercent val="0"/>
          <c:showBubbleSize val="0"/>
        </c:dLbls>
        <c:smooth val="0"/>
        <c:axId val="1312499600"/>
        <c:axId val="1312500080"/>
      </c:lineChart>
      <c:catAx>
        <c:axId val="1312499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2500080"/>
        <c:crosses val="autoZero"/>
        <c:auto val="1"/>
        <c:lblAlgn val="ctr"/>
        <c:lblOffset val="100"/>
        <c:noMultiLvlLbl val="0"/>
      </c:catAx>
      <c:valAx>
        <c:axId val="1312500080"/>
        <c:scaling>
          <c:orientation val="minMax"/>
        </c:scaling>
        <c:delete val="0"/>
        <c:axPos val="l"/>
        <c:majorGridlines>
          <c:spPr>
            <a:ln w="9525" cap="flat" cmpd="sng" algn="ctr">
              <a:no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249960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9C2F73683BEA014888D963D41A80BDD2" ma:contentTypeVersion="" ma:contentTypeDescription="PDMS Document Site Content Type" ma:contentTypeScope="" ma:versionID="c8a98da6174107e14d61d4888d690927">
  <xsd:schema xmlns:xsd="http://www.w3.org/2001/XMLSchema" xmlns:xs="http://www.w3.org/2001/XMLSchema" xmlns:p="http://schemas.microsoft.com/office/2006/metadata/properties" xmlns:ns2="9943A7E8-8762-43E7-8D7A-B992B333BD15" targetNamespace="http://schemas.microsoft.com/office/2006/metadata/properties" ma:root="true" ma:fieldsID="0ad157053d972ce46454ff2acbbe0881" ns2:_="">
    <xsd:import namespace="9943A7E8-8762-43E7-8D7A-B992B333BD15"/>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43A7E8-8762-43E7-8D7A-B992B333BD15"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9943A7E8-8762-43E7-8D7A-B992B333BD15" xsi:nil="true"/>
  </documentManagement>
</p:properties>
</file>

<file path=customXml/itemProps1.xml><?xml version="1.0" encoding="utf-8"?>
<ds:datastoreItem xmlns:ds="http://schemas.openxmlformats.org/officeDocument/2006/customXml" ds:itemID="{D63E09EE-59BE-4F42-BF7A-0C3CF079D9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43A7E8-8762-43E7-8D7A-B992B333B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7AE71963-4AB1-4823-AAEA-7BD01CF019CE}">
  <ds:schemaRefs>
    <ds:schemaRef ds:uri="http://schemas.openxmlformats.org/officeDocument/2006/bibliography"/>
  </ds:schemaRefs>
</ds:datastoreItem>
</file>

<file path=customXml/itemProps4.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9943A7E8-8762-43E7-8D7A-B992B333BD15"/>
  </ds:schemaRefs>
</ds:datastoreItem>
</file>

<file path=docProps/app.xml><?xml version="1.0" encoding="utf-8"?>
<Properties xmlns="http://schemas.openxmlformats.org/officeDocument/2006/extended-properties" xmlns:vt="http://schemas.openxmlformats.org/officeDocument/2006/docPropsVTypes">
  <Template>Normal.dotm</Template>
  <TotalTime>1492</TotalTime>
  <Pages>23</Pages>
  <Words>5333</Words>
  <Characters>29174</Characters>
  <Application>Microsoft Office Word</Application>
  <DocSecurity>0</DocSecurity>
  <Lines>1006</Lines>
  <Paragraphs>750</Paragraphs>
  <ScaleCrop>false</ScaleCrop>
  <HeadingPairs>
    <vt:vector size="2" baseType="variant">
      <vt:variant>
        <vt:lpstr>Title</vt:lpstr>
      </vt:variant>
      <vt:variant>
        <vt:i4>1</vt:i4>
      </vt:variant>
    </vt:vector>
  </HeadingPairs>
  <TitlesOfParts>
    <vt:vector size="1" baseType="lpstr">
      <vt:lpstr>Report Template</vt:lpstr>
    </vt:vector>
  </TitlesOfParts>
  <Company/>
  <LinksUpToDate>false</LinksUpToDate>
  <CharactersWithSpaces>33757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
  <dc:creator>RAVINDIRAN,Ravi</dc:creator>
  <cp:keywords/>
  <dc:description/>
  <cp:lastModifiedBy>RAVINDIRAN,Ravi</cp:lastModifiedBy>
  <cp:revision>5</cp:revision>
  <cp:lastPrinted>2026-02-02T22:12:00Z</cp:lastPrinted>
  <dcterms:created xsi:type="dcterms:W3CDTF">2026-01-21T04:51:00Z</dcterms:created>
  <dcterms:modified xsi:type="dcterms:W3CDTF">2026-02-02T22:12:00Z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0x010100266966F133664895A6EE3632470D45F5009C2F73683BEA014888D963D41A80BDD2</vt:lpwstr>
  </property>
  <property fmtid="{D5CDD505-2E9C-101B-9397-08002B2CF9AE}" pid="3" name="ItemKeywords">
    <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ItemPublishedDate">
    <vt:filetime>2020-02-03T13:00:00Z</vt:filetime>
  </property>
  <property fmtid="{D5CDD505-2E9C-101B-9397-08002B2CF9AE}" pid="7" name="la020d86e283469abb02d1589f8af8a1">
    <vt:lpwstr>communication|9d5354d3-d1c2-4163-a4db-c06e4aa61e3a</vt:lpwstr>
  </property>
  <property fmtid="{D5CDD505-2E9C-101B-9397-08002B2CF9AE}" pid="8" name="ItemSubFunction">
    <vt:lpwstr>Resources</vt:lpwstr>
  </property>
  <property fmtid="{D5CDD505-2E9C-101B-9397-08002B2CF9AE}" pid="9" name="idf49b01858c4ab7b49fec8a6554c79a">
    <vt:lpwstr>template|60f4875c-5740-43a9-8840-cfcba2da81bd</vt:lpwstr>
  </property>
  <property fmtid="{D5CDD505-2E9C-101B-9397-08002B2CF9AE}" pid="10" name="TaxCatchAll">
    <vt:lpwstr>1976;#;#1999;#</vt:lpwstr>
  </property>
  <property fmtid="{D5CDD505-2E9C-101B-9397-08002B2CF9AE}" pid="11" name="MSIP_Label_79d889eb-932f-4752-8739-64d25806ef64_Enabled">
    <vt:lpwstr>true</vt:lpwstr>
  </property>
  <property fmtid="{D5CDD505-2E9C-101B-9397-08002B2CF9AE}" pid="12" name="MSIP_Label_79d889eb-932f-4752-8739-64d25806ef64_SetDate">
    <vt:lpwstr>2024-08-08T01:23:51Z</vt:lpwstr>
  </property>
  <property fmtid="{D5CDD505-2E9C-101B-9397-08002B2CF9AE}" pid="13" name="MSIP_Label_79d889eb-932f-4752-8739-64d25806ef64_Method">
    <vt:lpwstr>Privileged</vt:lpwstr>
  </property>
  <property fmtid="{D5CDD505-2E9C-101B-9397-08002B2CF9AE}" pid="14" name="MSIP_Label_79d889eb-932f-4752-8739-64d25806ef64_Name">
    <vt:lpwstr>79d889eb-932f-4752-8739-64d25806ef64</vt:lpwstr>
  </property>
  <property fmtid="{D5CDD505-2E9C-101B-9397-08002B2CF9AE}" pid="15" name="MSIP_Label_79d889eb-932f-4752-8739-64d25806ef64_SiteId">
    <vt:lpwstr>dd0cfd15-4558-4b12-8bad-ea26984fc417</vt:lpwstr>
  </property>
  <property fmtid="{D5CDD505-2E9C-101B-9397-08002B2CF9AE}" pid="16" name="MSIP_Label_79d889eb-932f-4752-8739-64d25806ef64_ActionId">
    <vt:lpwstr>17e5c683-bd50-4d34-b1d8-50351915dcf9</vt:lpwstr>
  </property>
  <property fmtid="{D5CDD505-2E9C-101B-9397-08002B2CF9AE}" pid="17" name="MSIP_Label_79d889eb-932f-4752-8739-64d25806ef64_ContentBits">
    <vt:lpwstr>0</vt:lpwstr>
  </property>
</Properties>
</file>