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styles.xml" ContentType="application/vnd.openxmlformats-officedocument.wordprocessingml.styl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CE9047" w14:textId="77777777" w:rsidR="00107DD5" w:rsidRPr="00AD3B62" w:rsidRDefault="00221D8F" w:rsidP="00CA4815">
      <w:pPr>
        <w:rPr>
          <w:rFonts w:asciiTheme="minorHAnsi" w:hAnsiTheme="minorHAnsi" w:cstheme="minorHAnsi"/>
        </w:rPr>
      </w:pPr>
      <w:r w:rsidRPr="00AD3B62">
        <w:rPr>
          <w:rFonts w:asciiTheme="minorHAnsi" w:hAnsiTheme="minorHAnsi" w:cstheme="minorHAnsi"/>
          <w:b/>
          <w:bCs/>
          <w:noProof/>
        </w:rPr>
        <w:drawing>
          <wp:anchor distT="0" distB="0" distL="114300" distR="114300" simplePos="0" relativeHeight="251658240" behindDoc="1" locked="1" layoutInCell="1" allowOverlap="1" wp14:anchorId="7A45B34E" wp14:editId="18B0D9A1">
            <wp:simplePos x="0" y="0"/>
            <wp:positionH relativeFrom="column">
              <wp:posOffset>-914400</wp:posOffset>
            </wp:positionH>
            <wp:positionV relativeFrom="paragraph">
              <wp:posOffset>-1151890</wp:posOffset>
            </wp:positionV>
            <wp:extent cx="7540625" cy="10666730"/>
            <wp:effectExtent l="0" t="0" r="3175" b="127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7540625" cy="10666730"/>
                    </a:xfrm>
                    <a:prstGeom prst="rect">
                      <a:avLst/>
                    </a:prstGeom>
                  </pic:spPr>
                </pic:pic>
              </a:graphicData>
            </a:graphic>
            <wp14:sizeRelH relativeFrom="page">
              <wp14:pctWidth>0</wp14:pctWidth>
            </wp14:sizeRelH>
            <wp14:sizeRelV relativeFrom="page">
              <wp14:pctHeight>0</wp14:pctHeight>
            </wp14:sizeRelV>
          </wp:anchor>
        </w:drawing>
      </w:r>
      <w:r w:rsidR="00107DD5" w:rsidRPr="00AD3B62">
        <w:rPr>
          <w:rFonts w:asciiTheme="minorHAnsi" w:hAnsiTheme="minorHAnsi" w:cstheme="minorHAnsi"/>
          <w:noProof/>
        </w:rPr>
        <w:drawing>
          <wp:inline distT="0" distB="0" distL="0" distR="0" wp14:anchorId="1DF213B6" wp14:editId="181A0F48">
            <wp:extent cx="3437400" cy="793750"/>
            <wp:effectExtent l="0" t="0" r="0" b="6350"/>
            <wp:docPr id="3" name="Graphic 3" descr="Australian Government. Higher Education Gender-based Violence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ustralian Government. Higher Education Gender-based Violence Regulator."/>
                    <pic:cNvPicPr/>
                  </pic:nvPicPr>
                  <pic:blipFill>
                    <a:blip r:embed="rId11">
                      <a:extLst>
                        <a:ext uri="{28A0092B-C50C-407E-A947-70E740481C1C}">
                          <a14:useLocalDpi xmlns:a14="http://schemas.microsoft.com/office/drawing/2010/main" val="0"/>
                        </a:ext>
                      </a:extLst>
                    </a:blip>
                    <a:stretch>
                      <a:fillRect/>
                    </a:stretch>
                  </pic:blipFill>
                  <pic:spPr>
                    <a:xfrm>
                      <a:off x="0" y="0"/>
                      <a:ext cx="3450012" cy="796662"/>
                    </a:xfrm>
                    <a:prstGeom prst="rect">
                      <a:avLst/>
                    </a:prstGeom>
                  </pic:spPr>
                </pic:pic>
              </a:graphicData>
            </a:graphic>
          </wp:inline>
        </w:drawing>
      </w:r>
    </w:p>
    <w:bookmarkStart w:id="0" w:name="_Toc215493935" w:displacedByCustomXml="next"/>
    <w:bookmarkStart w:id="1" w:name="_Toc215493894" w:displacedByCustomXml="next"/>
    <w:bookmarkStart w:id="2" w:name="_Toc126923157" w:displacedByCustomXml="next"/>
    <w:bookmarkStart w:id="3" w:name="_Toc126923146" w:displacedByCustomXml="next"/>
    <w:sdt>
      <w:sdtPr>
        <w:rPr>
          <w:rFonts w:asciiTheme="minorHAnsi" w:hAnsiTheme="minorHAnsi" w:cstheme="minorHAnsi"/>
        </w:rPr>
        <w:alias w:val="Title"/>
        <w:tag w:val=""/>
        <w:id w:val="1478495247"/>
        <w:placeholder>
          <w:docPart w:val="026D9A923AB949B48FD45161E4265184"/>
        </w:placeholder>
        <w:dataBinding w:prefixMappings="xmlns:ns0='http://purl.org/dc/elements/1.1/' xmlns:ns1='http://schemas.openxmlformats.org/package/2006/metadata/core-properties' " w:xpath="/ns1:coreProperties[1]/ns0:title[1]" w:storeItemID="{6C3C8BC8-F283-45AE-878A-BAB7291924A1}"/>
        <w:text/>
      </w:sdtPr>
      <w:sdtContent>
        <w:p w14:paraId="3A81AE76" w14:textId="23A9435D" w:rsidR="00221D8F" w:rsidRPr="00AD3B62" w:rsidRDefault="00CB158B" w:rsidP="00192C11">
          <w:pPr>
            <w:pStyle w:val="Heading1"/>
            <w:numPr>
              <w:ilvl w:val="0"/>
              <w:numId w:val="0"/>
            </w:numPr>
            <w:spacing w:before="2040"/>
            <w:ind w:left="3119"/>
            <w:rPr>
              <w:rFonts w:asciiTheme="minorHAnsi" w:hAnsiTheme="minorHAnsi" w:cstheme="minorHAnsi"/>
            </w:rPr>
          </w:pPr>
          <w:r w:rsidRPr="00AD3B62">
            <w:rPr>
              <w:rFonts w:asciiTheme="minorHAnsi" w:hAnsiTheme="minorHAnsi" w:cstheme="minorHAnsi"/>
            </w:rPr>
            <w:t>Compliance and Enforcement Policy</w:t>
          </w:r>
        </w:p>
      </w:sdtContent>
    </w:sdt>
    <w:bookmarkEnd w:id="0" w:displacedByCustomXml="prev"/>
    <w:bookmarkEnd w:id="1" w:displacedByCustomXml="prev"/>
    <w:bookmarkEnd w:id="2" w:displacedByCustomXml="prev"/>
    <w:bookmarkEnd w:id="3" w:displacedByCustomXml="prev"/>
    <w:p w14:paraId="1C0EC753" w14:textId="6F35AC70" w:rsidR="0017134D" w:rsidRPr="00AD3B62" w:rsidRDefault="00CB158B" w:rsidP="00FA77BD">
      <w:pPr>
        <w:pStyle w:val="Subtitle"/>
        <w:ind w:left="3119"/>
        <w:rPr>
          <w:rFonts w:asciiTheme="minorHAnsi" w:hAnsiTheme="minorHAnsi" w:cstheme="minorHAnsi"/>
        </w:rPr>
      </w:pPr>
      <w:r w:rsidRPr="00AD3B62">
        <w:rPr>
          <w:rFonts w:asciiTheme="minorHAnsi" w:hAnsiTheme="minorHAnsi" w:cstheme="minorHAnsi"/>
        </w:rPr>
        <w:t>December 2025</w:t>
      </w:r>
    </w:p>
    <w:p w14:paraId="7E01888D" w14:textId="77777777" w:rsidR="00107D87" w:rsidRPr="00AD3B62" w:rsidRDefault="00107D87">
      <w:pPr>
        <w:rPr>
          <w:rFonts w:asciiTheme="minorHAnsi" w:hAnsiTheme="minorHAnsi" w:cstheme="minorHAnsi"/>
        </w:rPr>
        <w:sectPr w:rsidR="00107D87" w:rsidRPr="00AD3B62" w:rsidSect="00221D8F">
          <w:pgSz w:w="11906" w:h="16838"/>
          <w:pgMar w:top="1814" w:right="1440" w:bottom="1440" w:left="1440" w:header="709" w:footer="709" w:gutter="0"/>
          <w:cols w:space="708"/>
          <w:docGrid w:linePitch="360"/>
        </w:sectPr>
      </w:pPr>
    </w:p>
    <w:p w14:paraId="0DEB6475" w14:textId="19B26490" w:rsidR="00885E08" w:rsidRPr="00AD3B62" w:rsidRDefault="00885E08" w:rsidP="00CB158B">
      <w:pPr>
        <w:spacing w:before="8760"/>
        <w:rPr>
          <w:rFonts w:asciiTheme="minorHAnsi" w:hAnsiTheme="minorHAnsi" w:cstheme="minorHAnsi"/>
          <w:b/>
          <w:bCs/>
        </w:rPr>
      </w:pPr>
    </w:p>
    <w:p w14:paraId="1A7992E8" w14:textId="1406468E" w:rsidR="0017134D" w:rsidRPr="00AD3B62" w:rsidRDefault="00757EAF" w:rsidP="0017134D">
      <w:pPr>
        <w:rPr>
          <w:rFonts w:asciiTheme="minorHAnsi" w:hAnsiTheme="minorHAnsi" w:cstheme="minorHAnsi"/>
        </w:rPr>
      </w:pPr>
      <w:r w:rsidRPr="00AD3B62">
        <w:rPr>
          <w:rFonts w:asciiTheme="minorHAnsi" w:hAnsiTheme="minorHAnsi" w:cstheme="minorHAnsi"/>
          <w:noProof/>
        </w:rPr>
        <w:drawing>
          <wp:inline distT="0" distB="0" distL="0" distR="0" wp14:anchorId="4FCD647E" wp14:editId="15950460">
            <wp:extent cx="843643" cy="295275"/>
            <wp:effectExtent l="0" t="0" r="0" b="0"/>
            <wp:docPr id="1" name="Picture 1"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log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43643" cy="295275"/>
                    </a:xfrm>
                    <a:prstGeom prst="rect">
                      <a:avLst/>
                    </a:prstGeom>
                  </pic:spPr>
                </pic:pic>
              </a:graphicData>
            </a:graphic>
          </wp:inline>
        </w:drawing>
      </w:r>
    </w:p>
    <w:p w14:paraId="54D28433" w14:textId="77777777" w:rsidR="00757EAF" w:rsidRPr="00AD3B62" w:rsidRDefault="00757EAF" w:rsidP="0017134D">
      <w:pPr>
        <w:rPr>
          <w:rFonts w:asciiTheme="minorHAnsi" w:hAnsiTheme="minorHAnsi" w:cstheme="minorHAnsi"/>
        </w:rPr>
      </w:pPr>
    </w:p>
    <w:p w14:paraId="45057CD0" w14:textId="77777777" w:rsidR="0017134D" w:rsidRPr="00AD3B62" w:rsidRDefault="0017134D" w:rsidP="0017134D">
      <w:pPr>
        <w:rPr>
          <w:rFonts w:asciiTheme="minorHAnsi" w:hAnsiTheme="minorHAnsi" w:cstheme="minorHAnsi"/>
        </w:rPr>
      </w:pPr>
      <w:r w:rsidRPr="00AD3B62">
        <w:rPr>
          <w:rFonts w:asciiTheme="minorHAnsi" w:hAnsiTheme="minorHAnsi" w:cstheme="minorHAnsi"/>
        </w:rPr>
        <w:t xml:space="preserve">With the exception of the Commonwealth Coat of Arms, the Department’s logo, any material protected by a trade mark and where otherwise noted all material presented in this document is provided under a </w:t>
      </w:r>
      <w:hyperlink r:id="rId13" w:history="1">
        <w:r w:rsidRPr="00AD3B62">
          <w:rPr>
            <w:rStyle w:val="Hyperlink"/>
            <w:rFonts w:asciiTheme="minorHAnsi" w:hAnsiTheme="minorHAnsi" w:cstheme="minorHAnsi"/>
          </w:rPr>
          <w:t>Creative Commons Attribution 4.0 International</w:t>
        </w:r>
      </w:hyperlink>
      <w:r w:rsidRPr="00AD3B62">
        <w:rPr>
          <w:rFonts w:asciiTheme="minorHAnsi" w:hAnsiTheme="minorHAnsi" w:cstheme="minorHAnsi"/>
        </w:rPr>
        <w:t xml:space="preserve"> (</w:t>
      </w:r>
      <w:r w:rsidR="00107D87" w:rsidRPr="00AD3B62">
        <w:rPr>
          <w:rFonts w:asciiTheme="minorHAnsi" w:hAnsiTheme="minorHAnsi" w:cstheme="minorHAnsi"/>
        </w:rPr>
        <w:t>https://creativecommons.org/licenses/by/4.0/</w:t>
      </w:r>
      <w:r w:rsidRPr="00AD3B62">
        <w:rPr>
          <w:rFonts w:asciiTheme="minorHAnsi" w:hAnsiTheme="minorHAnsi" w:cstheme="minorHAnsi"/>
        </w:rPr>
        <w:t>)</w:t>
      </w:r>
      <w:r w:rsidR="00107D87" w:rsidRPr="00AD3B62">
        <w:rPr>
          <w:rFonts w:asciiTheme="minorHAnsi" w:hAnsiTheme="minorHAnsi" w:cstheme="minorHAnsi"/>
        </w:rPr>
        <w:t xml:space="preserve"> </w:t>
      </w:r>
      <w:r w:rsidRPr="00AD3B62">
        <w:rPr>
          <w:rFonts w:asciiTheme="minorHAnsi" w:hAnsiTheme="minorHAnsi" w:cstheme="minorHAnsi"/>
        </w:rPr>
        <w:t>licence.</w:t>
      </w:r>
    </w:p>
    <w:p w14:paraId="7E9209AE" w14:textId="7C48F15A" w:rsidR="0017134D" w:rsidRPr="00AD3B62" w:rsidRDefault="0017134D" w:rsidP="0017134D">
      <w:pPr>
        <w:rPr>
          <w:rFonts w:asciiTheme="minorHAnsi" w:hAnsiTheme="minorHAnsi" w:cstheme="minorHAnsi"/>
        </w:rPr>
      </w:pPr>
      <w:r w:rsidRPr="00AD3B62">
        <w:rPr>
          <w:rFonts w:asciiTheme="minorHAnsi" w:hAnsiTheme="minorHAnsi" w:cstheme="minorHAnsi"/>
        </w:rPr>
        <w:t xml:space="preserve">The details of the relevant licence conditions are available on the Creative Commons website (accessible using the links provided) as is the full legal code for the </w:t>
      </w:r>
      <w:hyperlink r:id="rId14" w:history="1">
        <w:r w:rsidRPr="00AD3B62">
          <w:rPr>
            <w:rStyle w:val="Hyperlink"/>
            <w:rFonts w:asciiTheme="minorHAnsi" w:hAnsiTheme="minorHAnsi" w:cstheme="minorHAnsi"/>
          </w:rPr>
          <w:t>CC BY 4.0 International</w:t>
        </w:r>
      </w:hyperlink>
      <w:r w:rsidRPr="00AD3B62">
        <w:rPr>
          <w:rFonts w:asciiTheme="minorHAnsi" w:hAnsiTheme="minorHAnsi" w:cstheme="minorHAnsi"/>
        </w:rPr>
        <w:t xml:space="preserve"> (</w:t>
      </w:r>
      <w:r w:rsidR="00107D87" w:rsidRPr="00AD3B62">
        <w:rPr>
          <w:rFonts w:asciiTheme="minorHAnsi" w:hAnsiTheme="minorHAnsi" w:cstheme="minorHAnsi"/>
        </w:rPr>
        <w:t>https://creativecommons.org/licenses/by/4.0/legalcode</w:t>
      </w:r>
      <w:r w:rsidRPr="00AD3B62">
        <w:rPr>
          <w:rFonts w:asciiTheme="minorHAnsi" w:hAnsiTheme="minorHAnsi" w:cstheme="minorHAnsi"/>
        </w:rPr>
        <w:t>)</w:t>
      </w:r>
      <w:r w:rsidR="00107D87" w:rsidRPr="00AD3B62">
        <w:rPr>
          <w:rFonts w:asciiTheme="minorHAnsi" w:hAnsiTheme="minorHAnsi" w:cstheme="minorHAnsi"/>
        </w:rPr>
        <w:t xml:space="preserve"> </w:t>
      </w:r>
    </w:p>
    <w:p w14:paraId="438A5B69" w14:textId="4F98809E" w:rsidR="0017134D" w:rsidRPr="00AD3B62" w:rsidRDefault="0017134D" w:rsidP="0017134D">
      <w:pPr>
        <w:rPr>
          <w:rFonts w:asciiTheme="minorHAnsi" w:hAnsiTheme="minorHAnsi" w:cstheme="minorHAnsi"/>
        </w:rPr>
      </w:pPr>
      <w:r w:rsidRPr="00AD3B62">
        <w:rPr>
          <w:rFonts w:asciiTheme="minorHAnsi" w:hAnsiTheme="minorHAnsi" w:cstheme="minorHAnsi"/>
        </w:rPr>
        <w:t>The document must be attributed as the</w:t>
      </w:r>
      <w:r w:rsidR="00CB158B" w:rsidRPr="00AD3B62">
        <w:rPr>
          <w:rFonts w:asciiTheme="minorHAnsi" w:hAnsiTheme="minorHAnsi" w:cstheme="minorHAnsi"/>
        </w:rPr>
        <w:t xml:space="preserve"> Compliance and Enforcement Policy of the Higher Education Gender-based Violence Regulator</w:t>
      </w:r>
      <w:r w:rsidRPr="00AD3B62">
        <w:rPr>
          <w:rFonts w:asciiTheme="minorHAnsi" w:hAnsiTheme="minorHAnsi" w:cstheme="minorHAnsi"/>
        </w:rPr>
        <w:t>.</w:t>
      </w:r>
    </w:p>
    <w:p w14:paraId="79B85449" w14:textId="77777777" w:rsidR="00CB158B" w:rsidRPr="00AD3B62" w:rsidRDefault="00CB158B" w:rsidP="0017134D">
      <w:pPr>
        <w:rPr>
          <w:rFonts w:asciiTheme="minorHAnsi" w:hAnsiTheme="minorHAnsi" w:cstheme="minorHAnsi"/>
        </w:rPr>
      </w:pPr>
    </w:p>
    <w:p w14:paraId="2DE1A715" w14:textId="77C04831" w:rsidR="005D435F" w:rsidRPr="00AD3B62" w:rsidRDefault="00757EAF" w:rsidP="0017134D">
      <w:pPr>
        <w:rPr>
          <w:rFonts w:asciiTheme="minorHAnsi" w:hAnsiTheme="minorHAnsi" w:cstheme="minorHAnsi"/>
        </w:rPr>
      </w:pPr>
      <w:r w:rsidRPr="00AD3B62">
        <w:rPr>
          <w:rFonts w:asciiTheme="minorHAnsi" w:hAnsiTheme="minorHAnsi" w:cstheme="minorHAnsi"/>
          <w:noProof/>
        </w:rPr>
        <w:lastRenderedPageBreak/>
        <w:drawing>
          <wp:anchor distT="0" distB="0" distL="114300" distR="114300" simplePos="0" relativeHeight="251658241" behindDoc="0" locked="0" layoutInCell="1" allowOverlap="1" wp14:anchorId="1934D568" wp14:editId="269E76DD">
            <wp:simplePos x="0" y="0"/>
            <wp:positionH relativeFrom="page">
              <wp:align>left</wp:align>
            </wp:positionH>
            <wp:positionV relativeFrom="paragraph">
              <wp:posOffset>-913546</wp:posOffset>
            </wp:positionV>
            <wp:extent cx="7564499" cy="10699750"/>
            <wp:effectExtent l="0" t="0" r="0" b="6350"/>
            <wp:wrapNone/>
            <wp:docPr id="205337261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372614" name="Picture 1">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7564499" cy="10699750"/>
                    </a:xfrm>
                    <a:prstGeom prst="rect">
                      <a:avLst/>
                    </a:prstGeom>
                  </pic:spPr>
                </pic:pic>
              </a:graphicData>
            </a:graphic>
            <wp14:sizeRelH relativeFrom="margin">
              <wp14:pctWidth>0</wp14:pctWidth>
            </wp14:sizeRelH>
            <wp14:sizeRelV relativeFrom="margin">
              <wp14:pctHeight>0</wp14:pctHeight>
            </wp14:sizeRelV>
          </wp:anchor>
        </w:drawing>
      </w:r>
    </w:p>
    <w:p w14:paraId="2757F59B" w14:textId="53D6EFF4" w:rsidR="00107D87" w:rsidRPr="00AD3B62" w:rsidRDefault="005D435F" w:rsidP="005D435F">
      <w:pPr>
        <w:spacing w:after="160"/>
        <w:rPr>
          <w:rFonts w:asciiTheme="minorHAnsi" w:hAnsiTheme="minorHAnsi" w:cstheme="minorHAnsi"/>
        </w:rPr>
        <w:sectPr w:rsidR="00107D87" w:rsidRPr="00AD3B62">
          <w:pgSz w:w="11906" w:h="16838"/>
          <w:pgMar w:top="1440" w:right="1440" w:bottom="1440" w:left="1440" w:header="708" w:footer="708" w:gutter="0"/>
          <w:cols w:space="708"/>
          <w:docGrid w:linePitch="360"/>
        </w:sectPr>
      </w:pPr>
      <w:r w:rsidRPr="00AD3B62">
        <w:rPr>
          <w:rFonts w:asciiTheme="minorHAnsi" w:hAnsiTheme="minorHAnsi" w:cstheme="minorHAnsi"/>
        </w:rPr>
        <w:br w:type="page"/>
      </w:r>
    </w:p>
    <w:sdt>
      <w:sdtPr>
        <w:rPr>
          <w:rFonts w:asciiTheme="minorHAnsi" w:eastAsiaTheme="minorHAnsi" w:hAnsiTheme="minorHAnsi" w:cstheme="minorHAnsi"/>
          <w:b w:val="0"/>
          <w:color w:val="auto"/>
          <w:sz w:val="22"/>
          <w:szCs w:val="22"/>
          <w:lang w:val="en-AU"/>
        </w:rPr>
        <w:id w:val="-629635428"/>
        <w:docPartObj>
          <w:docPartGallery w:val="Table of Contents"/>
          <w:docPartUnique/>
        </w:docPartObj>
      </w:sdtPr>
      <w:sdtEndPr>
        <w:rPr>
          <w:sz w:val="21"/>
        </w:rPr>
      </w:sdtEndPr>
      <w:sdtContent>
        <w:p w14:paraId="6C661F47" w14:textId="682BAC7A" w:rsidR="00192C11" w:rsidRPr="00AD3B62" w:rsidRDefault="00192C11" w:rsidP="00192C11">
          <w:pPr>
            <w:pStyle w:val="TOCHeading"/>
            <w:numPr>
              <w:ilvl w:val="0"/>
              <w:numId w:val="0"/>
            </w:numPr>
            <w:ind w:left="432" w:hanging="432"/>
            <w:rPr>
              <w:rFonts w:asciiTheme="minorHAnsi" w:hAnsiTheme="minorHAnsi" w:cstheme="minorHAnsi"/>
              <w:noProof/>
            </w:rPr>
          </w:pPr>
          <w:r w:rsidRPr="00AD3B62">
            <w:rPr>
              <w:rFonts w:asciiTheme="minorHAnsi" w:hAnsiTheme="minorHAnsi" w:cstheme="minorHAnsi"/>
              <w:color w:val="49255F"/>
            </w:rPr>
            <w:t>Contents</w:t>
          </w:r>
          <w:r w:rsidRPr="00AD3B62">
            <w:rPr>
              <w:rFonts w:asciiTheme="minorHAnsi" w:hAnsiTheme="minorHAnsi" w:cstheme="minorHAnsi"/>
            </w:rPr>
            <w:fldChar w:fldCharType="begin"/>
          </w:r>
          <w:r w:rsidRPr="00AD3B62">
            <w:rPr>
              <w:rFonts w:asciiTheme="minorHAnsi" w:hAnsiTheme="minorHAnsi" w:cstheme="minorHAnsi"/>
            </w:rPr>
            <w:instrText xml:space="preserve"> TOC \o "1-3" \h \z \u </w:instrText>
          </w:r>
          <w:r w:rsidRPr="00AD3B62">
            <w:rPr>
              <w:rFonts w:asciiTheme="minorHAnsi" w:hAnsiTheme="minorHAnsi" w:cstheme="minorHAnsi"/>
            </w:rPr>
            <w:fldChar w:fldCharType="separate"/>
          </w:r>
        </w:p>
        <w:p w14:paraId="24CAD0D2" w14:textId="305E6347" w:rsidR="00192C11" w:rsidRPr="00D3222A" w:rsidRDefault="00192C11">
          <w:pPr>
            <w:pStyle w:val="TOC1"/>
            <w:tabs>
              <w:tab w:val="left" w:pos="440"/>
            </w:tabs>
            <w:rPr>
              <w:rFonts w:asciiTheme="minorHAnsi" w:eastAsiaTheme="minorEastAsia" w:hAnsiTheme="minorHAnsi" w:cstheme="minorHAnsi"/>
              <w:noProof/>
              <w:kern w:val="2"/>
              <w:sz w:val="22"/>
              <w:lang w:eastAsia="en-AU"/>
              <w14:ligatures w14:val="standardContextual"/>
            </w:rPr>
          </w:pPr>
          <w:hyperlink w:anchor="_Toc215493936" w:history="1">
            <w:r w:rsidRPr="00D3222A">
              <w:rPr>
                <w:rStyle w:val="Hyperlink"/>
                <w:rFonts w:asciiTheme="minorHAnsi" w:hAnsiTheme="minorHAnsi" w:cstheme="minorHAnsi"/>
                <w:noProof/>
                <w:sz w:val="22"/>
              </w:rPr>
              <w:t>1</w:t>
            </w:r>
            <w:r w:rsidRPr="00D3222A">
              <w:rPr>
                <w:rFonts w:asciiTheme="minorHAnsi" w:eastAsiaTheme="minorEastAsia" w:hAnsiTheme="minorHAnsi" w:cstheme="minorHAnsi"/>
                <w:noProof/>
                <w:kern w:val="2"/>
                <w:sz w:val="22"/>
                <w:lang w:eastAsia="en-AU"/>
                <w14:ligatures w14:val="standardContextual"/>
              </w:rPr>
              <w:tab/>
            </w:r>
            <w:r w:rsidRPr="00D3222A">
              <w:rPr>
                <w:rStyle w:val="Hyperlink"/>
                <w:rFonts w:asciiTheme="minorHAnsi" w:hAnsiTheme="minorHAnsi" w:cstheme="minorHAnsi"/>
                <w:noProof/>
                <w:sz w:val="22"/>
              </w:rPr>
              <w:t>Introduction</w:t>
            </w:r>
            <w:r w:rsidRPr="00D3222A">
              <w:rPr>
                <w:rFonts w:asciiTheme="minorHAnsi" w:hAnsiTheme="minorHAnsi" w:cstheme="minorHAnsi"/>
                <w:noProof/>
                <w:webHidden/>
                <w:sz w:val="22"/>
              </w:rPr>
              <w:tab/>
            </w:r>
            <w:r w:rsidRPr="00D3222A">
              <w:rPr>
                <w:rFonts w:asciiTheme="minorHAnsi" w:hAnsiTheme="minorHAnsi" w:cstheme="minorHAnsi"/>
                <w:noProof/>
                <w:webHidden/>
                <w:sz w:val="22"/>
              </w:rPr>
              <w:fldChar w:fldCharType="begin"/>
            </w:r>
            <w:r w:rsidRPr="00D3222A">
              <w:rPr>
                <w:rFonts w:asciiTheme="minorHAnsi" w:hAnsiTheme="minorHAnsi" w:cstheme="minorHAnsi"/>
                <w:noProof/>
                <w:webHidden/>
                <w:sz w:val="22"/>
              </w:rPr>
              <w:instrText xml:space="preserve"> PAGEREF _Toc215493936 \h </w:instrText>
            </w:r>
            <w:r w:rsidRPr="00D3222A">
              <w:rPr>
                <w:rFonts w:asciiTheme="minorHAnsi" w:hAnsiTheme="minorHAnsi" w:cstheme="minorHAnsi"/>
                <w:noProof/>
                <w:webHidden/>
                <w:sz w:val="22"/>
              </w:rPr>
            </w:r>
            <w:r w:rsidRPr="00D3222A">
              <w:rPr>
                <w:rFonts w:asciiTheme="minorHAnsi" w:hAnsiTheme="minorHAnsi" w:cstheme="minorHAnsi"/>
                <w:noProof/>
                <w:webHidden/>
                <w:sz w:val="22"/>
              </w:rPr>
              <w:fldChar w:fldCharType="separate"/>
            </w:r>
            <w:r w:rsidR="00AE43CA">
              <w:rPr>
                <w:rFonts w:asciiTheme="minorHAnsi" w:hAnsiTheme="minorHAnsi" w:cstheme="minorHAnsi"/>
                <w:noProof/>
                <w:webHidden/>
                <w:sz w:val="22"/>
              </w:rPr>
              <w:t>5</w:t>
            </w:r>
            <w:r w:rsidRPr="00D3222A">
              <w:rPr>
                <w:rFonts w:asciiTheme="minorHAnsi" w:hAnsiTheme="minorHAnsi" w:cstheme="minorHAnsi"/>
                <w:noProof/>
                <w:webHidden/>
                <w:sz w:val="22"/>
              </w:rPr>
              <w:fldChar w:fldCharType="end"/>
            </w:r>
          </w:hyperlink>
        </w:p>
        <w:p w14:paraId="13B9BCAB" w14:textId="4C805D4F" w:rsidR="00192C11" w:rsidRPr="00D3222A" w:rsidRDefault="00192C11">
          <w:pPr>
            <w:pStyle w:val="TOC2"/>
            <w:tabs>
              <w:tab w:val="left" w:pos="960"/>
              <w:tab w:val="right" w:leader="dot" w:pos="9016"/>
            </w:tabs>
            <w:rPr>
              <w:rFonts w:asciiTheme="minorHAnsi" w:eastAsiaTheme="minorEastAsia" w:hAnsiTheme="minorHAnsi" w:cstheme="minorHAnsi"/>
              <w:noProof/>
              <w:kern w:val="2"/>
              <w:sz w:val="22"/>
              <w:lang w:eastAsia="en-AU"/>
              <w14:ligatures w14:val="standardContextual"/>
            </w:rPr>
          </w:pPr>
          <w:hyperlink w:anchor="_Toc215493937" w:history="1">
            <w:r w:rsidRPr="00D3222A">
              <w:rPr>
                <w:rStyle w:val="Hyperlink"/>
                <w:rFonts w:asciiTheme="minorHAnsi" w:hAnsiTheme="minorHAnsi" w:cstheme="minorHAnsi"/>
                <w:noProof/>
                <w:sz w:val="22"/>
              </w:rPr>
              <w:t>1.1</w:t>
            </w:r>
            <w:r w:rsidRPr="00D3222A">
              <w:rPr>
                <w:rFonts w:asciiTheme="minorHAnsi" w:eastAsiaTheme="minorEastAsia" w:hAnsiTheme="minorHAnsi" w:cstheme="minorHAnsi"/>
                <w:noProof/>
                <w:kern w:val="2"/>
                <w:sz w:val="22"/>
                <w:lang w:eastAsia="en-AU"/>
                <w14:ligatures w14:val="standardContextual"/>
              </w:rPr>
              <w:tab/>
            </w:r>
            <w:r w:rsidRPr="00D3222A">
              <w:rPr>
                <w:rStyle w:val="Hyperlink"/>
                <w:rFonts w:asciiTheme="minorHAnsi" w:hAnsiTheme="minorHAnsi" w:cstheme="minorHAnsi"/>
                <w:noProof/>
                <w:sz w:val="22"/>
              </w:rPr>
              <w:t>Purpose</w:t>
            </w:r>
            <w:r w:rsidRPr="00D3222A">
              <w:rPr>
                <w:rFonts w:asciiTheme="minorHAnsi" w:hAnsiTheme="minorHAnsi" w:cstheme="minorHAnsi"/>
                <w:noProof/>
                <w:webHidden/>
                <w:sz w:val="22"/>
              </w:rPr>
              <w:tab/>
            </w:r>
            <w:r w:rsidRPr="00D3222A">
              <w:rPr>
                <w:rFonts w:asciiTheme="minorHAnsi" w:hAnsiTheme="minorHAnsi" w:cstheme="minorHAnsi"/>
                <w:noProof/>
                <w:webHidden/>
                <w:sz w:val="22"/>
              </w:rPr>
              <w:fldChar w:fldCharType="begin"/>
            </w:r>
            <w:r w:rsidRPr="00D3222A">
              <w:rPr>
                <w:rFonts w:asciiTheme="minorHAnsi" w:hAnsiTheme="minorHAnsi" w:cstheme="minorHAnsi"/>
                <w:noProof/>
                <w:webHidden/>
                <w:sz w:val="22"/>
              </w:rPr>
              <w:instrText xml:space="preserve"> PAGEREF _Toc215493937 \h </w:instrText>
            </w:r>
            <w:r w:rsidRPr="00D3222A">
              <w:rPr>
                <w:rFonts w:asciiTheme="minorHAnsi" w:hAnsiTheme="minorHAnsi" w:cstheme="minorHAnsi"/>
                <w:noProof/>
                <w:webHidden/>
                <w:sz w:val="22"/>
              </w:rPr>
            </w:r>
            <w:r w:rsidRPr="00D3222A">
              <w:rPr>
                <w:rFonts w:asciiTheme="minorHAnsi" w:hAnsiTheme="minorHAnsi" w:cstheme="minorHAnsi"/>
                <w:noProof/>
                <w:webHidden/>
                <w:sz w:val="22"/>
              </w:rPr>
              <w:fldChar w:fldCharType="separate"/>
            </w:r>
            <w:r w:rsidR="00AE43CA">
              <w:rPr>
                <w:rFonts w:asciiTheme="minorHAnsi" w:hAnsiTheme="minorHAnsi" w:cstheme="minorHAnsi"/>
                <w:noProof/>
                <w:webHidden/>
                <w:sz w:val="22"/>
              </w:rPr>
              <w:t>5</w:t>
            </w:r>
            <w:r w:rsidRPr="00D3222A">
              <w:rPr>
                <w:rFonts w:asciiTheme="minorHAnsi" w:hAnsiTheme="minorHAnsi" w:cstheme="minorHAnsi"/>
                <w:noProof/>
                <w:webHidden/>
                <w:sz w:val="22"/>
              </w:rPr>
              <w:fldChar w:fldCharType="end"/>
            </w:r>
          </w:hyperlink>
        </w:p>
        <w:p w14:paraId="57879E52" w14:textId="2E00203D" w:rsidR="00192C11" w:rsidRPr="00D3222A" w:rsidRDefault="00192C11">
          <w:pPr>
            <w:pStyle w:val="TOC2"/>
            <w:tabs>
              <w:tab w:val="left" w:pos="960"/>
              <w:tab w:val="right" w:leader="dot" w:pos="9016"/>
            </w:tabs>
            <w:rPr>
              <w:rFonts w:asciiTheme="minorHAnsi" w:eastAsiaTheme="minorEastAsia" w:hAnsiTheme="minorHAnsi" w:cstheme="minorHAnsi"/>
              <w:noProof/>
              <w:kern w:val="2"/>
              <w:sz w:val="22"/>
              <w:lang w:eastAsia="en-AU"/>
              <w14:ligatures w14:val="standardContextual"/>
            </w:rPr>
          </w:pPr>
          <w:hyperlink w:anchor="_Toc215493938" w:history="1">
            <w:r w:rsidRPr="00D3222A">
              <w:rPr>
                <w:rStyle w:val="Hyperlink"/>
                <w:rFonts w:asciiTheme="minorHAnsi" w:hAnsiTheme="minorHAnsi" w:cstheme="minorHAnsi"/>
                <w:noProof/>
                <w:sz w:val="22"/>
              </w:rPr>
              <w:t>1.2</w:t>
            </w:r>
            <w:r w:rsidRPr="00D3222A">
              <w:rPr>
                <w:rFonts w:asciiTheme="minorHAnsi" w:eastAsiaTheme="minorEastAsia" w:hAnsiTheme="minorHAnsi" w:cstheme="minorHAnsi"/>
                <w:noProof/>
                <w:kern w:val="2"/>
                <w:sz w:val="22"/>
                <w:lang w:eastAsia="en-AU"/>
                <w14:ligatures w14:val="standardContextual"/>
              </w:rPr>
              <w:tab/>
            </w:r>
            <w:r w:rsidRPr="00D3222A">
              <w:rPr>
                <w:rStyle w:val="Hyperlink"/>
                <w:rFonts w:asciiTheme="minorHAnsi" w:hAnsiTheme="minorHAnsi" w:cstheme="minorHAnsi"/>
                <w:noProof/>
                <w:sz w:val="22"/>
              </w:rPr>
              <w:t>Scope</w:t>
            </w:r>
            <w:r w:rsidRPr="00D3222A">
              <w:rPr>
                <w:rFonts w:asciiTheme="minorHAnsi" w:hAnsiTheme="minorHAnsi" w:cstheme="minorHAnsi"/>
                <w:noProof/>
                <w:webHidden/>
                <w:sz w:val="22"/>
              </w:rPr>
              <w:tab/>
            </w:r>
            <w:r w:rsidRPr="00D3222A">
              <w:rPr>
                <w:rFonts w:asciiTheme="minorHAnsi" w:hAnsiTheme="minorHAnsi" w:cstheme="minorHAnsi"/>
                <w:noProof/>
                <w:webHidden/>
                <w:sz w:val="22"/>
              </w:rPr>
              <w:fldChar w:fldCharType="begin"/>
            </w:r>
            <w:r w:rsidRPr="00D3222A">
              <w:rPr>
                <w:rFonts w:asciiTheme="minorHAnsi" w:hAnsiTheme="minorHAnsi" w:cstheme="minorHAnsi"/>
                <w:noProof/>
                <w:webHidden/>
                <w:sz w:val="22"/>
              </w:rPr>
              <w:instrText xml:space="preserve"> PAGEREF _Toc215493938 \h </w:instrText>
            </w:r>
            <w:r w:rsidRPr="00D3222A">
              <w:rPr>
                <w:rFonts w:asciiTheme="minorHAnsi" w:hAnsiTheme="minorHAnsi" w:cstheme="minorHAnsi"/>
                <w:noProof/>
                <w:webHidden/>
                <w:sz w:val="22"/>
              </w:rPr>
            </w:r>
            <w:r w:rsidRPr="00D3222A">
              <w:rPr>
                <w:rFonts w:asciiTheme="minorHAnsi" w:hAnsiTheme="minorHAnsi" w:cstheme="minorHAnsi"/>
                <w:noProof/>
                <w:webHidden/>
                <w:sz w:val="22"/>
              </w:rPr>
              <w:fldChar w:fldCharType="separate"/>
            </w:r>
            <w:r w:rsidR="00AE43CA">
              <w:rPr>
                <w:rFonts w:asciiTheme="minorHAnsi" w:hAnsiTheme="minorHAnsi" w:cstheme="minorHAnsi"/>
                <w:noProof/>
                <w:webHidden/>
                <w:sz w:val="22"/>
              </w:rPr>
              <w:t>5</w:t>
            </w:r>
            <w:r w:rsidRPr="00D3222A">
              <w:rPr>
                <w:rFonts w:asciiTheme="minorHAnsi" w:hAnsiTheme="minorHAnsi" w:cstheme="minorHAnsi"/>
                <w:noProof/>
                <w:webHidden/>
                <w:sz w:val="22"/>
              </w:rPr>
              <w:fldChar w:fldCharType="end"/>
            </w:r>
          </w:hyperlink>
        </w:p>
        <w:p w14:paraId="08D1A475" w14:textId="742A821D" w:rsidR="00192C11" w:rsidRPr="00D3222A" w:rsidRDefault="00192C11">
          <w:pPr>
            <w:pStyle w:val="TOC2"/>
            <w:tabs>
              <w:tab w:val="left" w:pos="960"/>
              <w:tab w:val="right" w:leader="dot" w:pos="9016"/>
            </w:tabs>
            <w:rPr>
              <w:rFonts w:asciiTheme="minorHAnsi" w:eastAsiaTheme="minorEastAsia" w:hAnsiTheme="minorHAnsi" w:cstheme="minorHAnsi"/>
              <w:noProof/>
              <w:kern w:val="2"/>
              <w:sz w:val="22"/>
              <w:lang w:eastAsia="en-AU"/>
              <w14:ligatures w14:val="standardContextual"/>
            </w:rPr>
          </w:pPr>
          <w:hyperlink w:anchor="_Toc215493939" w:history="1">
            <w:r w:rsidRPr="00D3222A">
              <w:rPr>
                <w:rStyle w:val="Hyperlink"/>
                <w:rFonts w:asciiTheme="minorHAnsi" w:hAnsiTheme="minorHAnsi" w:cstheme="minorHAnsi"/>
                <w:noProof/>
                <w:sz w:val="22"/>
              </w:rPr>
              <w:t>1.3</w:t>
            </w:r>
            <w:r w:rsidRPr="00D3222A">
              <w:rPr>
                <w:rFonts w:asciiTheme="minorHAnsi" w:eastAsiaTheme="minorEastAsia" w:hAnsiTheme="minorHAnsi" w:cstheme="minorHAnsi"/>
                <w:noProof/>
                <w:kern w:val="2"/>
                <w:sz w:val="22"/>
                <w:lang w:eastAsia="en-AU"/>
                <w14:ligatures w14:val="standardContextual"/>
              </w:rPr>
              <w:tab/>
            </w:r>
            <w:r w:rsidRPr="00D3222A">
              <w:rPr>
                <w:rStyle w:val="Hyperlink"/>
                <w:rFonts w:asciiTheme="minorHAnsi" w:hAnsiTheme="minorHAnsi" w:cstheme="minorHAnsi"/>
                <w:noProof/>
                <w:sz w:val="22"/>
              </w:rPr>
              <w:t>Legislative framework</w:t>
            </w:r>
            <w:r w:rsidRPr="00D3222A">
              <w:rPr>
                <w:rFonts w:asciiTheme="minorHAnsi" w:hAnsiTheme="minorHAnsi" w:cstheme="minorHAnsi"/>
                <w:noProof/>
                <w:webHidden/>
                <w:sz w:val="22"/>
              </w:rPr>
              <w:tab/>
            </w:r>
            <w:r w:rsidRPr="00D3222A">
              <w:rPr>
                <w:rFonts w:asciiTheme="minorHAnsi" w:hAnsiTheme="minorHAnsi" w:cstheme="minorHAnsi"/>
                <w:noProof/>
                <w:webHidden/>
                <w:sz w:val="22"/>
              </w:rPr>
              <w:fldChar w:fldCharType="begin"/>
            </w:r>
            <w:r w:rsidRPr="00D3222A">
              <w:rPr>
                <w:rFonts w:asciiTheme="minorHAnsi" w:hAnsiTheme="minorHAnsi" w:cstheme="minorHAnsi"/>
                <w:noProof/>
                <w:webHidden/>
                <w:sz w:val="22"/>
              </w:rPr>
              <w:instrText xml:space="preserve"> PAGEREF _Toc215493939 \h </w:instrText>
            </w:r>
            <w:r w:rsidRPr="00D3222A">
              <w:rPr>
                <w:rFonts w:asciiTheme="minorHAnsi" w:hAnsiTheme="minorHAnsi" w:cstheme="minorHAnsi"/>
                <w:noProof/>
                <w:webHidden/>
                <w:sz w:val="22"/>
              </w:rPr>
            </w:r>
            <w:r w:rsidRPr="00D3222A">
              <w:rPr>
                <w:rFonts w:asciiTheme="minorHAnsi" w:hAnsiTheme="minorHAnsi" w:cstheme="minorHAnsi"/>
                <w:noProof/>
                <w:webHidden/>
                <w:sz w:val="22"/>
              </w:rPr>
              <w:fldChar w:fldCharType="separate"/>
            </w:r>
            <w:r w:rsidR="00AE43CA">
              <w:rPr>
                <w:rFonts w:asciiTheme="minorHAnsi" w:hAnsiTheme="minorHAnsi" w:cstheme="minorHAnsi"/>
                <w:noProof/>
                <w:webHidden/>
                <w:sz w:val="22"/>
              </w:rPr>
              <w:t>5</w:t>
            </w:r>
            <w:r w:rsidRPr="00D3222A">
              <w:rPr>
                <w:rFonts w:asciiTheme="minorHAnsi" w:hAnsiTheme="minorHAnsi" w:cstheme="minorHAnsi"/>
                <w:noProof/>
                <w:webHidden/>
                <w:sz w:val="22"/>
              </w:rPr>
              <w:fldChar w:fldCharType="end"/>
            </w:r>
          </w:hyperlink>
        </w:p>
        <w:p w14:paraId="4E35DC69" w14:textId="0379C372" w:rsidR="00192C11" w:rsidRPr="00D3222A" w:rsidRDefault="00192C11">
          <w:pPr>
            <w:pStyle w:val="TOC2"/>
            <w:tabs>
              <w:tab w:val="left" w:pos="960"/>
              <w:tab w:val="right" w:leader="dot" w:pos="9016"/>
            </w:tabs>
            <w:rPr>
              <w:rFonts w:asciiTheme="minorHAnsi" w:eastAsiaTheme="minorEastAsia" w:hAnsiTheme="minorHAnsi" w:cstheme="minorHAnsi"/>
              <w:noProof/>
              <w:kern w:val="2"/>
              <w:sz w:val="22"/>
              <w:lang w:eastAsia="en-AU"/>
              <w14:ligatures w14:val="standardContextual"/>
            </w:rPr>
          </w:pPr>
          <w:hyperlink w:anchor="_Toc215493942" w:history="1">
            <w:r w:rsidRPr="00D3222A">
              <w:rPr>
                <w:rStyle w:val="Hyperlink"/>
                <w:rFonts w:asciiTheme="minorHAnsi" w:hAnsiTheme="minorHAnsi" w:cstheme="minorHAnsi"/>
                <w:noProof/>
                <w:sz w:val="22"/>
              </w:rPr>
              <w:t>1.4</w:t>
            </w:r>
            <w:r w:rsidRPr="00D3222A">
              <w:rPr>
                <w:rFonts w:asciiTheme="minorHAnsi" w:eastAsiaTheme="minorEastAsia" w:hAnsiTheme="minorHAnsi" w:cstheme="minorHAnsi"/>
                <w:noProof/>
                <w:kern w:val="2"/>
                <w:sz w:val="22"/>
                <w:lang w:eastAsia="en-AU"/>
                <w14:ligatures w14:val="standardContextual"/>
              </w:rPr>
              <w:tab/>
            </w:r>
            <w:r w:rsidRPr="00D3222A">
              <w:rPr>
                <w:rStyle w:val="Hyperlink"/>
                <w:rFonts w:asciiTheme="minorHAnsi" w:hAnsiTheme="minorHAnsi" w:cstheme="minorHAnsi"/>
                <w:noProof/>
                <w:sz w:val="22"/>
              </w:rPr>
              <w:t>Strategic context and supporting documents</w:t>
            </w:r>
            <w:r w:rsidRPr="00D3222A">
              <w:rPr>
                <w:rFonts w:asciiTheme="minorHAnsi" w:hAnsiTheme="minorHAnsi" w:cstheme="minorHAnsi"/>
                <w:noProof/>
                <w:webHidden/>
                <w:sz w:val="22"/>
              </w:rPr>
              <w:tab/>
            </w:r>
            <w:r w:rsidRPr="00D3222A">
              <w:rPr>
                <w:rFonts w:asciiTheme="minorHAnsi" w:hAnsiTheme="minorHAnsi" w:cstheme="minorHAnsi"/>
                <w:noProof/>
                <w:webHidden/>
                <w:sz w:val="22"/>
              </w:rPr>
              <w:fldChar w:fldCharType="begin"/>
            </w:r>
            <w:r w:rsidRPr="00D3222A">
              <w:rPr>
                <w:rFonts w:asciiTheme="minorHAnsi" w:hAnsiTheme="minorHAnsi" w:cstheme="minorHAnsi"/>
                <w:noProof/>
                <w:webHidden/>
                <w:sz w:val="22"/>
              </w:rPr>
              <w:instrText xml:space="preserve"> PAGEREF _Toc215493942 \h </w:instrText>
            </w:r>
            <w:r w:rsidRPr="00D3222A">
              <w:rPr>
                <w:rFonts w:asciiTheme="minorHAnsi" w:hAnsiTheme="minorHAnsi" w:cstheme="minorHAnsi"/>
                <w:noProof/>
                <w:webHidden/>
                <w:sz w:val="22"/>
              </w:rPr>
            </w:r>
            <w:r w:rsidRPr="00D3222A">
              <w:rPr>
                <w:rFonts w:asciiTheme="minorHAnsi" w:hAnsiTheme="minorHAnsi" w:cstheme="minorHAnsi"/>
                <w:noProof/>
                <w:webHidden/>
                <w:sz w:val="22"/>
              </w:rPr>
              <w:fldChar w:fldCharType="separate"/>
            </w:r>
            <w:r w:rsidR="00AE43CA">
              <w:rPr>
                <w:rFonts w:asciiTheme="minorHAnsi" w:hAnsiTheme="minorHAnsi" w:cstheme="minorHAnsi"/>
                <w:noProof/>
                <w:webHidden/>
                <w:sz w:val="22"/>
              </w:rPr>
              <w:t>8</w:t>
            </w:r>
            <w:r w:rsidRPr="00D3222A">
              <w:rPr>
                <w:rFonts w:asciiTheme="minorHAnsi" w:hAnsiTheme="minorHAnsi" w:cstheme="minorHAnsi"/>
                <w:noProof/>
                <w:webHidden/>
                <w:sz w:val="22"/>
              </w:rPr>
              <w:fldChar w:fldCharType="end"/>
            </w:r>
          </w:hyperlink>
        </w:p>
        <w:p w14:paraId="03558030" w14:textId="350B356A" w:rsidR="00192C11" w:rsidRPr="00D3222A" w:rsidRDefault="00192C11">
          <w:pPr>
            <w:pStyle w:val="TOC2"/>
            <w:tabs>
              <w:tab w:val="left" w:pos="960"/>
              <w:tab w:val="right" w:leader="dot" w:pos="9016"/>
            </w:tabs>
            <w:rPr>
              <w:rFonts w:asciiTheme="minorHAnsi" w:eastAsiaTheme="minorEastAsia" w:hAnsiTheme="minorHAnsi" w:cstheme="minorHAnsi"/>
              <w:noProof/>
              <w:kern w:val="2"/>
              <w:sz w:val="22"/>
              <w:lang w:eastAsia="en-AU"/>
              <w14:ligatures w14:val="standardContextual"/>
            </w:rPr>
          </w:pPr>
          <w:hyperlink w:anchor="_Toc215493943" w:history="1">
            <w:r w:rsidRPr="00D3222A">
              <w:rPr>
                <w:rStyle w:val="Hyperlink"/>
                <w:rFonts w:asciiTheme="minorHAnsi" w:hAnsiTheme="minorHAnsi" w:cstheme="minorHAnsi"/>
                <w:noProof/>
                <w:sz w:val="22"/>
              </w:rPr>
              <w:t>1.5</w:t>
            </w:r>
            <w:r w:rsidRPr="00D3222A">
              <w:rPr>
                <w:rFonts w:asciiTheme="minorHAnsi" w:eastAsiaTheme="minorEastAsia" w:hAnsiTheme="minorHAnsi" w:cstheme="minorHAnsi"/>
                <w:noProof/>
                <w:kern w:val="2"/>
                <w:sz w:val="22"/>
                <w:lang w:eastAsia="en-AU"/>
                <w14:ligatures w14:val="standardContextual"/>
              </w:rPr>
              <w:tab/>
            </w:r>
            <w:r w:rsidRPr="00D3222A">
              <w:rPr>
                <w:rStyle w:val="Hyperlink"/>
                <w:rFonts w:asciiTheme="minorHAnsi" w:hAnsiTheme="minorHAnsi" w:cstheme="minorHAnsi"/>
                <w:noProof/>
                <w:sz w:val="22"/>
              </w:rPr>
              <w:t>Statutory and regulatory principles</w:t>
            </w:r>
            <w:r w:rsidRPr="00D3222A">
              <w:rPr>
                <w:rFonts w:asciiTheme="minorHAnsi" w:hAnsiTheme="minorHAnsi" w:cstheme="minorHAnsi"/>
                <w:noProof/>
                <w:webHidden/>
                <w:sz w:val="22"/>
              </w:rPr>
              <w:tab/>
            </w:r>
            <w:r w:rsidRPr="00D3222A">
              <w:rPr>
                <w:rFonts w:asciiTheme="minorHAnsi" w:hAnsiTheme="minorHAnsi" w:cstheme="minorHAnsi"/>
                <w:noProof/>
                <w:webHidden/>
                <w:sz w:val="22"/>
              </w:rPr>
              <w:fldChar w:fldCharType="begin"/>
            </w:r>
            <w:r w:rsidRPr="00D3222A">
              <w:rPr>
                <w:rFonts w:asciiTheme="minorHAnsi" w:hAnsiTheme="minorHAnsi" w:cstheme="minorHAnsi"/>
                <w:noProof/>
                <w:webHidden/>
                <w:sz w:val="22"/>
              </w:rPr>
              <w:instrText xml:space="preserve"> PAGEREF _Toc215493943 \h </w:instrText>
            </w:r>
            <w:r w:rsidRPr="00D3222A">
              <w:rPr>
                <w:rFonts w:asciiTheme="minorHAnsi" w:hAnsiTheme="minorHAnsi" w:cstheme="minorHAnsi"/>
                <w:noProof/>
                <w:webHidden/>
                <w:sz w:val="22"/>
              </w:rPr>
            </w:r>
            <w:r w:rsidRPr="00D3222A">
              <w:rPr>
                <w:rFonts w:asciiTheme="minorHAnsi" w:hAnsiTheme="minorHAnsi" w:cstheme="minorHAnsi"/>
                <w:noProof/>
                <w:webHidden/>
                <w:sz w:val="22"/>
              </w:rPr>
              <w:fldChar w:fldCharType="separate"/>
            </w:r>
            <w:r w:rsidR="00AE43CA">
              <w:rPr>
                <w:rFonts w:asciiTheme="minorHAnsi" w:hAnsiTheme="minorHAnsi" w:cstheme="minorHAnsi"/>
                <w:noProof/>
                <w:webHidden/>
                <w:sz w:val="22"/>
              </w:rPr>
              <w:t>8</w:t>
            </w:r>
            <w:r w:rsidRPr="00D3222A">
              <w:rPr>
                <w:rFonts w:asciiTheme="minorHAnsi" w:hAnsiTheme="minorHAnsi" w:cstheme="minorHAnsi"/>
                <w:noProof/>
                <w:webHidden/>
                <w:sz w:val="22"/>
              </w:rPr>
              <w:fldChar w:fldCharType="end"/>
            </w:r>
          </w:hyperlink>
        </w:p>
        <w:p w14:paraId="57F220A8" w14:textId="6EB8DAC7" w:rsidR="00192C11" w:rsidRPr="00D3222A" w:rsidRDefault="00192C11">
          <w:pPr>
            <w:pStyle w:val="TOC2"/>
            <w:tabs>
              <w:tab w:val="left" w:pos="960"/>
              <w:tab w:val="right" w:leader="dot" w:pos="9016"/>
            </w:tabs>
            <w:rPr>
              <w:rFonts w:asciiTheme="minorHAnsi" w:eastAsiaTheme="minorEastAsia" w:hAnsiTheme="minorHAnsi" w:cstheme="minorHAnsi"/>
              <w:noProof/>
              <w:kern w:val="2"/>
              <w:sz w:val="22"/>
              <w:lang w:eastAsia="en-AU"/>
              <w14:ligatures w14:val="standardContextual"/>
            </w:rPr>
          </w:pPr>
          <w:hyperlink w:anchor="_Toc215493946" w:history="1">
            <w:r w:rsidRPr="00D3222A">
              <w:rPr>
                <w:rStyle w:val="Hyperlink"/>
                <w:rFonts w:asciiTheme="minorHAnsi" w:hAnsiTheme="minorHAnsi" w:cstheme="minorHAnsi"/>
                <w:noProof/>
                <w:sz w:val="22"/>
              </w:rPr>
              <w:t>1.6</w:t>
            </w:r>
            <w:r w:rsidRPr="00D3222A">
              <w:rPr>
                <w:rFonts w:asciiTheme="minorHAnsi" w:eastAsiaTheme="minorEastAsia" w:hAnsiTheme="minorHAnsi" w:cstheme="minorHAnsi"/>
                <w:noProof/>
                <w:kern w:val="2"/>
                <w:sz w:val="22"/>
                <w:lang w:eastAsia="en-AU"/>
                <w14:ligatures w14:val="standardContextual"/>
              </w:rPr>
              <w:tab/>
            </w:r>
            <w:r w:rsidRPr="00D3222A">
              <w:rPr>
                <w:rStyle w:val="Hyperlink"/>
                <w:rFonts w:asciiTheme="minorHAnsi" w:hAnsiTheme="minorHAnsi" w:cstheme="minorHAnsi"/>
                <w:noProof/>
                <w:sz w:val="22"/>
              </w:rPr>
              <w:t>A risk-based approach: application of regulatory focus</w:t>
            </w:r>
            <w:r w:rsidRPr="00D3222A">
              <w:rPr>
                <w:rFonts w:asciiTheme="minorHAnsi" w:hAnsiTheme="minorHAnsi" w:cstheme="minorHAnsi"/>
                <w:noProof/>
                <w:webHidden/>
                <w:sz w:val="22"/>
              </w:rPr>
              <w:tab/>
            </w:r>
            <w:r w:rsidRPr="00D3222A">
              <w:rPr>
                <w:rFonts w:asciiTheme="minorHAnsi" w:hAnsiTheme="minorHAnsi" w:cstheme="minorHAnsi"/>
                <w:noProof/>
                <w:webHidden/>
                <w:sz w:val="22"/>
              </w:rPr>
              <w:fldChar w:fldCharType="begin"/>
            </w:r>
            <w:r w:rsidRPr="00D3222A">
              <w:rPr>
                <w:rFonts w:asciiTheme="minorHAnsi" w:hAnsiTheme="minorHAnsi" w:cstheme="minorHAnsi"/>
                <w:noProof/>
                <w:webHidden/>
                <w:sz w:val="22"/>
              </w:rPr>
              <w:instrText xml:space="preserve"> PAGEREF _Toc215493946 \h </w:instrText>
            </w:r>
            <w:r w:rsidRPr="00D3222A">
              <w:rPr>
                <w:rFonts w:asciiTheme="minorHAnsi" w:hAnsiTheme="minorHAnsi" w:cstheme="minorHAnsi"/>
                <w:noProof/>
                <w:webHidden/>
                <w:sz w:val="22"/>
              </w:rPr>
            </w:r>
            <w:r w:rsidRPr="00D3222A">
              <w:rPr>
                <w:rFonts w:asciiTheme="minorHAnsi" w:hAnsiTheme="minorHAnsi" w:cstheme="minorHAnsi"/>
                <w:noProof/>
                <w:webHidden/>
                <w:sz w:val="22"/>
              </w:rPr>
              <w:fldChar w:fldCharType="separate"/>
            </w:r>
            <w:r w:rsidR="00AE43CA">
              <w:rPr>
                <w:rFonts w:asciiTheme="minorHAnsi" w:hAnsiTheme="minorHAnsi" w:cstheme="minorHAnsi"/>
                <w:noProof/>
                <w:webHidden/>
                <w:sz w:val="22"/>
              </w:rPr>
              <w:t>9</w:t>
            </w:r>
            <w:r w:rsidRPr="00D3222A">
              <w:rPr>
                <w:rFonts w:asciiTheme="minorHAnsi" w:hAnsiTheme="minorHAnsi" w:cstheme="minorHAnsi"/>
                <w:noProof/>
                <w:webHidden/>
                <w:sz w:val="22"/>
              </w:rPr>
              <w:fldChar w:fldCharType="end"/>
            </w:r>
          </w:hyperlink>
        </w:p>
        <w:p w14:paraId="7EDBB793" w14:textId="42BEBFDF" w:rsidR="00192C11" w:rsidRPr="00D3222A" w:rsidRDefault="00192C11">
          <w:pPr>
            <w:pStyle w:val="TOC2"/>
            <w:tabs>
              <w:tab w:val="left" w:pos="960"/>
              <w:tab w:val="right" w:leader="dot" w:pos="9016"/>
            </w:tabs>
            <w:rPr>
              <w:rFonts w:asciiTheme="minorHAnsi" w:eastAsiaTheme="minorEastAsia" w:hAnsiTheme="minorHAnsi" w:cstheme="minorHAnsi"/>
              <w:noProof/>
              <w:kern w:val="2"/>
              <w:sz w:val="22"/>
              <w:lang w:eastAsia="en-AU"/>
              <w14:ligatures w14:val="standardContextual"/>
            </w:rPr>
          </w:pPr>
          <w:hyperlink w:anchor="_Toc215493947" w:history="1">
            <w:r w:rsidRPr="00D3222A">
              <w:rPr>
                <w:rStyle w:val="Hyperlink"/>
                <w:rFonts w:asciiTheme="minorHAnsi" w:hAnsiTheme="minorHAnsi" w:cstheme="minorHAnsi"/>
                <w:noProof/>
                <w:sz w:val="22"/>
              </w:rPr>
              <w:t>1.7</w:t>
            </w:r>
            <w:r w:rsidRPr="00D3222A">
              <w:rPr>
                <w:rFonts w:asciiTheme="minorHAnsi" w:eastAsiaTheme="minorEastAsia" w:hAnsiTheme="minorHAnsi" w:cstheme="minorHAnsi"/>
                <w:noProof/>
                <w:kern w:val="2"/>
                <w:sz w:val="22"/>
                <w:lang w:eastAsia="en-AU"/>
                <w14:ligatures w14:val="standardContextual"/>
              </w:rPr>
              <w:tab/>
            </w:r>
            <w:r w:rsidRPr="00D3222A">
              <w:rPr>
                <w:rStyle w:val="Hyperlink"/>
                <w:rFonts w:asciiTheme="minorHAnsi" w:hAnsiTheme="minorHAnsi" w:cstheme="minorHAnsi"/>
                <w:noProof/>
                <w:sz w:val="22"/>
              </w:rPr>
              <w:t>Early regulatory focus: Recognising regulatory and compliance maturity</w:t>
            </w:r>
            <w:r w:rsidRPr="00D3222A">
              <w:rPr>
                <w:rFonts w:asciiTheme="minorHAnsi" w:hAnsiTheme="minorHAnsi" w:cstheme="minorHAnsi"/>
                <w:noProof/>
                <w:webHidden/>
                <w:sz w:val="22"/>
              </w:rPr>
              <w:tab/>
            </w:r>
            <w:r w:rsidRPr="00D3222A">
              <w:rPr>
                <w:rFonts w:asciiTheme="minorHAnsi" w:hAnsiTheme="minorHAnsi" w:cstheme="minorHAnsi"/>
                <w:noProof/>
                <w:webHidden/>
                <w:sz w:val="22"/>
              </w:rPr>
              <w:fldChar w:fldCharType="begin"/>
            </w:r>
            <w:r w:rsidRPr="00D3222A">
              <w:rPr>
                <w:rFonts w:asciiTheme="minorHAnsi" w:hAnsiTheme="minorHAnsi" w:cstheme="minorHAnsi"/>
                <w:noProof/>
                <w:webHidden/>
                <w:sz w:val="22"/>
              </w:rPr>
              <w:instrText xml:space="preserve"> PAGEREF _Toc215493947 \h </w:instrText>
            </w:r>
            <w:r w:rsidRPr="00D3222A">
              <w:rPr>
                <w:rFonts w:asciiTheme="minorHAnsi" w:hAnsiTheme="minorHAnsi" w:cstheme="minorHAnsi"/>
                <w:noProof/>
                <w:webHidden/>
                <w:sz w:val="22"/>
              </w:rPr>
            </w:r>
            <w:r w:rsidRPr="00D3222A">
              <w:rPr>
                <w:rFonts w:asciiTheme="minorHAnsi" w:hAnsiTheme="minorHAnsi" w:cstheme="minorHAnsi"/>
                <w:noProof/>
                <w:webHidden/>
                <w:sz w:val="22"/>
              </w:rPr>
              <w:fldChar w:fldCharType="separate"/>
            </w:r>
            <w:r w:rsidR="00AE43CA">
              <w:rPr>
                <w:rFonts w:asciiTheme="minorHAnsi" w:hAnsiTheme="minorHAnsi" w:cstheme="minorHAnsi"/>
                <w:noProof/>
                <w:webHidden/>
                <w:sz w:val="22"/>
              </w:rPr>
              <w:t>10</w:t>
            </w:r>
            <w:r w:rsidRPr="00D3222A">
              <w:rPr>
                <w:rFonts w:asciiTheme="minorHAnsi" w:hAnsiTheme="minorHAnsi" w:cstheme="minorHAnsi"/>
                <w:noProof/>
                <w:webHidden/>
                <w:sz w:val="22"/>
              </w:rPr>
              <w:fldChar w:fldCharType="end"/>
            </w:r>
          </w:hyperlink>
        </w:p>
        <w:p w14:paraId="4E1E8DD8" w14:textId="0109A171" w:rsidR="00192C11" w:rsidRPr="00D3222A" w:rsidRDefault="00192C11">
          <w:pPr>
            <w:pStyle w:val="TOC1"/>
            <w:tabs>
              <w:tab w:val="left" w:pos="440"/>
            </w:tabs>
            <w:rPr>
              <w:rFonts w:asciiTheme="minorHAnsi" w:eastAsiaTheme="minorEastAsia" w:hAnsiTheme="minorHAnsi" w:cstheme="minorHAnsi"/>
              <w:noProof/>
              <w:kern w:val="2"/>
              <w:sz w:val="22"/>
              <w:lang w:eastAsia="en-AU"/>
              <w14:ligatures w14:val="standardContextual"/>
            </w:rPr>
          </w:pPr>
          <w:hyperlink w:anchor="_Toc215493948" w:history="1">
            <w:r w:rsidRPr="00D3222A">
              <w:rPr>
                <w:rStyle w:val="Hyperlink"/>
                <w:rFonts w:asciiTheme="minorHAnsi" w:hAnsiTheme="minorHAnsi" w:cstheme="minorHAnsi"/>
                <w:noProof/>
                <w:sz w:val="22"/>
              </w:rPr>
              <w:t>2</w:t>
            </w:r>
            <w:r w:rsidRPr="00D3222A">
              <w:rPr>
                <w:rFonts w:asciiTheme="minorHAnsi" w:eastAsiaTheme="minorEastAsia" w:hAnsiTheme="minorHAnsi" w:cstheme="minorHAnsi"/>
                <w:noProof/>
                <w:kern w:val="2"/>
                <w:sz w:val="22"/>
                <w:lang w:eastAsia="en-AU"/>
                <w14:ligatures w14:val="standardContextual"/>
              </w:rPr>
              <w:tab/>
            </w:r>
            <w:r w:rsidRPr="00D3222A">
              <w:rPr>
                <w:rStyle w:val="Hyperlink"/>
                <w:rFonts w:asciiTheme="minorHAnsi" w:hAnsiTheme="minorHAnsi" w:cstheme="minorHAnsi"/>
                <w:noProof/>
                <w:sz w:val="22"/>
              </w:rPr>
              <w:t>How information informs the regulatory approach</w:t>
            </w:r>
            <w:r w:rsidRPr="00D3222A">
              <w:rPr>
                <w:rFonts w:asciiTheme="minorHAnsi" w:hAnsiTheme="minorHAnsi" w:cstheme="minorHAnsi"/>
                <w:noProof/>
                <w:webHidden/>
                <w:sz w:val="22"/>
              </w:rPr>
              <w:tab/>
            </w:r>
            <w:r w:rsidRPr="00D3222A">
              <w:rPr>
                <w:rFonts w:asciiTheme="minorHAnsi" w:hAnsiTheme="minorHAnsi" w:cstheme="minorHAnsi"/>
                <w:noProof/>
                <w:webHidden/>
                <w:sz w:val="22"/>
              </w:rPr>
              <w:fldChar w:fldCharType="begin"/>
            </w:r>
            <w:r w:rsidRPr="00D3222A">
              <w:rPr>
                <w:rFonts w:asciiTheme="minorHAnsi" w:hAnsiTheme="minorHAnsi" w:cstheme="minorHAnsi"/>
                <w:noProof/>
                <w:webHidden/>
                <w:sz w:val="22"/>
              </w:rPr>
              <w:instrText xml:space="preserve"> PAGEREF _Toc215493948 \h </w:instrText>
            </w:r>
            <w:r w:rsidRPr="00D3222A">
              <w:rPr>
                <w:rFonts w:asciiTheme="minorHAnsi" w:hAnsiTheme="minorHAnsi" w:cstheme="minorHAnsi"/>
                <w:noProof/>
                <w:webHidden/>
                <w:sz w:val="22"/>
              </w:rPr>
            </w:r>
            <w:r w:rsidRPr="00D3222A">
              <w:rPr>
                <w:rFonts w:asciiTheme="minorHAnsi" w:hAnsiTheme="minorHAnsi" w:cstheme="minorHAnsi"/>
                <w:noProof/>
                <w:webHidden/>
                <w:sz w:val="22"/>
              </w:rPr>
              <w:fldChar w:fldCharType="separate"/>
            </w:r>
            <w:r w:rsidR="00AE43CA">
              <w:rPr>
                <w:rFonts w:asciiTheme="minorHAnsi" w:hAnsiTheme="minorHAnsi" w:cstheme="minorHAnsi"/>
                <w:noProof/>
                <w:webHidden/>
                <w:sz w:val="22"/>
              </w:rPr>
              <w:t>11</w:t>
            </w:r>
            <w:r w:rsidRPr="00D3222A">
              <w:rPr>
                <w:rFonts w:asciiTheme="minorHAnsi" w:hAnsiTheme="minorHAnsi" w:cstheme="minorHAnsi"/>
                <w:noProof/>
                <w:webHidden/>
                <w:sz w:val="22"/>
              </w:rPr>
              <w:fldChar w:fldCharType="end"/>
            </w:r>
          </w:hyperlink>
        </w:p>
        <w:p w14:paraId="053472A9" w14:textId="79634A09" w:rsidR="00192C11" w:rsidRPr="00D3222A" w:rsidRDefault="00192C11">
          <w:pPr>
            <w:pStyle w:val="TOC2"/>
            <w:tabs>
              <w:tab w:val="left" w:pos="960"/>
              <w:tab w:val="right" w:leader="dot" w:pos="9016"/>
            </w:tabs>
            <w:rPr>
              <w:rFonts w:asciiTheme="minorHAnsi" w:eastAsiaTheme="minorEastAsia" w:hAnsiTheme="minorHAnsi" w:cstheme="minorHAnsi"/>
              <w:noProof/>
              <w:kern w:val="2"/>
              <w:sz w:val="22"/>
              <w:lang w:eastAsia="en-AU"/>
              <w14:ligatures w14:val="standardContextual"/>
            </w:rPr>
          </w:pPr>
          <w:hyperlink w:anchor="_Toc215493949" w:history="1">
            <w:r w:rsidRPr="00D3222A">
              <w:rPr>
                <w:rStyle w:val="Hyperlink"/>
                <w:rFonts w:asciiTheme="minorHAnsi" w:hAnsiTheme="minorHAnsi" w:cstheme="minorHAnsi"/>
                <w:noProof/>
                <w:sz w:val="22"/>
              </w:rPr>
              <w:t>2.1</w:t>
            </w:r>
            <w:r w:rsidRPr="00D3222A">
              <w:rPr>
                <w:rFonts w:asciiTheme="minorHAnsi" w:eastAsiaTheme="minorEastAsia" w:hAnsiTheme="minorHAnsi" w:cstheme="minorHAnsi"/>
                <w:noProof/>
                <w:kern w:val="2"/>
                <w:sz w:val="22"/>
                <w:lang w:eastAsia="en-AU"/>
                <w14:ligatures w14:val="standardContextual"/>
              </w:rPr>
              <w:tab/>
            </w:r>
            <w:r w:rsidRPr="00D3222A">
              <w:rPr>
                <w:rStyle w:val="Hyperlink"/>
                <w:rFonts w:asciiTheme="minorHAnsi" w:hAnsiTheme="minorHAnsi" w:cstheme="minorHAnsi"/>
                <w:noProof/>
                <w:sz w:val="22"/>
              </w:rPr>
              <w:t>Data, evidence and intelligence</w:t>
            </w:r>
            <w:r w:rsidRPr="00D3222A">
              <w:rPr>
                <w:rFonts w:asciiTheme="minorHAnsi" w:hAnsiTheme="minorHAnsi" w:cstheme="minorHAnsi"/>
                <w:noProof/>
                <w:webHidden/>
                <w:sz w:val="22"/>
              </w:rPr>
              <w:tab/>
            </w:r>
            <w:r w:rsidRPr="00D3222A">
              <w:rPr>
                <w:rFonts w:asciiTheme="minorHAnsi" w:hAnsiTheme="minorHAnsi" w:cstheme="minorHAnsi"/>
                <w:noProof/>
                <w:webHidden/>
                <w:sz w:val="22"/>
              </w:rPr>
              <w:fldChar w:fldCharType="begin"/>
            </w:r>
            <w:r w:rsidRPr="00D3222A">
              <w:rPr>
                <w:rFonts w:asciiTheme="minorHAnsi" w:hAnsiTheme="minorHAnsi" w:cstheme="minorHAnsi"/>
                <w:noProof/>
                <w:webHidden/>
                <w:sz w:val="22"/>
              </w:rPr>
              <w:instrText xml:space="preserve"> PAGEREF _Toc215493949 \h </w:instrText>
            </w:r>
            <w:r w:rsidRPr="00D3222A">
              <w:rPr>
                <w:rFonts w:asciiTheme="minorHAnsi" w:hAnsiTheme="minorHAnsi" w:cstheme="minorHAnsi"/>
                <w:noProof/>
                <w:webHidden/>
                <w:sz w:val="22"/>
              </w:rPr>
            </w:r>
            <w:r w:rsidRPr="00D3222A">
              <w:rPr>
                <w:rFonts w:asciiTheme="minorHAnsi" w:hAnsiTheme="minorHAnsi" w:cstheme="minorHAnsi"/>
                <w:noProof/>
                <w:webHidden/>
                <w:sz w:val="22"/>
              </w:rPr>
              <w:fldChar w:fldCharType="separate"/>
            </w:r>
            <w:r w:rsidR="00AE43CA">
              <w:rPr>
                <w:rFonts w:asciiTheme="minorHAnsi" w:hAnsiTheme="minorHAnsi" w:cstheme="minorHAnsi"/>
                <w:noProof/>
                <w:webHidden/>
                <w:sz w:val="22"/>
              </w:rPr>
              <w:t>11</w:t>
            </w:r>
            <w:r w:rsidRPr="00D3222A">
              <w:rPr>
                <w:rFonts w:asciiTheme="minorHAnsi" w:hAnsiTheme="minorHAnsi" w:cstheme="minorHAnsi"/>
                <w:noProof/>
                <w:webHidden/>
                <w:sz w:val="22"/>
              </w:rPr>
              <w:fldChar w:fldCharType="end"/>
            </w:r>
          </w:hyperlink>
        </w:p>
        <w:p w14:paraId="481F730B" w14:textId="65F5F115" w:rsidR="00192C11" w:rsidRPr="00D3222A" w:rsidRDefault="00192C11">
          <w:pPr>
            <w:pStyle w:val="TOC2"/>
            <w:tabs>
              <w:tab w:val="left" w:pos="960"/>
              <w:tab w:val="right" w:leader="dot" w:pos="9016"/>
            </w:tabs>
            <w:rPr>
              <w:rFonts w:asciiTheme="minorHAnsi" w:eastAsiaTheme="minorEastAsia" w:hAnsiTheme="minorHAnsi" w:cstheme="minorHAnsi"/>
              <w:noProof/>
              <w:kern w:val="2"/>
              <w:sz w:val="22"/>
              <w:lang w:eastAsia="en-AU"/>
              <w14:ligatures w14:val="standardContextual"/>
            </w:rPr>
          </w:pPr>
          <w:hyperlink w:anchor="_Toc215493950" w:history="1">
            <w:r w:rsidRPr="00D3222A">
              <w:rPr>
                <w:rStyle w:val="Hyperlink"/>
                <w:rFonts w:asciiTheme="minorHAnsi" w:hAnsiTheme="minorHAnsi" w:cstheme="minorHAnsi"/>
                <w:noProof/>
                <w:sz w:val="22"/>
              </w:rPr>
              <w:t>2.2</w:t>
            </w:r>
            <w:r w:rsidRPr="00D3222A">
              <w:rPr>
                <w:rFonts w:asciiTheme="minorHAnsi" w:eastAsiaTheme="minorEastAsia" w:hAnsiTheme="minorHAnsi" w:cstheme="minorHAnsi"/>
                <w:noProof/>
                <w:kern w:val="2"/>
                <w:sz w:val="22"/>
                <w:lang w:eastAsia="en-AU"/>
                <w14:ligatures w14:val="standardContextual"/>
              </w:rPr>
              <w:tab/>
            </w:r>
            <w:r w:rsidRPr="00D3222A">
              <w:rPr>
                <w:rStyle w:val="Hyperlink"/>
                <w:rFonts w:asciiTheme="minorHAnsi" w:hAnsiTheme="minorHAnsi" w:cstheme="minorHAnsi"/>
                <w:noProof/>
                <w:sz w:val="22"/>
              </w:rPr>
              <w:t>Information requests</w:t>
            </w:r>
            <w:r w:rsidRPr="00D3222A">
              <w:rPr>
                <w:rFonts w:asciiTheme="minorHAnsi" w:hAnsiTheme="minorHAnsi" w:cstheme="minorHAnsi"/>
                <w:noProof/>
                <w:webHidden/>
                <w:sz w:val="22"/>
              </w:rPr>
              <w:tab/>
            </w:r>
            <w:r w:rsidRPr="00D3222A">
              <w:rPr>
                <w:rFonts w:asciiTheme="minorHAnsi" w:hAnsiTheme="minorHAnsi" w:cstheme="minorHAnsi"/>
                <w:noProof/>
                <w:webHidden/>
                <w:sz w:val="22"/>
              </w:rPr>
              <w:fldChar w:fldCharType="begin"/>
            </w:r>
            <w:r w:rsidRPr="00D3222A">
              <w:rPr>
                <w:rFonts w:asciiTheme="minorHAnsi" w:hAnsiTheme="minorHAnsi" w:cstheme="minorHAnsi"/>
                <w:noProof/>
                <w:webHidden/>
                <w:sz w:val="22"/>
              </w:rPr>
              <w:instrText xml:space="preserve"> PAGEREF _Toc215493950 \h </w:instrText>
            </w:r>
            <w:r w:rsidRPr="00D3222A">
              <w:rPr>
                <w:rFonts w:asciiTheme="minorHAnsi" w:hAnsiTheme="minorHAnsi" w:cstheme="minorHAnsi"/>
                <w:noProof/>
                <w:webHidden/>
                <w:sz w:val="22"/>
              </w:rPr>
            </w:r>
            <w:r w:rsidRPr="00D3222A">
              <w:rPr>
                <w:rFonts w:asciiTheme="minorHAnsi" w:hAnsiTheme="minorHAnsi" w:cstheme="minorHAnsi"/>
                <w:noProof/>
                <w:webHidden/>
                <w:sz w:val="22"/>
              </w:rPr>
              <w:fldChar w:fldCharType="separate"/>
            </w:r>
            <w:r w:rsidR="00AE43CA">
              <w:rPr>
                <w:rFonts w:asciiTheme="minorHAnsi" w:hAnsiTheme="minorHAnsi" w:cstheme="minorHAnsi"/>
                <w:noProof/>
                <w:webHidden/>
                <w:sz w:val="22"/>
              </w:rPr>
              <w:t>12</w:t>
            </w:r>
            <w:r w:rsidRPr="00D3222A">
              <w:rPr>
                <w:rFonts w:asciiTheme="minorHAnsi" w:hAnsiTheme="minorHAnsi" w:cstheme="minorHAnsi"/>
                <w:noProof/>
                <w:webHidden/>
                <w:sz w:val="22"/>
              </w:rPr>
              <w:fldChar w:fldCharType="end"/>
            </w:r>
          </w:hyperlink>
        </w:p>
        <w:p w14:paraId="798D48EE" w14:textId="568C3865" w:rsidR="00192C11" w:rsidRPr="00D3222A" w:rsidRDefault="00192C11">
          <w:pPr>
            <w:pStyle w:val="TOC2"/>
            <w:tabs>
              <w:tab w:val="left" w:pos="960"/>
              <w:tab w:val="right" w:leader="dot" w:pos="9016"/>
            </w:tabs>
            <w:rPr>
              <w:rFonts w:asciiTheme="minorHAnsi" w:eastAsiaTheme="minorEastAsia" w:hAnsiTheme="minorHAnsi" w:cstheme="minorHAnsi"/>
              <w:noProof/>
              <w:kern w:val="2"/>
              <w:sz w:val="22"/>
              <w:lang w:eastAsia="en-AU"/>
              <w14:ligatures w14:val="standardContextual"/>
            </w:rPr>
          </w:pPr>
          <w:hyperlink w:anchor="_Toc215493951" w:history="1">
            <w:r w:rsidRPr="00D3222A">
              <w:rPr>
                <w:rStyle w:val="Hyperlink"/>
                <w:rFonts w:asciiTheme="minorHAnsi" w:hAnsiTheme="minorHAnsi" w:cstheme="minorHAnsi"/>
                <w:noProof/>
                <w:sz w:val="22"/>
              </w:rPr>
              <w:t>2.3</w:t>
            </w:r>
            <w:r w:rsidRPr="00D3222A">
              <w:rPr>
                <w:rFonts w:asciiTheme="minorHAnsi" w:eastAsiaTheme="minorEastAsia" w:hAnsiTheme="minorHAnsi" w:cstheme="minorHAnsi"/>
                <w:noProof/>
                <w:kern w:val="2"/>
                <w:sz w:val="22"/>
                <w:lang w:eastAsia="en-AU"/>
                <w14:ligatures w14:val="standardContextual"/>
              </w:rPr>
              <w:tab/>
            </w:r>
            <w:r w:rsidRPr="00D3222A">
              <w:rPr>
                <w:rStyle w:val="Hyperlink"/>
                <w:rFonts w:asciiTheme="minorHAnsi" w:hAnsiTheme="minorHAnsi" w:cstheme="minorHAnsi"/>
                <w:noProof/>
                <w:sz w:val="22"/>
              </w:rPr>
              <w:t>Use of monitoring and investigation powers</w:t>
            </w:r>
            <w:r w:rsidRPr="00D3222A">
              <w:rPr>
                <w:rFonts w:asciiTheme="minorHAnsi" w:hAnsiTheme="minorHAnsi" w:cstheme="minorHAnsi"/>
                <w:noProof/>
                <w:webHidden/>
                <w:sz w:val="22"/>
              </w:rPr>
              <w:tab/>
            </w:r>
            <w:r w:rsidRPr="00D3222A">
              <w:rPr>
                <w:rFonts w:asciiTheme="minorHAnsi" w:hAnsiTheme="minorHAnsi" w:cstheme="minorHAnsi"/>
                <w:noProof/>
                <w:webHidden/>
                <w:sz w:val="22"/>
              </w:rPr>
              <w:fldChar w:fldCharType="begin"/>
            </w:r>
            <w:r w:rsidRPr="00D3222A">
              <w:rPr>
                <w:rFonts w:asciiTheme="minorHAnsi" w:hAnsiTheme="minorHAnsi" w:cstheme="minorHAnsi"/>
                <w:noProof/>
                <w:webHidden/>
                <w:sz w:val="22"/>
              </w:rPr>
              <w:instrText xml:space="preserve"> PAGEREF _Toc215493951 \h </w:instrText>
            </w:r>
            <w:r w:rsidRPr="00D3222A">
              <w:rPr>
                <w:rFonts w:asciiTheme="minorHAnsi" w:hAnsiTheme="minorHAnsi" w:cstheme="minorHAnsi"/>
                <w:noProof/>
                <w:webHidden/>
                <w:sz w:val="22"/>
              </w:rPr>
            </w:r>
            <w:r w:rsidRPr="00D3222A">
              <w:rPr>
                <w:rFonts w:asciiTheme="minorHAnsi" w:hAnsiTheme="minorHAnsi" w:cstheme="minorHAnsi"/>
                <w:noProof/>
                <w:webHidden/>
                <w:sz w:val="22"/>
              </w:rPr>
              <w:fldChar w:fldCharType="separate"/>
            </w:r>
            <w:r w:rsidR="00AE43CA">
              <w:rPr>
                <w:rFonts w:asciiTheme="minorHAnsi" w:hAnsiTheme="minorHAnsi" w:cstheme="minorHAnsi"/>
                <w:noProof/>
                <w:webHidden/>
                <w:sz w:val="22"/>
              </w:rPr>
              <w:t>12</w:t>
            </w:r>
            <w:r w:rsidRPr="00D3222A">
              <w:rPr>
                <w:rFonts w:asciiTheme="minorHAnsi" w:hAnsiTheme="minorHAnsi" w:cstheme="minorHAnsi"/>
                <w:noProof/>
                <w:webHidden/>
                <w:sz w:val="22"/>
              </w:rPr>
              <w:fldChar w:fldCharType="end"/>
            </w:r>
          </w:hyperlink>
        </w:p>
        <w:p w14:paraId="3C33CDCB" w14:textId="30F6C791" w:rsidR="00192C11" w:rsidRPr="00D3222A" w:rsidRDefault="00192C11">
          <w:pPr>
            <w:pStyle w:val="TOC1"/>
            <w:tabs>
              <w:tab w:val="left" w:pos="440"/>
            </w:tabs>
            <w:rPr>
              <w:rFonts w:asciiTheme="minorHAnsi" w:eastAsiaTheme="minorEastAsia" w:hAnsiTheme="minorHAnsi" w:cstheme="minorHAnsi"/>
              <w:noProof/>
              <w:kern w:val="2"/>
              <w:sz w:val="22"/>
              <w:lang w:eastAsia="en-AU"/>
              <w14:ligatures w14:val="standardContextual"/>
            </w:rPr>
          </w:pPr>
          <w:hyperlink w:anchor="_Toc215493952" w:history="1">
            <w:r w:rsidRPr="00D3222A">
              <w:rPr>
                <w:rStyle w:val="Hyperlink"/>
                <w:rFonts w:asciiTheme="minorHAnsi" w:hAnsiTheme="minorHAnsi" w:cstheme="minorHAnsi"/>
                <w:noProof/>
                <w:sz w:val="22"/>
              </w:rPr>
              <w:t>3</w:t>
            </w:r>
            <w:r w:rsidRPr="00D3222A">
              <w:rPr>
                <w:rFonts w:asciiTheme="minorHAnsi" w:eastAsiaTheme="minorEastAsia" w:hAnsiTheme="minorHAnsi" w:cstheme="minorHAnsi"/>
                <w:noProof/>
                <w:kern w:val="2"/>
                <w:sz w:val="22"/>
                <w:lang w:eastAsia="en-AU"/>
                <w14:ligatures w14:val="standardContextual"/>
              </w:rPr>
              <w:tab/>
            </w:r>
            <w:r w:rsidRPr="00D3222A">
              <w:rPr>
                <w:rStyle w:val="Hyperlink"/>
                <w:rFonts w:asciiTheme="minorHAnsi" w:hAnsiTheme="minorHAnsi" w:cstheme="minorHAnsi"/>
                <w:noProof/>
                <w:sz w:val="22"/>
              </w:rPr>
              <w:t>Approach to compliance and enforcement</w:t>
            </w:r>
            <w:r w:rsidRPr="00D3222A">
              <w:rPr>
                <w:rFonts w:asciiTheme="minorHAnsi" w:hAnsiTheme="minorHAnsi" w:cstheme="minorHAnsi"/>
                <w:noProof/>
                <w:webHidden/>
                <w:sz w:val="22"/>
              </w:rPr>
              <w:tab/>
            </w:r>
            <w:r w:rsidRPr="00D3222A">
              <w:rPr>
                <w:rFonts w:asciiTheme="minorHAnsi" w:hAnsiTheme="minorHAnsi" w:cstheme="minorHAnsi"/>
                <w:noProof/>
                <w:webHidden/>
                <w:sz w:val="22"/>
              </w:rPr>
              <w:fldChar w:fldCharType="begin"/>
            </w:r>
            <w:r w:rsidRPr="00D3222A">
              <w:rPr>
                <w:rFonts w:asciiTheme="minorHAnsi" w:hAnsiTheme="minorHAnsi" w:cstheme="minorHAnsi"/>
                <w:noProof/>
                <w:webHidden/>
                <w:sz w:val="22"/>
              </w:rPr>
              <w:instrText xml:space="preserve"> PAGEREF _Toc215493952 \h </w:instrText>
            </w:r>
            <w:r w:rsidRPr="00D3222A">
              <w:rPr>
                <w:rFonts w:asciiTheme="minorHAnsi" w:hAnsiTheme="minorHAnsi" w:cstheme="minorHAnsi"/>
                <w:noProof/>
                <w:webHidden/>
                <w:sz w:val="22"/>
              </w:rPr>
            </w:r>
            <w:r w:rsidRPr="00D3222A">
              <w:rPr>
                <w:rFonts w:asciiTheme="minorHAnsi" w:hAnsiTheme="minorHAnsi" w:cstheme="minorHAnsi"/>
                <w:noProof/>
                <w:webHidden/>
                <w:sz w:val="22"/>
              </w:rPr>
              <w:fldChar w:fldCharType="separate"/>
            </w:r>
            <w:r w:rsidR="00AE43CA">
              <w:rPr>
                <w:rFonts w:asciiTheme="minorHAnsi" w:hAnsiTheme="minorHAnsi" w:cstheme="minorHAnsi"/>
                <w:noProof/>
                <w:webHidden/>
                <w:sz w:val="22"/>
              </w:rPr>
              <w:t>12</w:t>
            </w:r>
            <w:r w:rsidRPr="00D3222A">
              <w:rPr>
                <w:rFonts w:asciiTheme="minorHAnsi" w:hAnsiTheme="minorHAnsi" w:cstheme="minorHAnsi"/>
                <w:noProof/>
                <w:webHidden/>
                <w:sz w:val="22"/>
              </w:rPr>
              <w:fldChar w:fldCharType="end"/>
            </w:r>
          </w:hyperlink>
        </w:p>
        <w:p w14:paraId="2A6ABDFD" w14:textId="0A15DCA2" w:rsidR="00192C11" w:rsidRPr="00D3222A" w:rsidRDefault="00192C11">
          <w:pPr>
            <w:pStyle w:val="TOC2"/>
            <w:tabs>
              <w:tab w:val="left" w:pos="960"/>
              <w:tab w:val="right" w:leader="dot" w:pos="9016"/>
            </w:tabs>
            <w:rPr>
              <w:rFonts w:asciiTheme="minorHAnsi" w:eastAsiaTheme="minorEastAsia" w:hAnsiTheme="minorHAnsi" w:cstheme="minorHAnsi"/>
              <w:noProof/>
              <w:kern w:val="2"/>
              <w:sz w:val="22"/>
              <w:lang w:eastAsia="en-AU"/>
              <w14:ligatures w14:val="standardContextual"/>
            </w:rPr>
          </w:pPr>
          <w:hyperlink w:anchor="_Toc215493953" w:history="1">
            <w:r w:rsidRPr="00D3222A">
              <w:rPr>
                <w:rStyle w:val="Hyperlink"/>
                <w:rFonts w:asciiTheme="minorHAnsi" w:hAnsiTheme="minorHAnsi" w:cstheme="minorHAnsi"/>
                <w:noProof/>
                <w:sz w:val="22"/>
              </w:rPr>
              <w:t>3.1</w:t>
            </w:r>
            <w:r w:rsidRPr="00D3222A">
              <w:rPr>
                <w:rFonts w:asciiTheme="minorHAnsi" w:eastAsiaTheme="minorEastAsia" w:hAnsiTheme="minorHAnsi" w:cstheme="minorHAnsi"/>
                <w:noProof/>
                <w:kern w:val="2"/>
                <w:sz w:val="22"/>
                <w:lang w:eastAsia="en-AU"/>
                <w14:ligatures w14:val="standardContextual"/>
              </w:rPr>
              <w:tab/>
            </w:r>
            <w:r w:rsidRPr="00D3222A">
              <w:rPr>
                <w:rStyle w:val="Hyperlink"/>
                <w:rFonts w:asciiTheme="minorHAnsi" w:hAnsiTheme="minorHAnsi" w:cstheme="minorHAnsi"/>
                <w:noProof/>
                <w:sz w:val="22"/>
              </w:rPr>
              <w:t>Other considerations</w:t>
            </w:r>
            <w:r w:rsidRPr="00D3222A">
              <w:rPr>
                <w:rFonts w:asciiTheme="minorHAnsi" w:hAnsiTheme="minorHAnsi" w:cstheme="minorHAnsi"/>
                <w:noProof/>
                <w:webHidden/>
                <w:sz w:val="22"/>
              </w:rPr>
              <w:tab/>
            </w:r>
            <w:r w:rsidRPr="00D3222A">
              <w:rPr>
                <w:rFonts w:asciiTheme="minorHAnsi" w:hAnsiTheme="minorHAnsi" w:cstheme="minorHAnsi"/>
                <w:noProof/>
                <w:webHidden/>
                <w:sz w:val="22"/>
              </w:rPr>
              <w:fldChar w:fldCharType="begin"/>
            </w:r>
            <w:r w:rsidRPr="00D3222A">
              <w:rPr>
                <w:rFonts w:asciiTheme="minorHAnsi" w:hAnsiTheme="minorHAnsi" w:cstheme="minorHAnsi"/>
                <w:noProof/>
                <w:webHidden/>
                <w:sz w:val="22"/>
              </w:rPr>
              <w:instrText xml:space="preserve"> PAGEREF _Toc215493953 \h </w:instrText>
            </w:r>
            <w:r w:rsidRPr="00D3222A">
              <w:rPr>
                <w:rFonts w:asciiTheme="minorHAnsi" w:hAnsiTheme="minorHAnsi" w:cstheme="minorHAnsi"/>
                <w:noProof/>
                <w:webHidden/>
                <w:sz w:val="22"/>
              </w:rPr>
            </w:r>
            <w:r w:rsidRPr="00D3222A">
              <w:rPr>
                <w:rFonts w:asciiTheme="minorHAnsi" w:hAnsiTheme="minorHAnsi" w:cstheme="minorHAnsi"/>
                <w:noProof/>
                <w:webHidden/>
                <w:sz w:val="22"/>
              </w:rPr>
              <w:fldChar w:fldCharType="separate"/>
            </w:r>
            <w:r w:rsidR="00AE43CA">
              <w:rPr>
                <w:rFonts w:asciiTheme="minorHAnsi" w:hAnsiTheme="minorHAnsi" w:cstheme="minorHAnsi"/>
                <w:noProof/>
                <w:webHidden/>
                <w:sz w:val="22"/>
              </w:rPr>
              <w:t>13</w:t>
            </w:r>
            <w:r w:rsidRPr="00D3222A">
              <w:rPr>
                <w:rFonts w:asciiTheme="minorHAnsi" w:hAnsiTheme="minorHAnsi" w:cstheme="minorHAnsi"/>
                <w:noProof/>
                <w:webHidden/>
                <w:sz w:val="22"/>
              </w:rPr>
              <w:fldChar w:fldCharType="end"/>
            </w:r>
          </w:hyperlink>
        </w:p>
        <w:p w14:paraId="5C075332" w14:textId="32387532" w:rsidR="00192C11" w:rsidRPr="00D3222A" w:rsidRDefault="00192C11">
          <w:pPr>
            <w:pStyle w:val="TOC1"/>
            <w:tabs>
              <w:tab w:val="left" w:pos="440"/>
            </w:tabs>
            <w:rPr>
              <w:rFonts w:asciiTheme="minorHAnsi" w:eastAsiaTheme="minorEastAsia" w:hAnsiTheme="minorHAnsi" w:cstheme="minorHAnsi"/>
              <w:noProof/>
              <w:kern w:val="2"/>
              <w:sz w:val="22"/>
              <w:lang w:eastAsia="en-AU"/>
              <w14:ligatures w14:val="standardContextual"/>
            </w:rPr>
          </w:pPr>
          <w:hyperlink w:anchor="_Toc215493954" w:history="1">
            <w:r w:rsidRPr="00D3222A">
              <w:rPr>
                <w:rStyle w:val="Hyperlink"/>
                <w:rFonts w:asciiTheme="minorHAnsi" w:hAnsiTheme="minorHAnsi" w:cstheme="minorHAnsi"/>
                <w:noProof/>
                <w:sz w:val="22"/>
              </w:rPr>
              <w:t>4</w:t>
            </w:r>
            <w:r w:rsidRPr="00D3222A">
              <w:rPr>
                <w:rFonts w:asciiTheme="minorHAnsi" w:eastAsiaTheme="minorEastAsia" w:hAnsiTheme="minorHAnsi" w:cstheme="minorHAnsi"/>
                <w:noProof/>
                <w:kern w:val="2"/>
                <w:sz w:val="22"/>
                <w:lang w:eastAsia="en-AU"/>
                <w14:ligatures w14:val="standardContextual"/>
              </w:rPr>
              <w:tab/>
            </w:r>
            <w:r w:rsidRPr="00D3222A">
              <w:rPr>
                <w:rStyle w:val="Hyperlink"/>
                <w:rFonts w:asciiTheme="minorHAnsi" w:hAnsiTheme="minorHAnsi" w:cstheme="minorHAnsi"/>
                <w:noProof/>
                <w:sz w:val="22"/>
              </w:rPr>
              <w:t>Voluntary compliance</w:t>
            </w:r>
            <w:r w:rsidRPr="00D3222A">
              <w:rPr>
                <w:rFonts w:asciiTheme="minorHAnsi" w:hAnsiTheme="minorHAnsi" w:cstheme="minorHAnsi"/>
                <w:noProof/>
                <w:webHidden/>
                <w:sz w:val="22"/>
              </w:rPr>
              <w:tab/>
            </w:r>
            <w:r w:rsidRPr="00D3222A">
              <w:rPr>
                <w:rFonts w:asciiTheme="minorHAnsi" w:hAnsiTheme="minorHAnsi" w:cstheme="minorHAnsi"/>
                <w:noProof/>
                <w:webHidden/>
                <w:sz w:val="22"/>
              </w:rPr>
              <w:fldChar w:fldCharType="begin"/>
            </w:r>
            <w:r w:rsidRPr="00D3222A">
              <w:rPr>
                <w:rFonts w:asciiTheme="minorHAnsi" w:hAnsiTheme="minorHAnsi" w:cstheme="minorHAnsi"/>
                <w:noProof/>
                <w:webHidden/>
                <w:sz w:val="22"/>
              </w:rPr>
              <w:instrText xml:space="preserve"> PAGEREF _Toc215493954 \h </w:instrText>
            </w:r>
            <w:r w:rsidRPr="00D3222A">
              <w:rPr>
                <w:rFonts w:asciiTheme="minorHAnsi" w:hAnsiTheme="minorHAnsi" w:cstheme="minorHAnsi"/>
                <w:noProof/>
                <w:webHidden/>
                <w:sz w:val="22"/>
              </w:rPr>
            </w:r>
            <w:r w:rsidRPr="00D3222A">
              <w:rPr>
                <w:rFonts w:asciiTheme="minorHAnsi" w:hAnsiTheme="minorHAnsi" w:cstheme="minorHAnsi"/>
                <w:noProof/>
                <w:webHidden/>
                <w:sz w:val="22"/>
              </w:rPr>
              <w:fldChar w:fldCharType="separate"/>
            </w:r>
            <w:r w:rsidR="00AE43CA">
              <w:rPr>
                <w:rFonts w:asciiTheme="minorHAnsi" w:hAnsiTheme="minorHAnsi" w:cstheme="minorHAnsi"/>
                <w:noProof/>
                <w:webHidden/>
                <w:sz w:val="22"/>
              </w:rPr>
              <w:t>14</w:t>
            </w:r>
            <w:r w:rsidRPr="00D3222A">
              <w:rPr>
                <w:rFonts w:asciiTheme="minorHAnsi" w:hAnsiTheme="minorHAnsi" w:cstheme="minorHAnsi"/>
                <w:noProof/>
                <w:webHidden/>
                <w:sz w:val="22"/>
              </w:rPr>
              <w:fldChar w:fldCharType="end"/>
            </w:r>
          </w:hyperlink>
        </w:p>
        <w:p w14:paraId="200F9F86" w14:textId="686E7474" w:rsidR="00192C11" w:rsidRPr="00D3222A" w:rsidRDefault="00192C11">
          <w:pPr>
            <w:pStyle w:val="TOC2"/>
            <w:tabs>
              <w:tab w:val="left" w:pos="960"/>
              <w:tab w:val="right" w:leader="dot" w:pos="9016"/>
            </w:tabs>
            <w:rPr>
              <w:rFonts w:asciiTheme="minorHAnsi" w:eastAsiaTheme="minorEastAsia" w:hAnsiTheme="minorHAnsi" w:cstheme="minorHAnsi"/>
              <w:noProof/>
              <w:kern w:val="2"/>
              <w:sz w:val="22"/>
              <w:lang w:eastAsia="en-AU"/>
              <w14:ligatures w14:val="standardContextual"/>
            </w:rPr>
          </w:pPr>
          <w:hyperlink w:anchor="_Toc215493955" w:history="1">
            <w:r w:rsidRPr="00D3222A">
              <w:rPr>
                <w:rStyle w:val="Hyperlink"/>
                <w:rFonts w:asciiTheme="minorHAnsi" w:hAnsiTheme="minorHAnsi" w:cstheme="minorHAnsi"/>
                <w:noProof/>
                <w:sz w:val="22"/>
              </w:rPr>
              <w:t>4.1</w:t>
            </w:r>
            <w:r w:rsidRPr="00D3222A">
              <w:rPr>
                <w:rFonts w:asciiTheme="minorHAnsi" w:eastAsiaTheme="minorEastAsia" w:hAnsiTheme="minorHAnsi" w:cstheme="minorHAnsi"/>
                <w:noProof/>
                <w:kern w:val="2"/>
                <w:sz w:val="22"/>
                <w:lang w:eastAsia="en-AU"/>
                <w14:ligatures w14:val="standardContextual"/>
              </w:rPr>
              <w:tab/>
            </w:r>
            <w:r w:rsidRPr="00D3222A">
              <w:rPr>
                <w:rStyle w:val="Hyperlink"/>
                <w:rFonts w:asciiTheme="minorHAnsi" w:hAnsiTheme="minorHAnsi" w:cstheme="minorHAnsi"/>
                <w:noProof/>
                <w:sz w:val="22"/>
              </w:rPr>
              <w:t>Purpose of voluntary compliance</w:t>
            </w:r>
            <w:r w:rsidRPr="00D3222A">
              <w:rPr>
                <w:rFonts w:asciiTheme="minorHAnsi" w:hAnsiTheme="minorHAnsi" w:cstheme="minorHAnsi"/>
                <w:noProof/>
                <w:webHidden/>
                <w:sz w:val="22"/>
              </w:rPr>
              <w:tab/>
            </w:r>
            <w:r w:rsidRPr="00D3222A">
              <w:rPr>
                <w:rFonts w:asciiTheme="minorHAnsi" w:hAnsiTheme="minorHAnsi" w:cstheme="minorHAnsi"/>
                <w:noProof/>
                <w:webHidden/>
                <w:sz w:val="22"/>
              </w:rPr>
              <w:fldChar w:fldCharType="begin"/>
            </w:r>
            <w:r w:rsidRPr="00D3222A">
              <w:rPr>
                <w:rFonts w:asciiTheme="minorHAnsi" w:hAnsiTheme="minorHAnsi" w:cstheme="minorHAnsi"/>
                <w:noProof/>
                <w:webHidden/>
                <w:sz w:val="22"/>
              </w:rPr>
              <w:instrText xml:space="preserve"> PAGEREF _Toc215493955 \h </w:instrText>
            </w:r>
            <w:r w:rsidRPr="00D3222A">
              <w:rPr>
                <w:rFonts w:asciiTheme="minorHAnsi" w:hAnsiTheme="minorHAnsi" w:cstheme="minorHAnsi"/>
                <w:noProof/>
                <w:webHidden/>
                <w:sz w:val="22"/>
              </w:rPr>
            </w:r>
            <w:r w:rsidRPr="00D3222A">
              <w:rPr>
                <w:rFonts w:asciiTheme="minorHAnsi" w:hAnsiTheme="minorHAnsi" w:cstheme="minorHAnsi"/>
                <w:noProof/>
                <w:webHidden/>
                <w:sz w:val="22"/>
              </w:rPr>
              <w:fldChar w:fldCharType="separate"/>
            </w:r>
            <w:r w:rsidR="00AE43CA">
              <w:rPr>
                <w:rFonts w:asciiTheme="minorHAnsi" w:hAnsiTheme="minorHAnsi" w:cstheme="minorHAnsi"/>
                <w:noProof/>
                <w:webHidden/>
                <w:sz w:val="22"/>
              </w:rPr>
              <w:t>14</w:t>
            </w:r>
            <w:r w:rsidRPr="00D3222A">
              <w:rPr>
                <w:rFonts w:asciiTheme="minorHAnsi" w:hAnsiTheme="minorHAnsi" w:cstheme="minorHAnsi"/>
                <w:noProof/>
                <w:webHidden/>
                <w:sz w:val="22"/>
              </w:rPr>
              <w:fldChar w:fldCharType="end"/>
            </w:r>
          </w:hyperlink>
        </w:p>
        <w:p w14:paraId="1267A2E9" w14:textId="50D681D8" w:rsidR="00192C11" w:rsidRPr="00D3222A" w:rsidRDefault="00192C11">
          <w:pPr>
            <w:pStyle w:val="TOC2"/>
            <w:tabs>
              <w:tab w:val="left" w:pos="960"/>
              <w:tab w:val="right" w:leader="dot" w:pos="9016"/>
            </w:tabs>
            <w:rPr>
              <w:rFonts w:asciiTheme="minorHAnsi" w:eastAsiaTheme="minorEastAsia" w:hAnsiTheme="minorHAnsi" w:cstheme="minorHAnsi"/>
              <w:noProof/>
              <w:kern w:val="2"/>
              <w:sz w:val="22"/>
              <w:lang w:eastAsia="en-AU"/>
              <w14:ligatures w14:val="standardContextual"/>
            </w:rPr>
          </w:pPr>
          <w:hyperlink w:anchor="_Toc215493956" w:history="1">
            <w:r w:rsidRPr="00D3222A">
              <w:rPr>
                <w:rStyle w:val="Hyperlink"/>
                <w:rFonts w:asciiTheme="minorHAnsi" w:hAnsiTheme="minorHAnsi" w:cstheme="minorHAnsi"/>
                <w:noProof/>
                <w:sz w:val="22"/>
              </w:rPr>
              <w:t>4.2</w:t>
            </w:r>
            <w:r w:rsidRPr="00D3222A">
              <w:rPr>
                <w:rFonts w:asciiTheme="minorHAnsi" w:eastAsiaTheme="minorEastAsia" w:hAnsiTheme="minorHAnsi" w:cstheme="minorHAnsi"/>
                <w:noProof/>
                <w:kern w:val="2"/>
                <w:sz w:val="22"/>
                <w:lang w:eastAsia="en-AU"/>
                <w14:ligatures w14:val="standardContextual"/>
              </w:rPr>
              <w:tab/>
            </w:r>
            <w:r w:rsidRPr="00D3222A">
              <w:rPr>
                <w:rStyle w:val="Hyperlink"/>
                <w:rFonts w:asciiTheme="minorHAnsi" w:hAnsiTheme="minorHAnsi" w:cstheme="minorHAnsi"/>
                <w:noProof/>
                <w:sz w:val="22"/>
              </w:rPr>
              <w:t>Activities to support voluntary compliance</w:t>
            </w:r>
            <w:r w:rsidRPr="00D3222A">
              <w:rPr>
                <w:rFonts w:asciiTheme="minorHAnsi" w:hAnsiTheme="minorHAnsi" w:cstheme="minorHAnsi"/>
                <w:noProof/>
                <w:webHidden/>
                <w:sz w:val="22"/>
              </w:rPr>
              <w:tab/>
            </w:r>
            <w:r w:rsidRPr="00D3222A">
              <w:rPr>
                <w:rFonts w:asciiTheme="minorHAnsi" w:hAnsiTheme="minorHAnsi" w:cstheme="minorHAnsi"/>
                <w:noProof/>
                <w:webHidden/>
                <w:sz w:val="22"/>
              </w:rPr>
              <w:fldChar w:fldCharType="begin"/>
            </w:r>
            <w:r w:rsidRPr="00D3222A">
              <w:rPr>
                <w:rFonts w:asciiTheme="minorHAnsi" w:hAnsiTheme="minorHAnsi" w:cstheme="minorHAnsi"/>
                <w:noProof/>
                <w:webHidden/>
                <w:sz w:val="22"/>
              </w:rPr>
              <w:instrText xml:space="preserve"> PAGEREF _Toc215493956 \h </w:instrText>
            </w:r>
            <w:r w:rsidRPr="00D3222A">
              <w:rPr>
                <w:rFonts w:asciiTheme="minorHAnsi" w:hAnsiTheme="minorHAnsi" w:cstheme="minorHAnsi"/>
                <w:noProof/>
                <w:webHidden/>
                <w:sz w:val="22"/>
              </w:rPr>
            </w:r>
            <w:r w:rsidRPr="00D3222A">
              <w:rPr>
                <w:rFonts w:asciiTheme="minorHAnsi" w:hAnsiTheme="minorHAnsi" w:cstheme="minorHAnsi"/>
                <w:noProof/>
                <w:webHidden/>
                <w:sz w:val="22"/>
              </w:rPr>
              <w:fldChar w:fldCharType="separate"/>
            </w:r>
            <w:r w:rsidR="00AE43CA">
              <w:rPr>
                <w:rFonts w:asciiTheme="minorHAnsi" w:hAnsiTheme="minorHAnsi" w:cstheme="minorHAnsi"/>
                <w:noProof/>
                <w:webHidden/>
                <w:sz w:val="22"/>
              </w:rPr>
              <w:t>14</w:t>
            </w:r>
            <w:r w:rsidRPr="00D3222A">
              <w:rPr>
                <w:rFonts w:asciiTheme="minorHAnsi" w:hAnsiTheme="minorHAnsi" w:cstheme="minorHAnsi"/>
                <w:noProof/>
                <w:webHidden/>
                <w:sz w:val="22"/>
              </w:rPr>
              <w:fldChar w:fldCharType="end"/>
            </w:r>
          </w:hyperlink>
        </w:p>
        <w:p w14:paraId="2CE18635" w14:textId="78F9AA45" w:rsidR="00192C11" w:rsidRPr="00D3222A" w:rsidRDefault="00192C11">
          <w:pPr>
            <w:pStyle w:val="TOC1"/>
            <w:tabs>
              <w:tab w:val="left" w:pos="440"/>
            </w:tabs>
            <w:rPr>
              <w:rFonts w:asciiTheme="minorHAnsi" w:eastAsiaTheme="minorEastAsia" w:hAnsiTheme="minorHAnsi" w:cstheme="minorHAnsi"/>
              <w:noProof/>
              <w:kern w:val="2"/>
              <w:sz w:val="22"/>
              <w:lang w:eastAsia="en-AU"/>
              <w14:ligatures w14:val="standardContextual"/>
            </w:rPr>
          </w:pPr>
          <w:hyperlink w:anchor="_Toc215493957" w:history="1">
            <w:r w:rsidRPr="00D3222A">
              <w:rPr>
                <w:rStyle w:val="Hyperlink"/>
                <w:rFonts w:asciiTheme="minorHAnsi" w:hAnsiTheme="minorHAnsi" w:cstheme="minorHAnsi"/>
                <w:noProof/>
                <w:sz w:val="22"/>
              </w:rPr>
              <w:t>5</w:t>
            </w:r>
            <w:r w:rsidRPr="00D3222A">
              <w:rPr>
                <w:rFonts w:asciiTheme="minorHAnsi" w:eastAsiaTheme="minorEastAsia" w:hAnsiTheme="minorHAnsi" w:cstheme="minorHAnsi"/>
                <w:noProof/>
                <w:kern w:val="2"/>
                <w:sz w:val="22"/>
                <w:lang w:eastAsia="en-AU"/>
                <w14:ligatures w14:val="standardContextual"/>
              </w:rPr>
              <w:tab/>
            </w:r>
            <w:r w:rsidRPr="00D3222A">
              <w:rPr>
                <w:rStyle w:val="Hyperlink"/>
                <w:rFonts w:asciiTheme="minorHAnsi" w:hAnsiTheme="minorHAnsi" w:cstheme="minorHAnsi"/>
                <w:noProof/>
                <w:sz w:val="22"/>
              </w:rPr>
              <w:t>Directed compliance</w:t>
            </w:r>
            <w:r w:rsidRPr="00D3222A">
              <w:rPr>
                <w:rFonts w:asciiTheme="minorHAnsi" w:hAnsiTheme="minorHAnsi" w:cstheme="minorHAnsi"/>
                <w:noProof/>
                <w:webHidden/>
                <w:sz w:val="22"/>
              </w:rPr>
              <w:tab/>
            </w:r>
            <w:r w:rsidRPr="00D3222A">
              <w:rPr>
                <w:rFonts w:asciiTheme="minorHAnsi" w:hAnsiTheme="minorHAnsi" w:cstheme="minorHAnsi"/>
                <w:noProof/>
                <w:webHidden/>
                <w:sz w:val="22"/>
              </w:rPr>
              <w:fldChar w:fldCharType="begin"/>
            </w:r>
            <w:r w:rsidRPr="00D3222A">
              <w:rPr>
                <w:rFonts w:asciiTheme="minorHAnsi" w:hAnsiTheme="minorHAnsi" w:cstheme="minorHAnsi"/>
                <w:noProof/>
                <w:webHidden/>
                <w:sz w:val="22"/>
              </w:rPr>
              <w:instrText xml:space="preserve"> PAGEREF _Toc215493957 \h </w:instrText>
            </w:r>
            <w:r w:rsidRPr="00D3222A">
              <w:rPr>
                <w:rFonts w:asciiTheme="minorHAnsi" w:hAnsiTheme="minorHAnsi" w:cstheme="minorHAnsi"/>
                <w:noProof/>
                <w:webHidden/>
                <w:sz w:val="22"/>
              </w:rPr>
            </w:r>
            <w:r w:rsidRPr="00D3222A">
              <w:rPr>
                <w:rFonts w:asciiTheme="minorHAnsi" w:hAnsiTheme="minorHAnsi" w:cstheme="minorHAnsi"/>
                <w:noProof/>
                <w:webHidden/>
                <w:sz w:val="22"/>
              </w:rPr>
              <w:fldChar w:fldCharType="separate"/>
            </w:r>
            <w:r w:rsidR="00AE43CA">
              <w:rPr>
                <w:rFonts w:asciiTheme="minorHAnsi" w:hAnsiTheme="minorHAnsi" w:cstheme="minorHAnsi"/>
                <w:noProof/>
                <w:webHidden/>
                <w:sz w:val="22"/>
              </w:rPr>
              <w:t>15</w:t>
            </w:r>
            <w:r w:rsidRPr="00D3222A">
              <w:rPr>
                <w:rFonts w:asciiTheme="minorHAnsi" w:hAnsiTheme="minorHAnsi" w:cstheme="minorHAnsi"/>
                <w:noProof/>
                <w:webHidden/>
                <w:sz w:val="22"/>
              </w:rPr>
              <w:fldChar w:fldCharType="end"/>
            </w:r>
          </w:hyperlink>
        </w:p>
        <w:p w14:paraId="62E6769E" w14:textId="368B8550" w:rsidR="00192C11" w:rsidRPr="00D3222A" w:rsidRDefault="00192C11">
          <w:pPr>
            <w:pStyle w:val="TOC2"/>
            <w:tabs>
              <w:tab w:val="left" w:pos="960"/>
              <w:tab w:val="right" w:leader="dot" w:pos="9016"/>
            </w:tabs>
            <w:rPr>
              <w:rFonts w:asciiTheme="minorHAnsi" w:eastAsiaTheme="minorEastAsia" w:hAnsiTheme="minorHAnsi" w:cstheme="minorHAnsi"/>
              <w:noProof/>
              <w:kern w:val="2"/>
              <w:sz w:val="22"/>
              <w:lang w:eastAsia="en-AU"/>
              <w14:ligatures w14:val="standardContextual"/>
            </w:rPr>
          </w:pPr>
          <w:hyperlink w:anchor="_Toc215493958" w:history="1">
            <w:r w:rsidRPr="00D3222A">
              <w:rPr>
                <w:rStyle w:val="Hyperlink"/>
                <w:rFonts w:asciiTheme="minorHAnsi" w:hAnsiTheme="minorHAnsi" w:cstheme="minorHAnsi"/>
                <w:noProof/>
                <w:sz w:val="22"/>
              </w:rPr>
              <w:t>5.1</w:t>
            </w:r>
            <w:r w:rsidRPr="00D3222A">
              <w:rPr>
                <w:rFonts w:asciiTheme="minorHAnsi" w:eastAsiaTheme="minorEastAsia" w:hAnsiTheme="minorHAnsi" w:cstheme="minorHAnsi"/>
                <w:noProof/>
                <w:kern w:val="2"/>
                <w:sz w:val="22"/>
                <w:lang w:eastAsia="en-AU"/>
                <w14:ligatures w14:val="standardContextual"/>
              </w:rPr>
              <w:tab/>
            </w:r>
            <w:r w:rsidRPr="00D3222A">
              <w:rPr>
                <w:rStyle w:val="Hyperlink"/>
                <w:rFonts w:asciiTheme="minorHAnsi" w:hAnsiTheme="minorHAnsi" w:cstheme="minorHAnsi"/>
                <w:noProof/>
                <w:sz w:val="22"/>
              </w:rPr>
              <w:t>Purpose of directed compliance</w:t>
            </w:r>
            <w:r w:rsidRPr="00D3222A">
              <w:rPr>
                <w:rFonts w:asciiTheme="minorHAnsi" w:hAnsiTheme="minorHAnsi" w:cstheme="minorHAnsi"/>
                <w:noProof/>
                <w:webHidden/>
                <w:sz w:val="22"/>
              </w:rPr>
              <w:tab/>
            </w:r>
            <w:r w:rsidRPr="00D3222A">
              <w:rPr>
                <w:rFonts w:asciiTheme="minorHAnsi" w:hAnsiTheme="minorHAnsi" w:cstheme="minorHAnsi"/>
                <w:noProof/>
                <w:webHidden/>
                <w:sz w:val="22"/>
              </w:rPr>
              <w:fldChar w:fldCharType="begin"/>
            </w:r>
            <w:r w:rsidRPr="00D3222A">
              <w:rPr>
                <w:rFonts w:asciiTheme="minorHAnsi" w:hAnsiTheme="minorHAnsi" w:cstheme="minorHAnsi"/>
                <w:noProof/>
                <w:webHidden/>
                <w:sz w:val="22"/>
              </w:rPr>
              <w:instrText xml:space="preserve"> PAGEREF _Toc215493958 \h </w:instrText>
            </w:r>
            <w:r w:rsidRPr="00D3222A">
              <w:rPr>
                <w:rFonts w:asciiTheme="minorHAnsi" w:hAnsiTheme="minorHAnsi" w:cstheme="minorHAnsi"/>
                <w:noProof/>
                <w:webHidden/>
                <w:sz w:val="22"/>
              </w:rPr>
            </w:r>
            <w:r w:rsidRPr="00D3222A">
              <w:rPr>
                <w:rFonts w:asciiTheme="minorHAnsi" w:hAnsiTheme="minorHAnsi" w:cstheme="minorHAnsi"/>
                <w:noProof/>
                <w:webHidden/>
                <w:sz w:val="22"/>
              </w:rPr>
              <w:fldChar w:fldCharType="separate"/>
            </w:r>
            <w:r w:rsidR="00AE43CA">
              <w:rPr>
                <w:rFonts w:asciiTheme="minorHAnsi" w:hAnsiTheme="minorHAnsi" w:cstheme="minorHAnsi"/>
                <w:noProof/>
                <w:webHidden/>
                <w:sz w:val="22"/>
              </w:rPr>
              <w:t>15</w:t>
            </w:r>
            <w:r w:rsidRPr="00D3222A">
              <w:rPr>
                <w:rFonts w:asciiTheme="minorHAnsi" w:hAnsiTheme="minorHAnsi" w:cstheme="minorHAnsi"/>
                <w:noProof/>
                <w:webHidden/>
                <w:sz w:val="22"/>
              </w:rPr>
              <w:fldChar w:fldCharType="end"/>
            </w:r>
          </w:hyperlink>
        </w:p>
        <w:p w14:paraId="3E6183A9" w14:textId="157B4409" w:rsidR="00192C11" w:rsidRPr="00D3222A" w:rsidRDefault="00192C11">
          <w:pPr>
            <w:pStyle w:val="TOC2"/>
            <w:tabs>
              <w:tab w:val="left" w:pos="960"/>
              <w:tab w:val="right" w:leader="dot" w:pos="9016"/>
            </w:tabs>
            <w:rPr>
              <w:rFonts w:asciiTheme="minorHAnsi" w:eastAsiaTheme="minorEastAsia" w:hAnsiTheme="minorHAnsi" w:cstheme="minorHAnsi"/>
              <w:noProof/>
              <w:kern w:val="2"/>
              <w:sz w:val="22"/>
              <w:lang w:eastAsia="en-AU"/>
              <w14:ligatures w14:val="standardContextual"/>
            </w:rPr>
          </w:pPr>
          <w:hyperlink w:anchor="_Toc215493959" w:history="1">
            <w:r w:rsidRPr="00D3222A">
              <w:rPr>
                <w:rStyle w:val="Hyperlink"/>
                <w:rFonts w:asciiTheme="minorHAnsi" w:hAnsiTheme="minorHAnsi" w:cstheme="minorHAnsi"/>
                <w:noProof/>
                <w:sz w:val="22"/>
              </w:rPr>
              <w:t>5.2</w:t>
            </w:r>
            <w:r w:rsidRPr="00D3222A">
              <w:rPr>
                <w:rFonts w:asciiTheme="minorHAnsi" w:eastAsiaTheme="minorEastAsia" w:hAnsiTheme="minorHAnsi" w:cstheme="minorHAnsi"/>
                <w:noProof/>
                <w:kern w:val="2"/>
                <w:sz w:val="22"/>
                <w:lang w:eastAsia="en-AU"/>
                <w14:ligatures w14:val="standardContextual"/>
              </w:rPr>
              <w:tab/>
            </w:r>
            <w:r w:rsidRPr="00D3222A">
              <w:rPr>
                <w:rStyle w:val="Hyperlink"/>
                <w:rFonts w:asciiTheme="minorHAnsi" w:hAnsiTheme="minorHAnsi" w:cstheme="minorHAnsi"/>
                <w:noProof/>
                <w:sz w:val="22"/>
              </w:rPr>
              <w:t>Activities to support compliance activities</w:t>
            </w:r>
            <w:r w:rsidRPr="00D3222A">
              <w:rPr>
                <w:rFonts w:asciiTheme="minorHAnsi" w:hAnsiTheme="minorHAnsi" w:cstheme="minorHAnsi"/>
                <w:noProof/>
                <w:webHidden/>
                <w:sz w:val="22"/>
              </w:rPr>
              <w:tab/>
            </w:r>
            <w:r w:rsidRPr="00D3222A">
              <w:rPr>
                <w:rFonts w:asciiTheme="minorHAnsi" w:hAnsiTheme="minorHAnsi" w:cstheme="minorHAnsi"/>
                <w:noProof/>
                <w:webHidden/>
                <w:sz w:val="22"/>
              </w:rPr>
              <w:fldChar w:fldCharType="begin"/>
            </w:r>
            <w:r w:rsidRPr="00D3222A">
              <w:rPr>
                <w:rFonts w:asciiTheme="minorHAnsi" w:hAnsiTheme="minorHAnsi" w:cstheme="minorHAnsi"/>
                <w:noProof/>
                <w:webHidden/>
                <w:sz w:val="22"/>
              </w:rPr>
              <w:instrText xml:space="preserve"> PAGEREF _Toc215493959 \h </w:instrText>
            </w:r>
            <w:r w:rsidRPr="00D3222A">
              <w:rPr>
                <w:rFonts w:asciiTheme="minorHAnsi" w:hAnsiTheme="minorHAnsi" w:cstheme="minorHAnsi"/>
                <w:noProof/>
                <w:webHidden/>
                <w:sz w:val="22"/>
              </w:rPr>
            </w:r>
            <w:r w:rsidRPr="00D3222A">
              <w:rPr>
                <w:rFonts w:asciiTheme="minorHAnsi" w:hAnsiTheme="minorHAnsi" w:cstheme="minorHAnsi"/>
                <w:noProof/>
                <w:webHidden/>
                <w:sz w:val="22"/>
              </w:rPr>
              <w:fldChar w:fldCharType="separate"/>
            </w:r>
            <w:r w:rsidR="00AE43CA">
              <w:rPr>
                <w:rFonts w:asciiTheme="minorHAnsi" w:hAnsiTheme="minorHAnsi" w:cstheme="minorHAnsi"/>
                <w:noProof/>
                <w:webHidden/>
                <w:sz w:val="22"/>
              </w:rPr>
              <w:t>15</w:t>
            </w:r>
            <w:r w:rsidRPr="00D3222A">
              <w:rPr>
                <w:rFonts w:asciiTheme="minorHAnsi" w:hAnsiTheme="minorHAnsi" w:cstheme="minorHAnsi"/>
                <w:noProof/>
                <w:webHidden/>
                <w:sz w:val="22"/>
              </w:rPr>
              <w:fldChar w:fldCharType="end"/>
            </w:r>
          </w:hyperlink>
        </w:p>
        <w:p w14:paraId="3E04B253" w14:textId="597374F8" w:rsidR="00192C11" w:rsidRPr="00D3222A" w:rsidRDefault="00192C11">
          <w:pPr>
            <w:pStyle w:val="TOC2"/>
            <w:tabs>
              <w:tab w:val="left" w:pos="960"/>
              <w:tab w:val="right" w:leader="dot" w:pos="9016"/>
            </w:tabs>
            <w:rPr>
              <w:rFonts w:asciiTheme="minorHAnsi" w:eastAsiaTheme="minorEastAsia" w:hAnsiTheme="minorHAnsi" w:cstheme="minorHAnsi"/>
              <w:noProof/>
              <w:kern w:val="2"/>
              <w:sz w:val="22"/>
              <w:lang w:eastAsia="en-AU"/>
              <w14:ligatures w14:val="standardContextual"/>
            </w:rPr>
          </w:pPr>
          <w:hyperlink w:anchor="_Toc215493960" w:history="1">
            <w:r w:rsidRPr="00D3222A">
              <w:rPr>
                <w:rStyle w:val="Hyperlink"/>
                <w:rFonts w:asciiTheme="minorHAnsi" w:hAnsiTheme="minorHAnsi" w:cstheme="minorHAnsi"/>
                <w:noProof/>
                <w:sz w:val="22"/>
              </w:rPr>
              <w:t>5.3</w:t>
            </w:r>
            <w:r w:rsidRPr="00D3222A">
              <w:rPr>
                <w:rFonts w:asciiTheme="minorHAnsi" w:eastAsiaTheme="minorEastAsia" w:hAnsiTheme="minorHAnsi" w:cstheme="minorHAnsi"/>
                <w:noProof/>
                <w:kern w:val="2"/>
                <w:sz w:val="22"/>
                <w:lang w:eastAsia="en-AU"/>
                <w14:ligatures w14:val="standardContextual"/>
              </w:rPr>
              <w:tab/>
            </w:r>
            <w:r w:rsidRPr="00D3222A">
              <w:rPr>
                <w:rStyle w:val="Hyperlink"/>
                <w:rFonts w:asciiTheme="minorHAnsi" w:hAnsiTheme="minorHAnsi" w:cstheme="minorHAnsi"/>
                <w:noProof/>
                <w:sz w:val="22"/>
              </w:rPr>
              <w:t>Outcomes of directed compliance activities</w:t>
            </w:r>
            <w:r w:rsidRPr="00D3222A">
              <w:rPr>
                <w:rFonts w:asciiTheme="minorHAnsi" w:hAnsiTheme="minorHAnsi" w:cstheme="minorHAnsi"/>
                <w:noProof/>
                <w:webHidden/>
                <w:sz w:val="22"/>
              </w:rPr>
              <w:tab/>
            </w:r>
            <w:r w:rsidRPr="00D3222A">
              <w:rPr>
                <w:rFonts w:asciiTheme="minorHAnsi" w:hAnsiTheme="minorHAnsi" w:cstheme="minorHAnsi"/>
                <w:noProof/>
                <w:webHidden/>
                <w:sz w:val="22"/>
              </w:rPr>
              <w:fldChar w:fldCharType="begin"/>
            </w:r>
            <w:r w:rsidRPr="00D3222A">
              <w:rPr>
                <w:rFonts w:asciiTheme="minorHAnsi" w:hAnsiTheme="minorHAnsi" w:cstheme="minorHAnsi"/>
                <w:noProof/>
                <w:webHidden/>
                <w:sz w:val="22"/>
              </w:rPr>
              <w:instrText xml:space="preserve"> PAGEREF _Toc215493960 \h </w:instrText>
            </w:r>
            <w:r w:rsidRPr="00D3222A">
              <w:rPr>
                <w:rFonts w:asciiTheme="minorHAnsi" w:hAnsiTheme="minorHAnsi" w:cstheme="minorHAnsi"/>
                <w:noProof/>
                <w:webHidden/>
                <w:sz w:val="22"/>
              </w:rPr>
            </w:r>
            <w:r w:rsidRPr="00D3222A">
              <w:rPr>
                <w:rFonts w:asciiTheme="minorHAnsi" w:hAnsiTheme="minorHAnsi" w:cstheme="minorHAnsi"/>
                <w:noProof/>
                <w:webHidden/>
                <w:sz w:val="22"/>
              </w:rPr>
              <w:fldChar w:fldCharType="separate"/>
            </w:r>
            <w:r w:rsidR="00AE43CA">
              <w:rPr>
                <w:rFonts w:asciiTheme="minorHAnsi" w:hAnsiTheme="minorHAnsi" w:cstheme="minorHAnsi"/>
                <w:noProof/>
                <w:webHidden/>
                <w:sz w:val="22"/>
              </w:rPr>
              <w:t>15</w:t>
            </w:r>
            <w:r w:rsidRPr="00D3222A">
              <w:rPr>
                <w:rFonts w:asciiTheme="minorHAnsi" w:hAnsiTheme="minorHAnsi" w:cstheme="minorHAnsi"/>
                <w:noProof/>
                <w:webHidden/>
                <w:sz w:val="22"/>
              </w:rPr>
              <w:fldChar w:fldCharType="end"/>
            </w:r>
          </w:hyperlink>
        </w:p>
        <w:p w14:paraId="553A0260" w14:textId="290946C6" w:rsidR="00192C11" w:rsidRPr="00D3222A" w:rsidRDefault="00192C11">
          <w:pPr>
            <w:pStyle w:val="TOC1"/>
            <w:tabs>
              <w:tab w:val="left" w:pos="440"/>
            </w:tabs>
            <w:rPr>
              <w:rFonts w:asciiTheme="minorHAnsi" w:eastAsiaTheme="minorEastAsia" w:hAnsiTheme="minorHAnsi" w:cstheme="minorHAnsi"/>
              <w:noProof/>
              <w:kern w:val="2"/>
              <w:sz w:val="22"/>
              <w:lang w:eastAsia="en-AU"/>
              <w14:ligatures w14:val="standardContextual"/>
            </w:rPr>
          </w:pPr>
          <w:hyperlink w:anchor="_Toc215493961" w:history="1">
            <w:r w:rsidRPr="00D3222A">
              <w:rPr>
                <w:rStyle w:val="Hyperlink"/>
                <w:rFonts w:asciiTheme="minorHAnsi" w:hAnsiTheme="minorHAnsi" w:cstheme="minorHAnsi"/>
                <w:noProof/>
                <w:sz w:val="22"/>
              </w:rPr>
              <w:t>6</w:t>
            </w:r>
            <w:r w:rsidRPr="00D3222A">
              <w:rPr>
                <w:rFonts w:asciiTheme="minorHAnsi" w:eastAsiaTheme="minorEastAsia" w:hAnsiTheme="minorHAnsi" w:cstheme="minorHAnsi"/>
                <w:noProof/>
                <w:kern w:val="2"/>
                <w:sz w:val="22"/>
                <w:lang w:eastAsia="en-AU"/>
                <w14:ligatures w14:val="standardContextual"/>
              </w:rPr>
              <w:tab/>
            </w:r>
            <w:r w:rsidRPr="00D3222A">
              <w:rPr>
                <w:rStyle w:val="Hyperlink"/>
                <w:rFonts w:asciiTheme="minorHAnsi" w:hAnsiTheme="minorHAnsi" w:cstheme="minorHAnsi"/>
                <w:noProof/>
                <w:sz w:val="22"/>
              </w:rPr>
              <w:t>Enforcement</w:t>
            </w:r>
            <w:r w:rsidRPr="00D3222A">
              <w:rPr>
                <w:rFonts w:asciiTheme="minorHAnsi" w:hAnsiTheme="minorHAnsi" w:cstheme="minorHAnsi"/>
                <w:noProof/>
                <w:webHidden/>
                <w:sz w:val="22"/>
              </w:rPr>
              <w:tab/>
            </w:r>
            <w:r w:rsidRPr="00D3222A">
              <w:rPr>
                <w:rFonts w:asciiTheme="minorHAnsi" w:hAnsiTheme="minorHAnsi" w:cstheme="minorHAnsi"/>
                <w:noProof/>
                <w:webHidden/>
                <w:sz w:val="22"/>
              </w:rPr>
              <w:fldChar w:fldCharType="begin"/>
            </w:r>
            <w:r w:rsidRPr="00D3222A">
              <w:rPr>
                <w:rFonts w:asciiTheme="minorHAnsi" w:hAnsiTheme="minorHAnsi" w:cstheme="minorHAnsi"/>
                <w:noProof/>
                <w:webHidden/>
                <w:sz w:val="22"/>
              </w:rPr>
              <w:instrText xml:space="preserve"> PAGEREF _Toc215493961 \h </w:instrText>
            </w:r>
            <w:r w:rsidRPr="00D3222A">
              <w:rPr>
                <w:rFonts w:asciiTheme="minorHAnsi" w:hAnsiTheme="minorHAnsi" w:cstheme="minorHAnsi"/>
                <w:noProof/>
                <w:webHidden/>
                <w:sz w:val="22"/>
              </w:rPr>
            </w:r>
            <w:r w:rsidRPr="00D3222A">
              <w:rPr>
                <w:rFonts w:asciiTheme="minorHAnsi" w:hAnsiTheme="minorHAnsi" w:cstheme="minorHAnsi"/>
                <w:noProof/>
                <w:webHidden/>
                <w:sz w:val="22"/>
              </w:rPr>
              <w:fldChar w:fldCharType="separate"/>
            </w:r>
            <w:r w:rsidR="00AE43CA">
              <w:rPr>
                <w:rFonts w:asciiTheme="minorHAnsi" w:hAnsiTheme="minorHAnsi" w:cstheme="minorHAnsi"/>
                <w:noProof/>
                <w:webHidden/>
                <w:sz w:val="22"/>
              </w:rPr>
              <w:t>16</w:t>
            </w:r>
            <w:r w:rsidRPr="00D3222A">
              <w:rPr>
                <w:rFonts w:asciiTheme="minorHAnsi" w:hAnsiTheme="minorHAnsi" w:cstheme="minorHAnsi"/>
                <w:noProof/>
                <w:webHidden/>
                <w:sz w:val="22"/>
              </w:rPr>
              <w:fldChar w:fldCharType="end"/>
            </w:r>
          </w:hyperlink>
        </w:p>
        <w:p w14:paraId="2D7A101E" w14:textId="5BA553C6" w:rsidR="00192C11" w:rsidRPr="00D3222A" w:rsidRDefault="00192C11">
          <w:pPr>
            <w:pStyle w:val="TOC2"/>
            <w:tabs>
              <w:tab w:val="left" w:pos="960"/>
              <w:tab w:val="right" w:leader="dot" w:pos="9016"/>
            </w:tabs>
            <w:rPr>
              <w:rFonts w:asciiTheme="minorHAnsi" w:eastAsiaTheme="minorEastAsia" w:hAnsiTheme="minorHAnsi" w:cstheme="minorHAnsi"/>
              <w:noProof/>
              <w:kern w:val="2"/>
              <w:sz w:val="22"/>
              <w:lang w:eastAsia="en-AU"/>
              <w14:ligatures w14:val="standardContextual"/>
            </w:rPr>
          </w:pPr>
          <w:hyperlink w:anchor="_Toc215493962" w:history="1">
            <w:r w:rsidRPr="00D3222A">
              <w:rPr>
                <w:rStyle w:val="Hyperlink"/>
                <w:rFonts w:asciiTheme="minorHAnsi" w:hAnsiTheme="minorHAnsi" w:cstheme="minorHAnsi"/>
                <w:noProof/>
                <w:sz w:val="22"/>
              </w:rPr>
              <w:t>6.1</w:t>
            </w:r>
            <w:r w:rsidRPr="00D3222A">
              <w:rPr>
                <w:rFonts w:asciiTheme="minorHAnsi" w:eastAsiaTheme="minorEastAsia" w:hAnsiTheme="minorHAnsi" w:cstheme="minorHAnsi"/>
                <w:noProof/>
                <w:kern w:val="2"/>
                <w:sz w:val="22"/>
                <w:lang w:eastAsia="en-AU"/>
                <w14:ligatures w14:val="standardContextual"/>
              </w:rPr>
              <w:tab/>
            </w:r>
            <w:r w:rsidRPr="00D3222A">
              <w:rPr>
                <w:rStyle w:val="Hyperlink"/>
                <w:rFonts w:asciiTheme="minorHAnsi" w:hAnsiTheme="minorHAnsi" w:cstheme="minorHAnsi"/>
                <w:noProof/>
                <w:sz w:val="22"/>
              </w:rPr>
              <w:t>Purpose of enforcement activities</w:t>
            </w:r>
            <w:r w:rsidRPr="00D3222A">
              <w:rPr>
                <w:rFonts w:asciiTheme="minorHAnsi" w:hAnsiTheme="minorHAnsi" w:cstheme="minorHAnsi"/>
                <w:noProof/>
                <w:webHidden/>
                <w:sz w:val="22"/>
              </w:rPr>
              <w:tab/>
            </w:r>
            <w:r w:rsidRPr="00D3222A">
              <w:rPr>
                <w:rFonts w:asciiTheme="minorHAnsi" w:hAnsiTheme="minorHAnsi" w:cstheme="minorHAnsi"/>
                <w:noProof/>
                <w:webHidden/>
                <w:sz w:val="22"/>
              </w:rPr>
              <w:fldChar w:fldCharType="begin"/>
            </w:r>
            <w:r w:rsidRPr="00D3222A">
              <w:rPr>
                <w:rFonts w:asciiTheme="minorHAnsi" w:hAnsiTheme="minorHAnsi" w:cstheme="minorHAnsi"/>
                <w:noProof/>
                <w:webHidden/>
                <w:sz w:val="22"/>
              </w:rPr>
              <w:instrText xml:space="preserve"> PAGEREF _Toc215493962 \h </w:instrText>
            </w:r>
            <w:r w:rsidRPr="00D3222A">
              <w:rPr>
                <w:rFonts w:asciiTheme="minorHAnsi" w:hAnsiTheme="minorHAnsi" w:cstheme="minorHAnsi"/>
                <w:noProof/>
                <w:webHidden/>
                <w:sz w:val="22"/>
              </w:rPr>
            </w:r>
            <w:r w:rsidRPr="00D3222A">
              <w:rPr>
                <w:rFonts w:asciiTheme="minorHAnsi" w:hAnsiTheme="minorHAnsi" w:cstheme="minorHAnsi"/>
                <w:noProof/>
                <w:webHidden/>
                <w:sz w:val="22"/>
              </w:rPr>
              <w:fldChar w:fldCharType="separate"/>
            </w:r>
            <w:r w:rsidR="00AE43CA">
              <w:rPr>
                <w:rFonts w:asciiTheme="minorHAnsi" w:hAnsiTheme="minorHAnsi" w:cstheme="minorHAnsi"/>
                <w:noProof/>
                <w:webHidden/>
                <w:sz w:val="22"/>
              </w:rPr>
              <w:t>16</w:t>
            </w:r>
            <w:r w:rsidRPr="00D3222A">
              <w:rPr>
                <w:rFonts w:asciiTheme="minorHAnsi" w:hAnsiTheme="minorHAnsi" w:cstheme="minorHAnsi"/>
                <w:noProof/>
                <w:webHidden/>
                <w:sz w:val="22"/>
              </w:rPr>
              <w:fldChar w:fldCharType="end"/>
            </w:r>
          </w:hyperlink>
        </w:p>
        <w:p w14:paraId="3EC91050" w14:textId="77A45595" w:rsidR="00192C11" w:rsidRPr="00D3222A" w:rsidRDefault="00192C11">
          <w:pPr>
            <w:pStyle w:val="TOC2"/>
            <w:tabs>
              <w:tab w:val="left" w:pos="960"/>
              <w:tab w:val="right" w:leader="dot" w:pos="9016"/>
            </w:tabs>
            <w:rPr>
              <w:rFonts w:asciiTheme="minorHAnsi" w:eastAsiaTheme="minorEastAsia" w:hAnsiTheme="minorHAnsi" w:cstheme="minorHAnsi"/>
              <w:noProof/>
              <w:kern w:val="2"/>
              <w:sz w:val="22"/>
              <w:lang w:eastAsia="en-AU"/>
              <w14:ligatures w14:val="standardContextual"/>
            </w:rPr>
          </w:pPr>
          <w:hyperlink w:anchor="_Toc215493963" w:history="1">
            <w:r w:rsidRPr="00D3222A">
              <w:rPr>
                <w:rStyle w:val="Hyperlink"/>
                <w:rFonts w:asciiTheme="minorHAnsi" w:hAnsiTheme="minorHAnsi" w:cstheme="minorHAnsi"/>
                <w:noProof/>
                <w:sz w:val="22"/>
              </w:rPr>
              <w:t>6.2</w:t>
            </w:r>
            <w:r w:rsidRPr="00D3222A">
              <w:rPr>
                <w:rFonts w:asciiTheme="minorHAnsi" w:eastAsiaTheme="minorEastAsia" w:hAnsiTheme="minorHAnsi" w:cstheme="minorHAnsi"/>
                <w:noProof/>
                <w:kern w:val="2"/>
                <w:sz w:val="22"/>
                <w:lang w:eastAsia="en-AU"/>
                <w14:ligatures w14:val="standardContextual"/>
              </w:rPr>
              <w:tab/>
            </w:r>
            <w:r w:rsidRPr="00D3222A">
              <w:rPr>
                <w:rStyle w:val="Hyperlink"/>
                <w:rFonts w:asciiTheme="minorHAnsi" w:hAnsiTheme="minorHAnsi" w:cstheme="minorHAnsi"/>
                <w:noProof/>
                <w:sz w:val="22"/>
              </w:rPr>
              <w:t>Enforcement tools and activities</w:t>
            </w:r>
            <w:r w:rsidRPr="00D3222A">
              <w:rPr>
                <w:rFonts w:asciiTheme="minorHAnsi" w:hAnsiTheme="minorHAnsi" w:cstheme="minorHAnsi"/>
                <w:noProof/>
                <w:webHidden/>
                <w:sz w:val="22"/>
              </w:rPr>
              <w:tab/>
            </w:r>
            <w:r w:rsidRPr="00D3222A">
              <w:rPr>
                <w:rFonts w:asciiTheme="minorHAnsi" w:hAnsiTheme="minorHAnsi" w:cstheme="minorHAnsi"/>
                <w:noProof/>
                <w:webHidden/>
                <w:sz w:val="22"/>
              </w:rPr>
              <w:fldChar w:fldCharType="begin"/>
            </w:r>
            <w:r w:rsidRPr="00D3222A">
              <w:rPr>
                <w:rFonts w:asciiTheme="minorHAnsi" w:hAnsiTheme="minorHAnsi" w:cstheme="minorHAnsi"/>
                <w:noProof/>
                <w:webHidden/>
                <w:sz w:val="22"/>
              </w:rPr>
              <w:instrText xml:space="preserve"> PAGEREF _Toc215493963 \h </w:instrText>
            </w:r>
            <w:r w:rsidRPr="00D3222A">
              <w:rPr>
                <w:rFonts w:asciiTheme="minorHAnsi" w:hAnsiTheme="minorHAnsi" w:cstheme="minorHAnsi"/>
                <w:noProof/>
                <w:webHidden/>
                <w:sz w:val="22"/>
              </w:rPr>
            </w:r>
            <w:r w:rsidRPr="00D3222A">
              <w:rPr>
                <w:rFonts w:asciiTheme="minorHAnsi" w:hAnsiTheme="minorHAnsi" w:cstheme="minorHAnsi"/>
                <w:noProof/>
                <w:webHidden/>
                <w:sz w:val="22"/>
              </w:rPr>
              <w:fldChar w:fldCharType="separate"/>
            </w:r>
            <w:r w:rsidR="00AE43CA">
              <w:rPr>
                <w:rFonts w:asciiTheme="minorHAnsi" w:hAnsiTheme="minorHAnsi" w:cstheme="minorHAnsi"/>
                <w:noProof/>
                <w:webHidden/>
                <w:sz w:val="22"/>
              </w:rPr>
              <w:t>16</w:t>
            </w:r>
            <w:r w:rsidRPr="00D3222A">
              <w:rPr>
                <w:rFonts w:asciiTheme="minorHAnsi" w:hAnsiTheme="minorHAnsi" w:cstheme="minorHAnsi"/>
                <w:noProof/>
                <w:webHidden/>
                <w:sz w:val="22"/>
              </w:rPr>
              <w:fldChar w:fldCharType="end"/>
            </w:r>
          </w:hyperlink>
        </w:p>
        <w:p w14:paraId="4283967E" w14:textId="633ED93D" w:rsidR="00192C11" w:rsidRPr="00D3222A" w:rsidRDefault="00192C11">
          <w:pPr>
            <w:pStyle w:val="TOC2"/>
            <w:tabs>
              <w:tab w:val="left" w:pos="960"/>
              <w:tab w:val="right" w:leader="dot" w:pos="9016"/>
            </w:tabs>
            <w:rPr>
              <w:rFonts w:asciiTheme="minorHAnsi" w:eastAsiaTheme="minorEastAsia" w:hAnsiTheme="minorHAnsi" w:cstheme="minorHAnsi"/>
              <w:noProof/>
              <w:kern w:val="2"/>
              <w:sz w:val="22"/>
              <w:lang w:eastAsia="en-AU"/>
              <w14:ligatures w14:val="standardContextual"/>
            </w:rPr>
          </w:pPr>
          <w:hyperlink w:anchor="_Toc215493964" w:history="1">
            <w:r w:rsidRPr="00D3222A">
              <w:rPr>
                <w:rStyle w:val="Hyperlink"/>
                <w:rFonts w:asciiTheme="minorHAnsi" w:hAnsiTheme="minorHAnsi" w:cstheme="minorHAnsi"/>
                <w:noProof/>
                <w:sz w:val="22"/>
              </w:rPr>
              <w:t>6.3</w:t>
            </w:r>
            <w:r w:rsidRPr="00D3222A">
              <w:rPr>
                <w:rFonts w:asciiTheme="minorHAnsi" w:eastAsiaTheme="minorEastAsia" w:hAnsiTheme="minorHAnsi" w:cstheme="minorHAnsi"/>
                <w:noProof/>
                <w:kern w:val="2"/>
                <w:sz w:val="22"/>
                <w:lang w:eastAsia="en-AU"/>
                <w14:ligatures w14:val="standardContextual"/>
              </w:rPr>
              <w:tab/>
            </w:r>
            <w:r w:rsidRPr="00D3222A">
              <w:rPr>
                <w:rStyle w:val="Hyperlink"/>
                <w:rFonts w:asciiTheme="minorHAnsi" w:hAnsiTheme="minorHAnsi" w:cstheme="minorHAnsi"/>
                <w:noProof/>
                <w:sz w:val="22"/>
              </w:rPr>
              <w:t>Outcomes of enforcement activities</w:t>
            </w:r>
            <w:r w:rsidRPr="00D3222A">
              <w:rPr>
                <w:rFonts w:asciiTheme="minorHAnsi" w:hAnsiTheme="minorHAnsi" w:cstheme="minorHAnsi"/>
                <w:noProof/>
                <w:webHidden/>
                <w:sz w:val="22"/>
              </w:rPr>
              <w:tab/>
            </w:r>
            <w:r w:rsidRPr="00D3222A">
              <w:rPr>
                <w:rFonts w:asciiTheme="minorHAnsi" w:hAnsiTheme="minorHAnsi" w:cstheme="minorHAnsi"/>
                <w:noProof/>
                <w:webHidden/>
                <w:sz w:val="22"/>
              </w:rPr>
              <w:fldChar w:fldCharType="begin"/>
            </w:r>
            <w:r w:rsidRPr="00D3222A">
              <w:rPr>
                <w:rFonts w:asciiTheme="minorHAnsi" w:hAnsiTheme="minorHAnsi" w:cstheme="minorHAnsi"/>
                <w:noProof/>
                <w:webHidden/>
                <w:sz w:val="22"/>
              </w:rPr>
              <w:instrText xml:space="preserve"> PAGEREF _Toc215493964 \h </w:instrText>
            </w:r>
            <w:r w:rsidRPr="00D3222A">
              <w:rPr>
                <w:rFonts w:asciiTheme="minorHAnsi" w:hAnsiTheme="minorHAnsi" w:cstheme="minorHAnsi"/>
                <w:noProof/>
                <w:webHidden/>
                <w:sz w:val="22"/>
              </w:rPr>
            </w:r>
            <w:r w:rsidRPr="00D3222A">
              <w:rPr>
                <w:rFonts w:asciiTheme="minorHAnsi" w:hAnsiTheme="minorHAnsi" w:cstheme="minorHAnsi"/>
                <w:noProof/>
                <w:webHidden/>
                <w:sz w:val="22"/>
              </w:rPr>
              <w:fldChar w:fldCharType="separate"/>
            </w:r>
            <w:r w:rsidR="00AE43CA">
              <w:rPr>
                <w:rFonts w:asciiTheme="minorHAnsi" w:hAnsiTheme="minorHAnsi" w:cstheme="minorHAnsi"/>
                <w:noProof/>
                <w:webHidden/>
                <w:sz w:val="22"/>
              </w:rPr>
              <w:t>16</w:t>
            </w:r>
            <w:r w:rsidRPr="00D3222A">
              <w:rPr>
                <w:rFonts w:asciiTheme="minorHAnsi" w:hAnsiTheme="minorHAnsi" w:cstheme="minorHAnsi"/>
                <w:noProof/>
                <w:webHidden/>
                <w:sz w:val="22"/>
              </w:rPr>
              <w:fldChar w:fldCharType="end"/>
            </w:r>
          </w:hyperlink>
        </w:p>
        <w:p w14:paraId="4D3139E9" w14:textId="3B4C98CB" w:rsidR="00192C11" w:rsidRPr="00D3222A" w:rsidRDefault="00192C11">
          <w:pPr>
            <w:pStyle w:val="TOC1"/>
            <w:tabs>
              <w:tab w:val="left" w:pos="440"/>
            </w:tabs>
            <w:rPr>
              <w:rFonts w:asciiTheme="minorHAnsi" w:eastAsiaTheme="minorEastAsia" w:hAnsiTheme="minorHAnsi" w:cstheme="minorHAnsi"/>
              <w:noProof/>
              <w:kern w:val="2"/>
              <w:sz w:val="22"/>
              <w:lang w:eastAsia="en-AU"/>
              <w14:ligatures w14:val="standardContextual"/>
            </w:rPr>
          </w:pPr>
          <w:hyperlink w:anchor="_Toc215493965" w:history="1">
            <w:r w:rsidRPr="00D3222A">
              <w:rPr>
                <w:rStyle w:val="Hyperlink"/>
                <w:rFonts w:asciiTheme="minorHAnsi" w:hAnsiTheme="minorHAnsi" w:cstheme="minorHAnsi"/>
                <w:noProof/>
                <w:sz w:val="22"/>
              </w:rPr>
              <w:t>7</w:t>
            </w:r>
            <w:r w:rsidRPr="00D3222A">
              <w:rPr>
                <w:rFonts w:asciiTheme="minorHAnsi" w:eastAsiaTheme="minorEastAsia" w:hAnsiTheme="minorHAnsi" w:cstheme="minorHAnsi"/>
                <w:noProof/>
                <w:kern w:val="2"/>
                <w:sz w:val="22"/>
                <w:lang w:eastAsia="en-AU"/>
                <w14:ligatures w14:val="standardContextual"/>
              </w:rPr>
              <w:tab/>
            </w:r>
            <w:r w:rsidRPr="00D3222A">
              <w:rPr>
                <w:rStyle w:val="Hyperlink"/>
                <w:rFonts w:asciiTheme="minorHAnsi" w:hAnsiTheme="minorHAnsi" w:cstheme="minorHAnsi"/>
                <w:noProof/>
                <w:sz w:val="22"/>
              </w:rPr>
              <w:t>Compliance and enforcement tools</w:t>
            </w:r>
            <w:r w:rsidRPr="00D3222A">
              <w:rPr>
                <w:rFonts w:asciiTheme="minorHAnsi" w:hAnsiTheme="minorHAnsi" w:cstheme="minorHAnsi"/>
                <w:noProof/>
                <w:webHidden/>
                <w:sz w:val="22"/>
              </w:rPr>
              <w:tab/>
            </w:r>
            <w:r w:rsidRPr="00D3222A">
              <w:rPr>
                <w:rFonts w:asciiTheme="minorHAnsi" w:hAnsiTheme="minorHAnsi" w:cstheme="minorHAnsi"/>
                <w:noProof/>
                <w:webHidden/>
                <w:sz w:val="22"/>
              </w:rPr>
              <w:fldChar w:fldCharType="begin"/>
            </w:r>
            <w:r w:rsidRPr="00D3222A">
              <w:rPr>
                <w:rFonts w:asciiTheme="minorHAnsi" w:hAnsiTheme="minorHAnsi" w:cstheme="minorHAnsi"/>
                <w:noProof/>
                <w:webHidden/>
                <w:sz w:val="22"/>
              </w:rPr>
              <w:instrText xml:space="preserve"> PAGEREF _Toc215493965 \h </w:instrText>
            </w:r>
            <w:r w:rsidRPr="00D3222A">
              <w:rPr>
                <w:rFonts w:asciiTheme="minorHAnsi" w:hAnsiTheme="minorHAnsi" w:cstheme="minorHAnsi"/>
                <w:noProof/>
                <w:webHidden/>
                <w:sz w:val="22"/>
              </w:rPr>
            </w:r>
            <w:r w:rsidRPr="00D3222A">
              <w:rPr>
                <w:rFonts w:asciiTheme="minorHAnsi" w:hAnsiTheme="minorHAnsi" w:cstheme="minorHAnsi"/>
                <w:noProof/>
                <w:webHidden/>
                <w:sz w:val="22"/>
              </w:rPr>
              <w:fldChar w:fldCharType="separate"/>
            </w:r>
            <w:r w:rsidR="00AE43CA">
              <w:rPr>
                <w:rFonts w:asciiTheme="minorHAnsi" w:hAnsiTheme="minorHAnsi" w:cstheme="minorHAnsi"/>
                <w:noProof/>
                <w:webHidden/>
                <w:sz w:val="22"/>
              </w:rPr>
              <w:t>17</w:t>
            </w:r>
            <w:r w:rsidRPr="00D3222A">
              <w:rPr>
                <w:rFonts w:asciiTheme="minorHAnsi" w:hAnsiTheme="minorHAnsi" w:cstheme="minorHAnsi"/>
                <w:noProof/>
                <w:webHidden/>
                <w:sz w:val="22"/>
              </w:rPr>
              <w:fldChar w:fldCharType="end"/>
            </w:r>
          </w:hyperlink>
        </w:p>
        <w:p w14:paraId="74878D30" w14:textId="7DAE7233" w:rsidR="00192C11" w:rsidRPr="00D3222A" w:rsidRDefault="00192C11">
          <w:pPr>
            <w:pStyle w:val="TOC1"/>
            <w:tabs>
              <w:tab w:val="left" w:pos="440"/>
            </w:tabs>
            <w:rPr>
              <w:rFonts w:asciiTheme="minorHAnsi" w:eastAsiaTheme="minorEastAsia" w:hAnsiTheme="minorHAnsi" w:cstheme="minorHAnsi"/>
              <w:noProof/>
              <w:kern w:val="2"/>
              <w:sz w:val="22"/>
              <w:lang w:eastAsia="en-AU"/>
              <w14:ligatures w14:val="standardContextual"/>
            </w:rPr>
          </w:pPr>
          <w:hyperlink w:anchor="_Toc215493966" w:history="1">
            <w:r w:rsidRPr="00D3222A">
              <w:rPr>
                <w:rStyle w:val="Hyperlink"/>
                <w:rFonts w:asciiTheme="minorHAnsi" w:hAnsiTheme="minorHAnsi" w:cstheme="minorHAnsi"/>
                <w:noProof/>
                <w:sz w:val="22"/>
              </w:rPr>
              <w:t>8</w:t>
            </w:r>
            <w:r w:rsidRPr="00D3222A">
              <w:rPr>
                <w:rFonts w:asciiTheme="minorHAnsi" w:eastAsiaTheme="minorEastAsia" w:hAnsiTheme="minorHAnsi" w:cstheme="minorHAnsi"/>
                <w:noProof/>
                <w:kern w:val="2"/>
                <w:sz w:val="22"/>
                <w:lang w:eastAsia="en-AU"/>
                <w14:ligatures w14:val="standardContextual"/>
              </w:rPr>
              <w:tab/>
            </w:r>
            <w:r w:rsidRPr="00D3222A">
              <w:rPr>
                <w:rStyle w:val="Hyperlink"/>
                <w:rFonts w:asciiTheme="minorHAnsi" w:hAnsiTheme="minorHAnsi" w:cstheme="minorHAnsi"/>
                <w:noProof/>
                <w:sz w:val="22"/>
              </w:rPr>
              <w:t>Transparency and accountability</w:t>
            </w:r>
            <w:r w:rsidRPr="00D3222A">
              <w:rPr>
                <w:rFonts w:asciiTheme="minorHAnsi" w:hAnsiTheme="minorHAnsi" w:cstheme="minorHAnsi"/>
                <w:noProof/>
                <w:webHidden/>
                <w:sz w:val="22"/>
              </w:rPr>
              <w:tab/>
            </w:r>
            <w:r w:rsidRPr="00D3222A">
              <w:rPr>
                <w:rFonts w:asciiTheme="minorHAnsi" w:hAnsiTheme="minorHAnsi" w:cstheme="minorHAnsi"/>
                <w:noProof/>
                <w:webHidden/>
                <w:sz w:val="22"/>
              </w:rPr>
              <w:fldChar w:fldCharType="begin"/>
            </w:r>
            <w:r w:rsidRPr="00D3222A">
              <w:rPr>
                <w:rFonts w:asciiTheme="minorHAnsi" w:hAnsiTheme="minorHAnsi" w:cstheme="minorHAnsi"/>
                <w:noProof/>
                <w:webHidden/>
                <w:sz w:val="22"/>
              </w:rPr>
              <w:instrText xml:space="preserve"> PAGEREF _Toc215493966 \h </w:instrText>
            </w:r>
            <w:r w:rsidRPr="00D3222A">
              <w:rPr>
                <w:rFonts w:asciiTheme="minorHAnsi" w:hAnsiTheme="minorHAnsi" w:cstheme="minorHAnsi"/>
                <w:noProof/>
                <w:webHidden/>
                <w:sz w:val="22"/>
              </w:rPr>
            </w:r>
            <w:r w:rsidRPr="00D3222A">
              <w:rPr>
                <w:rFonts w:asciiTheme="minorHAnsi" w:hAnsiTheme="minorHAnsi" w:cstheme="minorHAnsi"/>
                <w:noProof/>
                <w:webHidden/>
                <w:sz w:val="22"/>
              </w:rPr>
              <w:fldChar w:fldCharType="separate"/>
            </w:r>
            <w:r w:rsidR="00AE43CA">
              <w:rPr>
                <w:rFonts w:asciiTheme="minorHAnsi" w:hAnsiTheme="minorHAnsi" w:cstheme="minorHAnsi"/>
                <w:noProof/>
                <w:webHidden/>
                <w:sz w:val="22"/>
              </w:rPr>
              <w:t>19</w:t>
            </w:r>
            <w:r w:rsidRPr="00D3222A">
              <w:rPr>
                <w:rFonts w:asciiTheme="minorHAnsi" w:hAnsiTheme="minorHAnsi" w:cstheme="minorHAnsi"/>
                <w:noProof/>
                <w:webHidden/>
                <w:sz w:val="22"/>
              </w:rPr>
              <w:fldChar w:fldCharType="end"/>
            </w:r>
          </w:hyperlink>
        </w:p>
        <w:p w14:paraId="0F4059B6" w14:textId="03671A59" w:rsidR="00192C11" w:rsidRPr="00D3222A" w:rsidRDefault="00192C11">
          <w:pPr>
            <w:pStyle w:val="TOC2"/>
            <w:tabs>
              <w:tab w:val="left" w:pos="960"/>
              <w:tab w:val="right" w:leader="dot" w:pos="9016"/>
            </w:tabs>
            <w:rPr>
              <w:rFonts w:asciiTheme="minorHAnsi" w:eastAsiaTheme="minorEastAsia" w:hAnsiTheme="minorHAnsi" w:cstheme="minorHAnsi"/>
              <w:noProof/>
              <w:kern w:val="2"/>
              <w:sz w:val="22"/>
              <w:lang w:eastAsia="en-AU"/>
              <w14:ligatures w14:val="standardContextual"/>
            </w:rPr>
          </w:pPr>
          <w:hyperlink w:anchor="_Toc215493967" w:history="1">
            <w:r w:rsidRPr="00D3222A">
              <w:rPr>
                <w:rStyle w:val="Hyperlink"/>
                <w:rFonts w:asciiTheme="minorHAnsi" w:hAnsiTheme="minorHAnsi" w:cstheme="minorHAnsi"/>
                <w:noProof/>
                <w:sz w:val="22"/>
              </w:rPr>
              <w:t>8.1</w:t>
            </w:r>
            <w:r w:rsidRPr="00D3222A">
              <w:rPr>
                <w:rFonts w:asciiTheme="minorHAnsi" w:eastAsiaTheme="minorEastAsia" w:hAnsiTheme="minorHAnsi" w:cstheme="minorHAnsi"/>
                <w:noProof/>
                <w:kern w:val="2"/>
                <w:sz w:val="22"/>
                <w:lang w:eastAsia="en-AU"/>
                <w14:ligatures w14:val="standardContextual"/>
              </w:rPr>
              <w:tab/>
            </w:r>
            <w:r w:rsidRPr="00D3222A">
              <w:rPr>
                <w:rStyle w:val="Hyperlink"/>
                <w:rFonts w:asciiTheme="minorHAnsi" w:hAnsiTheme="minorHAnsi" w:cstheme="minorHAnsi"/>
                <w:noProof/>
                <w:sz w:val="22"/>
              </w:rPr>
              <w:t>Co-regulators</w:t>
            </w:r>
            <w:r w:rsidRPr="00D3222A">
              <w:rPr>
                <w:rFonts w:asciiTheme="minorHAnsi" w:hAnsiTheme="minorHAnsi" w:cstheme="minorHAnsi"/>
                <w:noProof/>
                <w:webHidden/>
                <w:sz w:val="22"/>
              </w:rPr>
              <w:tab/>
            </w:r>
            <w:r w:rsidRPr="00D3222A">
              <w:rPr>
                <w:rFonts w:asciiTheme="minorHAnsi" w:hAnsiTheme="minorHAnsi" w:cstheme="minorHAnsi"/>
                <w:noProof/>
                <w:webHidden/>
                <w:sz w:val="22"/>
              </w:rPr>
              <w:fldChar w:fldCharType="begin"/>
            </w:r>
            <w:r w:rsidRPr="00D3222A">
              <w:rPr>
                <w:rFonts w:asciiTheme="minorHAnsi" w:hAnsiTheme="minorHAnsi" w:cstheme="minorHAnsi"/>
                <w:noProof/>
                <w:webHidden/>
                <w:sz w:val="22"/>
              </w:rPr>
              <w:instrText xml:space="preserve"> PAGEREF _Toc215493967 \h </w:instrText>
            </w:r>
            <w:r w:rsidRPr="00D3222A">
              <w:rPr>
                <w:rFonts w:asciiTheme="minorHAnsi" w:hAnsiTheme="minorHAnsi" w:cstheme="minorHAnsi"/>
                <w:noProof/>
                <w:webHidden/>
                <w:sz w:val="22"/>
              </w:rPr>
            </w:r>
            <w:r w:rsidRPr="00D3222A">
              <w:rPr>
                <w:rFonts w:asciiTheme="minorHAnsi" w:hAnsiTheme="minorHAnsi" w:cstheme="minorHAnsi"/>
                <w:noProof/>
                <w:webHidden/>
                <w:sz w:val="22"/>
              </w:rPr>
              <w:fldChar w:fldCharType="separate"/>
            </w:r>
            <w:r w:rsidR="00AE43CA">
              <w:rPr>
                <w:rFonts w:asciiTheme="minorHAnsi" w:hAnsiTheme="minorHAnsi" w:cstheme="minorHAnsi"/>
                <w:noProof/>
                <w:webHidden/>
                <w:sz w:val="22"/>
              </w:rPr>
              <w:t>19</w:t>
            </w:r>
            <w:r w:rsidRPr="00D3222A">
              <w:rPr>
                <w:rFonts w:asciiTheme="minorHAnsi" w:hAnsiTheme="minorHAnsi" w:cstheme="minorHAnsi"/>
                <w:noProof/>
                <w:webHidden/>
                <w:sz w:val="22"/>
              </w:rPr>
              <w:fldChar w:fldCharType="end"/>
            </w:r>
          </w:hyperlink>
        </w:p>
        <w:p w14:paraId="32BE448E" w14:textId="68014DBD" w:rsidR="00192C11" w:rsidRPr="00D3222A" w:rsidRDefault="00192C11">
          <w:pPr>
            <w:pStyle w:val="TOC2"/>
            <w:tabs>
              <w:tab w:val="left" w:pos="960"/>
              <w:tab w:val="right" w:leader="dot" w:pos="9016"/>
            </w:tabs>
            <w:rPr>
              <w:rFonts w:asciiTheme="minorHAnsi" w:eastAsiaTheme="minorEastAsia" w:hAnsiTheme="minorHAnsi" w:cstheme="minorHAnsi"/>
              <w:noProof/>
              <w:kern w:val="2"/>
              <w:sz w:val="22"/>
              <w:lang w:eastAsia="en-AU"/>
              <w14:ligatures w14:val="standardContextual"/>
            </w:rPr>
          </w:pPr>
          <w:hyperlink w:anchor="_Toc215493968" w:history="1">
            <w:r w:rsidRPr="00D3222A">
              <w:rPr>
                <w:rStyle w:val="Hyperlink"/>
                <w:rFonts w:asciiTheme="minorHAnsi" w:hAnsiTheme="minorHAnsi" w:cstheme="minorHAnsi"/>
                <w:noProof/>
                <w:sz w:val="22"/>
              </w:rPr>
              <w:t>8.2</w:t>
            </w:r>
            <w:r w:rsidRPr="00D3222A">
              <w:rPr>
                <w:rFonts w:asciiTheme="minorHAnsi" w:eastAsiaTheme="minorEastAsia" w:hAnsiTheme="minorHAnsi" w:cstheme="minorHAnsi"/>
                <w:noProof/>
                <w:kern w:val="2"/>
                <w:sz w:val="22"/>
                <w:lang w:eastAsia="en-AU"/>
                <w14:ligatures w14:val="standardContextual"/>
              </w:rPr>
              <w:tab/>
            </w:r>
            <w:r w:rsidRPr="00D3222A">
              <w:rPr>
                <w:rStyle w:val="Hyperlink"/>
                <w:rFonts w:asciiTheme="minorHAnsi" w:hAnsiTheme="minorHAnsi" w:cstheme="minorHAnsi"/>
                <w:noProof/>
                <w:sz w:val="22"/>
              </w:rPr>
              <w:t>Statutory and public reporting</w:t>
            </w:r>
            <w:r w:rsidRPr="00D3222A">
              <w:rPr>
                <w:rFonts w:asciiTheme="minorHAnsi" w:hAnsiTheme="minorHAnsi" w:cstheme="minorHAnsi"/>
                <w:noProof/>
                <w:webHidden/>
                <w:sz w:val="22"/>
              </w:rPr>
              <w:tab/>
            </w:r>
            <w:r w:rsidRPr="00D3222A">
              <w:rPr>
                <w:rFonts w:asciiTheme="minorHAnsi" w:hAnsiTheme="minorHAnsi" w:cstheme="minorHAnsi"/>
                <w:noProof/>
                <w:webHidden/>
                <w:sz w:val="22"/>
              </w:rPr>
              <w:fldChar w:fldCharType="begin"/>
            </w:r>
            <w:r w:rsidRPr="00D3222A">
              <w:rPr>
                <w:rFonts w:asciiTheme="minorHAnsi" w:hAnsiTheme="minorHAnsi" w:cstheme="minorHAnsi"/>
                <w:noProof/>
                <w:webHidden/>
                <w:sz w:val="22"/>
              </w:rPr>
              <w:instrText xml:space="preserve"> PAGEREF _Toc215493968 \h </w:instrText>
            </w:r>
            <w:r w:rsidRPr="00D3222A">
              <w:rPr>
                <w:rFonts w:asciiTheme="minorHAnsi" w:hAnsiTheme="minorHAnsi" w:cstheme="minorHAnsi"/>
                <w:noProof/>
                <w:webHidden/>
                <w:sz w:val="22"/>
              </w:rPr>
            </w:r>
            <w:r w:rsidRPr="00D3222A">
              <w:rPr>
                <w:rFonts w:asciiTheme="minorHAnsi" w:hAnsiTheme="minorHAnsi" w:cstheme="minorHAnsi"/>
                <w:noProof/>
                <w:webHidden/>
                <w:sz w:val="22"/>
              </w:rPr>
              <w:fldChar w:fldCharType="separate"/>
            </w:r>
            <w:r w:rsidR="00AE43CA">
              <w:rPr>
                <w:rFonts w:asciiTheme="minorHAnsi" w:hAnsiTheme="minorHAnsi" w:cstheme="minorHAnsi"/>
                <w:noProof/>
                <w:webHidden/>
                <w:sz w:val="22"/>
              </w:rPr>
              <w:t>19</w:t>
            </w:r>
            <w:r w:rsidRPr="00D3222A">
              <w:rPr>
                <w:rFonts w:asciiTheme="minorHAnsi" w:hAnsiTheme="minorHAnsi" w:cstheme="minorHAnsi"/>
                <w:noProof/>
                <w:webHidden/>
                <w:sz w:val="22"/>
              </w:rPr>
              <w:fldChar w:fldCharType="end"/>
            </w:r>
          </w:hyperlink>
        </w:p>
        <w:p w14:paraId="0FD30CDF" w14:textId="18A7CAA9" w:rsidR="00192C11" w:rsidRPr="00D3222A" w:rsidRDefault="00192C11" w:rsidP="00192C11">
          <w:pPr>
            <w:pStyle w:val="TOC2"/>
            <w:tabs>
              <w:tab w:val="left" w:pos="960"/>
              <w:tab w:val="right" w:leader="dot" w:pos="9016"/>
            </w:tabs>
            <w:rPr>
              <w:rFonts w:asciiTheme="minorHAnsi" w:eastAsiaTheme="minorEastAsia" w:hAnsiTheme="minorHAnsi" w:cstheme="minorHAnsi"/>
              <w:noProof/>
              <w:kern w:val="2"/>
              <w:sz w:val="22"/>
              <w:lang w:eastAsia="en-AU"/>
              <w14:ligatures w14:val="standardContextual"/>
            </w:rPr>
          </w:pPr>
          <w:hyperlink w:anchor="_Toc215493969" w:history="1">
            <w:r w:rsidRPr="00D3222A">
              <w:rPr>
                <w:rStyle w:val="Hyperlink"/>
                <w:rFonts w:asciiTheme="minorHAnsi" w:hAnsiTheme="minorHAnsi" w:cstheme="minorHAnsi"/>
                <w:noProof/>
                <w:sz w:val="22"/>
              </w:rPr>
              <w:t>8.3</w:t>
            </w:r>
            <w:r w:rsidRPr="00D3222A">
              <w:rPr>
                <w:rFonts w:asciiTheme="minorHAnsi" w:eastAsiaTheme="minorEastAsia" w:hAnsiTheme="minorHAnsi" w:cstheme="minorHAnsi"/>
                <w:noProof/>
                <w:kern w:val="2"/>
                <w:sz w:val="22"/>
                <w:lang w:eastAsia="en-AU"/>
                <w14:ligatures w14:val="standardContextual"/>
              </w:rPr>
              <w:tab/>
            </w:r>
            <w:r w:rsidRPr="00D3222A">
              <w:rPr>
                <w:rStyle w:val="Hyperlink"/>
                <w:rFonts w:asciiTheme="minorHAnsi" w:hAnsiTheme="minorHAnsi" w:cstheme="minorHAnsi"/>
                <w:noProof/>
                <w:sz w:val="22"/>
              </w:rPr>
              <w:t>Privacy</w:t>
            </w:r>
            <w:r w:rsidRPr="00D3222A">
              <w:rPr>
                <w:rFonts w:asciiTheme="minorHAnsi" w:hAnsiTheme="minorHAnsi" w:cstheme="minorHAnsi"/>
                <w:noProof/>
                <w:webHidden/>
                <w:sz w:val="22"/>
              </w:rPr>
              <w:tab/>
            </w:r>
            <w:r w:rsidRPr="00D3222A">
              <w:rPr>
                <w:rFonts w:asciiTheme="minorHAnsi" w:hAnsiTheme="minorHAnsi" w:cstheme="minorHAnsi"/>
                <w:noProof/>
                <w:webHidden/>
                <w:sz w:val="22"/>
              </w:rPr>
              <w:fldChar w:fldCharType="begin"/>
            </w:r>
            <w:r w:rsidRPr="00D3222A">
              <w:rPr>
                <w:rFonts w:asciiTheme="minorHAnsi" w:hAnsiTheme="minorHAnsi" w:cstheme="minorHAnsi"/>
                <w:noProof/>
                <w:webHidden/>
                <w:sz w:val="22"/>
              </w:rPr>
              <w:instrText xml:space="preserve"> PAGEREF _Toc215493969 \h </w:instrText>
            </w:r>
            <w:r w:rsidRPr="00D3222A">
              <w:rPr>
                <w:rFonts w:asciiTheme="minorHAnsi" w:hAnsiTheme="minorHAnsi" w:cstheme="minorHAnsi"/>
                <w:noProof/>
                <w:webHidden/>
                <w:sz w:val="22"/>
              </w:rPr>
            </w:r>
            <w:r w:rsidRPr="00D3222A">
              <w:rPr>
                <w:rFonts w:asciiTheme="minorHAnsi" w:hAnsiTheme="minorHAnsi" w:cstheme="minorHAnsi"/>
                <w:noProof/>
                <w:webHidden/>
                <w:sz w:val="22"/>
              </w:rPr>
              <w:fldChar w:fldCharType="separate"/>
            </w:r>
            <w:r w:rsidR="00AE43CA">
              <w:rPr>
                <w:rFonts w:asciiTheme="minorHAnsi" w:hAnsiTheme="minorHAnsi" w:cstheme="minorHAnsi"/>
                <w:noProof/>
                <w:webHidden/>
                <w:sz w:val="22"/>
              </w:rPr>
              <w:t>19</w:t>
            </w:r>
            <w:r w:rsidRPr="00D3222A">
              <w:rPr>
                <w:rFonts w:asciiTheme="minorHAnsi" w:hAnsiTheme="minorHAnsi" w:cstheme="minorHAnsi"/>
                <w:noProof/>
                <w:webHidden/>
                <w:sz w:val="22"/>
              </w:rPr>
              <w:fldChar w:fldCharType="end"/>
            </w:r>
          </w:hyperlink>
        </w:p>
        <w:p w14:paraId="2EA18966" w14:textId="46E94A05" w:rsidR="00192C11" w:rsidRPr="00D3222A" w:rsidRDefault="00192C11">
          <w:pPr>
            <w:pStyle w:val="TOC2"/>
            <w:tabs>
              <w:tab w:val="left" w:pos="960"/>
              <w:tab w:val="right" w:leader="dot" w:pos="9016"/>
            </w:tabs>
            <w:rPr>
              <w:rFonts w:asciiTheme="minorHAnsi" w:eastAsiaTheme="minorEastAsia" w:hAnsiTheme="minorHAnsi" w:cstheme="minorHAnsi"/>
              <w:noProof/>
              <w:kern w:val="2"/>
              <w:sz w:val="22"/>
              <w:lang w:eastAsia="en-AU"/>
              <w14:ligatures w14:val="standardContextual"/>
            </w:rPr>
          </w:pPr>
          <w:hyperlink w:anchor="_Toc215493971" w:history="1">
            <w:r w:rsidRPr="00D3222A">
              <w:rPr>
                <w:rStyle w:val="Hyperlink"/>
                <w:rFonts w:asciiTheme="minorHAnsi" w:hAnsiTheme="minorHAnsi" w:cstheme="minorHAnsi"/>
                <w:noProof/>
                <w:sz w:val="22"/>
              </w:rPr>
              <w:t>8.4</w:t>
            </w:r>
            <w:r w:rsidRPr="00D3222A">
              <w:rPr>
                <w:rFonts w:asciiTheme="minorHAnsi" w:eastAsiaTheme="minorEastAsia" w:hAnsiTheme="minorHAnsi" w:cstheme="minorHAnsi"/>
                <w:noProof/>
                <w:kern w:val="2"/>
                <w:sz w:val="22"/>
                <w:lang w:eastAsia="en-AU"/>
                <w14:ligatures w14:val="standardContextual"/>
              </w:rPr>
              <w:tab/>
            </w:r>
            <w:r w:rsidRPr="00D3222A">
              <w:rPr>
                <w:rStyle w:val="Hyperlink"/>
                <w:rFonts w:asciiTheme="minorHAnsi" w:hAnsiTheme="minorHAnsi" w:cstheme="minorHAnsi"/>
                <w:noProof/>
                <w:sz w:val="22"/>
              </w:rPr>
              <w:t>Evaluation</w:t>
            </w:r>
            <w:r w:rsidRPr="00D3222A">
              <w:rPr>
                <w:rFonts w:asciiTheme="minorHAnsi" w:hAnsiTheme="minorHAnsi" w:cstheme="minorHAnsi"/>
                <w:noProof/>
                <w:webHidden/>
                <w:sz w:val="22"/>
              </w:rPr>
              <w:tab/>
            </w:r>
            <w:r w:rsidRPr="00D3222A">
              <w:rPr>
                <w:rFonts w:asciiTheme="minorHAnsi" w:hAnsiTheme="minorHAnsi" w:cstheme="minorHAnsi"/>
                <w:noProof/>
                <w:webHidden/>
                <w:sz w:val="22"/>
              </w:rPr>
              <w:fldChar w:fldCharType="begin"/>
            </w:r>
            <w:r w:rsidRPr="00D3222A">
              <w:rPr>
                <w:rFonts w:asciiTheme="minorHAnsi" w:hAnsiTheme="minorHAnsi" w:cstheme="minorHAnsi"/>
                <w:noProof/>
                <w:webHidden/>
                <w:sz w:val="22"/>
              </w:rPr>
              <w:instrText xml:space="preserve"> PAGEREF _Toc215493971 \h </w:instrText>
            </w:r>
            <w:r w:rsidRPr="00D3222A">
              <w:rPr>
                <w:rFonts w:asciiTheme="minorHAnsi" w:hAnsiTheme="minorHAnsi" w:cstheme="minorHAnsi"/>
                <w:noProof/>
                <w:webHidden/>
                <w:sz w:val="22"/>
              </w:rPr>
            </w:r>
            <w:r w:rsidRPr="00D3222A">
              <w:rPr>
                <w:rFonts w:asciiTheme="minorHAnsi" w:hAnsiTheme="minorHAnsi" w:cstheme="minorHAnsi"/>
                <w:noProof/>
                <w:webHidden/>
                <w:sz w:val="22"/>
              </w:rPr>
              <w:fldChar w:fldCharType="separate"/>
            </w:r>
            <w:r w:rsidR="00AE43CA">
              <w:rPr>
                <w:rFonts w:asciiTheme="minorHAnsi" w:hAnsiTheme="minorHAnsi" w:cstheme="minorHAnsi"/>
                <w:noProof/>
                <w:webHidden/>
                <w:sz w:val="22"/>
              </w:rPr>
              <w:t>20</w:t>
            </w:r>
            <w:r w:rsidRPr="00D3222A">
              <w:rPr>
                <w:rFonts w:asciiTheme="minorHAnsi" w:hAnsiTheme="minorHAnsi" w:cstheme="minorHAnsi"/>
                <w:noProof/>
                <w:webHidden/>
                <w:sz w:val="22"/>
              </w:rPr>
              <w:fldChar w:fldCharType="end"/>
            </w:r>
          </w:hyperlink>
        </w:p>
        <w:p w14:paraId="0620E55A" w14:textId="33A27847" w:rsidR="00192C11" w:rsidRPr="00D3222A" w:rsidRDefault="00192C11">
          <w:pPr>
            <w:pStyle w:val="TOC1"/>
            <w:tabs>
              <w:tab w:val="left" w:pos="440"/>
            </w:tabs>
            <w:rPr>
              <w:rFonts w:asciiTheme="minorHAnsi" w:eastAsiaTheme="minorEastAsia" w:hAnsiTheme="minorHAnsi" w:cstheme="minorHAnsi"/>
              <w:noProof/>
              <w:kern w:val="2"/>
              <w:sz w:val="22"/>
              <w:lang w:eastAsia="en-AU"/>
              <w14:ligatures w14:val="standardContextual"/>
            </w:rPr>
          </w:pPr>
          <w:hyperlink w:anchor="_Toc215493972" w:history="1">
            <w:r w:rsidRPr="00D3222A">
              <w:rPr>
                <w:rStyle w:val="Hyperlink"/>
                <w:rFonts w:asciiTheme="minorHAnsi" w:hAnsiTheme="minorHAnsi" w:cstheme="minorHAnsi"/>
                <w:noProof/>
                <w:sz w:val="22"/>
              </w:rPr>
              <w:t>9</w:t>
            </w:r>
            <w:r w:rsidRPr="00D3222A">
              <w:rPr>
                <w:rFonts w:asciiTheme="minorHAnsi" w:eastAsiaTheme="minorEastAsia" w:hAnsiTheme="minorHAnsi" w:cstheme="minorHAnsi"/>
                <w:noProof/>
                <w:kern w:val="2"/>
                <w:sz w:val="22"/>
                <w:lang w:eastAsia="en-AU"/>
                <w14:ligatures w14:val="standardContextual"/>
              </w:rPr>
              <w:tab/>
            </w:r>
            <w:r w:rsidRPr="00D3222A">
              <w:rPr>
                <w:rStyle w:val="Hyperlink"/>
                <w:rFonts w:asciiTheme="minorHAnsi" w:hAnsiTheme="minorHAnsi" w:cstheme="minorHAnsi"/>
                <w:noProof/>
                <w:sz w:val="22"/>
              </w:rPr>
              <w:t>Appendix: tables for assessing risk and non-compliance</w:t>
            </w:r>
            <w:r w:rsidRPr="00D3222A">
              <w:rPr>
                <w:rFonts w:asciiTheme="minorHAnsi" w:hAnsiTheme="minorHAnsi" w:cstheme="minorHAnsi"/>
                <w:noProof/>
                <w:webHidden/>
                <w:sz w:val="22"/>
              </w:rPr>
              <w:tab/>
            </w:r>
            <w:r w:rsidRPr="00D3222A">
              <w:rPr>
                <w:rFonts w:asciiTheme="minorHAnsi" w:hAnsiTheme="minorHAnsi" w:cstheme="minorHAnsi"/>
                <w:noProof/>
                <w:webHidden/>
                <w:sz w:val="22"/>
              </w:rPr>
              <w:fldChar w:fldCharType="begin"/>
            </w:r>
            <w:r w:rsidRPr="00D3222A">
              <w:rPr>
                <w:rFonts w:asciiTheme="minorHAnsi" w:hAnsiTheme="minorHAnsi" w:cstheme="minorHAnsi"/>
                <w:noProof/>
                <w:webHidden/>
                <w:sz w:val="22"/>
              </w:rPr>
              <w:instrText xml:space="preserve"> PAGEREF _Toc215493972 \h </w:instrText>
            </w:r>
            <w:r w:rsidRPr="00D3222A">
              <w:rPr>
                <w:rFonts w:asciiTheme="minorHAnsi" w:hAnsiTheme="minorHAnsi" w:cstheme="minorHAnsi"/>
                <w:noProof/>
                <w:webHidden/>
                <w:sz w:val="22"/>
              </w:rPr>
            </w:r>
            <w:r w:rsidRPr="00D3222A">
              <w:rPr>
                <w:rFonts w:asciiTheme="minorHAnsi" w:hAnsiTheme="minorHAnsi" w:cstheme="minorHAnsi"/>
                <w:noProof/>
                <w:webHidden/>
                <w:sz w:val="22"/>
              </w:rPr>
              <w:fldChar w:fldCharType="separate"/>
            </w:r>
            <w:r w:rsidR="00AE43CA">
              <w:rPr>
                <w:rFonts w:asciiTheme="minorHAnsi" w:hAnsiTheme="minorHAnsi" w:cstheme="minorHAnsi"/>
                <w:noProof/>
                <w:webHidden/>
                <w:sz w:val="22"/>
              </w:rPr>
              <w:t>21</w:t>
            </w:r>
            <w:r w:rsidRPr="00D3222A">
              <w:rPr>
                <w:rFonts w:asciiTheme="minorHAnsi" w:hAnsiTheme="minorHAnsi" w:cstheme="minorHAnsi"/>
                <w:noProof/>
                <w:webHidden/>
                <w:sz w:val="22"/>
              </w:rPr>
              <w:fldChar w:fldCharType="end"/>
            </w:r>
          </w:hyperlink>
        </w:p>
        <w:p w14:paraId="5B746624" w14:textId="3C093CAC" w:rsidR="00192C11" w:rsidRPr="00AD3B62" w:rsidRDefault="00192C11">
          <w:pPr>
            <w:rPr>
              <w:rFonts w:asciiTheme="minorHAnsi" w:hAnsiTheme="minorHAnsi" w:cstheme="minorHAnsi"/>
            </w:rPr>
          </w:pPr>
          <w:r w:rsidRPr="00AD3B62">
            <w:rPr>
              <w:rFonts w:asciiTheme="minorHAnsi" w:hAnsiTheme="minorHAnsi" w:cstheme="minorHAnsi"/>
              <w:b/>
              <w:bCs/>
              <w:noProof/>
            </w:rPr>
            <w:fldChar w:fldCharType="end"/>
          </w:r>
        </w:p>
      </w:sdtContent>
    </w:sdt>
    <w:p w14:paraId="3AEF4415" w14:textId="0764C4ED" w:rsidR="00192C11" w:rsidRPr="00AD3B62" w:rsidRDefault="00192C11" w:rsidP="00E179F4">
      <w:pPr>
        <w:pStyle w:val="Heading1"/>
        <w:spacing w:after="240"/>
        <w:ind w:left="431" w:hanging="431"/>
        <w:rPr>
          <w:rFonts w:asciiTheme="minorHAnsi" w:hAnsiTheme="minorHAnsi" w:cstheme="minorHAnsi"/>
          <w:color w:val="49255F"/>
        </w:rPr>
      </w:pPr>
      <w:r w:rsidRPr="00AD3B62">
        <w:rPr>
          <w:rFonts w:asciiTheme="minorHAnsi" w:hAnsiTheme="minorHAnsi" w:cstheme="minorHAnsi"/>
          <w:color w:val="49255F"/>
        </w:rPr>
        <w:lastRenderedPageBreak/>
        <w:t xml:space="preserve"> </w:t>
      </w:r>
      <w:bookmarkStart w:id="4" w:name="_Toc215493936"/>
      <w:r w:rsidR="00CB158B" w:rsidRPr="00AD3B62">
        <w:rPr>
          <w:rFonts w:asciiTheme="minorHAnsi" w:hAnsiTheme="minorHAnsi" w:cstheme="minorHAnsi"/>
          <w:color w:val="49255F"/>
        </w:rPr>
        <w:t>Introduction</w:t>
      </w:r>
      <w:bookmarkEnd w:id="4"/>
    </w:p>
    <w:p w14:paraId="72F5EA32" w14:textId="6F367F1B" w:rsidR="00CB158B" w:rsidRPr="00AD3B62" w:rsidRDefault="00192C11" w:rsidP="006E5978">
      <w:pPr>
        <w:pStyle w:val="Heading2"/>
      </w:pPr>
      <w:bookmarkStart w:id="5" w:name="_Toc215493937"/>
      <w:r w:rsidRPr="00AD3B62">
        <w:t xml:space="preserve"> </w:t>
      </w:r>
      <w:r w:rsidR="00CB158B" w:rsidRPr="00AD3B62">
        <w:t>Pu</w:t>
      </w:r>
      <w:r w:rsidRPr="00AD3B62">
        <w:t>r</w:t>
      </w:r>
      <w:r w:rsidR="00CB158B" w:rsidRPr="00AD3B62">
        <w:t>pose</w:t>
      </w:r>
      <w:bookmarkEnd w:id="5"/>
      <w:r w:rsidR="00CB158B" w:rsidRPr="00AD3B62">
        <w:t xml:space="preserve"> </w:t>
      </w:r>
    </w:p>
    <w:p w14:paraId="5F266F35" w14:textId="77777777" w:rsidR="00CB158B" w:rsidRPr="00AD3B62" w:rsidRDefault="00CB158B" w:rsidP="002C1017">
      <w:pPr>
        <w:pStyle w:val="Caption"/>
        <w:keepNext/>
        <w:spacing w:line="259" w:lineRule="auto"/>
        <w:rPr>
          <w:rFonts w:asciiTheme="minorHAnsi" w:hAnsiTheme="minorHAnsi" w:cstheme="minorHAnsi"/>
          <w:b w:val="0"/>
          <w:iCs w:val="0"/>
          <w:color w:val="auto"/>
          <w:sz w:val="22"/>
          <w:szCs w:val="22"/>
        </w:rPr>
      </w:pPr>
      <w:r w:rsidRPr="00AD3B62">
        <w:rPr>
          <w:rFonts w:asciiTheme="minorHAnsi" w:hAnsiTheme="minorHAnsi" w:cstheme="minorHAnsi"/>
          <w:b w:val="0"/>
          <w:iCs w:val="0"/>
          <w:color w:val="auto"/>
          <w:sz w:val="22"/>
          <w:szCs w:val="22"/>
        </w:rPr>
        <w:t xml:space="preserve">The </w:t>
      </w:r>
      <w:r w:rsidRPr="00AD3B62">
        <w:rPr>
          <w:rFonts w:asciiTheme="minorHAnsi" w:hAnsiTheme="minorHAnsi" w:cstheme="minorHAnsi"/>
          <w:bCs/>
          <w:iCs w:val="0"/>
          <w:color w:val="auto"/>
          <w:sz w:val="22"/>
          <w:szCs w:val="22"/>
        </w:rPr>
        <w:t>Higher Education Gender-based Violence Regulator (GBV Regulator)</w:t>
      </w:r>
      <w:r w:rsidRPr="00AD3B62">
        <w:rPr>
          <w:rFonts w:asciiTheme="minorHAnsi" w:hAnsiTheme="minorHAnsi" w:cstheme="minorHAnsi"/>
          <w:b w:val="0"/>
          <w:iCs w:val="0"/>
          <w:color w:val="auto"/>
          <w:sz w:val="22"/>
          <w:szCs w:val="22"/>
        </w:rPr>
        <w:t xml:space="preserve"> is Australia’s regulator of higher education to prevent and respond to gender-based violence. </w:t>
      </w:r>
    </w:p>
    <w:p w14:paraId="60852596" w14:textId="77777777" w:rsidR="00CB158B" w:rsidRPr="00AD3B62" w:rsidRDefault="00CB158B" w:rsidP="002C1017">
      <w:pPr>
        <w:pStyle w:val="Caption"/>
        <w:keepNext/>
        <w:spacing w:line="259" w:lineRule="auto"/>
        <w:rPr>
          <w:rFonts w:asciiTheme="minorHAnsi" w:hAnsiTheme="minorHAnsi" w:cstheme="minorHAnsi"/>
          <w:b w:val="0"/>
          <w:iCs w:val="0"/>
          <w:color w:val="auto"/>
          <w:sz w:val="22"/>
          <w:szCs w:val="22"/>
        </w:rPr>
      </w:pPr>
      <w:r w:rsidRPr="00AD3B62">
        <w:rPr>
          <w:rFonts w:asciiTheme="minorHAnsi" w:hAnsiTheme="minorHAnsi" w:cstheme="minorHAnsi"/>
          <w:b w:val="0"/>
          <w:iCs w:val="0"/>
          <w:color w:val="auto"/>
          <w:sz w:val="22"/>
          <w:szCs w:val="22"/>
        </w:rPr>
        <w:t>The GBV Regulator is successful if:</w:t>
      </w:r>
    </w:p>
    <w:p w14:paraId="3652BBFA" w14:textId="77777777" w:rsidR="00CB158B" w:rsidRPr="00AD3B62" w:rsidRDefault="00CB158B" w:rsidP="002C1017">
      <w:pPr>
        <w:pStyle w:val="ListBullet"/>
        <w:rPr>
          <w:rFonts w:asciiTheme="minorHAnsi" w:hAnsiTheme="minorHAnsi" w:cstheme="minorHAnsi"/>
          <w:sz w:val="22"/>
        </w:rPr>
      </w:pPr>
      <w:r w:rsidRPr="00AD3B62">
        <w:rPr>
          <w:rFonts w:asciiTheme="minorHAnsi" w:hAnsiTheme="minorHAnsi" w:cstheme="minorHAnsi"/>
          <w:sz w:val="22"/>
        </w:rPr>
        <w:t xml:space="preserve">Higher education providers prevent, reduce and eliminate gender-based violence. </w:t>
      </w:r>
    </w:p>
    <w:p w14:paraId="261DB619" w14:textId="77777777" w:rsidR="00CB158B" w:rsidRPr="00AD3B62" w:rsidRDefault="00CB158B" w:rsidP="002C1017">
      <w:pPr>
        <w:pStyle w:val="ListBullet"/>
        <w:rPr>
          <w:rFonts w:asciiTheme="minorHAnsi" w:hAnsiTheme="minorHAnsi" w:cstheme="minorHAnsi"/>
          <w:sz w:val="22"/>
        </w:rPr>
      </w:pPr>
      <w:r w:rsidRPr="00AD3B62">
        <w:rPr>
          <w:rFonts w:asciiTheme="minorHAnsi" w:hAnsiTheme="minorHAnsi" w:cstheme="minorHAnsi"/>
          <w:sz w:val="22"/>
        </w:rPr>
        <w:t>Victim survivors are believed and supported through higher education providers' responses to gender-based violence that are consistently trauma-informed and person-centred.</w:t>
      </w:r>
    </w:p>
    <w:p w14:paraId="6FE0E66B" w14:textId="3515F326" w:rsidR="00CB158B" w:rsidRPr="00AD3B62" w:rsidRDefault="00CB158B" w:rsidP="002C1017">
      <w:pPr>
        <w:pStyle w:val="ListBullet"/>
        <w:rPr>
          <w:rFonts w:asciiTheme="minorHAnsi" w:hAnsiTheme="minorHAnsi" w:cstheme="minorHAnsi"/>
          <w:sz w:val="22"/>
        </w:rPr>
      </w:pPr>
      <w:r w:rsidRPr="00AD3B62">
        <w:rPr>
          <w:rFonts w:asciiTheme="minorHAnsi" w:hAnsiTheme="minorHAnsi" w:cstheme="minorHAnsi"/>
          <w:sz w:val="22"/>
        </w:rPr>
        <w:t>The higher education sector plays a leading role in eliminating gender-based violence in a generation.</w:t>
      </w:r>
    </w:p>
    <w:p w14:paraId="3D3AFDC2" w14:textId="5E9D9067" w:rsidR="00CB158B" w:rsidRPr="00AD3B62" w:rsidRDefault="00CB158B" w:rsidP="002C1017">
      <w:pPr>
        <w:pStyle w:val="Caption"/>
        <w:keepNext/>
        <w:spacing w:after="200" w:line="259" w:lineRule="auto"/>
        <w:rPr>
          <w:rFonts w:asciiTheme="minorHAnsi" w:hAnsiTheme="minorHAnsi" w:cstheme="minorHAnsi"/>
          <w:b w:val="0"/>
          <w:iCs w:val="0"/>
          <w:color w:val="auto"/>
          <w:sz w:val="22"/>
          <w:szCs w:val="22"/>
        </w:rPr>
      </w:pPr>
      <w:r w:rsidRPr="00AD3B62">
        <w:rPr>
          <w:rFonts w:asciiTheme="minorHAnsi" w:hAnsiTheme="minorHAnsi" w:cstheme="minorHAnsi"/>
          <w:b w:val="0"/>
          <w:iCs w:val="0"/>
          <w:color w:val="auto"/>
          <w:sz w:val="22"/>
          <w:szCs w:val="22"/>
        </w:rPr>
        <w:t>The purpose of this Compliance and Enforcement Policy is to set out how the GBV Regulator exercises its compliance and enforcement powers. It provides clarity for higher education providers, staff that carry out duties on behalf of their provider, students, and other key stakeholders about the GBV Regulator’s approach to promoting compliance, responding to non-compliance and how enforcement measures will be applied where necessary.</w:t>
      </w:r>
    </w:p>
    <w:p w14:paraId="1B25D83E" w14:textId="4811E9C4" w:rsidR="00CB158B" w:rsidRPr="00AD3B62" w:rsidRDefault="00192C11" w:rsidP="006E5978">
      <w:pPr>
        <w:pStyle w:val="Heading2"/>
      </w:pPr>
      <w:bookmarkStart w:id="6" w:name="_Toc215493938"/>
      <w:r w:rsidRPr="00AD3B62">
        <w:t xml:space="preserve"> </w:t>
      </w:r>
      <w:r w:rsidR="00CB158B" w:rsidRPr="00AD3B62">
        <w:t>Scope</w:t>
      </w:r>
      <w:bookmarkEnd w:id="6"/>
      <w:r w:rsidR="00CB158B" w:rsidRPr="00AD3B62">
        <w:t xml:space="preserve"> </w:t>
      </w:r>
    </w:p>
    <w:p w14:paraId="15E5710F" w14:textId="77777777" w:rsidR="00CB158B" w:rsidRPr="00AD3B62" w:rsidRDefault="00CB158B" w:rsidP="002C1017">
      <w:pPr>
        <w:pStyle w:val="Caption"/>
        <w:keepNext/>
        <w:spacing w:line="259" w:lineRule="auto"/>
        <w:rPr>
          <w:rFonts w:asciiTheme="minorHAnsi" w:hAnsiTheme="minorHAnsi" w:cstheme="minorHAnsi"/>
          <w:b w:val="0"/>
          <w:iCs w:val="0"/>
          <w:color w:val="auto"/>
          <w:sz w:val="22"/>
          <w:szCs w:val="22"/>
        </w:rPr>
      </w:pPr>
      <w:r w:rsidRPr="00AD3B62">
        <w:rPr>
          <w:rFonts w:asciiTheme="minorHAnsi" w:hAnsiTheme="minorHAnsi" w:cstheme="minorHAnsi"/>
          <w:b w:val="0"/>
          <w:iCs w:val="0"/>
          <w:color w:val="auto"/>
          <w:sz w:val="22"/>
          <w:szCs w:val="22"/>
        </w:rPr>
        <w:t>This policy is for:</w:t>
      </w:r>
    </w:p>
    <w:p w14:paraId="071E69B0" w14:textId="77777777" w:rsidR="00CB158B" w:rsidRPr="00AD3B62" w:rsidRDefault="00CB158B" w:rsidP="002C1017">
      <w:pPr>
        <w:pStyle w:val="ListBullet"/>
        <w:rPr>
          <w:rFonts w:asciiTheme="minorHAnsi" w:hAnsiTheme="minorHAnsi" w:cstheme="minorHAnsi"/>
          <w:sz w:val="22"/>
        </w:rPr>
      </w:pPr>
      <w:r w:rsidRPr="00AD3B62">
        <w:rPr>
          <w:rFonts w:asciiTheme="minorHAnsi" w:hAnsiTheme="minorHAnsi" w:cstheme="minorHAnsi"/>
          <w:b/>
          <w:bCs/>
          <w:sz w:val="22"/>
        </w:rPr>
        <w:t>Higher education providers registered</w:t>
      </w:r>
      <w:r w:rsidRPr="00AD3B62">
        <w:rPr>
          <w:rFonts w:asciiTheme="minorHAnsi" w:hAnsiTheme="minorHAnsi" w:cstheme="minorHAnsi"/>
          <w:sz w:val="22"/>
        </w:rPr>
        <w:t xml:space="preserve"> with the Tertiary Education Quality and Standards Agency (TEQSA) including all Table A and Table B providers under the Higher Education Support Act 2003 (</w:t>
      </w:r>
      <w:proofErr w:type="spellStart"/>
      <w:r w:rsidRPr="00AD3B62">
        <w:rPr>
          <w:rFonts w:asciiTheme="minorHAnsi" w:hAnsiTheme="minorHAnsi" w:cstheme="minorHAnsi"/>
          <w:sz w:val="22"/>
        </w:rPr>
        <w:t>Cth</w:t>
      </w:r>
      <w:proofErr w:type="spellEnd"/>
      <w:r w:rsidRPr="00AD3B62">
        <w:rPr>
          <w:rFonts w:asciiTheme="minorHAnsi" w:hAnsiTheme="minorHAnsi" w:cstheme="minorHAnsi"/>
          <w:sz w:val="22"/>
        </w:rPr>
        <w:t>) (HESA), and other providers registered under the TEQSA Act 2011 (</w:t>
      </w:r>
      <w:proofErr w:type="spellStart"/>
      <w:r w:rsidRPr="00AD3B62">
        <w:rPr>
          <w:rFonts w:asciiTheme="minorHAnsi" w:hAnsiTheme="minorHAnsi" w:cstheme="minorHAnsi"/>
          <w:sz w:val="22"/>
        </w:rPr>
        <w:t>Cth</w:t>
      </w:r>
      <w:proofErr w:type="spellEnd"/>
      <w:r w:rsidRPr="00AD3B62">
        <w:rPr>
          <w:rFonts w:asciiTheme="minorHAnsi" w:hAnsiTheme="minorHAnsi" w:cstheme="minorHAnsi"/>
          <w:sz w:val="22"/>
        </w:rPr>
        <w:t>) (TEQSA Act). This includes Australian universities, institutes of higher education, and university colleges.</w:t>
      </w:r>
    </w:p>
    <w:p w14:paraId="1498A174" w14:textId="77777777" w:rsidR="00CB158B" w:rsidRPr="00AD3B62" w:rsidRDefault="00CB158B" w:rsidP="002C1017">
      <w:pPr>
        <w:pStyle w:val="ListBullet"/>
        <w:rPr>
          <w:rFonts w:asciiTheme="minorHAnsi" w:hAnsiTheme="minorHAnsi" w:cstheme="minorHAnsi"/>
          <w:sz w:val="22"/>
        </w:rPr>
      </w:pPr>
      <w:r w:rsidRPr="00AD3B62">
        <w:rPr>
          <w:rFonts w:asciiTheme="minorHAnsi" w:hAnsiTheme="minorHAnsi" w:cstheme="minorHAnsi"/>
          <w:b/>
          <w:bCs/>
          <w:sz w:val="22"/>
        </w:rPr>
        <w:t>Staff of higher education providers</w:t>
      </w:r>
      <w:r w:rsidRPr="00AD3B62">
        <w:rPr>
          <w:rFonts w:asciiTheme="minorHAnsi" w:hAnsiTheme="minorHAnsi" w:cstheme="minorHAnsi"/>
          <w:sz w:val="22"/>
        </w:rPr>
        <w:t xml:space="preserve"> who are responsible for implementing their provider’s requirements under the National Code. </w:t>
      </w:r>
    </w:p>
    <w:p w14:paraId="7D0B5CF2" w14:textId="77777777" w:rsidR="00CB158B" w:rsidRPr="00AD3B62" w:rsidRDefault="00CB158B" w:rsidP="002C1017">
      <w:pPr>
        <w:pStyle w:val="ListBullet"/>
        <w:rPr>
          <w:rFonts w:asciiTheme="minorHAnsi" w:hAnsiTheme="minorHAnsi" w:cstheme="minorHAnsi"/>
          <w:sz w:val="22"/>
        </w:rPr>
      </w:pPr>
      <w:r w:rsidRPr="00AD3B62">
        <w:rPr>
          <w:rFonts w:asciiTheme="minorHAnsi" w:hAnsiTheme="minorHAnsi" w:cstheme="minorHAnsi"/>
          <w:b/>
          <w:bCs/>
          <w:sz w:val="22"/>
        </w:rPr>
        <w:t>Students and staff</w:t>
      </w:r>
      <w:r w:rsidRPr="00AD3B62">
        <w:rPr>
          <w:rFonts w:asciiTheme="minorHAnsi" w:hAnsiTheme="minorHAnsi" w:cstheme="minorHAnsi"/>
          <w:sz w:val="22"/>
        </w:rPr>
        <w:t xml:space="preserve"> engaged with or by a higher education provider, including those enrolled or employed by the provider.</w:t>
      </w:r>
    </w:p>
    <w:p w14:paraId="24FB33DF" w14:textId="40CB3722" w:rsidR="00757EAF" w:rsidRPr="00AD3B62" w:rsidRDefault="00CB158B" w:rsidP="002C1017">
      <w:pPr>
        <w:pStyle w:val="ListBullet"/>
        <w:ind w:left="357" w:hanging="357"/>
        <w:rPr>
          <w:rFonts w:asciiTheme="minorHAnsi" w:hAnsiTheme="minorHAnsi" w:cstheme="minorHAnsi"/>
          <w:sz w:val="22"/>
        </w:rPr>
      </w:pPr>
      <w:r w:rsidRPr="00AD3B62">
        <w:rPr>
          <w:rFonts w:asciiTheme="minorHAnsi" w:hAnsiTheme="minorHAnsi" w:cstheme="minorHAnsi"/>
          <w:b/>
          <w:bCs/>
          <w:sz w:val="22"/>
        </w:rPr>
        <w:t>GBV Regulator Authorised</w:t>
      </w:r>
      <w:r w:rsidRPr="00AD3B62">
        <w:rPr>
          <w:rFonts w:asciiTheme="minorHAnsi" w:hAnsiTheme="minorHAnsi" w:cstheme="minorHAnsi"/>
          <w:sz w:val="22"/>
        </w:rPr>
        <w:t xml:space="preserve"> Officers who monitor compliance and enforce requirements under the Act and the National Code.</w:t>
      </w:r>
    </w:p>
    <w:p w14:paraId="51C4E3EC" w14:textId="0E8DFCDA" w:rsidR="00CB158B" w:rsidRPr="00AD3B62" w:rsidRDefault="00192C11" w:rsidP="006E5978">
      <w:pPr>
        <w:pStyle w:val="Heading2"/>
      </w:pPr>
      <w:bookmarkStart w:id="7" w:name="_Toc215493939"/>
      <w:r w:rsidRPr="00AD3B62">
        <w:t xml:space="preserve"> </w:t>
      </w:r>
      <w:r w:rsidR="00CB158B" w:rsidRPr="00AD3B62">
        <w:t>Legislative framework</w:t>
      </w:r>
      <w:bookmarkEnd w:id="7"/>
    </w:p>
    <w:p w14:paraId="0968B060" w14:textId="77777777" w:rsidR="00CB158B" w:rsidRPr="00AD3B62" w:rsidRDefault="00CB158B" w:rsidP="002C1017">
      <w:pPr>
        <w:pStyle w:val="Caption"/>
        <w:keepNext/>
        <w:spacing w:line="259" w:lineRule="auto"/>
        <w:rPr>
          <w:rFonts w:asciiTheme="minorHAnsi" w:hAnsiTheme="minorHAnsi" w:cstheme="minorHAnsi"/>
          <w:b w:val="0"/>
          <w:iCs w:val="0"/>
          <w:color w:val="auto"/>
          <w:sz w:val="22"/>
          <w:szCs w:val="22"/>
        </w:rPr>
      </w:pPr>
      <w:r w:rsidRPr="00AD3B62">
        <w:rPr>
          <w:rFonts w:asciiTheme="minorHAnsi" w:hAnsiTheme="minorHAnsi" w:cstheme="minorHAnsi"/>
          <w:b w:val="0"/>
          <w:iCs w:val="0"/>
          <w:color w:val="auto"/>
          <w:sz w:val="22"/>
          <w:szCs w:val="22"/>
        </w:rPr>
        <w:t>The GBV Regulator operates within a legislative and regulatory framework designed to prevent and respond to gender-based violence within the Australian higher education sector. This framework sets out the GBV Regulator’s powers and responsibilities, as well as the requirements of higher education providers.</w:t>
      </w:r>
    </w:p>
    <w:p w14:paraId="10430BF9" w14:textId="76E74E6F" w:rsidR="00CB158B" w:rsidRPr="00AD3B62" w:rsidRDefault="00CB158B" w:rsidP="002C1017">
      <w:pPr>
        <w:pStyle w:val="Caption"/>
        <w:spacing w:line="259" w:lineRule="auto"/>
        <w:rPr>
          <w:rFonts w:asciiTheme="minorHAnsi" w:hAnsiTheme="minorHAnsi" w:cstheme="minorHAnsi"/>
          <w:b w:val="0"/>
          <w:iCs w:val="0"/>
          <w:color w:val="auto"/>
          <w:sz w:val="22"/>
          <w:szCs w:val="22"/>
        </w:rPr>
      </w:pPr>
      <w:r w:rsidRPr="00AD3B62">
        <w:rPr>
          <w:rFonts w:asciiTheme="minorHAnsi" w:hAnsiTheme="minorHAnsi" w:cstheme="minorHAnsi"/>
          <w:b w:val="0"/>
          <w:iCs w:val="0"/>
          <w:color w:val="auto"/>
          <w:sz w:val="22"/>
          <w:szCs w:val="22"/>
        </w:rPr>
        <w:t xml:space="preserve">The </w:t>
      </w:r>
      <w:r w:rsidRPr="00AD3B62">
        <w:rPr>
          <w:rFonts w:asciiTheme="minorHAnsi" w:hAnsiTheme="minorHAnsi" w:cstheme="minorHAnsi"/>
          <w:bCs/>
          <w:i/>
          <w:color w:val="auto"/>
          <w:sz w:val="22"/>
          <w:szCs w:val="22"/>
        </w:rPr>
        <w:t xml:space="preserve">Universities Accord (National Higher Education Code to Prevent and Respond to Gender-based Violence) Act 2025 </w:t>
      </w:r>
      <w:r w:rsidRPr="00AD3B62">
        <w:rPr>
          <w:rFonts w:asciiTheme="minorHAnsi" w:hAnsiTheme="minorHAnsi" w:cstheme="minorHAnsi"/>
          <w:b w:val="0"/>
          <w:iCs w:val="0"/>
          <w:color w:val="auto"/>
          <w:sz w:val="22"/>
          <w:szCs w:val="22"/>
        </w:rPr>
        <w:t>(</w:t>
      </w:r>
      <w:proofErr w:type="spellStart"/>
      <w:r w:rsidRPr="00AD3B62">
        <w:rPr>
          <w:rFonts w:asciiTheme="minorHAnsi" w:hAnsiTheme="minorHAnsi" w:cstheme="minorHAnsi"/>
          <w:b w:val="0"/>
          <w:iCs w:val="0"/>
          <w:color w:val="auto"/>
          <w:sz w:val="22"/>
          <w:szCs w:val="22"/>
        </w:rPr>
        <w:t>Cth</w:t>
      </w:r>
      <w:proofErr w:type="spellEnd"/>
      <w:r w:rsidRPr="00AD3B62">
        <w:rPr>
          <w:rFonts w:asciiTheme="minorHAnsi" w:hAnsiTheme="minorHAnsi" w:cstheme="minorHAnsi"/>
          <w:b w:val="0"/>
          <w:iCs w:val="0"/>
          <w:color w:val="auto"/>
          <w:sz w:val="22"/>
          <w:szCs w:val="22"/>
        </w:rPr>
        <w:t>) (the Act) is the GBV Regulator’s primary legislation. The Act provides the</w:t>
      </w:r>
      <w:r w:rsidR="00D3222A">
        <w:rPr>
          <w:rFonts w:asciiTheme="minorHAnsi" w:hAnsiTheme="minorHAnsi" w:cstheme="minorHAnsi"/>
          <w:b w:val="0"/>
          <w:iCs w:val="0"/>
          <w:color w:val="auto"/>
          <w:sz w:val="22"/>
          <w:szCs w:val="22"/>
        </w:rPr>
        <w:t xml:space="preserve"> </w:t>
      </w:r>
      <w:r w:rsidRPr="00AD3B62">
        <w:rPr>
          <w:rFonts w:asciiTheme="minorHAnsi" w:hAnsiTheme="minorHAnsi" w:cstheme="minorHAnsi"/>
          <w:b w:val="0"/>
          <w:iCs w:val="0"/>
          <w:color w:val="auto"/>
          <w:sz w:val="22"/>
          <w:szCs w:val="22"/>
        </w:rPr>
        <w:t>Secretary of the Department of Education with a range of powers to monitor and respond to non-compliance.</w:t>
      </w:r>
    </w:p>
    <w:p w14:paraId="772F12AA" w14:textId="77777777" w:rsidR="00CB158B" w:rsidRPr="00AD3B62" w:rsidRDefault="00CB158B" w:rsidP="002C1017">
      <w:pPr>
        <w:pStyle w:val="Caption"/>
        <w:spacing w:line="259" w:lineRule="auto"/>
        <w:rPr>
          <w:rFonts w:asciiTheme="minorHAnsi" w:hAnsiTheme="minorHAnsi" w:cstheme="minorHAnsi"/>
          <w:b w:val="0"/>
          <w:iCs w:val="0"/>
          <w:color w:val="auto"/>
          <w:sz w:val="22"/>
          <w:szCs w:val="22"/>
        </w:rPr>
      </w:pPr>
      <w:r w:rsidRPr="00AD3B62">
        <w:rPr>
          <w:rFonts w:asciiTheme="minorHAnsi" w:hAnsiTheme="minorHAnsi" w:cstheme="minorHAnsi"/>
          <w:b w:val="0"/>
          <w:iCs w:val="0"/>
          <w:color w:val="auto"/>
          <w:sz w:val="22"/>
          <w:szCs w:val="22"/>
        </w:rPr>
        <w:t xml:space="preserve">The </w:t>
      </w:r>
      <w:r w:rsidRPr="00AD3B62">
        <w:rPr>
          <w:rFonts w:asciiTheme="minorHAnsi" w:hAnsiTheme="minorHAnsi" w:cstheme="minorHAnsi"/>
          <w:bCs/>
          <w:i/>
          <w:color w:val="auto"/>
          <w:sz w:val="22"/>
          <w:szCs w:val="22"/>
        </w:rPr>
        <w:t xml:space="preserve">National Higher Education Code to Prevent and Respond to Gender-based Violence 2025 </w:t>
      </w:r>
      <w:r w:rsidRPr="00AD3B62">
        <w:rPr>
          <w:rFonts w:asciiTheme="minorHAnsi" w:hAnsiTheme="minorHAnsi" w:cstheme="minorHAnsi"/>
          <w:b w:val="0"/>
          <w:iCs w:val="0"/>
          <w:color w:val="auto"/>
          <w:sz w:val="22"/>
          <w:szCs w:val="22"/>
        </w:rPr>
        <w:t xml:space="preserve">(National Code) is a legislative instrument that establishes mandatory requirements for higher education providers to prevent and respond to gender-based violence across their organisation. </w:t>
      </w:r>
    </w:p>
    <w:p w14:paraId="63EC0156" w14:textId="77777777" w:rsidR="00CB158B" w:rsidRPr="00AD3B62" w:rsidRDefault="00CB158B" w:rsidP="002C1017">
      <w:pPr>
        <w:pStyle w:val="Caption"/>
        <w:spacing w:line="259" w:lineRule="auto"/>
        <w:rPr>
          <w:rFonts w:asciiTheme="minorHAnsi" w:hAnsiTheme="minorHAnsi" w:cstheme="minorHAnsi"/>
          <w:b w:val="0"/>
          <w:iCs w:val="0"/>
          <w:color w:val="auto"/>
          <w:sz w:val="22"/>
          <w:szCs w:val="22"/>
        </w:rPr>
      </w:pPr>
      <w:r w:rsidRPr="00AD3B62">
        <w:rPr>
          <w:rFonts w:asciiTheme="minorHAnsi" w:hAnsiTheme="minorHAnsi" w:cstheme="minorHAnsi"/>
          <w:b w:val="0"/>
          <w:iCs w:val="0"/>
          <w:color w:val="auto"/>
          <w:sz w:val="22"/>
          <w:szCs w:val="22"/>
        </w:rPr>
        <w:lastRenderedPageBreak/>
        <w:t xml:space="preserve">The Act ties compliance with the National Code as a condition of funding to the </w:t>
      </w:r>
      <w:r w:rsidRPr="00AD3B62">
        <w:rPr>
          <w:rFonts w:asciiTheme="minorHAnsi" w:hAnsiTheme="minorHAnsi" w:cstheme="minorHAnsi"/>
          <w:bCs/>
          <w:i/>
          <w:color w:val="auto"/>
          <w:sz w:val="22"/>
          <w:szCs w:val="22"/>
        </w:rPr>
        <w:t>Higher Education Support Act 2003</w:t>
      </w:r>
      <w:r w:rsidRPr="00AD3B62">
        <w:rPr>
          <w:rFonts w:asciiTheme="minorHAnsi" w:hAnsiTheme="minorHAnsi" w:cstheme="minorHAnsi"/>
          <w:b w:val="0"/>
          <w:iCs w:val="0"/>
          <w:color w:val="auto"/>
          <w:sz w:val="22"/>
          <w:szCs w:val="22"/>
        </w:rPr>
        <w:t xml:space="preserve"> (</w:t>
      </w:r>
      <w:proofErr w:type="spellStart"/>
      <w:r w:rsidRPr="00AD3B62">
        <w:rPr>
          <w:rFonts w:asciiTheme="minorHAnsi" w:hAnsiTheme="minorHAnsi" w:cstheme="minorHAnsi"/>
          <w:b w:val="0"/>
          <w:iCs w:val="0"/>
          <w:color w:val="auto"/>
          <w:sz w:val="22"/>
          <w:szCs w:val="22"/>
        </w:rPr>
        <w:t>Cth</w:t>
      </w:r>
      <w:proofErr w:type="spellEnd"/>
      <w:r w:rsidRPr="00AD3B62">
        <w:rPr>
          <w:rFonts w:asciiTheme="minorHAnsi" w:hAnsiTheme="minorHAnsi" w:cstheme="minorHAnsi"/>
          <w:b w:val="0"/>
          <w:iCs w:val="0"/>
          <w:color w:val="auto"/>
          <w:sz w:val="22"/>
          <w:szCs w:val="22"/>
        </w:rPr>
        <w:t xml:space="preserve">) (HESA). This means that a higher education provider’s non-compliance with the National Code may also have consequences for that provider’s approval under HESA. For example, the Minister for Education could take action to suspend or revoke a provider’s approval under Division 22 of HESA if a provider does not meet the requirements of the National Code. Failure to comply with the requirements of the National Code may also result in TEQSA taking regulatory action in relation to compliance with the Threshold Standards made under the TEQSA Act. </w:t>
      </w:r>
    </w:p>
    <w:p w14:paraId="6FFC2A90" w14:textId="3B8FEF5F" w:rsidR="00CB158B" w:rsidRPr="00AD3B62" w:rsidRDefault="00CB158B" w:rsidP="002C1017">
      <w:pPr>
        <w:pStyle w:val="Heading3"/>
        <w:rPr>
          <w:rFonts w:asciiTheme="minorHAnsi" w:hAnsiTheme="minorHAnsi"/>
        </w:rPr>
      </w:pPr>
      <w:bookmarkStart w:id="8" w:name="_Toc215493940"/>
      <w:r w:rsidRPr="00AD3B62">
        <w:rPr>
          <w:rFonts w:asciiTheme="minorHAnsi" w:hAnsiTheme="minorHAnsi"/>
        </w:rPr>
        <w:t>Powers of the GBV Regulator under the Act and the Regulatory Powers Act</w:t>
      </w:r>
      <w:bookmarkEnd w:id="8"/>
    </w:p>
    <w:p w14:paraId="37F9CCDA" w14:textId="77777777" w:rsidR="00CB158B" w:rsidRPr="00AD3B62" w:rsidRDefault="00CB158B" w:rsidP="002C1017">
      <w:pPr>
        <w:pStyle w:val="Caption"/>
        <w:keepNext/>
        <w:spacing w:line="259" w:lineRule="auto"/>
        <w:rPr>
          <w:rFonts w:asciiTheme="minorHAnsi" w:hAnsiTheme="minorHAnsi" w:cstheme="minorHAnsi"/>
          <w:b w:val="0"/>
          <w:iCs w:val="0"/>
          <w:color w:val="auto"/>
          <w:sz w:val="22"/>
          <w:szCs w:val="22"/>
        </w:rPr>
      </w:pPr>
      <w:r w:rsidRPr="00AD3B62">
        <w:rPr>
          <w:rFonts w:asciiTheme="minorHAnsi" w:hAnsiTheme="minorHAnsi" w:cstheme="minorHAnsi"/>
          <w:b w:val="0"/>
          <w:iCs w:val="0"/>
          <w:color w:val="auto"/>
          <w:sz w:val="22"/>
          <w:szCs w:val="22"/>
        </w:rPr>
        <w:t xml:space="preserve">The compliance and enforcement powers of the GBV Regulator come from two pieces of legislation: the Act and the </w:t>
      </w:r>
      <w:r w:rsidRPr="00AD3B62">
        <w:rPr>
          <w:rFonts w:asciiTheme="minorHAnsi" w:hAnsiTheme="minorHAnsi" w:cstheme="minorHAnsi"/>
          <w:b w:val="0"/>
          <w:i/>
          <w:color w:val="auto"/>
          <w:sz w:val="22"/>
          <w:szCs w:val="22"/>
        </w:rPr>
        <w:t>Regulatory Powers (Standard Provisions) Act 2014</w:t>
      </w:r>
      <w:r w:rsidRPr="00AD3B62">
        <w:rPr>
          <w:rFonts w:asciiTheme="minorHAnsi" w:hAnsiTheme="minorHAnsi" w:cstheme="minorHAnsi"/>
          <w:b w:val="0"/>
          <w:iCs w:val="0"/>
          <w:color w:val="auto"/>
          <w:sz w:val="22"/>
          <w:szCs w:val="22"/>
        </w:rPr>
        <w:t xml:space="preserve"> (Regulatory Powers Act). The Regulatory Powers Act provides a standardised framework for regulatory powers across all Commonwealth regulators, and the Act details additional regulatory powers that are unique to the GBV Regulator. Together, these Acts provide the GBV Regulator with a full suite of powers to promote, monitor and, where necessary, enforce compliance with the National Code. These powers are:</w:t>
      </w:r>
    </w:p>
    <w:p w14:paraId="097745FD" w14:textId="77777777" w:rsidR="00CB158B" w:rsidRPr="00AD3B62" w:rsidRDefault="00CB158B" w:rsidP="002C1017">
      <w:pPr>
        <w:pStyle w:val="ListBullet"/>
        <w:spacing w:before="240"/>
        <w:rPr>
          <w:rFonts w:asciiTheme="minorHAnsi" w:hAnsiTheme="minorHAnsi" w:cstheme="minorHAnsi"/>
          <w:sz w:val="22"/>
        </w:rPr>
      </w:pPr>
      <w:r w:rsidRPr="00AD3B62">
        <w:rPr>
          <w:rFonts w:asciiTheme="minorHAnsi" w:hAnsiTheme="minorHAnsi" w:cstheme="minorHAnsi"/>
          <w:b/>
          <w:bCs/>
          <w:sz w:val="22"/>
        </w:rPr>
        <w:t>Education and Guidance:</w:t>
      </w:r>
      <w:r w:rsidRPr="00AD3B62">
        <w:rPr>
          <w:rFonts w:asciiTheme="minorHAnsi" w:hAnsiTheme="minorHAnsi" w:cstheme="minorHAnsi"/>
          <w:sz w:val="22"/>
        </w:rPr>
        <w:t xml:space="preserve"> Providing advice, resources, and best practice examples to build sector capability and foster voluntary compliance (Section 26 of the Act).</w:t>
      </w:r>
    </w:p>
    <w:p w14:paraId="4EE26210" w14:textId="77777777" w:rsidR="00CB158B" w:rsidRPr="00AD3B62" w:rsidRDefault="00CB158B" w:rsidP="002C1017">
      <w:pPr>
        <w:pStyle w:val="ListBullet"/>
        <w:rPr>
          <w:rFonts w:asciiTheme="minorHAnsi" w:hAnsiTheme="minorHAnsi" w:cstheme="minorHAnsi"/>
          <w:sz w:val="22"/>
        </w:rPr>
      </w:pPr>
      <w:r w:rsidRPr="00AD3B62">
        <w:rPr>
          <w:rFonts w:asciiTheme="minorHAnsi" w:hAnsiTheme="minorHAnsi" w:cstheme="minorHAnsi"/>
          <w:b/>
          <w:bCs/>
          <w:sz w:val="22"/>
        </w:rPr>
        <w:t>Information Gathering:</w:t>
      </w:r>
      <w:r w:rsidRPr="00AD3B62">
        <w:rPr>
          <w:rFonts w:asciiTheme="minorHAnsi" w:hAnsiTheme="minorHAnsi" w:cstheme="minorHAnsi"/>
          <w:sz w:val="22"/>
        </w:rPr>
        <w:t xml:space="preserve"> Setting information requirements by rules and issuing notices to require providers or connected persons to give information and documents within defined timeframes (Sections 22 and 27 of the Act).</w:t>
      </w:r>
    </w:p>
    <w:p w14:paraId="4500A132" w14:textId="77777777" w:rsidR="00CB158B" w:rsidRPr="00AD3B62" w:rsidRDefault="00CB158B" w:rsidP="002C1017">
      <w:pPr>
        <w:pStyle w:val="ListBullet"/>
        <w:rPr>
          <w:rFonts w:asciiTheme="minorHAnsi" w:hAnsiTheme="minorHAnsi" w:cstheme="minorHAnsi"/>
          <w:sz w:val="22"/>
        </w:rPr>
      </w:pPr>
      <w:r w:rsidRPr="00AD3B62">
        <w:rPr>
          <w:rFonts w:asciiTheme="minorHAnsi" w:hAnsiTheme="minorHAnsi" w:cstheme="minorHAnsi"/>
          <w:b/>
          <w:bCs/>
          <w:sz w:val="22"/>
        </w:rPr>
        <w:t>Information Sharing:</w:t>
      </w:r>
      <w:r w:rsidRPr="00AD3B62">
        <w:rPr>
          <w:rFonts w:asciiTheme="minorHAnsi" w:hAnsiTheme="minorHAnsi" w:cstheme="minorHAnsi"/>
          <w:sz w:val="22"/>
        </w:rPr>
        <w:t xml:space="preserve"> Sharing information with co-regulators or oversight bodies (Section 42 of the Act). </w:t>
      </w:r>
    </w:p>
    <w:p w14:paraId="6CEE7477" w14:textId="77777777" w:rsidR="00CB158B" w:rsidRPr="00AD3B62" w:rsidRDefault="00CB158B" w:rsidP="002C1017">
      <w:pPr>
        <w:pStyle w:val="ListBullet"/>
        <w:rPr>
          <w:rFonts w:asciiTheme="minorHAnsi" w:hAnsiTheme="minorHAnsi" w:cstheme="minorHAnsi"/>
          <w:sz w:val="22"/>
        </w:rPr>
      </w:pPr>
      <w:r w:rsidRPr="00AD3B62">
        <w:rPr>
          <w:rFonts w:asciiTheme="minorHAnsi" w:hAnsiTheme="minorHAnsi" w:cstheme="minorHAnsi"/>
          <w:b/>
          <w:bCs/>
          <w:sz w:val="22"/>
        </w:rPr>
        <w:t>Monitoring and Investigation:</w:t>
      </w:r>
      <w:r w:rsidRPr="00AD3B62">
        <w:rPr>
          <w:rFonts w:asciiTheme="minorHAnsi" w:hAnsiTheme="minorHAnsi" w:cstheme="minorHAnsi"/>
          <w:sz w:val="22"/>
        </w:rPr>
        <w:t xml:space="preserve"> Exercising monitoring powers (Section 35 of the Act and Part 2 of the Regulatory Powers Act) and investigation powers (Section 36 of the Act and Part 3 of the Regulatory Powers Act), including entry, inspection, and evidence collection.</w:t>
      </w:r>
    </w:p>
    <w:p w14:paraId="75E9786C" w14:textId="77777777" w:rsidR="00CB158B" w:rsidRPr="00AD3B62" w:rsidRDefault="00CB158B" w:rsidP="002C1017">
      <w:pPr>
        <w:pStyle w:val="ListBullet"/>
        <w:rPr>
          <w:rFonts w:asciiTheme="minorHAnsi" w:hAnsiTheme="minorHAnsi" w:cstheme="minorHAnsi"/>
          <w:sz w:val="22"/>
        </w:rPr>
      </w:pPr>
      <w:r w:rsidRPr="00AD3B62">
        <w:rPr>
          <w:rFonts w:asciiTheme="minorHAnsi" w:hAnsiTheme="minorHAnsi" w:cstheme="minorHAnsi"/>
          <w:b/>
          <w:bCs/>
          <w:sz w:val="22"/>
        </w:rPr>
        <w:t>Compliance Powers:</w:t>
      </w:r>
      <w:r w:rsidRPr="00AD3B62">
        <w:rPr>
          <w:rFonts w:asciiTheme="minorHAnsi" w:hAnsiTheme="minorHAnsi" w:cstheme="minorHAnsi"/>
          <w:sz w:val="22"/>
        </w:rPr>
        <w:t xml:space="preserve"> Issuing formal notices requiring providers to take corrective action within specified timeframes (Section 32 of the Act).</w:t>
      </w:r>
    </w:p>
    <w:p w14:paraId="5571DF3B" w14:textId="77777777" w:rsidR="00CB158B" w:rsidRPr="00AD3B62" w:rsidRDefault="00CB158B" w:rsidP="002C1017">
      <w:pPr>
        <w:pStyle w:val="ListBullet"/>
        <w:rPr>
          <w:rFonts w:asciiTheme="minorHAnsi" w:hAnsiTheme="minorHAnsi" w:cstheme="minorHAnsi"/>
          <w:sz w:val="22"/>
        </w:rPr>
      </w:pPr>
      <w:r w:rsidRPr="00AD3B62">
        <w:rPr>
          <w:rFonts w:asciiTheme="minorHAnsi" w:hAnsiTheme="minorHAnsi" w:cstheme="minorHAnsi"/>
          <w:b/>
          <w:bCs/>
          <w:sz w:val="22"/>
        </w:rPr>
        <w:t>Enforcement Powers:</w:t>
      </w:r>
      <w:r w:rsidRPr="00AD3B62">
        <w:rPr>
          <w:rFonts w:asciiTheme="minorHAnsi" w:hAnsiTheme="minorHAnsi" w:cstheme="minorHAnsi"/>
          <w:sz w:val="22"/>
        </w:rPr>
        <w:t xml:space="preserve"> Applying civil penalties (Section 37 of the Act and Part 4 of the Regulatory Powers Act), issuing infringement notices (Section 38 of the Act and Part 5 of the Regulatory Powers Act), accepting enforceable undertakings (Section 39 of the Act and Part 6 of the Regulatory Powers Act), and seeking injunctions through the courts (Section 40 of the Act and Part 7 of the Regulatory Powers Act).</w:t>
      </w:r>
    </w:p>
    <w:p w14:paraId="13E7BF56" w14:textId="532EE05E" w:rsidR="00CB158B" w:rsidRPr="00AD3B62" w:rsidRDefault="00CB158B" w:rsidP="002C1017">
      <w:pPr>
        <w:pStyle w:val="ListBullet"/>
        <w:rPr>
          <w:rFonts w:asciiTheme="minorHAnsi" w:hAnsiTheme="minorHAnsi" w:cstheme="minorHAnsi"/>
          <w:sz w:val="22"/>
        </w:rPr>
      </w:pPr>
      <w:r w:rsidRPr="00AD3B62">
        <w:rPr>
          <w:rFonts w:asciiTheme="minorHAnsi" w:hAnsiTheme="minorHAnsi" w:cstheme="minorHAnsi"/>
          <w:b/>
          <w:bCs/>
          <w:sz w:val="22"/>
        </w:rPr>
        <w:t>Transparency and Reporting:</w:t>
      </w:r>
      <w:r w:rsidRPr="00AD3B62">
        <w:rPr>
          <w:rFonts w:asciiTheme="minorHAnsi" w:hAnsiTheme="minorHAnsi" w:cstheme="minorHAnsi"/>
          <w:sz w:val="22"/>
        </w:rPr>
        <w:t xml:space="preserve"> Publishing compliance outcomes and sector-wide data to promote accountability (Sections 43 and 44 of the Act) and reporting annually to Parliament on compliance activities (Section 47 of the Act).</w:t>
      </w:r>
    </w:p>
    <w:p w14:paraId="62143937" w14:textId="77777777" w:rsidR="003370AA" w:rsidRPr="00AD3B62" w:rsidRDefault="003370AA" w:rsidP="003370AA">
      <w:pPr>
        <w:pStyle w:val="ListBullet"/>
        <w:numPr>
          <w:ilvl w:val="0"/>
          <w:numId w:val="0"/>
        </w:numPr>
        <w:ind w:left="360" w:hanging="360"/>
        <w:rPr>
          <w:rFonts w:asciiTheme="minorHAnsi" w:hAnsiTheme="minorHAnsi" w:cstheme="minorHAnsi"/>
          <w:sz w:val="22"/>
        </w:rPr>
      </w:pPr>
    </w:p>
    <w:p w14:paraId="7CB05C1A" w14:textId="77777777" w:rsidR="003370AA" w:rsidRPr="00AD3B62" w:rsidRDefault="003370AA" w:rsidP="003370AA">
      <w:pPr>
        <w:pStyle w:val="ListBullet"/>
        <w:numPr>
          <w:ilvl w:val="0"/>
          <w:numId w:val="0"/>
        </w:numPr>
        <w:ind w:left="360" w:hanging="360"/>
        <w:rPr>
          <w:rFonts w:asciiTheme="minorHAnsi" w:hAnsiTheme="minorHAnsi" w:cstheme="minorHAnsi"/>
          <w:sz w:val="22"/>
        </w:rPr>
      </w:pPr>
    </w:p>
    <w:p w14:paraId="2F8BABFC" w14:textId="77777777" w:rsidR="003370AA" w:rsidRPr="00AD3B62" w:rsidRDefault="003370AA" w:rsidP="003370AA">
      <w:pPr>
        <w:pStyle w:val="ListBullet"/>
        <w:numPr>
          <w:ilvl w:val="0"/>
          <w:numId w:val="0"/>
        </w:numPr>
        <w:ind w:left="360" w:hanging="360"/>
        <w:rPr>
          <w:rFonts w:asciiTheme="minorHAnsi" w:hAnsiTheme="minorHAnsi" w:cstheme="minorHAnsi"/>
          <w:sz w:val="22"/>
        </w:rPr>
      </w:pPr>
    </w:p>
    <w:p w14:paraId="3BDF7FE8" w14:textId="0DAAA178" w:rsidR="00CB158B" w:rsidRPr="00AD3B62" w:rsidRDefault="00AD3B62" w:rsidP="00192C11">
      <w:pPr>
        <w:pStyle w:val="Heading5"/>
        <w:numPr>
          <w:ilvl w:val="0"/>
          <w:numId w:val="0"/>
        </w:numPr>
        <w:ind w:left="1008" w:hanging="1008"/>
        <w:rPr>
          <w:rFonts w:asciiTheme="minorHAnsi" w:hAnsiTheme="minorHAnsi" w:cstheme="minorHAnsi"/>
          <w:i/>
        </w:rPr>
      </w:pPr>
      <w:r w:rsidRPr="00AD3B62">
        <w:rPr>
          <w:rFonts w:asciiTheme="minorHAnsi" w:hAnsiTheme="minorHAnsi" w:cstheme="minorHAnsi"/>
          <w:i/>
          <w:iCs/>
        </w:rPr>
        <w:lastRenderedPageBreak/>
        <w:drawing>
          <wp:anchor distT="0" distB="0" distL="114300" distR="114300" simplePos="0" relativeHeight="251658243" behindDoc="0" locked="0" layoutInCell="1" allowOverlap="1" wp14:anchorId="080A45D8" wp14:editId="3EF035AD">
            <wp:simplePos x="0" y="0"/>
            <wp:positionH relativeFrom="margin">
              <wp:align>right</wp:align>
            </wp:positionH>
            <wp:positionV relativeFrom="paragraph">
              <wp:posOffset>390525</wp:posOffset>
            </wp:positionV>
            <wp:extent cx="5731510" cy="2835910"/>
            <wp:effectExtent l="0" t="0" r="2540" b="2540"/>
            <wp:wrapSquare wrapText="bothSides"/>
            <wp:docPr id="1659978080" name="Picture 6" descr="A diagram of powers of the GBV Regulator provided by legis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978080" name="Picture 6" descr="A diagram of powers of the GBV Regulator provided by legislatio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2835910"/>
                    </a:xfrm>
                    <a:prstGeom prst="rect">
                      <a:avLst/>
                    </a:prstGeom>
                    <a:noFill/>
                    <a:ln>
                      <a:noFill/>
                    </a:ln>
                  </pic:spPr>
                </pic:pic>
              </a:graphicData>
            </a:graphic>
            <wp14:sizeRelH relativeFrom="page">
              <wp14:pctWidth>0</wp14:pctWidth>
            </wp14:sizeRelH>
            <wp14:sizeRelV relativeFrom="page">
              <wp14:pctHeight>0</wp14:pctHeight>
            </wp14:sizeRelV>
          </wp:anchor>
        </w:drawing>
      </w:r>
      <w:r w:rsidR="00CB158B" w:rsidRPr="00AD3B62">
        <w:rPr>
          <w:rFonts w:asciiTheme="minorHAnsi" w:hAnsiTheme="minorHAnsi" w:cstheme="minorHAnsi"/>
          <w:i/>
        </w:rPr>
        <w:t>Powers of the GBV Regulator under the Act</w:t>
      </w:r>
    </w:p>
    <w:p w14:paraId="135DF4BD" w14:textId="51D258EF" w:rsidR="00990398" w:rsidRPr="00AD3B62" w:rsidRDefault="00990398" w:rsidP="00192C11">
      <w:pPr>
        <w:pStyle w:val="Heading5"/>
        <w:numPr>
          <w:ilvl w:val="0"/>
          <w:numId w:val="0"/>
        </w:numPr>
        <w:ind w:left="1008" w:hanging="1008"/>
        <w:rPr>
          <w:rFonts w:asciiTheme="minorHAnsi" w:hAnsiTheme="minorHAnsi" w:cstheme="minorHAnsi"/>
          <w:i/>
          <w:iCs/>
        </w:rPr>
      </w:pPr>
    </w:p>
    <w:p w14:paraId="75C78C23" w14:textId="42FCD3E8" w:rsidR="00CB158B" w:rsidRPr="00AD3B62" w:rsidRDefault="00042092" w:rsidP="00192C11">
      <w:pPr>
        <w:pStyle w:val="Heading5"/>
        <w:numPr>
          <w:ilvl w:val="0"/>
          <w:numId w:val="0"/>
        </w:numPr>
        <w:ind w:left="1008" w:hanging="1008"/>
        <w:rPr>
          <w:rFonts w:asciiTheme="minorHAnsi" w:hAnsiTheme="minorHAnsi" w:cstheme="minorHAnsi"/>
          <w:i/>
          <w:iCs/>
        </w:rPr>
      </w:pPr>
      <w:r w:rsidRPr="00AD3B62">
        <w:rPr>
          <w:rFonts w:asciiTheme="minorHAnsi" w:hAnsiTheme="minorHAnsi" w:cstheme="minorHAnsi"/>
        </w:rPr>
        <w:drawing>
          <wp:anchor distT="0" distB="0" distL="114300" distR="114300" simplePos="0" relativeHeight="251658244" behindDoc="0" locked="0" layoutInCell="1" allowOverlap="1" wp14:anchorId="46E61ABA" wp14:editId="50A3ACA4">
            <wp:simplePos x="0" y="0"/>
            <wp:positionH relativeFrom="column">
              <wp:posOffset>-38100</wp:posOffset>
            </wp:positionH>
            <wp:positionV relativeFrom="paragraph">
              <wp:posOffset>416560</wp:posOffset>
            </wp:positionV>
            <wp:extent cx="5731510" cy="2700020"/>
            <wp:effectExtent l="0" t="0" r="2540" b="5080"/>
            <wp:wrapSquare wrapText="bothSides"/>
            <wp:docPr id="2132456214" name="Picture 8" descr="A diagram of powers of the GBV Regulator provided by the Regulatory Powers A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456214" name="Picture 8" descr="A diagram of powers of the GBV Regulator provided by the Regulatory Powers Act.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2700020"/>
                    </a:xfrm>
                    <a:prstGeom prst="rect">
                      <a:avLst/>
                    </a:prstGeom>
                    <a:noFill/>
                    <a:ln>
                      <a:noFill/>
                    </a:ln>
                  </pic:spPr>
                </pic:pic>
              </a:graphicData>
            </a:graphic>
            <wp14:sizeRelH relativeFrom="page">
              <wp14:pctWidth>0</wp14:pctWidth>
            </wp14:sizeRelH>
            <wp14:sizeRelV relativeFrom="page">
              <wp14:pctHeight>0</wp14:pctHeight>
            </wp14:sizeRelV>
          </wp:anchor>
        </w:drawing>
      </w:r>
      <w:r w:rsidR="00CB158B" w:rsidRPr="00AD3B62">
        <w:rPr>
          <w:rFonts w:asciiTheme="minorHAnsi" w:hAnsiTheme="minorHAnsi" w:cstheme="minorHAnsi"/>
          <w:i/>
          <w:iCs/>
        </w:rPr>
        <w:t>Powers of the GBV Regulator under the Regulatory Powers Act</w:t>
      </w:r>
    </w:p>
    <w:p w14:paraId="44445884" w14:textId="75218A5B" w:rsidR="00CB158B" w:rsidRPr="00AD3B62" w:rsidRDefault="00CB158B" w:rsidP="00433613">
      <w:pPr>
        <w:pStyle w:val="Heading3"/>
        <w:rPr>
          <w:rFonts w:asciiTheme="minorHAnsi" w:hAnsiTheme="minorHAnsi"/>
        </w:rPr>
      </w:pPr>
      <w:bookmarkStart w:id="9" w:name="_Toc215493941"/>
      <w:r w:rsidRPr="00AD3B62">
        <w:rPr>
          <w:rFonts w:asciiTheme="minorHAnsi" w:hAnsiTheme="minorHAnsi"/>
        </w:rPr>
        <w:t>Provider requirements under the Act</w:t>
      </w:r>
      <w:bookmarkEnd w:id="9"/>
      <w:r w:rsidRPr="00AD3B62">
        <w:rPr>
          <w:rFonts w:asciiTheme="minorHAnsi" w:hAnsiTheme="minorHAnsi"/>
        </w:rPr>
        <w:t xml:space="preserve"> </w:t>
      </w:r>
    </w:p>
    <w:p w14:paraId="738CD036" w14:textId="77777777" w:rsidR="00DE77C7" w:rsidRPr="00AD3B62" w:rsidRDefault="00CB158B" w:rsidP="002C1017">
      <w:pPr>
        <w:pStyle w:val="ListBullet"/>
        <w:numPr>
          <w:ilvl w:val="0"/>
          <w:numId w:val="0"/>
        </w:numPr>
        <w:ind w:left="284" w:hanging="284"/>
        <w:rPr>
          <w:rFonts w:asciiTheme="minorHAnsi" w:hAnsiTheme="minorHAnsi" w:cstheme="minorHAnsi"/>
          <w:sz w:val="22"/>
          <w:szCs w:val="24"/>
        </w:rPr>
      </w:pPr>
      <w:r w:rsidRPr="00AD3B62">
        <w:rPr>
          <w:rFonts w:asciiTheme="minorHAnsi" w:hAnsiTheme="minorHAnsi" w:cstheme="minorHAnsi"/>
          <w:sz w:val="22"/>
          <w:szCs w:val="24"/>
        </w:rPr>
        <w:t xml:space="preserve">Higher education providers are subject to a range of statutory requirements under the </w:t>
      </w:r>
      <w:r w:rsidR="00DE77C7" w:rsidRPr="00AD3B62">
        <w:rPr>
          <w:rFonts w:asciiTheme="minorHAnsi" w:hAnsiTheme="minorHAnsi" w:cstheme="minorHAnsi"/>
          <w:sz w:val="22"/>
          <w:szCs w:val="24"/>
        </w:rPr>
        <w:t xml:space="preserve">Act </w:t>
      </w:r>
    </w:p>
    <w:p w14:paraId="4B686391" w14:textId="77777777" w:rsidR="00DE77C7" w:rsidRPr="00AD3B62" w:rsidRDefault="00CB158B" w:rsidP="002C1017">
      <w:pPr>
        <w:pStyle w:val="ListBullet"/>
        <w:numPr>
          <w:ilvl w:val="0"/>
          <w:numId w:val="0"/>
        </w:numPr>
        <w:ind w:left="284" w:hanging="284"/>
        <w:rPr>
          <w:rFonts w:asciiTheme="minorHAnsi" w:hAnsiTheme="minorHAnsi" w:cstheme="minorHAnsi"/>
          <w:sz w:val="22"/>
          <w:szCs w:val="24"/>
        </w:rPr>
      </w:pPr>
      <w:r w:rsidRPr="00AD3B62">
        <w:rPr>
          <w:rFonts w:asciiTheme="minorHAnsi" w:hAnsiTheme="minorHAnsi" w:cstheme="minorHAnsi"/>
          <w:sz w:val="22"/>
          <w:szCs w:val="24"/>
        </w:rPr>
        <w:t>that form</w:t>
      </w:r>
      <w:r w:rsidR="00DE77C7" w:rsidRPr="00AD3B62">
        <w:rPr>
          <w:rFonts w:asciiTheme="minorHAnsi" w:hAnsiTheme="minorHAnsi" w:cstheme="minorHAnsi"/>
          <w:sz w:val="22"/>
          <w:szCs w:val="24"/>
        </w:rPr>
        <w:t xml:space="preserve"> </w:t>
      </w:r>
      <w:r w:rsidRPr="00AD3B62">
        <w:rPr>
          <w:rFonts w:asciiTheme="minorHAnsi" w:hAnsiTheme="minorHAnsi" w:cstheme="minorHAnsi"/>
          <w:sz w:val="22"/>
          <w:szCs w:val="24"/>
        </w:rPr>
        <w:t xml:space="preserve">the foundations of regulatory requirements. Providers must meet these </w:t>
      </w:r>
    </w:p>
    <w:p w14:paraId="66D66D4A" w14:textId="77777777" w:rsidR="00DE77C7" w:rsidRPr="00AD3B62" w:rsidRDefault="00CB158B" w:rsidP="002C1017">
      <w:pPr>
        <w:pStyle w:val="ListBullet"/>
        <w:numPr>
          <w:ilvl w:val="0"/>
          <w:numId w:val="0"/>
        </w:numPr>
        <w:ind w:left="284" w:hanging="284"/>
        <w:rPr>
          <w:rFonts w:asciiTheme="minorHAnsi" w:hAnsiTheme="minorHAnsi" w:cstheme="minorHAnsi"/>
          <w:sz w:val="22"/>
          <w:szCs w:val="24"/>
        </w:rPr>
      </w:pPr>
      <w:r w:rsidRPr="00AD3B62">
        <w:rPr>
          <w:rFonts w:asciiTheme="minorHAnsi" w:hAnsiTheme="minorHAnsi" w:cstheme="minorHAnsi"/>
          <w:sz w:val="22"/>
          <w:szCs w:val="24"/>
        </w:rPr>
        <w:t>requirements to be compliant. Failure to do so may result in compliance or enforcement</w:t>
      </w:r>
    </w:p>
    <w:p w14:paraId="01BB52E2" w14:textId="3A4AE8EC" w:rsidR="00CB158B" w:rsidRPr="00AD3B62" w:rsidRDefault="00CB158B" w:rsidP="002C1017">
      <w:pPr>
        <w:pStyle w:val="ListBullet"/>
        <w:numPr>
          <w:ilvl w:val="0"/>
          <w:numId w:val="0"/>
        </w:numPr>
        <w:ind w:left="284" w:hanging="284"/>
        <w:rPr>
          <w:rFonts w:asciiTheme="minorHAnsi" w:hAnsiTheme="minorHAnsi" w:cstheme="minorHAnsi"/>
          <w:sz w:val="22"/>
          <w:szCs w:val="24"/>
        </w:rPr>
      </w:pPr>
      <w:r w:rsidRPr="00AD3B62">
        <w:rPr>
          <w:rFonts w:asciiTheme="minorHAnsi" w:hAnsiTheme="minorHAnsi" w:cstheme="minorHAnsi"/>
          <w:sz w:val="22"/>
          <w:szCs w:val="24"/>
        </w:rPr>
        <w:t xml:space="preserve">action: </w:t>
      </w:r>
    </w:p>
    <w:p w14:paraId="1584E2DF" w14:textId="77777777" w:rsidR="001D6638" w:rsidRPr="00AD3B62" w:rsidRDefault="001D6638" w:rsidP="00CB158B">
      <w:pPr>
        <w:pStyle w:val="ListBullet"/>
        <w:numPr>
          <w:ilvl w:val="0"/>
          <w:numId w:val="0"/>
        </w:numPr>
        <w:rPr>
          <w:rFonts w:asciiTheme="minorHAnsi" w:hAnsiTheme="minorHAnsi" w:cstheme="minorHAnsi"/>
          <w:sz w:val="22"/>
          <w:szCs w:val="24"/>
        </w:rPr>
      </w:pPr>
    </w:p>
    <w:p w14:paraId="3FB727C4" w14:textId="77777777" w:rsidR="00CB158B" w:rsidRPr="00AD3B62" w:rsidRDefault="00CB158B" w:rsidP="00CB158B">
      <w:pPr>
        <w:pStyle w:val="ListBullet"/>
        <w:rPr>
          <w:rFonts w:asciiTheme="minorHAnsi" w:hAnsiTheme="minorHAnsi" w:cstheme="minorHAnsi"/>
          <w:sz w:val="22"/>
          <w:szCs w:val="24"/>
        </w:rPr>
      </w:pPr>
      <w:r w:rsidRPr="00AD3B62">
        <w:rPr>
          <w:rFonts w:asciiTheme="minorHAnsi" w:hAnsiTheme="minorHAnsi" w:cstheme="minorHAnsi"/>
          <w:b/>
          <w:bCs/>
          <w:sz w:val="22"/>
          <w:szCs w:val="24"/>
        </w:rPr>
        <w:t>Comply with the National Code:</w:t>
      </w:r>
      <w:r w:rsidRPr="00AD3B62">
        <w:rPr>
          <w:rFonts w:asciiTheme="minorHAnsi" w:hAnsiTheme="minorHAnsi" w:cstheme="minorHAnsi"/>
          <w:sz w:val="22"/>
          <w:szCs w:val="24"/>
        </w:rPr>
        <w:t xml:space="preserve"> Providers must implement and adhere to all requirements set out in the National Code (Section 20).</w:t>
      </w:r>
    </w:p>
    <w:p w14:paraId="707D5D25" w14:textId="77777777" w:rsidR="00CB158B" w:rsidRPr="00AD3B62" w:rsidRDefault="00CB158B" w:rsidP="00CB158B">
      <w:pPr>
        <w:pStyle w:val="ListBullet"/>
        <w:rPr>
          <w:rFonts w:asciiTheme="minorHAnsi" w:hAnsiTheme="minorHAnsi" w:cstheme="minorHAnsi"/>
          <w:sz w:val="22"/>
          <w:szCs w:val="24"/>
        </w:rPr>
      </w:pPr>
      <w:r w:rsidRPr="00AD3B62">
        <w:rPr>
          <w:rFonts w:asciiTheme="minorHAnsi" w:hAnsiTheme="minorHAnsi" w:cstheme="minorHAnsi"/>
          <w:b/>
          <w:bCs/>
          <w:sz w:val="22"/>
          <w:szCs w:val="24"/>
        </w:rPr>
        <w:t>Recordkeeping:</w:t>
      </w:r>
      <w:r w:rsidRPr="00AD3B62">
        <w:rPr>
          <w:rFonts w:asciiTheme="minorHAnsi" w:hAnsiTheme="minorHAnsi" w:cstheme="minorHAnsi"/>
          <w:sz w:val="22"/>
          <w:szCs w:val="24"/>
        </w:rPr>
        <w:t xml:space="preserve"> Providers must retain records relevant to compliance with the Act and the National Code for a minimum of 7 years (Section 21).</w:t>
      </w:r>
    </w:p>
    <w:p w14:paraId="146B5792" w14:textId="77777777" w:rsidR="00CB158B" w:rsidRPr="00AD3B62" w:rsidRDefault="00CB158B" w:rsidP="00CB158B">
      <w:pPr>
        <w:pStyle w:val="ListBullet"/>
        <w:rPr>
          <w:rFonts w:asciiTheme="minorHAnsi" w:hAnsiTheme="minorHAnsi" w:cstheme="minorHAnsi"/>
          <w:sz w:val="22"/>
          <w:szCs w:val="24"/>
        </w:rPr>
      </w:pPr>
      <w:r w:rsidRPr="00AD3B62">
        <w:rPr>
          <w:rFonts w:asciiTheme="minorHAnsi" w:hAnsiTheme="minorHAnsi" w:cstheme="minorHAnsi"/>
          <w:b/>
          <w:bCs/>
          <w:sz w:val="22"/>
          <w:szCs w:val="24"/>
        </w:rPr>
        <w:t>Provide required information:</w:t>
      </w:r>
      <w:r w:rsidRPr="00AD3B62">
        <w:rPr>
          <w:rFonts w:asciiTheme="minorHAnsi" w:hAnsiTheme="minorHAnsi" w:cstheme="minorHAnsi"/>
          <w:sz w:val="22"/>
          <w:szCs w:val="24"/>
        </w:rPr>
        <w:t xml:space="preserve"> Providers must supply information to the Secretary as required (Sections 22 and 27).</w:t>
      </w:r>
    </w:p>
    <w:p w14:paraId="750B2AB7" w14:textId="77777777" w:rsidR="00CB158B" w:rsidRPr="00AD3B62" w:rsidRDefault="00CB158B" w:rsidP="00CB158B">
      <w:pPr>
        <w:pStyle w:val="ListBullet"/>
        <w:rPr>
          <w:rFonts w:asciiTheme="minorHAnsi" w:hAnsiTheme="minorHAnsi" w:cstheme="minorHAnsi"/>
          <w:sz w:val="22"/>
          <w:szCs w:val="24"/>
        </w:rPr>
      </w:pPr>
      <w:r w:rsidRPr="00AD3B62">
        <w:rPr>
          <w:rFonts w:asciiTheme="minorHAnsi" w:hAnsiTheme="minorHAnsi" w:cstheme="minorHAnsi"/>
          <w:b/>
          <w:bCs/>
          <w:sz w:val="22"/>
          <w:szCs w:val="24"/>
        </w:rPr>
        <w:lastRenderedPageBreak/>
        <w:t>Notification of changes or non-compliance:</w:t>
      </w:r>
      <w:r w:rsidRPr="00AD3B62">
        <w:rPr>
          <w:rFonts w:asciiTheme="minorHAnsi" w:hAnsiTheme="minorHAnsi" w:cstheme="minorHAnsi"/>
          <w:sz w:val="22"/>
          <w:szCs w:val="24"/>
        </w:rPr>
        <w:t xml:space="preserve"> providers must notify the Secretary within 14 days of becoming aware of any inaccurate information previously provided or any contravention of the Act or Code (Section 23).</w:t>
      </w:r>
    </w:p>
    <w:p w14:paraId="7BCF913F" w14:textId="79817D46" w:rsidR="001D6638" w:rsidRPr="00AD3B62" w:rsidRDefault="00CB158B" w:rsidP="00E179F4">
      <w:pPr>
        <w:pStyle w:val="ListBullet"/>
        <w:ind w:left="357" w:hanging="357"/>
        <w:rPr>
          <w:rFonts w:asciiTheme="minorHAnsi" w:hAnsiTheme="minorHAnsi" w:cstheme="minorHAnsi"/>
          <w:sz w:val="22"/>
          <w:szCs w:val="24"/>
        </w:rPr>
      </w:pPr>
      <w:r w:rsidRPr="00AD3B62">
        <w:rPr>
          <w:rFonts w:asciiTheme="minorHAnsi" w:hAnsiTheme="minorHAnsi" w:cstheme="minorHAnsi"/>
          <w:b/>
          <w:bCs/>
          <w:sz w:val="22"/>
          <w:szCs w:val="24"/>
        </w:rPr>
        <w:t>Avoid false or misleading information:</w:t>
      </w:r>
      <w:r w:rsidRPr="00AD3B62">
        <w:rPr>
          <w:rFonts w:asciiTheme="minorHAnsi" w:hAnsiTheme="minorHAnsi" w:cstheme="minorHAnsi"/>
          <w:sz w:val="22"/>
          <w:szCs w:val="24"/>
        </w:rPr>
        <w:t xml:space="preserve"> providers must not give false or misleading information to the regulator. This applies to all forms of communication, including reports, submissions and responses to notices (Section 24).</w:t>
      </w:r>
    </w:p>
    <w:p w14:paraId="3176550E" w14:textId="08B81CBC" w:rsidR="001D6638" w:rsidRPr="00AD3B62" w:rsidRDefault="00192C11" w:rsidP="006E5978">
      <w:pPr>
        <w:pStyle w:val="Heading2"/>
      </w:pPr>
      <w:bookmarkStart w:id="10" w:name="_Toc215493942"/>
      <w:r w:rsidRPr="00AD3B62">
        <w:t xml:space="preserve"> </w:t>
      </w:r>
      <w:r w:rsidR="001D6638" w:rsidRPr="00AD3B62">
        <w:t>Strategic context and supporting documents</w:t>
      </w:r>
      <w:bookmarkEnd w:id="10"/>
      <w:r w:rsidR="001D6638" w:rsidRPr="00AD3B62">
        <w:t xml:space="preserve"> </w:t>
      </w:r>
    </w:p>
    <w:p w14:paraId="23A9B8BA" w14:textId="77777777" w:rsidR="001D6638" w:rsidRPr="00AD3B62" w:rsidRDefault="001D6638" w:rsidP="00E179F4">
      <w:pPr>
        <w:spacing w:after="200"/>
        <w:rPr>
          <w:rFonts w:asciiTheme="minorHAnsi" w:hAnsiTheme="minorHAnsi" w:cstheme="minorHAnsi"/>
          <w:sz w:val="22"/>
          <w:szCs w:val="24"/>
        </w:rPr>
      </w:pPr>
      <w:r w:rsidRPr="00AD3B62">
        <w:rPr>
          <w:rFonts w:asciiTheme="minorHAnsi" w:hAnsiTheme="minorHAnsi" w:cstheme="minorHAnsi"/>
          <w:sz w:val="22"/>
          <w:szCs w:val="24"/>
        </w:rPr>
        <w:t xml:space="preserve">The GBV Regulator’s </w:t>
      </w:r>
      <w:r w:rsidRPr="00A31619">
        <w:rPr>
          <w:rStyle w:val="Hyperlink"/>
          <w:rFonts w:asciiTheme="minorHAnsi" w:hAnsiTheme="minorHAnsi" w:cstheme="minorHAnsi"/>
          <w:color w:val="000000" w:themeColor="text1"/>
          <w:sz w:val="22"/>
          <w:szCs w:val="24"/>
        </w:rPr>
        <w:t>Regulatory Statement</w:t>
      </w:r>
      <w:r w:rsidRPr="00A31619">
        <w:rPr>
          <w:rFonts w:asciiTheme="minorHAnsi" w:hAnsiTheme="minorHAnsi" w:cstheme="minorHAnsi"/>
          <w:color w:val="000000" w:themeColor="text1"/>
          <w:sz w:val="22"/>
          <w:szCs w:val="24"/>
        </w:rPr>
        <w:t xml:space="preserve"> </w:t>
      </w:r>
      <w:r w:rsidRPr="00AD3B62">
        <w:rPr>
          <w:rFonts w:asciiTheme="minorHAnsi" w:hAnsiTheme="minorHAnsi" w:cstheme="minorHAnsi"/>
          <w:sz w:val="22"/>
          <w:szCs w:val="24"/>
        </w:rPr>
        <w:t>(Statement) is the overarching framework that establishes the GBV Regulator’s posture, expectation and approach to regulating. This Compliance and Enforcement Policy aligns with this Statement and is subject to this broader framework to ensure that compliance and enforcement is consistent with a commitment to risk-based approach to regulation.</w:t>
      </w:r>
    </w:p>
    <w:p w14:paraId="41208BB7" w14:textId="77777777" w:rsidR="001D6638" w:rsidRPr="00AD3B62" w:rsidRDefault="001D6638" w:rsidP="00E179F4">
      <w:pPr>
        <w:spacing w:after="200"/>
        <w:rPr>
          <w:rFonts w:asciiTheme="minorHAnsi" w:hAnsiTheme="minorHAnsi" w:cstheme="minorHAnsi"/>
          <w:sz w:val="22"/>
          <w:szCs w:val="24"/>
        </w:rPr>
      </w:pPr>
      <w:r w:rsidRPr="00AD3B62">
        <w:rPr>
          <w:rFonts w:asciiTheme="minorHAnsi" w:hAnsiTheme="minorHAnsi" w:cstheme="minorHAnsi"/>
          <w:sz w:val="22"/>
          <w:szCs w:val="24"/>
        </w:rPr>
        <w:t>The GBV Regulator has released comprehensive regulatory and educative guidance for higher education providers and their staff about how to comply with the National Code. These can be found here:</w:t>
      </w:r>
    </w:p>
    <w:p w14:paraId="3253E9F9" w14:textId="77777777" w:rsidR="001D6638" w:rsidRPr="004C7706" w:rsidRDefault="001D6638" w:rsidP="001D6638">
      <w:pPr>
        <w:pStyle w:val="ListBullet"/>
        <w:rPr>
          <w:rStyle w:val="Hyperlink"/>
          <w:rFonts w:asciiTheme="minorHAnsi" w:hAnsiTheme="minorHAnsi" w:cstheme="minorHAnsi"/>
          <w:color w:val="000000" w:themeColor="text1"/>
          <w:sz w:val="22"/>
          <w:szCs w:val="24"/>
        </w:rPr>
      </w:pPr>
      <w:r w:rsidRPr="004C7706">
        <w:rPr>
          <w:rStyle w:val="Hyperlink"/>
          <w:rFonts w:asciiTheme="minorHAnsi" w:hAnsiTheme="minorHAnsi" w:cstheme="minorHAnsi"/>
          <w:color w:val="000000" w:themeColor="text1"/>
          <w:sz w:val="22"/>
          <w:szCs w:val="24"/>
        </w:rPr>
        <w:t xml:space="preserve">Regulatory Guidance for the National Higher Education Code to Prevent and Respond to Gender-based Violence </w:t>
      </w:r>
    </w:p>
    <w:p w14:paraId="5E1A1034" w14:textId="77777777" w:rsidR="001D6638" w:rsidRPr="004C7706" w:rsidRDefault="001D6638" w:rsidP="001D6638">
      <w:pPr>
        <w:pStyle w:val="ListBullet"/>
        <w:rPr>
          <w:rStyle w:val="Hyperlink"/>
          <w:rFonts w:asciiTheme="minorHAnsi" w:hAnsiTheme="minorHAnsi" w:cstheme="minorHAnsi"/>
          <w:color w:val="000000" w:themeColor="text1"/>
          <w:sz w:val="22"/>
          <w:szCs w:val="24"/>
        </w:rPr>
      </w:pPr>
      <w:r w:rsidRPr="004C7706">
        <w:rPr>
          <w:rStyle w:val="Hyperlink"/>
          <w:rFonts w:asciiTheme="minorHAnsi" w:hAnsiTheme="minorHAnsi" w:cstheme="minorHAnsi"/>
          <w:color w:val="000000" w:themeColor="text1"/>
          <w:sz w:val="22"/>
          <w:szCs w:val="24"/>
        </w:rPr>
        <w:t>Minister for Education’s Statement of Expectations 2025</w:t>
      </w:r>
    </w:p>
    <w:p w14:paraId="18E4A701" w14:textId="77777777" w:rsidR="001D6638" w:rsidRPr="004C7706" w:rsidRDefault="001D6638" w:rsidP="001D6638">
      <w:pPr>
        <w:pStyle w:val="ListBullet"/>
        <w:rPr>
          <w:rStyle w:val="Hyperlink"/>
          <w:rFonts w:asciiTheme="minorHAnsi" w:hAnsiTheme="minorHAnsi" w:cstheme="minorHAnsi"/>
          <w:color w:val="000000" w:themeColor="text1"/>
          <w:sz w:val="22"/>
          <w:szCs w:val="24"/>
        </w:rPr>
      </w:pPr>
      <w:r w:rsidRPr="004C7706">
        <w:rPr>
          <w:rStyle w:val="Hyperlink"/>
          <w:rFonts w:asciiTheme="minorHAnsi" w:hAnsiTheme="minorHAnsi" w:cstheme="minorHAnsi"/>
          <w:color w:val="000000" w:themeColor="text1"/>
          <w:sz w:val="22"/>
          <w:szCs w:val="24"/>
        </w:rPr>
        <w:t>Department of Education’s Statement of Intention 2025</w:t>
      </w:r>
    </w:p>
    <w:p w14:paraId="5BE88EF4" w14:textId="77777777" w:rsidR="001D6638" w:rsidRPr="004C7706" w:rsidRDefault="001D6638" w:rsidP="001D6638">
      <w:pPr>
        <w:pStyle w:val="ListBullet"/>
        <w:rPr>
          <w:rStyle w:val="Hyperlink"/>
          <w:rFonts w:asciiTheme="minorHAnsi" w:hAnsiTheme="minorHAnsi" w:cstheme="minorHAnsi"/>
          <w:color w:val="000000" w:themeColor="text1"/>
          <w:sz w:val="22"/>
          <w:szCs w:val="24"/>
        </w:rPr>
      </w:pPr>
      <w:r w:rsidRPr="004C7706">
        <w:rPr>
          <w:rStyle w:val="Hyperlink"/>
          <w:rFonts w:asciiTheme="minorHAnsi" w:hAnsiTheme="minorHAnsi" w:cstheme="minorHAnsi"/>
          <w:color w:val="000000" w:themeColor="text1"/>
          <w:sz w:val="22"/>
          <w:szCs w:val="24"/>
        </w:rPr>
        <w:t xml:space="preserve">Guidance to Develop a Whole-of-Organisation Gender-based Violence Prevention and Response Plan Outcomes Framework </w:t>
      </w:r>
    </w:p>
    <w:p w14:paraId="6759E8D3" w14:textId="5B3D5B68" w:rsidR="001D6638" w:rsidRPr="004C7706" w:rsidRDefault="001D6638" w:rsidP="00E179F4">
      <w:pPr>
        <w:pStyle w:val="ListBullet"/>
        <w:ind w:left="357" w:hanging="357"/>
        <w:contextualSpacing w:val="0"/>
        <w:rPr>
          <w:rStyle w:val="Hyperlink"/>
          <w:rFonts w:asciiTheme="minorHAnsi" w:hAnsiTheme="minorHAnsi" w:cstheme="minorHAnsi"/>
          <w:color w:val="000000" w:themeColor="text1"/>
          <w:sz w:val="22"/>
          <w:szCs w:val="24"/>
        </w:rPr>
      </w:pPr>
      <w:r w:rsidRPr="004C7706">
        <w:rPr>
          <w:rStyle w:val="Hyperlink"/>
          <w:rFonts w:asciiTheme="minorHAnsi" w:hAnsiTheme="minorHAnsi" w:cstheme="minorHAnsi"/>
          <w:color w:val="000000" w:themeColor="text1"/>
          <w:sz w:val="22"/>
          <w:szCs w:val="24"/>
        </w:rPr>
        <w:t>Optional Plan Template: Whole-of-Organisation Prevention and Response Plan and Outcomes Framework</w:t>
      </w:r>
    </w:p>
    <w:p w14:paraId="0EE9E6DF" w14:textId="1A3319A3" w:rsidR="00CB158B" w:rsidRPr="00AD3B62" w:rsidRDefault="00192C11" w:rsidP="006E5978">
      <w:pPr>
        <w:pStyle w:val="Heading2"/>
      </w:pPr>
      <w:bookmarkStart w:id="11" w:name="_Toc215493943"/>
      <w:r w:rsidRPr="00AD3B62">
        <w:t xml:space="preserve"> </w:t>
      </w:r>
      <w:r w:rsidR="00CB158B" w:rsidRPr="00AD3B62">
        <w:t>Statutory and regulatory principles</w:t>
      </w:r>
      <w:bookmarkEnd w:id="11"/>
    </w:p>
    <w:p w14:paraId="3E4ABABA" w14:textId="6597A07B" w:rsidR="00CB158B" w:rsidRPr="00AD3B62" w:rsidRDefault="00CB158B" w:rsidP="00433613">
      <w:pPr>
        <w:pStyle w:val="Heading3"/>
        <w:rPr>
          <w:rFonts w:asciiTheme="minorHAnsi" w:hAnsiTheme="minorHAnsi"/>
        </w:rPr>
      </w:pPr>
      <w:bookmarkStart w:id="12" w:name="_Toc215493944"/>
      <w:r w:rsidRPr="00AD3B62">
        <w:rPr>
          <w:rFonts w:asciiTheme="minorHAnsi" w:hAnsiTheme="minorHAnsi"/>
        </w:rPr>
        <w:t>Statutory principles</w:t>
      </w:r>
      <w:bookmarkEnd w:id="12"/>
      <w:r w:rsidRPr="00AD3B62">
        <w:rPr>
          <w:rFonts w:asciiTheme="minorHAnsi" w:hAnsiTheme="minorHAnsi"/>
        </w:rPr>
        <w:t xml:space="preserve"> </w:t>
      </w:r>
    </w:p>
    <w:p w14:paraId="53EA3C03" w14:textId="77777777" w:rsidR="00CB158B" w:rsidRPr="00AD3B62" w:rsidRDefault="00CB158B" w:rsidP="00CB158B">
      <w:pPr>
        <w:rPr>
          <w:rFonts w:asciiTheme="minorHAnsi" w:hAnsiTheme="minorHAnsi" w:cstheme="minorHAnsi"/>
          <w:sz w:val="22"/>
          <w:szCs w:val="24"/>
        </w:rPr>
      </w:pPr>
      <w:r w:rsidRPr="00AD3B62">
        <w:rPr>
          <w:rFonts w:asciiTheme="minorHAnsi" w:hAnsiTheme="minorHAnsi" w:cstheme="minorHAnsi"/>
          <w:sz w:val="22"/>
          <w:szCs w:val="24"/>
        </w:rPr>
        <w:t>The GBV Regulator is required to comply with two statutory principles under Sections 9 –12 of the Act:</w:t>
      </w:r>
    </w:p>
    <w:p w14:paraId="15CE7147" w14:textId="77777777" w:rsidR="00CB158B" w:rsidRPr="00AD3B62" w:rsidRDefault="00CB158B" w:rsidP="00CB158B">
      <w:pPr>
        <w:pStyle w:val="ListBullet"/>
        <w:rPr>
          <w:rFonts w:asciiTheme="minorHAnsi" w:hAnsiTheme="minorHAnsi" w:cstheme="minorHAnsi"/>
          <w:sz w:val="22"/>
          <w:szCs w:val="24"/>
        </w:rPr>
      </w:pPr>
      <w:r w:rsidRPr="00AD3B62">
        <w:rPr>
          <w:rFonts w:asciiTheme="minorHAnsi" w:hAnsiTheme="minorHAnsi" w:cstheme="minorHAnsi"/>
          <w:b/>
          <w:bCs/>
          <w:sz w:val="22"/>
          <w:szCs w:val="24"/>
        </w:rPr>
        <w:t>Regulatory necessity:</w:t>
      </w:r>
      <w:r w:rsidRPr="00AD3B62">
        <w:rPr>
          <w:rFonts w:asciiTheme="minorHAnsi" w:hAnsiTheme="minorHAnsi" w:cstheme="minorHAnsi"/>
          <w:sz w:val="22"/>
          <w:szCs w:val="24"/>
        </w:rPr>
        <w:t xml:space="preserve"> The exercise of powers must not burden a provider any more than is reasonably necessary. In practice, this means avoiding duplication of information requests, only seeking clarification when required, and requesting information only where there is a clear need (for example, to determine compliance with the Act or the National Code).</w:t>
      </w:r>
    </w:p>
    <w:p w14:paraId="7D45D6D8" w14:textId="73D036AD" w:rsidR="00CB158B" w:rsidRPr="00AD3B62" w:rsidRDefault="00CB158B" w:rsidP="00CB158B">
      <w:pPr>
        <w:pStyle w:val="ListBullet"/>
        <w:rPr>
          <w:rFonts w:asciiTheme="minorHAnsi" w:hAnsiTheme="minorHAnsi" w:cstheme="minorHAnsi"/>
          <w:sz w:val="22"/>
          <w:szCs w:val="24"/>
        </w:rPr>
      </w:pPr>
      <w:r w:rsidRPr="00AD3B62">
        <w:rPr>
          <w:rFonts w:asciiTheme="minorHAnsi" w:hAnsiTheme="minorHAnsi" w:cstheme="minorHAnsi"/>
          <w:b/>
          <w:bCs/>
          <w:sz w:val="22"/>
          <w:szCs w:val="24"/>
        </w:rPr>
        <w:t>Proportionate regulation:</w:t>
      </w:r>
      <w:r w:rsidRPr="00AD3B62">
        <w:rPr>
          <w:rFonts w:asciiTheme="minorHAnsi" w:hAnsiTheme="minorHAnsi" w:cstheme="minorHAnsi"/>
          <w:sz w:val="22"/>
          <w:szCs w:val="24"/>
        </w:rPr>
        <w:t xml:space="preserve"> Powers must be exercised in proportion to any non-compliance or risk of future non-compliance. This includes considering the seriousness of the issue, the actual or potential risk of harm to students and staff, the likelihood of recurrence, and the provider’s capability and commitment to address the issue.</w:t>
      </w:r>
    </w:p>
    <w:p w14:paraId="7B502609" w14:textId="77777777" w:rsidR="00CB158B" w:rsidRPr="00AD3B62" w:rsidRDefault="00CB158B" w:rsidP="00CB158B">
      <w:pPr>
        <w:rPr>
          <w:rFonts w:asciiTheme="minorHAnsi" w:hAnsiTheme="minorHAnsi" w:cstheme="minorHAnsi"/>
          <w:sz w:val="22"/>
          <w:szCs w:val="24"/>
        </w:rPr>
      </w:pPr>
      <w:r w:rsidRPr="00AD3B62">
        <w:rPr>
          <w:rFonts w:asciiTheme="minorHAnsi" w:hAnsiTheme="minorHAnsi" w:cstheme="minorHAnsi"/>
          <w:sz w:val="22"/>
          <w:szCs w:val="24"/>
        </w:rPr>
        <w:t>These statutory principles apply whenever powers are exercised under the Act. Authorised officers appointed under Section 33 of the Act must comply with these principles when taking regulatory action.</w:t>
      </w:r>
    </w:p>
    <w:p w14:paraId="4CD013FD" w14:textId="6F82BA39" w:rsidR="00CB158B" w:rsidRPr="00AD3B62" w:rsidRDefault="00CB158B" w:rsidP="00CB158B">
      <w:pPr>
        <w:rPr>
          <w:rFonts w:asciiTheme="minorHAnsi" w:hAnsiTheme="minorHAnsi" w:cstheme="minorHAnsi"/>
          <w:sz w:val="22"/>
          <w:szCs w:val="24"/>
        </w:rPr>
      </w:pPr>
      <w:r w:rsidRPr="00AD3B62">
        <w:rPr>
          <w:rFonts w:asciiTheme="minorHAnsi" w:hAnsiTheme="minorHAnsi" w:cstheme="minorHAnsi"/>
          <w:sz w:val="22"/>
          <w:szCs w:val="24"/>
        </w:rPr>
        <w:t xml:space="preserve">Both </w:t>
      </w:r>
      <w:r w:rsidR="001D6638" w:rsidRPr="00AD3B62">
        <w:rPr>
          <w:rFonts w:asciiTheme="minorHAnsi" w:hAnsiTheme="minorHAnsi" w:cstheme="minorHAnsi"/>
          <w:sz w:val="22"/>
          <w:szCs w:val="24"/>
        </w:rPr>
        <w:t>sta</w:t>
      </w:r>
      <w:r w:rsidRPr="00AD3B62">
        <w:rPr>
          <w:rFonts w:asciiTheme="minorHAnsi" w:hAnsiTheme="minorHAnsi" w:cstheme="minorHAnsi"/>
          <w:sz w:val="22"/>
          <w:szCs w:val="24"/>
        </w:rPr>
        <w:t xml:space="preserve">tutory principles are embedded in the following six regulatory principles. </w:t>
      </w:r>
    </w:p>
    <w:p w14:paraId="659BC054" w14:textId="39566C73" w:rsidR="00CB158B" w:rsidRPr="00AD3B62" w:rsidRDefault="00CB158B" w:rsidP="00433613">
      <w:pPr>
        <w:pStyle w:val="Heading3"/>
        <w:rPr>
          <w:rFonts w:asciiTheme="minorHAnsi" w:hAnsiTheme="minorHAnsi"/>
        </w:rPr>
      </w:pPr>
      <w:bookmarkStart w:id="13" w:name="_Toc215493945"/>
      <w:r w:rsidRPr="00AD3B62">
        <w:rPr>
          <w:rFonts w:asciiTheme="minorHAnsi" w:hAnsiTheme="minorHAnsi"/>
        </w:rPr>
        <w:lastRenderedPageBreak/>
        <w:t>Regulatory principles</w:t>
      </w:r>
      <w:bookmarkEnd w:id="13"/>
      <w:r w:rsidRPr="00AD3B62">
        <w:rPr>
          <w:rFonts w:asciiTheme="minorHAnsi" w:hAnsiTheme="minorHAnsi"/>
        </w:rPr>
        <w:t xml:space="preserve"> </w:t>
      </w:r>
    </w:p>
    <w:p w14:paraId="695742FF" w14:textId="232E342E" w:rsidR="00CB158B" w:rsidRPr="00AD3B62" w:rsidRDefault="00CB158B" w:rsidP="002C1017">
      <w:pPr>
        <w:rPr>
          <w:rFonts w:asciiTheme="minorHAnsi" w:hAnsiTheme="minorHAnsi" w:cstheme="minorHAnsi"/>
          <w:sz w:val="22"/>
          <w:szCs w:val="24"/>
        </w:rPr>
      </w:pPr>
      <w:r w:rsidRPr="00AD3B62">
        <w:rPr>
          <w:rFonts w:asciiTheme="minorHAnsi" w:hAnsiTheme="minorHAnsi" w:cstheme="minorHAnsi"/>
          <w:sz w:val="22"/>
          <w:szCs w:val="24"/>
        </w:rPr>
        <w:t>The GBV Regulator exercises its powers and makes decisions based on its regulatory principles. These principles shape how risk is assessed, cases are prioritised, and the most appropriate compliance or enforcement response is determined. They also support transparency and accountability, ensuring that actions are consistent, evidence-based and aligned with statutory requirements.</w:t>
      </w:r>
    </w:p>
    <w:tbl>
      <w:tblPr>
        <w:tblStyle w:val="EDU-Basic"/>
        <w:tblpPr w:leftFromText="180" w:rightFromText="180" w:vertAnchor="text" w:horzAnchor="margin" w:tblpY="47"/>
        <w:tblW w:w="8931" w:type="dxa"/>
        <w:tblLayout w:type="fixed"/>
        <w:tblLook w:val="0420" w:firstRow="1" w:lastRow="0" w:firstColumn="0" w:lastColumn="0" w:noHBand="0" w:noVBand="1"/>
      </w:tblPr>
      <w:tblGrid>
        <w:gridCol w:w="2245"/>
        <w:gridCol w:w="6686"/>
      </w:tblGrid>
      <w:tr w:rsidR="001D6638" w:rsidRPr="00AD3B62" w14:paraId="6471B6B7" w14:textId="77777777" w:rsidTr="004276F6">
        <w:trPr>
          <w:cnfStyle w:val="100000000000" w:firstRow="1" w:lastRow="0" w:firstColumn="0" w:lastColumn="0" w:oddVBand="0" w:evenVBand="0" w:oddHBand="0" w:evenHBand="0" w:firstRowFirstColumn="0" w:firstRowLastColumn="0" w:lastRowFirstColumn="0" w:lastRowLastColumn="0"/>
          <w:trHeight w:val="559"/>
        </w:trPr>
        <w:tc>
          <w:tcPr>
            <w:tcW w:w="2245" w:type="dxa"/>
          </w:tcPr>
          <w:p w14:paraId="23E8376B" w14:textId="5D620D46" w:rsidR="001D6638" w:rsidRPr="00AD3B62" w:rsidRDefault="001D6638" w:rsidP="001D6638">
            <w:pPr>
              <w:rPr>
                <w:rFonts w:asciiTheme="minorHAnsi" w:hAnsiTheme="minorHAnsi" w:cstheme="minorHAnsi"/>
                <w:b/>
                <w:bCs/>
                <w:sz w:val="22"/>
                <w:szCs w:val="24"/>
              </w:rPr>
            </w:pPr>
            <w:r w:rsidRPr="00AD3B62">
              <w:rPr>
                <w:rFonts w:asciiTheme="minorHAnsi" w:hAnsiTheme="minorHAnsi" w:cstheme="minorHAnsi"/>
                <w:b/>
                <w:bCs/>
                <w:sz w:val="22"/>
                <w:szCs w:val="24"/>
              </w:rPr>
              <w:t xml:space="preserve">Principle </w:t>
            </w:r>
          </w:p>
        </w:tc>
        <w:tc>
          <w:tcPr>
            <w:tcW w:w="6686" w:type="dxa"/>
          </w:tcPr>
          <w:p w14:paraId="1EA2BE78" w14:textId="04163E5B" w:rsidR="001D6638" w:rsidRPr="00AD3B62" w:rsidRDefault="001D6638" w:rsidP="001D6638">
            <w:pPr>
              <w:rPr>
                <w:rFonts w:asciiTheme="minorHAnsi" w:hAnsiTheme="minorHAnsi" w:cstheme="minorHAnsi"/>
                <w:b/>
                <w:bCs/>
                <w:sz w:val="22"/>
                <w:szCs w:val="24"/>
              </w:rPr>
            </w:pPr>
            <w:r w:rsidRPr="00AD3B62">
              <w:rPr>
                <w:rFonts w:asciiTheme="minorHAnsi" w:hAnsiTheme="minorHAnsi" w:cstheme="minorHAnsi"/>
                <w:b/>
                <w:bCs/>
                <w:sz w:val="22"/>
                <w:szCs w:val="24"/>
              </w:rPr>
              <w:t xml:space="preserve">     Commitments </w:t>
            </w:r>
          </w:p>
        </w:tc>
      </w:tr>
      <w:tr w:rsidR="001D6638" w:rsidRPr="00AD3B62" w14:paraId="0040B97E" w14:textId="77777777" w:rsidTr="002C1017">
        <w:trPr>
          <w:cnfStyle w:val="000000100000" w:firstRow="0" w:lastRow="0" w:firstColumn="0" w:lastColumn="0" w:oddVBand="0" w:evenVBand="0" w:oddHBand="1" w:evenHBand="0" w:firstRowFirstColumn="0" w:firstRowLastColumn="0" w:lastRowFirstColumn="0" w:lastRowLastColumn="0"/>
          <w:trHeight w:val="1572"/>
        </w:trPr>
        <w:tc>
          <w:tcPr>
            <w:tcW w:w="2245" w:type="dxa"/>
            <w:shd w:val="clear" w:color="auto" w:fill="FDEBD4" w:themeFill="accent6" w:themeFillTint="33"/>
          </w:tcPr>
          <w:p w14:paraId="3EA37A98" w14:textId="77777777" w:rsidR="001D6638" w:rsidRPr="00AD3B62" w:rsidRDefault="001D6638" w:rsidP="002C1017">
            <w:pPr>
              <w:pStyle w:val="ListBullet"/>
              <w:numPr>
                <w:ilvl w:val="0"/>
                <w:numId w:val="0"/>
              </w:numPr>
              <w:spacing w:before="0" w:beforeAutospacing="0" w:afterAutospacing="0" w:line="259" w:lineRule="auto"/>
              <w:ind w:left="284" w:hanging="284"/>
              <w:rPr>
                <w:rFonts w:asciiTheme="minorHAnsi" w:hAnsiTheme="minorHAnsi" w:cstheme="minorHAnsi"/>
                <w:b/>
                <w:sz w:val="22"/>
                <w:szCs w:val="24"/>
              </w:rPr>
            </w:pPr>
            <w:r w:rsidRPr="00AD3B62">
              <w:rPr>
                <w:rFonts w:asciiTheme="minorHAnsi" w:hAnsiTheme="minorHAnsi" w:cstheme="minorHAnsi"/>
                <w:b/>
                <w:sz w:val="22"/>
                <w:szCs w:val="24"/>
              </w:rPr>
              <w:t xml:space="preserve">Proportionate and </w:t>
            </w:r>
          </w:p>
          <w:p w14:paraId="797B825D" w14:textId="33A79247" w:rsidR="001D6638" w:rsidRPr="00AD3B62" w:rsidRDefault="001D6638" w:rsidP="002C1017">
            <w:pPr>
              <w:pStyle w:val="ListBullet"/>
              <w:numPr>
                <w:ilvl w:val="0"/>
                <w:numId w:val="0"/>
              </w:numPr>
              <w:spacing w:before="0" w:beforeAutospacing="0" w:afterAutospacing="0" w:line="259" w:lineRule="auto"/>
              <w:ind w:left="284" w:hanging="284"/>
              <w:rPr>
                <w:rFonts w:asciiTheme="minorHAnsi" w:hAnsiTheme="minorHAnsi" w:cstheme="minorHAnsi"/>
                <w:b/>
                <w:sz w:val="22"/>
                <w:szCs w:val="24"/>
              </w:rPr>
            </w:pPr>
            <w:r w:rsidRPr="00AD3B62">
              <w:rPr>
                <w:rFonts w:asciiTheme="minorHAnsi" w:hAnsiTheme="minorHAnsi" w:cstheme="minorHAnsi"/>
                <w:b/>
                <w:sz w:val="22"/>
                <w:szCs w:val="24"/>
              </w:rPr>
              <w:t xml:space="preserve">risk-based </w:t>
            </w:r>
          </w:p>
        </w:tc>
        <w:tc>
          <w:tcPr>
            <w:tcW w:w="6686" w:type="dxa"/>
          </w:tcPr>
          <w:p w14:paraId="12451B9B" w14:textId="77777777" w:rsidR="001D6638" w:rsidRPr="00AD3B62" w:rsidRDefault="001D6638" w:rsidP="002C1017">
            <w:pPr>
              <w:pStyle w:val="ListBullet"/>
              <w:numPr>
                <w:ilvl w:val="0"/>
                <w:numId w:val="0"/>
              </w:numPr>
              <w:spacing w:before="0" w:beforeAutospacing="0" w:after="0" w:afterAutospacing="0" w:line="259" w:lineRule="auto"/>
              <w:ind w:left="284"/>
              <w:rPr>
                <w:rFonts w:asciiTheme="minorHAnsi" w:hAnsiTheme="minorHAnsi" w:cstheme="minorHAnsi"/>
                <w:sz w:val="22"/>
                <w:szCs w:val="24"/>
              </w:rPr>
            </w:pPr>
            <w:r w:rsidRPr="00AD3B62">
              <w:rPr>
                <w:rFonts w:asciiTheme="minorHAnsi" w:hAnsiTheme="minorHAnsi" w:cstheme="minorHAnsi"/>
                <w:sz w:val="22"/>
                <w:szCs w:val="24"/>
              </w:rPr>
              <w:t>Regulatory powers are exercised in proportion to the seriousness of non-compliance or the risk of future non-compliance. Action is directed toward areas of greatest harm and highest impact, considering the severity and likelihood of harm, as well as the provider’s compliance history.</w:t>
            </w:r>
          </w:p>
        </w:tc>
      </w:tr>
      <w:tr w:rsidR="001D6638" w:rsidRPr="00AD3B62" w14:paraId="5F7B38FD" w14:textId="77777777" w:rsidTr="002C1017">
        <w:trPr>
          <w:cnfStyle w:val="000000010000" w:firstRow="0" w:lastRow="0" w:firstColumn="0" w:lastColumn="0" w:oddVBand="0" w:evenVBand="0" w:oddHBand="0" w:evenHBand="1" w:firstRowFirstColumn="0" w:firstRowLastColumn="0" w:lastRowFirstColumn="0" w:lastRowLastColumn="0"/>
          <w:trHeight w:val="1259"/>
        </w:trPr>
        <w:tc>
          <w:tcPr>
            <w:tcW w:w="2245" w:type="dxa"/>
            <w:shd w:val="clear" w:color="auto" w:fill="FDEBD4" w:themeFill="accent6" w:themeFillTint="33"/>
          </w:tcPr>
          <w:p w14:paraId="4E18C262" w14:textId="77777777" w:rsidR="001D6638" w:rsidRPr="00AD3B62" w:rsidRDefault="001D6638" w:rsidP="002C1017">
            <w:pPr>
              <w:pStyle w:val="ListBullet"/>
              <w:numPr>
                <w:ilvl w:val="0"/>
                <w:numId w:val="0"/>
              </w:numPr>
              <w:spacing w:before="0" w:beforeAutospacing="0" w:afterAutospacing="0" w:line="259" w:lineRule="auto"/>
              <w:rPr>
                <w:rFonts w:asciiTheme="minorHAnsi" w:hAnsiTheme="minorHAnsi" w:cstheme="minorHAnsi"/>
                <w:b/>
                <w:sz w:val="22"/>
                <w:szCs w:val="24"/>
              </w:rPr>
            </w:pPr>
            <w:r w:rsidRPr="00AD3B62">
              <w:rPr>
                <w:rFonts w:asciiTheme="minorHAnsi" w:hAnsiTheme="minorHAnsi" w:cstheme="minorHAnsi"/>
                <w:b/>
                <w:sz w:val="22"/>
                <w:szCs w:val="24"/>
              </w:rPr>
              <w:t>Evidence and Outcomes Driven</w:t>
            </w:r>
          </w:p>
        </w:tc>
        <w:tc>
          <w:tcPr>
            <w:tcW w:w="6686" w:type="dxa"/>
          </w:tcPr>
          <w:p w14:paraId="26E5F881" w14:textId="77777777" w:rsidR="001D6638" w:rsidRPr="00AD3B62" w:rsidRDefault="001D6638" w:rsidP="002C1017">
            <w:pPr>
              <w:pStyle w:val="ListBullet"/>
              <w:numPr>
                <w:ilvl w:val="0"/>
                <w:numId w:val="0"/>
              </w:numPr>
              <w:spacing w:before="0" w:beforeAutospacing="0" w:after="0" w:afterAutospacing="0" w:line="259" w:lineRule="auto"/>
              <w:ind w:left="284"/>
              <w:rPr>
                <w:rFonts w:asciiTheme="minorHAnsi" w:hAnsiTheme="minorHAnsi" w:cstheme="minorHAnsi"/>
                <w:sz w:val="22"/>
                <w:szCs w:val="24"/>
              </w:rPr>
            </w:pPr>
            <w:r w:rsidRPr="00AD3B62">
              <w:rPr>
                <w:rFonts w:asciiTheme="minorHAnsi" w:hAnsiTheme="minorHAnsi" w:cstheme="minorHAnsi"/>
                <w:sz w:val="22"/>
                <w:szCs w:val="24"/>
              </w:rPr>
              <w:t xml:space="preserve">Intelligence, data, information and external expertise are used to inform the allocation of regulatory effort and regulatory decisions with the goal of achieving measurable improvements in student and staff safety. </w:t>
            </w:r>
          </w:p>
        </w:tc>
      </w:tr>
      <w:tr w:rsidR="001D6638" w:rsidRPr="00AD3B62" w14:paraId="5DA0E802" w14:textId="77777777" w:rsidTr="002C1017">
        <w:trPr>
          <w:cnfStyle w:val="000000100000" w:firstRow="0" w:lastRow="0" w:firstColumn="0" w:lastColumn="0" w:oddVBand="0" w:evenVBand="0" w:oddHBand="1" w:evenHBand="0" w:firstRowFirstColumn="0" w:firstRowLastColumn="0" w:lastRowFirstColumn="0" w:lastRowLastColumn="0"/>
          <w:trHeight w:val="979"/>
        </w:trPr>
        <w:tc>
          <w:tcPr>
            <w:tcW w:w="2245" w:type="dxa"/>
            <w:shd w:val="clear" w:color="auto" w:fill="FDEBD4" w:themeFill="accent6" w:themeFillTint="33"/>
          </w:tcPr>
          <w:p w14:paraId="154630BB" w14:textId="77777777" w:rsidR="001D6638" w:rsidRPr="00AD3B62" w:rsidRDefault="001D6638" w:rsidP="002C1017">
            <w:pPr>
              <w:pStyle w:val="ListBullet"/>
              <w:numPr>
                <w:ilvl w:val="0"/>
                <w:numId w:val="0"/>
              </w:numPr>
              <w:spacing w:before="0" w:beforeAutospacing="0" w:afterAutospacing="0" w:line="259" w:lineRule="auto"/>
              <w:rPr>
                <w:rFonts w:asciiTheme="minorHAnsi" w:hAnsiTheme="minorHAnsi" w:cstheme="minorHAnsi"/>
                <w:b/>
                <w:sz w:val="22"/>
                <w:szCs w:val="24"/>
              </w:rPr>
            </w:pPr>
            <w:r w:rsidRPr="00AD3B62">
              <w:rPr>
                <w:rFonts w:asciiTheme="minorHAnsi" w:hAnsiTheme="minorHAnsi" w:cstheme="minorHAnsi"/>
                <w:b/>
                <w:sz w:val="22"/>
                <w:szCs w:val="24"/>
              </w:rPr>
              <w:t>Transparent and Accountable</w:t>
            </w:r>
          </w:p>
        </w:tc>
        <w:tc>
          <w:tcPr>
            <w:tcW w:w="6686" w:type="dxa"/>
          </w:tcPr>
          <w:p w14:paraId="40C84236" w14:textId="77777777" w:rsidR="001D6638" w:rsidRPr="00AD3B62" w:rsidRDefault="001D6638" w:rsidP="002C1017">
            <w:pPr>
              <w:pStyle w:val="ListBullet"/>
              <w:numPr>
                <w:ilvl w:val="0"/>
                <w:numId w:val="0"/>
              </w:numPr>
              <w:spacing w:before="0" w:beforeAutospacing="0" w:after="0" w:afterAutospacing="0" w:line="259" w:lineRule="auto"/>
              <w:ind w:left="284"/>
              <w:rPr>
                <w:rFonts w:asciiTheme="minorHAnsi" w:hAnsiTheme="minorHAnsi" w:cstheme="minorHAnsi"/>
                <w:sz w:val="22"/>
                <w:szCs w:val="24"/>
              </w:rPr>
            </w:pPr>
            <w:r w:rsidRPr="00AD3B62">
              <w:rPr>
                <w:rFonts w:asciiTheme="minorHAnsi" w:hAnsiTheme="minorHAnsi" w:cstheme="minorHAnsi"/>
                <w:sz w:val="22"/>
                <w:szCs w:val="24"/>
              </w:rPr>
              <w:t>Expectations of higher education providers are clearly communicated, along with reasons for regulatory decisions and decision-making principles.</w:t>
            </w:r>
          </w:p>
        </w:tc>
      </w:tr>
      <w:tr w:rsidR="001D6638" w:rsidRPr="00AD3B62" w14:paraId="57FDD38F" w14:textId="77777777" w:rsidTr="002C1017">
        <w:trPr>
          <w:cnfStyle w:val="000000010000" w:firstRow="0" w:lastRow="0" w:firstColumn="0" w:lastColumn="0" w:oddVBand="0" w:evenVBand="0" w:oddHBand="0" w:evenHBand="1" w:firstRowFirstColumn="0" w:firstRowLastColumn="0" w:lastRowFirstColumn="0" w:lastRowLastColumn="0"/>
          <w:trHeight w:val="979"/>
        </w:trPr>
        <w:tc>
          <w:tcPr>
            <w:tcW w:w="2245" w:type="dxa"/>
            <w:shd w:val="clear" w:color="auto" w:fill="FDEBD4" w:themeFill="accent6" w:themeFillTint="33"/>
          </w:tcPr>
          <w:p w14:paraId="00F17F21" w14:textId="77777777" w:rsidR="001D6638" w:rsidRPr="00AD3B62" w:rsidRDefault="001D6638" w:rsidP="002C1017">
            <w:pPr>
              <w:pStyle w:val="ListBullet"/>
              <w:numPr>
                <w:ilvl w:val="0"/>
                <w:numId w:val="0"/>
              </w:numPr>
              <w:spacing w:before="0" w:beforeAutospacing="0" w:afterAutospacing="0" w:line="259" w:lineRule="auto"/>
              <w:rPr>
                <w:rFonts w:asciiTheme="minorHAnsi" w:hAnsiTheme="minorHAnsi" w:cstheme="minorHAnsi"/>
                <w:b/>
                <w:sz w:val="22"/>
                <w:szCs w:val="24"/>
              </w:rPr>
            </w:pPr>
            <w:r w:rsidRPr="00AD3B62">
              <w:rPr>
                <w:rFonts w:asciiTheme="minorHAnsi" w:hAnsiTheme="minorHAnsi" w:cstheme="minorHAnsi"/>
                <w:b/>
                <w:sz w:val="22"/>
                <w:szCs w:val="24"/>
              </w:rPr>
              <w:t xml:space="preserve">Continuous Improvement </w:t>
            </w:r>
          </w:p>
        </w:tc>
        <w:tc>
          <w:tcPr>
            <w:tcW w:w="6686" w:type="dxa"/>
          </w:tcPr>
          <w:p w14:paraId="4BA6C5C4" w14:textId="77777777" w:rsidR="001D6638" w:rsidRPr="00AD3B62" w:rsidRDefault="001D6638" w:rsidP="002C1017">
            <w:pPr>
              <w:pStyle w:val="ListBullet"/>
              <w:numPr>
                <w:ilvl w:val="0"/>
                <w:numId w:val="0"/>
              </w:numPr>
              <w:spacing w:before="0" w:beforeAutospacing="0" w:after="0" w:afterAutospacing="0" w:line="259" w:lineRule="auto"/>
              <w:ind w:left="284"/>
              <w:rPr>
                <w:rFonts w:asciiTheme="minorHAnsi" w:hAnsiTheme="minorHAnsi" w:cstheme="minorHAnsi"/>
                <w:sz w:val="22"/>
                <w:szCs w:val="24"/>
              </w:rPr>
            </w:pPr>
            <w:r w:rsidRPr="00AD3B62">
              <w:rPr>
                <w:rFonts w:asciiTheme="minorHAnsi" w:hAnsiTheme="minorHAnsi" w:cstheme="minorHAnsi"/>
                <w:sz w:val="22"/>
                <w:szCs w:val="24"/>
              </w:rPr>
              <w:t>Regulatory posture supports capability-building and sector-wide maturity, encouraging providers to embed best practice and improve over time.</w:t>
            </w:r>
          </w:p>
        </w:tc>
      </w:tr>
      <w:tr w:rsidR="001D6638" w:rsidRPr="00AD3B62" w14:paraId="69FCD8D6" w14:textId="77777777" w:rsidTr="002C1017">
        <w:trPr>
          <w:cnfStyle w:val="000000100000" w:firstRow="0" w:lastRow="0" w:firstColumn="0" w:lastColumn="0" w:oddVBand="0" w:evenVBand="0" w:oddHBand="1" w:evenHBand="0" w:firstRowFirstColumn="0" w:firstRowLastColumn="0" w:lastRowFirstColumn="0" w:lastRowLastColumn="0"/>
          <w:trHeight w:val="695"/>
        </w:trPr>
        <w:tc>
          <w:tcPr>
            <w:tcW w:w="2245" w:type="dxa"/>
            <w:shd w:val="clear" w:color="auto" w:fill="FDEBD4" w:themeFill="accent6" w:themeFillTint="33"/>
          </w:tcPr>
          <w:p w14:paraId="3FA9F4B5" w14:textId="77777777" w:rsidR="001D6638" w:rsidRPr="00AD3B62" w:rsidRDefault="001D6638" w:rsidP="002C1017">
            <w:pPr>
              <w:pStyle w:val="ListBullet"/>
              <w:numPr>
                <w:ilvl w:val="0"/>
                <w:numId w:val="0"/>
              </w:numPr>
              <w:spacing w:before="0" w:beforeAutospacing="0" w:afterAutospacing="0" w:line="259" w:lineRule="auto"/>
              <w:ind w:left="284" w:hanging="284"/>
              <w:rPr>
                <w:rFonts w:asciiTheme="minorHAnsi" w:hAnsiTheme="minorHAnsi" w:cstheme="minorHAnsi"/>
                <w:b/>
                <w:sz w:val="22"/>
                <w:szCs w:val="24"/>
              </w:rPr>
            </w:pPr>
            <w:r w:rsidRPr="00AD3B62">
              <w:rPr>
                <w:rFonts w:asciiTheme="minorHAnsi" w:hAnsiTheme="minorHAnsi" w:cstheme="minorHAnsi"/>
                <w:b/>
                <w:sz w:val="22"/>
                <w:szCs w:val="24"/>
              </w:rPr>
              <w:t>Collaborative</w:t>
            </w:r>
          </w:p>
        </w:tc>
        <w:tc>
          <w:tcPr>
            <w:tcW w:w="6686" w:type="dxa"/>
          </w:tcPr>
          <w:p w14:paraId="761DA2D6" w14:textId="77777777" w:rsidR="001D6638" w:rsidRPr="00AD3B62" w:rsidRDefault="001D6638" w:rsidP="002C1017">
            <w:pPr>
              <w:pStyle w:val="ListBullet"/>
              <w:numPr>
                <w:ilvl w:val="0"/>
                <w:numId w:val="0"/>
              </w:numPr>
              <w:spacing w:before="0" w:beforeAutospacing="0" w:after="0" w:afterAutospacing="0" w:line="259" w:lineRule="auto"/>
              <w:ind w:left="284"/>
              <w:rPr>
                <w:rFonts w:asciiTheme="minorHAnsi" w:hAnsiTheme="minorHAnsi" w:cstheme="minorHAnsi"/>
                <w:sz w:val="22"/>
                <w:szCs w:val="24"/>
              </w:rPr>
            </w:pPr>
            <w:r w:rsidRPr="00AD3B62">
              <w:rPr>
                <w:rFonts w:asciiTheme="minorHAnsi" w:hAnsiTheme="minorHAnsi" w:cstheme="minorHAnsi"/>
                <w:sz w:val="22"/>
                <w:szCs w:val="24"/>
              </w:rPr>
              <w:t>The GBV Regulator works with partner regulators to drive compliance with the National Code.</w:t>
            </w:r>
          </w:p>
        </w:tc>
      </w:tr>
      <w:tr w:rsidR="001D6638" w:rsidRPr="00AD3B62" w14:paraId="07E503A0" w14:textId="77777777" w:rsidTr="002C1017">
        <w:trPr>
          <w:cnfStyle w:val="000000010000" w:firstRow="0" w:lastRow="0" w:firstColumn="0" w:lastColumn="0" w:oddVBand="0" w:evenVBand="0" w:oddHBand="0" w:evenHBand="1" w:firstRowFirstColumn="0" w:firstRowLastColumn="0" w:lastRowFirstColumn="0" w:lastRowLastColumn="0"/>
          <w:trHeight w:val="988"/>
        </w:trPr>
        <w:tc>
          <w:tcPr>
            <w:tcW w:w="2245" w:type="dxa"/>
            <w:shd w:val="clear" w:color="auto" w:fill="FDEBD4" w:themeFill="accent6" w:themeFillTint="33"/>
          </w:tcPr>
          <w:p w14:paraId="24177591" w14:textId="77777777" w:rsidR="001D6638" w:rsidRPr="00AD3B62" w:rsidRDefault="001D6638" w:rsidP="002C1017">
            <w:pPr>
              <w:pStyle w:val="ListBullet"/>
              <w:numPr>
                <w:ilvl w:val="0"/>
                <w:numId w:val="0"/>
              </w:numPr>
              <w:spacing w:before="0" w:beforeAutospacing="0" w:afterAutospacing="0" w:line="259" w:lineRule="auto"/>
              <w:rPr>
                <w:rFonts w:asciiTheme="minorHAnsi" w:hAnsiTheme="minorHAnsi" w:cstheme="minorHAnsi"/>
                <w:b/>
                <w:sz w:val="22"/>
                <w:szCs w:val="24"/>
              </w:rPr>
            </w:pPr>
            <w:r w:rsidRPr="00AD3B62">
              <w:rPr>
                <w:rFonts w:asciiTheme="minorHAnsi" w:hAnsiTheme="minorHAnsi" w:cstheme="minorHAnsi"/>
                <w:b/>
                <w:sz w:val="22"/>
                <w:szCs w:val="24"/>
              </w:rPr>
              <w:t xml:space="preserve">Coherence and Alignment </w:t>
            </w:r>
          </w:p>
        </w:tc>
        <w:tc>
          <w:tcPr>
            <w:tcW w:w="6686" w:type="dxa"/>
          </w:tcPr>
          <w:p w14:paraId="3305FDC3" w14:textId="77777777" w:rsidR="001D6638" w:rsidRPr="00AD3B62" w:rsidRDefault="001D6638" w:rsidP="002C1017">
            <w:pPr>
              <w:pStyle w:val="ListBullet"/>
              <w:numPr>
                <w:ilvl w:val="0"/>
                <w:numId w:val="0"/>
              </w:numPr>
              <w:spacing w:before="0" w:beforeAutospacing="0" w:after="0" w:afterAutospacing="0" w:line="259" w:lineRule="auto"/>
              <w:ind w:left="284"/>
              <w:rPr>
                <w:rFonts w:asciiTheme="minorHAnsi" w:hAnsiTheme="minorHAnsi" w:cstheme="minorHAnsi"/>
                <w:sz w:val="22"/>
                <w:szCs w:val="24"/>
              </w:rPr>
            </w:pPr>
            <w:r w:rsidRPr="00AD3B62">
              <w:rPr>
                <w:rFonts w:asciiTheme="minorHAnsi" w:hAnsiTheme="minorHAnsi" w:cstheme="minorHAnsi"/>
                <w:sz w:val="22"/>
                <w:szCs w:val="24"/>
              </w:rPr>
              <w:t>Regulatory activities align with broader government policy, legislative frameworks, and other regulatory schemes to ensure consistency and reduce duplication.</w:t>
            </w:r>
          </w:p>
        </w:tc>
      </w:tr>
    </w:tbl>
    <w:p w14:paraId="2D9EF528" w14:textId="77777777" w:rsidR="00CB158B" w:rsidRPr="008B400D" w:rsidRDefault="00CB158B" w:rsidP="00192C11">
      <w:pPr>
        <w:rPr>
          <w:rFonts w:asciiTheme="minorHAnsi" w:hAnsiTheme="minorHAnsi" w:cstheme="minorHAnsi"/>
          <w:sz w:val="6"/>
          <w:szCs w:val="6"/>
        </w:rPr>
      </w:pPr>
    </w:p>
    <w:p w14:paraId="403985AE" w14:textId="2CB22ED5" w:rsidR="001D6638" w:rsidRPr="00AD3B62" w:rsidRDefault="00AF06F8" w:rsidP="006E5978">
      <w:pPr>
        <w:pStyle w:val="Heading2"/>
      </w:pPr>
      <w:bookmarkStart w:id="14" w:name="_Toc214270692"/>
      <w:bookmarkStart w:id="15" w:name="_Toc214631381"/>
      <w:bookmarkStart w:id="16" w:name="_Toc215493946"/>
      <w:r w:rsidRPr="00AD3B62">
        <w:t xml:space="preserve"> </w:t>
      </w:r>
      <w:r w:rsidR="001D6638" w:rsidRPr="00AD3B62">
        <w:t xml:space="preserve">A risk-based approach: </w:t>
      </w:r>
      <w:bookmarkEnd w:id="14"/>
      <w:r w:rsidR="001D6638" w:rsidRPr="00AD3B62">
        <w:t>application of regulatory focus</w:t>
      </w:r>
      <w:bookmarkEnd w:id="15"/>
      <w:bookmarkEnd w:id="16"/>
    </w:p>
    <w:p w14:paraId="79CA3894" w14:textId="37A93B57" w:rsidR="001D6638" w:rsidRPr="00AD3B62" w:rsidRDefault="001D6638" w:rsidP="001D6638">
      <w:pPr>
        <w:rPr>
          <w:rFonts w:asciiTheme="minorHAnsi" w:hAnsiTheme="minorHAnsi" w:cstheme="minorHAnsi"/>
          <w:sz w:val="22"/>
          <w:szCs w:val="24"/>
        </w:rPr>
      </w:pPr>
      <w:r w:rsidRPr="00AD3B62">
        <w:rPr>
          <w:rFonts w:asciiTheme="minorHAnsi" w:hAnsiTheme="minorHAnsi" w:cstheme="minorHAnsi"/>
          <w:sz w:val="22"/>
          <w:szCs w:val="24"/>
        </w:rPr>
        <w:t xml:space="preserve">In alignment with the regulatory principle of proportionate and risk-based regulation, the GBV Regulator directs its compliance activities based on a thorough risk assessment. This assessment evaluates how a provider’s actions to prevent and respond to gender-based violence may impact the safety and wellbeing of students and staff within higher education. This risk-based targeting and prioritisation approach informs regulatory actions, including whether the GBV Regulator: </w:t>
      </w:r>
    </w:p>
    <w:p w14:paraId="5DE973D5" w14:textId="2CBCE3FB" w:rsidR="001D6638" w:rsidRPr="00AD3B62" w:rsidRDefault="001D6638" w:rsidP="001D6638">
      <w:pPr>
        <w:pStyle w:val="ListBullet"/>
        <w:numPr>
          <w:ilvl w:val="0"/>
          <w:numId w:val="20"/>
        </w:numPr>
        <w:rPr>
          <w:rFonts w:asciiTheme="minorHAnsi" w:hAnsiTheme="minorHAnsi" w:cstheme="minorHAnsi"/>
          <w:sz w:val="22"/>
          <w:szCs w:val="24"/>
        </w:rPr>
      </w:pPr>
      <w:r w:rsidRPr="00AD3B62">
        <w:rPr>
          <w:rFonts w:asciiTheme="minorHAnsi" w:hAnsiTheme="minorHAnsi" w:cstheme="minorHAnsi"/>
          <w:sz w:val="22"/>
          <w:szCs w:val="24"/>
        </w:rPr>
        <w:t>Educates and engages providers on their requirements.</w:t>
      </w:r>
    </w:p>
    <w:p w14:paraId="600DAC23" w14:textId="77777777" w:rsidR="001D6638" w:rsidRPr="00AD3B62" w:rsidRDefault="001D6638" w:rsidP="001D6638">
      <w:pPr>
        <w:pStyle w:val="ListBullet"/>
        <w:numPr>
          <w:ilvl w:val="0"/>
          <w:numId w:val="20"/>
        </w:numPr>
        <w:rPr>
          <w:rFonts w:asciiTheme="minorHAnsi" w:hAnsiTheme="minorHAnsi" w:cstheme="minorHAnsi"/>
          <w:sz w:val="22"/>
          <w:szCs w:val="24"/>
        </w:rPr>
      </w:pPr>
      <w:r w:rsidRPr="00AD3B62">
        <w:rPr>
          <w:rFonts w:asciiTheme="minorHAnsi" w:hAnsiTheme="minorHAnsi" w:cstheme="minorHAnsi"/>
          <w:sz w:val="22"/>
          <w:szCs w:val="24"/>
        </w:rPr>
        <w:t>Provides guidance materials to assist with compliance.</w:t>
      </w:r>
    </w:p>
    <w:p w14:paraId="07919AED" w14:textId="77777777" w:rsidR="001D6638" w:rsidRPr="00AD3B62" w:rsidRDefault="001D6638" w:rsidP="001D6638">
      <w:pPr>
        <w:pStyle w:val="ListBullet"/>
        <w:numPr>
          <w:ilvl w:val="0"/>
          <w:numId w:val="20"/>
        </w:numPr>
        <w:rPr>
          <w:rFonts w:asciiTheme="minorHAnsi" w:hAnsiTheme="minorHAnsi" w:cstheme="minorHAnsi"/>
          <w:sz w:val="22"/>
          <w:szCs w:val="24"/>
        </w:rPr>
      </w:pPr>
      <w:r w:rsidRPr="00AD3B62">
        <w:rPr>
          <w:rFonts w:asciiTheme="minorHAnsi" w:hAnsiTheme="minorHAnsi" w:cstheme="minorHAnsi"/>
          <w:sz w:val="22"/>
          <w:szCs w:val="24"/>
        </w:rPr>
        <w:t>Assesses, monitors and investigates non-compliance (e.g. inspections, audits, reviews).</w:t>
      </w:r>
    </w:p>
    <w:p w14:paraId="77F13243" w14:textId="77777777" w:rsidR="001D6638" w:rsidRPr="00AD3B62" w:rsidRDefault="001D6638" w:rsidP="001D6638">
      <w:pPr>
        <w:pStyle w:val="ListBullet"/>
        <w:numPr>
          <w:ilvl w:val="0"/>
          <w:numId w:val="20"/>
        </w:numPr>
        <w:rPr>
          <w:rFonts w:asciiTheme="minorHAnsi" w:hAnsiTheme="minorHAnsi" w:cstheme="minorHAnsi"/>
          <w:sz w:val="22"/>
          <w:szCs w:val="24"/>
        </w:rPr>
      </w:pPr>
      <w:r w:rsidRPr="00AD3B62">
        <w:rPr>
          <w:rFonts w:asciiTheme="minorHAnsi" w:hAnsiTheme="minorHAnsi" w:cstheme="minorHAnsi"/>
          <w:sz w:val="22"/>
          <w:szCs w:val="24"/>
        </w:rPr>
        <w:t xml:space="preserve">Exercises compliance powers. </w:t>
      </w:r>
    </w:p>
    <w:p w14:paraId="7B222F12" w14:textId="77777777" w:rsidR="001D6638" w:rsidRPr="00AD3B62" w:rsidRDefault="001D6638" w:rsidP="001D6638">
      <w:pPr>
        <w:pStyle w:val="ListBullet"/>
        <w:numPr>
          <w:ilvl w:val="0"/>
          <w:numId w:val="20"/>
        </w:numPr>
        <w:rPr>
          <w:rFonts w:asciiTheme="minorHAnsi" w:hAnsiTheme="minorHAnsi" w:cstheme="minorHAnsi"/>
          <w:sz w:val="22"/>
          <w:szCs w:val="24"/>
        </w:rPr>
      </w:pPr>
      <w:r w:rsidRPr="00AD3B62">
        <w:rPr>
          <w:rFonts w:asciiTheme="minorHAnsi" w:hAnsiTheme="minorHAnsi" w:cstheme="minorHAnsi"/>
          <w:sz w:val="22"/>
          <w:szCs w:val="24"/>
        </w:rPr>
        <w:t>Undertakes enforcement action (e.g. referrals or sanctions).</w:t>
      </w:r>
    </w:p>
    <w:p w14:paraId="6974B3C2" w14:textId="5D60EA22" w:rsidR="001D6638" w:rsidRPr="00AD3B62" w:rsidRDefault="00910ADD" w:rsidP="001A35F7">
      <w:pPr>
        <w:spacing w:after="200"/>
        <w:rPr>
          <w:rFonts w:asciiTheme="minorHAnsi" w:hAnsiTheme="minorHAnsi" w:cstheme="minorHAnsi"/>
          <w:sz w:val="22"/>
          <w:szCs w:val="24"/>
        </w:rPr>
      </w:pPr>
      <w:r w:rsidRPr="00AD3B62">
        <w:rPr>
          <w:rFonts w:asciiTheme="minorHAnsi" w:hAnsiTheme="minorHAnsi" w:cstheme="minorHAnsi"/>
          <w:noProof/>
          <w:sz w:val="22"/>
          <w:szCs w:val="24"/>
        </w:rPr>
        <w:lastRenderedPageBreak/>
        <w:drawing>
          <wp:anchor distT="0" distB="0" distL="114300" distR="114300" simplePos="0" relativeHeight="251658242" behindDoc="1" locked="0" layoutInCell="1" allowOverlap="1" wp14:anchorId="348B3A01" wp14:editId="6EB2DB8A">
            <wp:simplePos x="0" y="0"/>
            <wp:positionH relativeFrom="page">
              <wp:posOffset>3105150</wp:posOffset>
            </wp:positionH>
            <wp:positionV relativeFrom="paragraph">
              <wp:posOffset>12700</wp:posOffset>
            </wp:positionV>
            <wp:extent cx="3970020" cy="3486150"/>
            <wp:effectExtent l="0" t="0" r="0" b="0"/>
            <wp:wrapTight wrapText="bothSides">
              <wp:wrapPolygon edited="0">
                <wp:start x="0" y="0"/>
                <wp:lineTo x="0" y="21482"/>
                <wp:lineTo x="21455" y="21482"/>
                <wp:lineTo x="21455" y="0"/>
                <wp:lineTo x="0" y="0"/>
              </wp:wrapPolygon>
            </wp:wrapTight>
            <wp:docPr id="293409591" name="Picture 1" descr="A chart with different colored squares demonstrating an approach to risk assess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409591" name="Picture 1" descr="A chart with different colored squares demonstrating an approach to risk assessment.&#10;"/>
                    <pic:cNvPicPr/>
                  </pic:nvPicPr>
                  <pic:blipFill>
                    <a:blip r:embed="rId18">
                      <a:extLst>
                        <a:ext uri="{28A0092B-C50C-407E-A947-70E740481C1C}">
                          <a14:useLocalDpi xmlns:a14="http://schemas.microsoft.com/office/drawing/2010/main" val="0"/>
                        </a:ext>
                      </a:extLst>
                    </a:blip>
                    <a:stretch>
                      <a:fillRect/>
                    </a:stretch>
                  </pic:blipFill>
                  <pic:spPr>
                    <a:xfrm>
                      <a:off x="0" y="0"/>
                      <a:ext cx="3970020" cy="3486150"/>
                    </a:xfrm>
                    <a:prstGeom prst="rect">
                      <a:avLst/>
                    </a:prstGeom>
                  </pic:spPr>
                </pic:pic>
              </a:graphicData>
            </a:graphic>
            <wp14:sizeRelH relativeFrom="margin">
              <wp14:pctWidth>0</wp14:pctWidth>
            </wp14:sizeRelH>
            <wp14:sizeRelV relativeFrom="margin">
              <wp14:pctHeight>0</wp14:pctHeight>
            </wp14:sizeRelV>
          </wp:anchor>
        </w:drawing>
      </w:r>
      <w:r w:rsidR="001D6638" w:rsidRPr="00AD3B62">
        <w:rPr>
          <w:rFonts w:asciiTheme="minorHAnsi" w:hAnsiTheme="minorHAnsi" w:cstheme="minorHAnsi"/>
          <w:sz w:val="22"/>
          <w:szCs w:val="24"/>
        </w:rPr>
        <w:t>The risk assessment is based on the:</w:t>
      </w:r>
    </w:p>
    <w:p w14:paraId="3D20FACF" w14:textId="77777777" w:rsidR="001D6638" w:rsidRPr="00AD3B62" w:rsidRDefault="001D6638" w:rsidP="001A35F7">
      <w:pPr>
        <w:pStyle w:val="ListBullet"/>
        <w:numPr>
          <w:ilvl w:val="0"/>
          <w:numId w:val="20"/>
        </w:numPr>
        <w:rPr>
          <w:rFonts w:asciiTheme="minorHAnsi" w:hAnsiTheme="minorHAnsi" w:cstheme="minorHAnsi"/>
          <w:sz w:val="22"/>
          <w:szCs w:val="24"/>
        </w:rPr>
      </w:pPr>
      <w:r w:rsidRPr="00AD3B62">
        <w:rPr>
          <w:rFonts w:asciiTheme="minorHAnsi" w:hAnsiTheme="minorHAnsi" w:cstheme="minorHAnsi"/>
          <w:b/>
          <w:sz w:val="22"/>
          <w:szCs w:val="24"/>
        </w:rPr>
        <w:t>Consequence of non-compliance:</w:t>
      </w:r>
      <w:r w:rsidRPr="00AD3B62">
        <w:rPr>
          <w:rFonts w:asciiTheme="minorHAnsi" w:hAnsiTheme="minorHAnsi" w:cstheme="minorHAnsi"/>
          <w:sz w:val="22"/>
          <w:szCs w:val="24"/>
        </w:rPr>
        <w:t xml:space="preserve"> the severity of the potential or actual harm to students or staff.</w:t>
      </w:r>
    </w:p>
    <w:p w14:paraId="3542AF2A" w14:textId="77777777" w:rsidR="001D6638" w:rsidRPr="00AD3B62" w:rsidRDefault="001D6638" w:rsidP="001A35F7">
      <w:pPr>
        <w:pStyle w:val="ListBullet"/>
        <w:numPr>
          <w:ilvl w:val="0"/>
          <w:numId w:val="20"/>
        </w:numPr>
        <w:rPr>
          <w:rFonts w:asciiTheme="minorHAnsi" w:hAnsiTheme="minorHAnsi" w:cstheme="minorHAnsi"/>
          <w:sz w:val="22"/>
          <w:szCs w:val="24"/>
        </w:rPr>
      </w:pPr>
      <w:r w:rsidRPr="00AD3B62">
        <w:rPr>
          <w:rFonts w:asciiTheme="minorHAnsi" w:hAnsiTheme="minorHAnsi" w:cstheme="minorHAnsi"/>
          <w:b/>
          <w:sz w:val="22"/>
          <w:szCs w:val="24"/>
        </w:rPr>
        <w:t>Likelihood of non-compliance:</w:t>
      </w:r>
      <w:r w:rsidRPr="00AD3B62">
        <w:rPr>
          <w:rFonts w:asciiTheme="minorHAnsi" w:hAnsiTheme="minorHAnsi" w:cstheme="minorHAnsi"/>
          <w:sz w:val="22"/>
          <w:szCs w:val="24"/>
        </w:rPr>
        <w:t xml:space="preserve"> how likely it is that the provider will not comply with their requirements.</w:t>
      </w:r>
    </w:p>
    <w:p w14:paraId="5A46C189" w14:textId="677D2E73" w:rsidR="001D6638" w:rsidRPr="00AD3B62" w:rsidRDefault="001D6638" w:rsidP="001A35F7">
      <w:pPr>
        <w:spacing w:after="200"/>
        <w:rPr>
          <w:rFonts w:asciiTheme="minorHAnsi" w:hAnsiTheme="minorHAnsi" w:cstheme="minorHAnsi"/>
          <w:sz w:val="22"/>
          <w:szCs w:val="24"/>
        </w:rPr>
      </w:pPr>
      <w:r w:rsidRPr="00AD3B62">
        <w:rPr>
          <w:rFonts w:asciiTheme="minorHAnsi" w:hAnsiTheme="minorHAnsi" w:cstheme="minorHAnsi"/>
          <w:sz w:val="22"/>
          <w:szCs w:val="24"/>
        </w:rPr>
        <w:t>The image</w:t>
      </w:r>
      <w:r w:rsidR="00257A93">
        <w:rPr>
          <w:rFonts w:asciiTheme="minorHAnsi" w:hAnsiTheme="minorHAnsi" w:cstheme="minorHAnsi"/>
          <w:sz w:val="22"/>
          <w:szCs w:val="24"/>
        </w:rPr>
        <w:t xml:space="preserve"> on the right</w:t>
      </w:r>
      <w:r w:rsidRPr="00AD3B62">
        <w:rPr>
          <w:rFonts w:asciiTheme="minorHAnsi" w:hAnsiTheme="minorHAnsi" w:cstheme="minorHAnsi"/>
          <w:sz w:val="22"/>
          <w:szCs w:val="24"/>
        </w:rPr>
        <w:t xml:space="preserve"> represents how the GBV Regulator considers the likelihood and consequence of non-compliance to determine a higher education provider’s risk profile and the consequential prioritisation of resources. Further guidance on how risk and non-compliance is assessed provided in Appendix 1. </w:t>
      </w:r>
    </w:p>
    <w:p w14:paraId="70A24DE4" w14:textId="464B07CE" w:rsidR="00BE7490" w:rsidRPr="00AD3B62" w:rsidRDefault="001D6638" w:rsidP="001A35F7">
      <w:pPr>
        <w:spacing w:after="200"/>
        <w:rPr>
          <w:rFonts w:asciiTheme="minorHAnsi" w:hAnsiTheme="minorHAnsi" w:cstheme="minorHAnsi"/>
          <w:sz w:val="22"/>
          <w:szCs w:val="24"/>
        </w:rPr>
      </w:pPr>
      <w:r w:rsidRPr="00AD3B62">
        <w:rPr>
          <w:rFonts w:asciiTheme="minorHAnsi" w:hAnsiTheme="minorHAnsi" w:cstheme="minorHAnsi"/>
          <w:sz w:val="22"/>
          <w:szCs w:val="24"/>
        </w:rPr>
        <w:t>This approach shapes how the GBV Regulator carries out its compliance and enforcement activities.</w:t>
      </w:r>
    </w:p>
    <w:p w14:paraId="42B4BEB6" w14:textId="0FA67EBC" w:rsidR="001D6638" w:rsidRPr="00AD3B62" w:rsidRDefault="001D6638" w:rsidP="006E5978">
      <w:pPr>
        <w:pStyle w:val="Heading2"/>
      </w:pPr>
      <w:bookmarkStart w:id="17" w:name="_Toc215493947"/>
      <w:r w:rsidRPr="00AD3B62">
        <w:t>Early regulatory focus: Recognising regulatory and compliance maturity</w:t>
      </w:r>
      <w:bookmarkEnd w:id="17"/>
      <w:r w:rsidRPr="00AD3B62">
        <w:t xml:space="preserve"> </w:t>
      </w:r>
    </w:p>
    <w:p w14:paraId="2B052D13" w14:textId="77777777" w:rsidR="001D6638" w:rsidRPr="00AD3B62" w:rsidRDefault="001D6638" w:rsidP="001D6638">
      <w:pPr>
        <w:rPr>
          <w:rFonts w:asciiTheme="minorHAnsi" w:hAnsiTheme="minorHAnsi" w:cstheme="minorHAnsi"/>
          <w:sz w:val="22"/>
          <w:szCs w:val="24"/>
        </w:rPr>
      </w:pPr>
      <w:r w:rsidRPr="00AD3B62">
        <w:rPr>
          <w:rFonts w:asciiTheme="minorHAnsi" w:hAnsiTheme="minorHAnsi" w:cstheme="minorHAnsi"/>
          <w:sz w:val="22"/>
          <w:szCs w:val="24"/>
        </w:rPr>
        <w:t>As set out in the regulatory principles of collaborative and continuous improvement, the GBV Regulator acknowledges the diversity of the higher education sector and that both the GBV Regulator and the sector are in the early stages of implementing the National Code, which is a newly regulated environment where capability is still maturing.</w:t>
      </w:r>
    </w:p>
    <w:p w14:paraId="009F0D65" w14:textId="77777777" w:rsidR="001D6638" w:rsidRPr="00AD3B62" w:rsidRDefault="001D6638" w:rsidP="001D6638">
      <w:pPr>
        <w:rPr>
          <w:rFonts w:asciiTheme="minorHAnsi" w:hAnsiTheme="minorHAnsi" w:cstheme="minorHAnsi"/>
          <w:sz w:val="22"/>
          <w:szCs w:val="24"/>
        </w:rPr>
      </w:pPr>
      <w:r w:rsidRPr="00AD3B62">
        <w:rPr>
          <w:rFonts w:asciiTheme="minorHAnsi" w:hAnsiTheme="minorHAnsi" w:cstheme="minorHAnsi"/>
          <w:sz w:val="22"/>
          <w:szCs w:val="24"/>
        </w:rPr>
        <w:t>To reflect this unique context, the GBV Regulator has an early regulatory focus on:</w:t>
      </w:r>
    </w:p>
    <w:p w14:paraId="1DAED8BB" w14:textId="77777777" w:rsidR="001D6638" w:rsidRPr="00AD3B62" w:rsidRDefault="001D6638" w:rsidP="001D6638">
      <w:pPr>
        <w:pStyle w:val="ListBullet"/>
        <w:rPr>
          <w:rFonts w:asciiTheme="minorHAnsi" w:hAnsiTheme="minorHAnsi" w:cstheme="minorHAnsi"/>
          <w:sz w:val="22"/>
          <w:szCs w:val="24"/>
        </w:rPr>
      </w:pPr>
      <w:r w:rsidRPr="00AD3B62">
        <w:rPr>
          <w:rFonts w:asciiTheme="minorHAnsi" w:hAnsiTheme="minorHAnsi" w:cstheme="minorHAnsi"/>
          <w:sz w:val="22"/>
          <w:szCs w:val="24"/>
        </w:rPr>
        <w:t>Education and engagement to build higher education providers’ understanding and implementation of their requirements.</w:t>
      </w:r>
    </w:p>
    <w:p w14:paraId="66E70928" w14:textId="77777777" w:rsidR="001D6638" w:rsidRPr="00AD3B62" w:rsidRDefault="001D6638" w:rsidP="001D6638">
      <w:pPr>
        <w:pStyle w:val="ListBullet"/>
        <w:rPr>
          <w:rFonts w:asciiTheme="minorHAnsi" w:hAnsiTheme="minorHAnsi" w:cstheme="minorHAnsi"/>
          <w:sz w:val="22"/>
          <w:szCs w:val="24"/>
        </w:rPr>
      </w:pPr>
      <w:r w:rsidRPr="00AD3B62">
        <w:rPr>
          <w:rFonts w:asciiTheme="minorHAnsi" w:hAnsiTheme="minorHAnsi" w:cstheme="minorHAnsi"/>
          <w:sz w:val="22"/>
          <w:szCs w:val="24"/>
        </w:rPr>
        <w:t>Supporting voluntary compliance through guidance, templates, and capability-building.</w:t>
      </w:r>
    </w:p>
    <w:p w14:paraId="620EC0B9" w14:textId="77777777" w:rsidR="001D6638" w:rsidRPr="00AD3B62" w:rsidRDefault="001D6638" w:rsidP="001D6638">
      <w:pPr>
        <w:pStyle w:val="ListBullet"/>
        <w:rPr>
          <w:rFonts w:asciiTheme="minorHAnsi" w:hAnsiTheme="minorHAnsi" w:cstheme="minorHAnsi"/>
          <w:sz w:val="22"/>
          <w:szCs w:val="24"/>
        </w:rPr>
      </w:pPr>
      <w:r w:rsidRPr="00AD3B62">
        <w:rPr>
          <w:rFonts w:asciiTheme="minorHAnsi" w:hAnsiTheme="minorHAnsi" w:cstheme="minorHAnsi"/>
          <w:sz w:val="22"/>
          <w:szCs w:val="24"/>
        </w:rPr>
        <w:t>Identifying systemic gaps and promoting continuous improvement.</w:t>
      </w:r>
    </w:p>
    <w:p w14:paraId="5A3664E3" w14:textId="32181C9F" w:rsidR="001D6638" w:rsidRPr="00AD3B62" w:rsidRDefault="001D6638" w:rsidP="001D6638">
      <w:pPr>
        <w:pStyle w:val="ListBullet"/>
        <w:rPr>
          <w:rFonts w:asciiTheme="minorHAnsi" w:hAnsiTheme="minorHAnsi" w:cstheme="minorHAnsi"/>
          <w:sz w:val="22"/>
          <w:szCs w:val="24"/>
        </w:rPr>
      </w:pPr>
      <w:r w:rsidRPr="00AD3B62">
        <w:rPr>
          <w:rFonts w:asciiTheme="minorHAnsi" w:hAnsiTheme="minorHAnsi" w:cstheme="minorHAnsi"/>
          <w:sz w:val="22"/>
          <w:szCs w:val="24"/>
        </w:rPr>
        <w:t xml:space="preserve">Taking proportionate and necessary regulatory action where required. </w:t>
      </w:r>
    </w:p>
    <w:p w14:paraId="73C938E5" w14:textId="77777777" w:rsidR="001D6638" w:rsidRPr="00AD3B62" w:rsidRDefault="001D6638" w:rsidP="001D6638">
      <w:pPr>
        <w:rPr>
          <w:rFonts w:asciiTheme="minorHAnsi" w:hAnsiTheme="minorHAnsi" w:cstheme="minorHAnsi"/>
          <w:sz w:val="22"/>
          <w:szCs w:val="24"/>
        </w:rPr>
      </w:pPr>
      <w:r w:rsidRPr="00AD3B62">
        <w:rPr>
          <w:rFonts w:asciiTheme="minorHAnsi" w:hAnsiTheme="minorHAnsi" w:cstheme="minorHAnsi"/>
          <w:sz w:val="22"/>
          <w:szCs w:val="24"/>
        </w:rPr>
        <w:t xml:space="preserve">In line with this, the GBV Regulator expects higher education providers to take proactive steps to review and strengthen their organisational systems and practices to drive structural change. Higher education providers should focus on whether their processes and resources practically support victim-survivors, uphold their dignity, and minimise the risk of re-traumatisation. </w:t>
      </w:r>
    </w:p>
    <w:p w14:paraId="5150B1EB" w14:textId="4D028F22" w:rsidR="008971A5" w:rsidRPr="00AD3B62" w:rsidRDefault="001D6638" w:rsidP="004276F6">
      <w:pPr>
        <w:rPr>
          <w:rFonts w:asciiTheme="minorHAnsi" w:hAnsiTheme="minorHAnsi" w:cstheme="minorHAnsi"/>
          <w:sz w:val="22"/>
          <w:szCs w:val="24"/>
        </w:rPr>
      </w:pPr>
      <w:r w:rsidRPr="00AD3B62">
        <w:rPr>
          <w:rFonts w:asciiTheme="minorHAnsi" w:hAnsiTheme="minorHAnsi" w:cstheme="minorHAnsi"/>
          <w:sz w:val="22"/>
          <w:szCs w:val="24"/>
        </w:rPr>
        <w:t xml:space="preserve">While the GBV Regulator operates within this early regulatory focus, proportionate and necessary compliance and enforcement action can be taken by the GBV Regulator depending on its assessment of risk. </w:t>
      </w:r>
      <w:r w:rsidR="00875041">
        <w:rPr>
          <w:rFonts w:asciiTheme="minorHAnsi" w:hAnsiTheme="minorHAnsi" w:cstheme="minorHAnsi"/>
          <w:sz w:val="22"/>
          <w:szCs w:val="24"/>
        </w:rPr>
        <w:t xml:space="preserve"> </w:t>
      </w:r>
      <w:r w:rsidR="00E07A24">
        <w:rPr>
          <w:rFonts w:asciiTheme="minorHAnsi" w:hAnsiTheme="minorHAnsi" w:cstheme="minorHAnsi"/>
          <w:sz w:val="22"/>
          <w:szCs w:val="24"/>
        </w:rPr>
        <w:br/>
      </w:r>
      <w:r w:rsidR="00875041">
        <w:rPr>
          <w:rFonts w:asciiTheme="minorHAnsi" w:hAnsiTheme="minorHAnsi" w:cstheme="minorHAnsi"/>
          <w:sz w:val="22"/>
          <w:szCs w:val="24"/>
        </w:rPr>
        <w:br/>
      </w:r>
      <w:r w:rsidRPr="00AD3B62">
        <w:rPr>
          <w:rFonts w:asciiTheme="minorHAnsi" w:hAnsiTheme="minorHAnsi" w:cstheme="minorHAnsi"/>
          <w:sz w:val="22"/>
          <w:szCs w:val="24"/>
        </w:rPr>
        <w:t>The GBV Regulator’s expectations of the sector will increase in line with sector maturity and as the National Code’s implementation is progressed.</w:t>
      </w:r>
    </w:p>
    <w:p w14:paraId="347CFC77" w14:textId="35620481" w:rsidR="00CB158B" w:rsidRPr="00AD3B62" w:rsidRDefault="001D6638" w:rsidP="00875041">
      <w:pPr>
        <w:pStyle w:val="Heading1"/>
        <w:spacing w:before="0" w:after="240" w:line="240" w:lineRule="auto"/>
        <w:ind w:left="431" w:hanging="431"/>
        <w:rPr>
          <w:rFonts w:asciiTheme="minorHAnsi" w:hAnsiTheme="minorHAnsi" w:cstheme="minorHAnsi"/>
          <w:color w:val="49255F"/>
        </w:rPr>
      </w:pPr>
      <w:bookmarkStart w:id="18" w:name="_Toc215493948"/>
      <w:r w:rsidRPr="00AD3B62">
        <w:rPr>
          <w:rFonts w:asciiTheme="minorHAnsi" w:hAnsiTheme="minorHAnsi" w:cstheme="minorHAnsi"/>
          <w:color w:val="49255F"/>
        </w:rPr>
        <w:lastRenderedPageBreak/>
        <w:t>H</w:t>
      </w:r>
      <w:r w:rsidR="00DE77C7" w:rsidRPr="00AD3B62">
        <w:rPr>
          <w:rFonts w:asciiTheme="minorHAnsi" w:hAnsiTheme="minorHAnsi" w:cstheme="minorHAnsi"/>
          <w:color w:val="49255F"/>
        </w:rPr>
        <w:t>o</w:t>
      </w:r>
      <w:r w:rsidRPr="00AD3B62">
        <w:rPr>
          <w:rFonts w:asciiTheme="minorHAnsi" w:hAnsiTheme="minorHAnsi" w:cstheme="minorHAnsi"/>
          <w:color w:val="49255F"/>
        </w:rPr>
        <w:t>w information informs the regulatory approach</w:t>
      </w:r>
      <w:bookmarkEnd w:id="18"/>
    </w:p>
    <w:p w14:paraId="32CC4BCF" w14:textId="77777777" w:rsidR="001D6638" w:rsidRPr="00AD3B62" w:rsidRDefault="001D6638" w:rsidP="003A1A4B">
      <w:pPr>
        <w:rPr>
          <w:rFonts w:asciiTheme="minorHAnsi" w:hAnsiTheme="minorHAnsi" w:cstheme="minorHAnsi"/>
          <w:sz w:val="22"/>
          <w:szCs w:val="24"/>
        </w:rPr>
      </w:pPr>
      <w:r w:rsidRPr="00AD3B62">
        <w:rPr>
          <w:rFonts w:asciiTheme="minorHAnsi" w:hAnsiTheme="minorHAnsi" w:cstheme="minorHAnsi"/>
          <w:sz w:val="22"/>
          <w:szCs w:val="24"/>
        </w:rPr>
        <w:t xml:space="preserve">As set out in the regulatory principles of proportionate and risk-based, evidence and outcomes-driven, and transparent and accountable, the GBV Regulator uses data and intelligence, information requests and its monitoring and investigation powers to identify systemic or provider-specific risks, inform its regulatory activities and determine whether to take compliance and enforcement action.  </w:t>
      </w:r>
    </w:p>
    <w:p w14:paraId="628508C2" w14:textId="542BAD80" w:rsidR="001D6638" w:rsidRPr="00AD3B62" w:rsidRDefault="00AF06F8" w:rsidP="006E5978">
      <w:pPr>
        <w:pStyle w:val="Heading2"/>
      </w:pPr>
      <w:bookmarkStart w:id="19" w:name="_Toc215493949"/>
      <w:r w:rsidRPr="00AD3B62">
        <w:t xml:space="preserve"> </w:t>
      </w:r>
      <w:r w:rsidR="001D6638" w:rsidRPr="00AD3B62">
        <w:t>Data, evidence and intelligence</w:t>
      </w:r>
      <w:bookmarkEnd w:id="19"/>
    </w:p>
    <w:p w14:paraId="24ADDC09" w14:textId="77777777" w:rsidR="001D6638" w:rsidRPr="00AD3B62" w:rsidRDefault="001D6638" w:rsidP="001D6638">
      <w:pPr>
        <w:rPr>
          <w:rFonts w:asciiTheme="minorHAnsi" w:hAnsiTheme="minorHAnsi" w:cstheme="minorHAnsi"/>
          <w:sz w:val="22"/>
          <w:szCs w:val="24"/>
        </w:rPr>
      </w:pPr>
      <w:r w:rsidRPr="00AD3B62">
        <w:rPr>
          <w:rFonts w:asciiTheme="minorHAnsi" w:hAnsiTheme="minorHAnsi" w:cstheme="minorHAnsi"/>
          <w:sz w:val="22"/>
          <w:szCs w:val="24"/>
        </w:rPr>
        <w:t xml:space="preserve">The GBV Regulator uses both proactive and reactive measures. </w:t>
      </w:r>
    </w:p>
    <w:p w14:paraId="3CDF0BC7" w14:textId="77777777" w:rsidR="001D6638" w:rsidRPr="00AD3B62" w:rsidRDefault="001D6638" w:rsidP="001D6638">
      <w:pPr>
        <w:rPr>
          <w:rFonts w:asciiTheme="minorHAnsi" w:hAnsiTheme="minorHAnsi" w:cstheme="minorHAnsi"/>
          <w:sz w:val="22"/>
          <w:szCs w:val="24"/>
        </w:rPr>
      </w:pPr>
      <w:r w:rsidRPr="00AD3B62">
        <w:rPr>
          <w:rFonts w:asciiTheme="minorHAnsi" w:hAnsiTheme="minorHAnsi" w:cstheme="minorHAnsi"/>
          <w:sz w:val="22"/>
          <w:szCs w:val="24"/>
        </w:rPr>
        <w:t xml:space="preserve">The National Code requires higher education providers to provide information and data to the GBV Regulator on a scheduled basis to assist it to assess whether providers are meeting their requirements under the National Code. </w:t>
      </w:r>
    </w:p>
    <w:p w14:paraId="53D3A835" w14:textId="77777777" w:rsidR="001D6638" w:rsidRPr="00AD3B62" w:rsidRDefault="001D6638" w:rsidP="001D6638">
      <w:pPr>
        <w:rPr>
          <w:rFonts w:asciiTheme="minorHAnsi" w:hAnsiTheme="minorHAnsi" w:cstheme="minorHAnsi"/>
          <w:sz w:val="22"/>
          <w:szCs w:val="24"/>
        </w:rPr>
      </w:pPr>
      <w:r w:rsidRPr="00AD3B62">
        <w:rPr>
          <w:rFonts w:asciiTheme="minorHAnsi" w:hAnsiTheme="minorHAnsi" w:cstheme="minorHAnsi"/>
          <w:sz w:val="22"/>
          <w:szCs w:val="24"/>
        </w:rPr>
        <w:t xml:space="preserve">These proactive monitoring activities are designed to verify compliance, identify risks early and support continuous improvement across the sector forming part of the routine assurance program. </w:t>
      </w:r>
    </w:p>
    <w:p w14:paraId="7B58F6B6" w14:textId="77777777" w:rsidR="001D6638" w:rsidRPr="00AD3B62" w:rsidRDefault="001D6638" w:rsidP="001D6638">
      <w:pPr>
        <w:rPr>
          <w:rFonts w:asciiTheme="minorHAnsi" w:hAnsiTheme="minorHAnsi" w:cstheme="minorHAnsi"/>
          <w:sz w:val="22"/>
          <w:szCs w:val="24"/>
        </w:rPr>
      </w:pPr>
      <w:r w:rsidRPr="00AD3B62">
        <w:rPr>
          <w:rFonts w:asciiTheme="minorHAnsi" w:hAnsiTheme="minorHAnsi" w:cstheme="minorHAnsi"/>
          <w:sz w:val="22"/>
          <w:szCs w:val="24"/>
        </w:rPr>
        <w:t>Proactive monitoring activities include:</w:t>
      </w:r>
    </w:p>
    <w:p w14:paraId="01E51EF4" w14:textId="77777777" w:rsidR="001D6638" w:rsidRPr="00AD3B62" w:rsidRDefault="001D6638" w:rsidP="001D6638">
      <w:pPr>
        <w:pStyle w:val="ListBullet"/>
        <w:rPr>
          <w:rFonts w:asciiTheme="minorHAnsi" w:hAnsiTheme="minorHAnsi" w:cstheme="minorHAnsi"/>
          <w:sz w:val="22"/>
          <w:szCs w:val="24"/>
        </w:rPr>
      </w:pPr>
      <w:r w:rsidRPr="00AD3B62">
        <w:rPr>
          <w:rFonts w:asciiTheme="minorHAnsi" w:hAnsiTheme="minorHAnsi" w:cstheme="minorHAnsi"/>
          <w:b/>
          <w:bCs/>
          <w:sz w:val="22"/>
          <w:szCs w:val="24"/>
        </w:rPr>
        <w:t>Whole-of-Organisation Prevention and Response Plans and Outcomes Framework</w:t>
      </w:r>
      <w:r w:rsidRPr="00AD3B62">
        <w:rPr>
          <w:rFonts w:asciiTheme="minorHAnsi" w:hAnsiTheme="minorHAnsi" w:cstheme="minorHAnsi"/>
          <w:sz w:val="22"/>
          <w:szCs w:val="24"/>
        </w:rPr>
        <w:t xml:space="preserve"> (Standard 1.8) (required to be submitted by providers on the initial reporting date, and every four years thereafter).</w:t>
      </w:r>
    </w:p>
    <w:p w14:paraId="7B6E2448" w14:textId="77777777" w:rsidR="001D6638" w:rsidRPr="00AD3B62" w:rsidRDefault="001D6638" w:rsidP="001D6638">
      <w:pPr>
        <w:pStyle w:val="ListBullet"/>
        <w:rPr>
          <w:rFonts w:asciiTheme="minorHAnsi" w:hAnsiTheme="minorHAnsi" w:cstheme="minorHAnsi"/>
          <w:sz w:val="22"/>
          <w:szCs w:val="24"/>
        </w:rPr>
      </w:pPr>
      <w:r w:rsidRPr="00AD3B62">
        <w:rPr>
          <w:rFonts w:asciiTheme="minorHAnsi" w:hAnsiTheme="minorHAnsi" w:cstheme="minorHAnsi"/>
          <w:b/>
          <w:bCs/>
          <w:sz w:val="22"/>
          <w:szCs w:val="24"/>
        </w:rPr>
        <w:t>Whole-of-Organisation Prevention and Response Plan</w:t>
      </w:r>
      <w:r w:rsidRPr="00AD3B62">
        <w:rPr>
          <w:rFonts w:asciiTheme="minorHAnsi" w:hAnsiTheme="minorHAnsi" w:cstheme="minorHAnsi"/>
          <w:sz w:val="22"/>
          <w:szCs w:val="24"/>
        </w:rPr>
        <w:t xml:space="preserve"> (Standard 1.10) (required to be submitted every two years, commencing after the initial reporting date).</w:t>
      </w:r>
    </w:p>
    <w:p w14:paraId="5CC2A3E1" w14:textId="1EC15F35" w:rsidR="001D6638" w:rsidRPr="00AD3B62" w:rsidRDefault="001D6638" w:rsidP="001D6638">
      <w:pPr>
        <w:pStyle w:val="ListBullet"/>
        <w:rPr>
          <w:rFonts w:asciiTheme="minorHAnsi" w:hAnsiTheme="minorHAnsi" w:cstheme="minorHAnsi"/>
          <w:sz w:val="22"/>
          <w:szCs w:val="24"/>
        </w:rPr>
      </w:pPr>
      <w:r w:rsidRPr="00AD3B62">
        <w:rPr>
          <w:rFonts w:asciiTheme="minorHAnsi" w:hAnsiTheme="minorHAnsi" w:cstheme="minorHAnsi"/>
          <w:b/>
          <w:bCs/>
          <w:sz w:val="22"/>
          <w:szCs w:val="24"/>
        </w:rPr>
        <w:t>Provider Annual Reporting</w:t>
      </w:r>
      <w:r w:rsidRPr="00AD3B62">
        <w:rPr>
          <w:rFonts w:asciiTheme="minorHAnsi" w:hAnsiTheme="minorHAnsi" w:cstheme="minorHAnsi"/>
          <w:sz w:val="22"/>
          <w:szCs w:val="24"/>
        </w:rPr>
        <w:t xml:space="preserve"> (Standard 6) (provided annually on 30 June, commencing 30 June 2027 for Table A and B higher education providers and 30 June 2028 for all other providers).</w:t>
      </w:r>
    </w:p>
    <w:p w14:paraId="3215DDDC" w14:textId="77777777" w:rsidR="001D6638" w:rsidRPr="00AD3B62" w:rsidRDefault="001D6638" w:rsidP="001D6638">
      <w:pPr>
        <w:rPr>
          <w:rFonts w:asciiTheme="minorHAnsi" w:hAnsiTheme="minorHAnsi" w:cstheme="minorHAnsi"/>
          <w:sz w:val="22"/>
          <w:szCs w:val="24"/>
        </w:rPr>
      </w:pPr>
      <w:r w:rsidRPr="00AD3B62">
        <w:rPr>
          <w:rFonts w:asciiTheme="minorHAnsi" w:hAnsiTheme="minorHAnsi" w:cstheme="minorHAnsi"/>
          <w:sz w:val="22"/>
          <w:szCs w:val="24"/>
        </w:rPr>
        <w:t xml:space="preserve">The GBV Regulator also undertakes reactive compliance and enforcement action where data or other intelligence outside its general monitoring requirements indicates there is reason to believe a higher education provider may not be meeting its requirements under the National Code. </w:t>
      </w:r>
    </w:p>
    <w:p w14:paraId="0BED02B6" w14:textId="77777777" w:rsidR="001D6638" w:rsidRPr="00AD3B62" w:rsidRDefault="001D6638" w:rsidP="001D6638">
      <w:pPr>
        <w:rPr>
          <w:rFonts w:asciiTheme="minorHAnsi" w:hAnsiTheme="minorHAnsi" w:cstheme="minorHAnsi"/>
          <w:sz w:val="22"/>
          <w:szCs w:val="24"/>
        </w:rPr>
      </w:pPr>
      <w:r w:rsidRPr="00AD3B62">
        <w:rPr>
          <w:rFonts w:asciiTheme="minorHAnsi" w:hAnsiTheme="minorHAnsi" w:cstheme="minorHAnsi"/>
          <w:sz w:val="22"/>
          <w:szCs w:val="24"/>
        </w:rPr>
        <w:t xml:space="preserve">Reactive compliance is used to verify suspected non-compliance, assess risk and determine whether further action is required. It enables the GBV Regulator to respond proportionately to emerging risks and ensure accountability where harm may have occurred or is likely to occur. </w:t>
      </w:r>
    </w:p>
    <w:p w14:paraId="1E8DC607" w14:textId="77777777" w:rsidR="001D6638" w:rsidRPr="00AD3B62" w:rsidRDefault="001D6638" w:rsidP="001D6638">
      <w:pPr>
        <w:rPr>
          <w:rFonts w:asciiTheme="minorHAnsi" w:hAnsiTheme="minorHAnsi" w:cstheme="minorHAnsi"/>
          <w:sz w:val="22"/>
          <w:szCs w:val="24"/>
        </w:rPr>
      </w:pPr>
      <w:r w:rsidRPr="00AD3B62">
        <w:rPr>
          <w:rFonts w:asciiTheme="minorHAnsi" w:hAnsiTheme="minorHAnsi" w:cstheme="minorHAnsi"/>
          <w:sz w:val="22"/>
          <w:szCs w:val="24"/>
        </w:rPr>
        <w:t>Triggers for reactive compliance include:</w:t>
      </w:r>
    </w:p>
    <w:p w14:paraId="105AB395" w14:textId="77777777" w:rsidR="001D6638" w:rsidRPr="00AD3B62" w:rsidRDefault="001D6638" w:rsidP="001D6638">
      <w:pPr>
        <w:pStyle w:val="ListBullet"/>
        <w:rPr>
          <w:rFonts w:asciiTheme="minorHAnsi" w:hAnsiTheme="minorHAnsi" w:cstheme="minorHAnsi"/>
          <w:sz w:val="22"/>
          <w:szCs w:val="24"/>
        </w:rPr>
      </w:pPr>
      <w:r w:rsidRPr="00AD3B62">
        <w:rPr>
          <w:rFonts w:asciiTheme="minorHAnsi" w:hAnsiTheme="minorHAnsi" w:cstheme="minorHAnsi"/>
          <w:sz w:val="22"/>
          <w:szCs w:val="24"/>
        </w:rPr>
        <w:t>Complaints or disclosures from students or staff.</w:t>
      </w:r>
    </w:p>
    <w:p w14:paraId="19482440" w14:textId="77777777" w:rsidR="001D6638" w:rsidRPr="00AD3B62" w:rsidRDefault="001D6638" w:rsidP="001D6638">
      <w:pPr>
        <w:pStyle w:val="ListBullet"/>
        <w:rPr>
          <w:rFonts w:asciiTheme="minorHAnsi" w:hAnsiTheme="minorHAnsi" w:cstheme="minorHAnsi"/>
          <w:sz w:val="22"/>
          <w:szCs w:val="24"/>
        </w:rPr>
      </w:pPr>
      <w:r w:rsidRPr="00AD3B62">
        <w:rPr>
          <w:rFonts w:asciiTheme="minorHAnsi" w:hAnsiTheme="minorHAnsi" w:cstheme="minorHAnsi"/>
          <w:sz w:val="22"/>
          <w:szCs w:val="24"/>
        </w:rPr>
        <w:t>Referrals from co-regulators or oversight bodies.</w:t>
      </w:r>
    </w:p>
    <w:p w14:paraId="38ACBA36" w14:textId="77777777" w:rsidR="001D6638" w:rsidRPr="00AD3B62" w:rsidRDefault="001D6638" w:rsidP="001D6638">
      <w:pPr>
        <w:pStyle w:val="ListBullet"/>
        <w:rPr>
          <w:rFonts w:asciiTheme="minorHAnsi" w:hAnsiTheme="minorHAnsi" w:cstheme="minorHAnsi"/>
          <w:sz w:val="22"/>
          <w:szCs w:val="24"/>
        </w:rPr>
      </w:pPr>
      <w:r w:rsidRPr="00AD3B62">
        <w:rPr>
          <w:rFonts w:asciiTheme="minorHAnsi" w:hAnsiTheme="minorHAnsi" w:cstheme="minorHAnsi"/>
          <w:sz w:val="22"/>
          <w:szCs w:val="24"/>
        </w:rPr>
        <w:t>Media reports or public concern.</w:t>
      </w:r>
    </w:p>
    <w:p w14:paraId="3B96F9CB" w14:textId="77777777" w:rsidR="001D6638" w:rsidRPr="00AD3B62" w:rsidRDefault="001D6638" w:rsidP="001D6638">
      <w:pPr>
        <w:pStyle w:val="ListBullet"/>
        <w:rPr>
          <w:rFonts w:asciiTheme="minorHAnsi" w:hAnsiTheme="minorHAnsi" w:cstheme="minorHAnsi"/>
          <w:sz w:val="22"/>
          <w:szCs w:val="24"/>
        </w:rPr>
      </w:pPr>
      <w:r w:rsidRPr="00AD3B62">
        <w:rPr>
          <w:rFonts w:asciiTheme="minorHAnsi" w:hAnsiTheme="minorHAnsi" w:cstheme="minorHAnsi"/>
          <w:sz w:val="22"/>
          <w:szCs w:val="24"/>
        </w:rPr>
        <w:t>Data and unexplained trends.</w:t>
      </w:r>
    </w:p>
    <w:p w14:paraId="720323C8" w14:textId="32247486" w:rsidR="001D6638" w:rsidRPr="00AD3B62" w:rsidRDefault="001D6638" w:rsidP="001D6638">
      <w:pPr>
        <w:pStyle w:val="ListBullet"/>
        <w:rPr>
          <w:rFonts w:asciiTheme="minorHAnsi" w:hAnsiTheme="minorHAnsi" w:cstheme="minorHAnsi"/>
          <w:sz w:val="22"/>
          <w:szCs w:val="24"/>
        </w:rPr>
      </w:pPr>
      <w:r w:rsidRPr="00AD3B62">
        <w:rPr>
          <w:rFonts w:asciiTheme="minorHAnsi" w:hAnsiTheme="minorHAnsi" w:cstheme="minorHAnsi"/>
          <w:sz w:val="22"/>
          <w:szCs w:val="24"/>
        </w:rPr>
        <w:t>Provider self-reporting of non-compliance.</w:t>
      </w:r>
    </w:p>
    <w:p w14:paraId="7D809807" w14:textId="0F36A02F" w:rsidR="001D6638" w:rsidRPr="00AD3B62" w:rsidRDefault="008F1B55" w:rsidP="006E5978">
      <w:pPr>
        <w:pStyle w:val="Heading2"/>
      </w:pPr>
      <w:bookmarkStart w:id="20" w:name="_Toc215493950"/>
      <w:r w:rsidRPr="00AD3B62">
        <w:lastRenderedPageBreak/>
        <w:t xml:space="preserve"> </w:t>
      </w:r>
      <w:r w:rsidR="001D6638" w:rsidRPr="00AD3B62">
        <w:t>Information requests</w:t>
      </w:r>
      <w:bookmarkEnd w:id="20"/>
    </w:p>
    <w:p w14:paraId="495545CB" w14:textId="77777777" w:rsidR="001D6638" w:rsidRPr="00AD3B62" w:rsidRDefault="001D6638" w:rsidP="001D6638">
      <w:pPr>
        <w:rPr>
          <w:rFonts w:asciiTheme="minorHAnsi" w:hAnsiTheme="minorHAnsi" w:cstheme="minorHAnsi"/>
          <w:sz w:val="22"/>
          <w:szCs w:val="24"/>
        </w:rPr>
      </w:pPr>
      <w:r w:rsidRPr="00AD3B62">
        <w:rPr>
          <w:rFonts w:asciiTheme="minorHAnsi" w:hAnsiTheme="minorHAnsi" w:cstheme="minorHAnsi"/>
          <w:sz w:val="22"/>
          <w:szCs w:val="24"/>
        </w:rPr>
        <w:t xml:space="preserve">The GBV Regulator has powers to require higher education providers to supply documents and information to support monitoring, compliance and enforcement activities. </w:t>
      </w:r>
    </w:p>
    <w:p w14:paraId="67636352" w14:textId="77777777" w:rsidR="001D6638" w:rsidRPr="00AD3B62" w:rsidRDefault="001D6638" w:rsidP="001D6638">
      <w:pPr>
        <w:rPr>
          <w:rFonts w:asciiTheme="minorHAnsi" w:hAnsiTheme="minorHAnsi" w:cstheme="minorHAnsi"/>
          <w:sz w:val="22"/>
          <w:szCs w:val="24"/>
        </w:rPr>
      </w:pPr>
      <w:r w:rsidRPr="00AD3B62">
        <w:rPr>
          <w:rFonts w:asciiTheme="minorHAnsi" w:hAnsiTheme="minorHAnsi" w:cstheme="minorHAnsi"/>
          <w:sz w:val="22"/>
          <w:szCs w:val="24"/>
        </w:rPr>
        <w:t xml:space="preserve">Information requests may be made in relation to reactive compliance and triggers listed above in Section 2.1: Data, evidence and intelligence.   </w:t>
      </w:r>
    </w:p>
    <w:p w14:paraId="6AE6342D" w14:textId="55D5A2A6" w:rsidR="001D6638" w:rsidRPr="00AD3B62" w:rsidRDefault="008F1B55" w:rsidP="006E5978">
      <w:pPr>
        <w:pStyle w:val="Heading2"/>
      </w:pPr>
      <w:bookmarkStart w:id="21" w:name="_Toc215493951"/>
      <w:r w:rsidRPr="00AD3B62">
        <w:t xml:space="preserve"> </w:t>
      </w:r>
      <w:r w:rsidR="001D6638" w:rsidRPr="00AD3B62">
        <w:t>Use of monitoring and investigation powers</w:t>
      </w:r>
      <w:bookmarkEnd w:id="21"/>
    </w:p>
    <w:p w14:paraId="1C6C9810" w14:textId="77777777" w:rsidR="001D6638" w:rsidRPr="00AD3B62" w:rsidRDefault="001D6638" w:rsidP="001D6638">
      <w:pPr>
        <w:rPr>
          <w:rFonts w:asciiTheme="minorHAnsi" w:hAnsiTheme="minorHAnsi" w:cstheme="minorHAnsi"/>
          <w:sz w:val="22"/>
          <w:szCs w:val="24"/>
        </w:rPr>
      </w:pPr>
      <w:r w:rsidRPr="00AD3B62">
        <w:rPr>
          <w:rFonts w:asciiTheme="minorHAnsi" w:hAnsiTheme="minorHAnsi" w:cstheme="minorHAnsi"/>
          <w:sz w:val="22"/>
          <w:szCs w:val="24"/>
        </w:rPr>
        <w:t xml:space="preserve">The GBV Regulator also exercises monitoring and investigation powers under the Act to verify compliance and respond to emerging risks. </w:t>
      </w:r>
    </w:p>
    <w:p w14:paraId="0D125F14" w14:textId="77777777" w:rsidR="001D6638" w:rsidRPr="00AD3B62" w:rsidRDefault="001D6638" w:rsidP="001D6638">
      <w:pPr>
        <w:rPr>
          <w:rFonts w:asciiTheme="minorHAnsi" w:hAnsiTheme="minorHAnsi" w:cstheme="minorHAnsi"/>
          <w:sz w:val="22"/>
          <w:szCs w:val="24"/>
        </w:rPr>
      </w:pPr>
      <w:r w:rsidRPr="00AD3B62">
        <w:rPr>
          <w:rFonts w:asciiTheme="minorHAnsi" w:hAnsiTheme="minorHAnsi" w:cstheme="minorHAnsi"/>
          <w:sz w:val="22"/>
          <w:szCs w:val="24"/>
        </w:rPr>
        <w:t xml:space="preserve">These powers include: </w:t>
      </w:r>
    </w:p>
    <w:p w14:paraId="665611A8" w14:textId="77777777" w:rsidR="001D6638" w:rsidRPr="00AD3B62" w:rsidRDefault="001D6638" w:rsidP="001D6638">
      <w:pPr>
        <w:pStyle w:val="ListBullet"/>
        <w:rPr>
          <w:rFonts w:asciiTheme="minorHAnsi" w:hAnsiTheme="minorHAnsi" w:cstheme="minorHAnsi"/>
          <w:sz w:val="22"/>
          <w:szCs w:val="24"/>
        </w:rPr>
      </w:pPr>
      <w:r w:rsidRPr="00AD3B62">
        <w:rPr>
          <w:rFonts w:asciiTheme="minorHAnsi" w:hAnsiTheme="minorHAnsi" w:cstheme="minorHAnsi"/>
          <w:sz w:val="22"/>
          <w:szCs w:val="24"/>
        </w:rPr>
        <w:t>Entry to premises (with consent or warrant) by Authorised Officers.</w:t>
      </w:r>
    </w:p>
    <w:p w14:paraId="40C879B7" w14:textId="77777777" w:rsidR="001D6638" w:rsidRPr="00AD3B62" w:rsidRDefault="001D6638" w:rsidP="001D6638">
      <w:pPr>
        <w:pStyle w:val="ListBullet"/>
        <w:rPr>
          <w:rFonts w:asciiTheme="minorHAnsi" w:hAnsiTheme="minorHAnsi" w:cstheme="minorHAnsi"/>
          <w:sz w:val="22"/>
          <w:szCs w:val="24"/>
        </w:rPr>
      </w:pPr>
      <w:r w:rsidRPr="00AD3B62">
        <w:rPr>
          <w:rFonts w:asciiTheme="minorHAnsi" w:hAnsiTheme="minorHAnsi" w:cstheme="minorHAnsi"/>
          <w:sz w:val="22"/>
          <w:szCs w:val="24"/>
        </w:rPr>
        <w:t>Inspection of documents, systems and practices.</w:t>
      </w:r>
    </w:p>
    <w:p w14:paraId="7AAB7777" w14:textId="77777777" w:rsidR="001D6638" w:rsidRPr="00AD3B62" w:rsidRDefault="001D6638" w:rsidP="001D6638">
      <w:pPr>
        <w:pStyle w:val="ListBullet"/>
        <w:rPr>
          <w:rFonts w:asciiTheme="minorHAnsi" w:hAnsiTheme="minorHAnsi" w:cstheme="minorHAnsi"/>
          <w:sz w:val="22"/>
          <w:szCs w:val="24"/>
        </w:rPr>
      </w:pPr>
      <w:r w:rsidRPr="00AD3B62">
        <w:rPr>
          <w:rFonts w:asciiTheme="minorHAnsi" w:hAnsiTheme="minorHAnsi" w:cstheme="minorHAnsi"/>
          <w:sz w:val="22"/>
          <w:szCs w:val="24"/>
        </w:rPr>
        <w:t xml:space="preserve">Structured discussions with provider staff. </w:t>
      </w:r>
    </w:p>
    <w:p w14:paraId="4D02590C" w14:textId="0E056695" w:rsidR="00CB158B" w:rsidRPr="00AD3B62" w:rsidRDefault="001D6638" w:rsidP="001B396B">
      <w:pPr>
        <w:pStyle w:val="ListBullet"/>
        <w:rPr>
          <w:rFonts w:asciiTheme="minorHAnsi" w:hAnsiTheme="minorHAnsi" w:cstheme="minorHAnsi"/>
          <w:sz w:val="22"/>
          <w:szCs w:val="24"/>
        </w:rPr>
      </w:pPr>
      <w:r w:rsidRPr="00AD3B62">
        <w:rPr>
          <w:rFonts w:asciiTheme="minorHAnsi" w:hAnsiTheme="minorHAnsi" w:cstheme="minorHAnsi"/>
          <w:sz w:val="22"/>
          <w:szCs w:val="24"/>
        </w:rPr>
        <w:t>Collection of evidence relevant to compliance.</w:t>
      </w:r>
    </w:p>
    <w:p w14:paraId="35FAC6FB" w14:textId="77777777" w:rsidR="001B396B" w:rsidRPr="00AD3B62" w:rsidRDefault="001B396B" w:rsidP="001B396B">
      <w:pPr>
        <w:pStyle w:val="ListBullet"/>
        <w:numPr>
          <w:ilvl w:val="0"/>
          <w:numId w:val="0"/>
        </w:numPr>
        <w:ind w:left="360"/>
        <w:rPr>
          <w:rFonts w:asciiTheme="minorHAnsi" w:hAnsiTheme="minorHAnsi" w:cstheme="minorHAnsi"/>
          <w:sz w:val="22"/>
          <w:szCs w:val="24"/>
        </w:rPr>
      </w:pPr>
    </w:p>
    <w:p w14:paraId="3674FB3E" w14:textId="61DF33AA" w:rsidR="00CB158B" w:rsidRPr="00AD3B62" w:rsidRDefault="001D6638" w:rsidP="00E179F4">
      <w:pPr>
        <w:pStyle w:val="Heading1"/>
        <w:spacing w:before="0" w:after="240"/>
        <w:ind w:left="431" w:hanging="431"/>
        <w:rPr>
          <w:rFonts w:asciiTheme="minorHAnsi" w:hAnsiTheme="minorHAnsi" w:cstheme="minorHAnsi"/>
          <w:color w:val="49255F"/>
          <w:sz w:val="48"/>
          <w:szCs w:val="28"/>
        </w:rPr>
      </w:pPr>
      <w:bookmarkStart w:id="22" w:name="_Toc215493952"/>
      <w:r w:rsidRPr="00AD3B62">
        <w:rPr>
          <w:rFonts w:asciiTheme="minorHAnsi" w:hAnsiTheme="minorHAnsi" w:cstheme="minorHAnsi"/>
          <w:color w:val="49255F"/>
          <w:sz w:val="48"/>
          <w:szCs w:val="28"/>
        </w:rPr>
        <w:t>Approach to compliance and enforcement</w:t>
      </w:r>
      <w:bookmarkEnd w:id="22"/>
    </w:p>
    <w:p w14:paraId="567FC07D" w14:textId="16D29351" w:rsidR="004276F6" w:rsidRPr="00AD3B62" w:rsidRDefault="004276F6" w:rsidP="004276F6">
      <w:pPr>
        <w:rPr>
          <w:rFonts w:asciiTheme="minorHAnsi" w:hAnsiTheme="minorHAnsi" w:cstheme="minorHAnsi"/>
          <w:sz w:val="22"/>
          <w:szCs w:val="24"/>
        </w:rPr>
      </w:pPr>
      <w:r w:rsidRPr="00AD3B62">
        <w:rPr>
          <w:rFonts w:asciiTheme="minorHAnsi" w:hAnsiTheme="minorHAnsi" w:cstheme="minorHAnsi"/>
          <w:sz w:val="22"/>
          <w:szCs w:val="24"/>
        </w:rPr>
        <w:t xml:space="preserve">The GBV Regulator’s regulatory approach is set out in the </w:t>
      </w:r>
      <w:r w:rsidRPr="00875041">
        <w:rPr>
          <w:rStyle w:val="Hyperlink"/>
          <w:rFonts w:asciiTheme="minorHAnsi" w:hAnsiTheme="minorHAnsi" w:cstheme="minorHAnsi"/>
          <w:color w:val="000000" w:themeColor="text1"/>
          <w:sz w:val="22"/>
          <w:szCs w:val="24"/>
        </w:rPr>
        <w:t>Regulatory Statement</w:t>
      </w:r>
      <w:r w:rsidRPr="00875041">
        <w:rPr>
          <w:rFonts w:asciiTheme="minorHAnsi" w:hAnsiTheme="minorHAnsi" w:cstheme="minorHAnsi"/>
          <w:color w:val="000000" w:themeColor="text1"/>
          <w:sz w:val="22"/>
          <w:szCs w:val="24"/>
        </w:rPr>
        <w:t xml:space="preserve">, </w:t>
      </w:r>
      <w:r w:rsidRPr="00AD3B62">
        <w:rPr>
          <w:rFonts w:asciiTheme="minorHAnsi" w:hAnsiTheme="minorHAnsi" w:cstheme="minorHAnsi"/>
          <w:sz w:val="22"/>
          <w:szCs w:val="24"/>
        </w:rPr>
        <w:t>which includes the six regulatory principles outlined in Section 1.5.2.</w:t>
      </w:r>
      <w:r w:rsidR="00757EAF" w:rsidRPr="00AD3B62">
        <w:rPr>
          <w:rFonts w:asciiTheme="minorHAnsi" w:hAnsiTheme="minorHAnsi" w:cstheme="minorHAnsi"/>
          <w:sz w:val="22"/>
          <w:szCs w:val="24"/>
        </w:rPr>
        <w:t xml:space="preserve"> </w:t>
      </w:r>
      <w:r w:rsidRPr="00AD3B62">
        <w:rPr>
          <w:rFonts w:asciiTheme="minorHAnsi" w:hAnsiTheme="minorHAnsi" w:cstheme="minorHAnsi"/>
          <w:sz w:val="22"/>
          <w:szCs w:val="24"/>
        </w:rPr>
        <w:t xml:space="preserve">The GBV Regulator’s compliance and enforcement function is one part of this broader regulatory approach. </w:t>
      </w:r>
    </w:p>
    <w:p w14:paraId="41021D32" w14:textId="404A0E16" w:rsidR="004276F6" w:rsidRPr="00AD3B62" w:rsidRDefault="004276F6" w:rsidP="004276F6">
      <w:pPr>
        <w:rPr>
          <w:rFonts w:asciiTheme="minorHAnsi" w:hAnsiTheme="minorHAnsi" w:cstheme="minorHAnsi"/>
          <w:sz w:val="22"/>
          <w:szCs w:val="24"/>
        </w:rPr>
      </w:pPr>
      <w:r w:rsidRPr="00AD3B62">
        <w:rPr>
          <w:rFonts w:asciiTheme="minorHAnsi" w:hAnsiTheme="minorHAnsi" w:cstheme="minorHAnsi"/>
          <w:sz w:val="22"/>
          <w:szCs w:val="24"/>
        </w:rPr>
        <w:t>As set out in Section 1.6, the GBV Regulator uses a risk assessment to detect whether actions being undertaken by a higher education provider will create harm to higher education students and staff. Where non-compliance occurs, the regulatory response or remedy will depend on assessment of:</w:t>
      </w:r>
    </w:p>
    <w:p w14:paraId="206899E7" w14:textId="77777777" w:rsidR="004276F6" w:rsidRPr="00AD3B62" w:rsidRDefault="004276F6" w:rsidP="004276F6">
      <w:pPr>
        <w:pStyle w:val="ListBullet"/>
        <w:rPr>
          <w:rFonts w:asciiTheme="minorHAnsi" w:hAnsiTheme="minorHAnsi" w:cstheme="minorHAnsi"/>
          <w:sz w:val="22"/>
          <w:szCs w:val="24"/>
        </w:rPr>
      </w:pPr>
      <w:r w:rsidRPr="00AD3B62">
        <w:rPr>
          <w:rFonts w:asciiTheme="minorHAnsi" w:hAnsiTheme="minorHAnsi" w:cstheme="minorHAnsi"/>
          <w:b/>
          <w:bCs/>
          <w:sz w:val="22"/>
          <w:szCs w:val="24"/>
        </w:rPr>
        <w:t>Harm or risk of harm from non-compliance:</w:t>
      </w:r>
      <w:r w:rsidRPr="00AD3B62">
        <w:rPr>
          <w:rFonts w:asciiTheme="minorHAnsi" w:hAnsiTheme="minorHAnsi" w:cstheme="minorHAnsi"/>
          <w:sz w:val="22"/>
          <w:szCs w:val="24"/>
        </w:rPr>
        <w:t xml:space="preserve"> considering the likelihood, consequences, and severity of non-compliance (i.e. the harm or likely harm); and </w:t>
      </w:r>
    </w:p>
    <w:p w14:paraId="7FFC3BC8" w14:textId="35087476" w:rsidR="004276F6" w:rsidRPr="00AD3B62" w:rsidRDefault="004276F6" w:rsidP="004276F6">
      <w:pPr>
        <w:pStyle w:val="ListBullet"/>
        <w:rPr>
          <w:rFonts w:asciiTheme="minorHAnsi" w:hAnsiTheme="minorHAnsi" w:cstheme="minorHAnsi"/>
          <w:sz w:val="22"/>
          <w:szCs w:val="24"/>
        </w:rPr>
      </w:pPr>
      <w:r w:rsidRPr="00AD3B62">
        <w:rPr>
          <w:rFonts w:asciiTheme="minorHAnsi" w:hAnsiTheme="minorHAnsi" w:cstheme="minorHAnsi"/>
          <w:b/>
          <w:bCs/>
          <w:sz w:val="22"/>
          <w:szCs w:val="24"/>
        </w:rPr>
        <w:t>Provider culpability or commitment:</w:t>
      </w:r>
      <w:r w:rsidRPr="00AD3B62">
        <w:rPr>
          <w:rFonts w:asciiTheme="minorHAnsi" w:hAnsiTheme="minorHAnsi" w:cstheme="minorHAnsi"/>
          <w:sz w:val="22"/>
          <w:szCs w:val="24"/>
        </w:rPr>
        <w:t xml:space="preserve"> considering the degree of fault in the non-compliance or the higher education provider’s behaviour and commitment to compliance, and what steps they could or should have taken to avoid non-compliance (i.e. their responsibility in relation to the non-compliance).</w:t>
      </w:r>
    </w:p>
    <w:p w14:paraId="0A8E701B" w14:textId="77777777" w:rsidR="004276F6" w:rsidRPr="00AD3B62" w:rsidRDefault="004276F6" w:rsidP="004276F6">
      <w:pPr>
        <w:rPr>
          <w:rFonts w:asciiTheme="minorHAnsi" w:hAnsiTheme="minorHAnsi" w:cstheme="minorHAnsi"/>
          <w:sz w:val="22"/>
          <w:szCs w:val="24"/>
        </w:rPr>
      </w:pPr>
      <w:r w:rsidRPr="00AD3B62">
        <w:rPr>
          <w:rFonts w:asciiTheme="minorHAnsi" w:hAnsiTheme="minorHAnsi" w:cstheme="minorHAnsi"/>
          <w:sz w:val="22"/>
          <w:szCs w:val="24"/>
        </w:rPr>
        <w:t xml:space="preserve">Consistent with the regulatory principle of transparency and accountability, the </w:t>
      </w:r>
      <w:r w:rsidRPr="00AD3B62">
        <w:rPr>
          <w:rFonts w:asciiTheme="minorHAnsi" w:hAnsiTheme="minorHAnsi" w:cstheme="minorHAnsi"/>
          <w:i/>
          <w:iCs/>
          <w:sz w:val="22"/>
          <w:szCs w:val="24"/>
        </w:rPr>
        <w:t>Compliance and Enforcement Pyramid</w:t>
      </w:r>
      <w:r w:rsidRPr="00AD3B62">
        <w:rPr>
          <w:rFonts w:asciiTheme="minorHAnsi" w:hAnsiTheme="minorHAnsi" w:cstheme="minorHAnsi"/>
          <w:sz w:val="22"/>
          <w:szCs w:val="24"/>
        </w:rPr>
        <w:t xml:space="preserve"> (page 12) demonstrates how harm, the consequences of non-compliance, and higher education provider culpability, are considered in determining compliance and enforcement activities. </w:t>
      </w:r>
    </w:p>
    <w:p w14:paraId="6DB9E473" w14:textId="588D3A09" w:rsidR="004276F6" w:rsidRPr="00AD3B62" w:rsidRDefault="004276F6" w:rsidP="004276F6">
      <w:pPr>
        <w:rPr>
          <w:rFonts w:asciiTheme="minorHAnsi" w:hAnsiTheme="minorHAnsi" w:cstheme="minorHAnsi"/>
          <w:sz w:val="22"/>
          <w:szCs w:val="24"/>
        </w:rPr>
      </w:pPr>
      <w:r w:rsidRPr="00AD3B62">
        <w:rPr>
          <w:rFonts w:asciiTheme="minorHAnsi" w:hAnsiTheme="minorHAnsi" w:cstheme="minorHAnsi"/>
          <w:sz w:val="22"/>
          <w:szCs w:val="24"/>
        </w:rPr>
        <w:t>In all cases, enforcement decisions are made based on the circumstances of the case. This means the GBV Regulator’s initial enforcement approach may start at lower or higher levels in the compliance pyramid, reflecting the harm or likely harm from the non-compliance, or a higher education provider’s culpability in relation to the non-compliance.</w:t>
      </w:r>
    </w:p>
    <w:p w14:paraId="0F7E0318" w14:textId="0D5C1589" w:rsidR="004276F6" w:rsidRPr="00AD3B62" w:rsidRDefault="004276F6" w:rsidP="004276F6">
      <w:pPr>
        <w:rPr>
          <w:rFonts w:asciiTheme="minorHAnsi" w:hAnsiTheme="minorHAnsi" w:cstheme="minorHAnsi"/>
          <w:sz w:val="22"/>
          <w:szCs w:val="24"/>
        </w:rPr>
      </w:pPr>
      <w:r w:rsidRPr="00AD3B62">
        <w:rPr>
          <w:rFonts w:asciiTheme="minorHAnsi" w:hAnsiTheme="minorHAnsi" w:cstheme="minorHAnsi"/>
          <w:sz w:val="22"/>
          <w:szCs w:val="24"/>
        </w:rPr>
        <w:lastRenderedPageBreak/>
        <w:t xml:space="preserve">It should also be noted that, while the </w:t>
      </w:r>
      <w:r w:rsidRPr="00AD3B62">
        <w:rPr>
          <w:rFonts w:asciiTheme="minorHAnsi" w:hAnsiTheme="minorHAnsi" w:cstheme="minorHAnsi"/>
          <w:i/>
          <w:iCs/>
          <w:sz w:val="22"/>
          <w:szCs w:val="24"/>
        </w:rPr>
        <w:t>Compliance and Enforcement Pyramid</w:t>
      </w:r>
      <w:r w:rsidRPr="00AD3B62">
        <w:rPr>
          <w:rFonts w:asciiTheme="minorHAnsi" w:hAnsiTheme="minorHAnsi" w:cstheme="minorHAnsi"/>
          <w:sz w:val="22"/>
          <w:szCs w:val="24"/>
        </w:rPr>
        <w:t xml:space="preserve"> considers when the GBV Regulator recommends or seeks action relating to a higher education provider’s registration, it does not include all powers available to other partner regulators. </w:t>
      </w:r>
    </w:p>
    <w:p w14:paraId="5EA60056" w14:textId="2EAE06C5" w:rsidR="004276F6" w:rsidRPr="00AD3B62" w:rsidRDefault="004276F6" w:rsidP="004276F6">
      <w:pPr>
        <w:pStyle w:val="Caption"/>
        <w:rPr>
          <w:rFonts w:asciiTheme="minorHAnsi" w:hAnsiTheme="minorHAnsi" w:cstheme="minorHAnsi"/>
          <w:i/>
          <w:iCs w:val="0"/>
          <w:sz w:val="22"/>
          <w:szCs w:val="20"/>
        </w:rPr>
      </w:pPr>
      <w:r w:rsidRPr="00AD3B62">
        <w:rPr>
          <w:rFonts w:asciiTheme="minorHAnsi" w:hAnsiTheme="minorHAnsi" w:cstheme="minorHAnsi"/>
          <w:i/>
          <w:iCs w:val="0"/>
          <w:sz w:val="22"/>
          <w:szCs w:val="20"/>
        </w:rPr>
        <w:t>Compliance and Enforcement Pyramid</w:t>
      </w:r>
    </w:p>
    <w:p w14:paraId="1E07FB15" w14:textId="65467966" w:rsidR="00CB158B" w:rsidRDefault="00875041" w:rsidP="00CB158B">
      <w:pPr>
        <w:pStyle w:val="ListBullet"/>
        <w:numPr>
          <w:ilvl w:val="0"/>
          <w:numId w:val="0"/>
        </w:numPr>
        <w:ind w:left="284" w:hanging="284"/>
        <w:rPr>
          <w:rFonts w:asciiTheme="minorHAnsi" w:hAnsiTheme="minorHAnsi" w:cstheme="minorHAnsi"/>
        </w:rPr>
      </w:pPr>
      <w:r w:rsidRPr="00AD3B62">
        <w:rPr>
          <w:rFonts w:asciiTheme="minorHAnsi" w:hAnsiTheme="minorHAnsi" w:cstheme="minorHAnsi"/>
        </w:rPr>
        <w:drawing>
          <wp:anchor distT="0" distB="0" distL="114300" distR="114300" simplePos="0" relativeHeight="251659268" behindDoc="1" locked="0" layoutInCell="1" allowOverlap="1" wp14:anchorId="69989E1D" wp14:editId="63533571">
            <wp:simplePos x="0" y="0"/>
            <wp:positionH relativeFrom="margin">
              <wp:posOffset>-564515</wp:posOffset>
            </wp:positionH>
            <wp:positionV relativeFrom="paragraph">
              <wp:posOffset>194310</wp:posOffset>
            </wp:positionV>
            <wp:extent cx="6531156" cy="3629025"/>
            <wp:effectExtent l="0" t="0" r="3175" b="0"/>
            <wp:wrapNone/>
            <wp:docPr id="1341055781" name="Picture 10" descr="A diagram of a pyramid showing the GBV Regulator's approach to compliance and enforcemen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055781" name="Picture 10" descr="A diagram of a pyramid showing the GBV Regulator's approach to compliance and enforcement.&#10;&#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31156" cy="3629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8D77AA" w14:textId="77777777" w:rsidR="00875041" w:rsidRDefault="00875041" w:rsidP="00CB158B">
      <w:pPr>
        <w:pStyle w:val="ListBullet"/>
        <w:numPr>
          <w:ilvl w:val="0"/>
          <w:numId w:val="0"/>
        </w:numPr>
        <w:ind w:left="284" w:hanging="284"/>
        <w:rPr>
          <w:rFonts w:asciiTheme="minorHAnsi" w:hAnsiTheme="minorHAnsi" w:cstheme="minorHAnsi"/>
        </w:rPr>
      </w:pPr>
    </w:p>
    <w:p w14:paraId="00614286" w14:textId="6E58484F" w:rsidR="00875041" w:rsidRDefault="00875041" w:rsidP="00CB158B">
      <w:pPr>
        <w:pStyle w:val="ListBullet"/>
        <w:numPr>
          <w:ilvl w:val="0"/>
          <w:numId w:val="0"/>
        </w:numPr>
        <w:ind w:left="284" w:hanging="284"/>
        <w:rPr>
          <w:rFonts w:asciiTheme="minorHAnsi" w:hAnsiTheme="minorHAnsi" w:cstheme="minorHAnsi"/>
        </w:rPr>
      </w:pPr>
    </w:p>
    <w:p w14:paraId="2960E5A0" w14:textId="77777777" w:rsidR="00875041" w:rsidRDefault="00875041" w:rsidP="00CB158B">
      <w:pPr>
        <w:pStyle w:val="ListBullet"/>
        <w:numPr>
          <w:ilvl w:val="0"/>
          <w:numId w:val="0"/>
        </w:numPr>
        <w:ind w:left="284" w:hanging="284"/>
        <w:rPr>
          <w:rFonts w:asciiTheme="minorHAnsi" w:hAnsiTheme="minorHAnsi" w:cstheme="minorHAnsi"/>
        </w:rPr>
      </w:pPr>
    </w:p>
    <w:p w14:paraId="4B12C290" w14:textId="77777777" w:rsidR="00875041" w:rsidRDefault="00875041" w:rsidP="00CB158B">
      <w:pPr>
        <w:pStyle w:val="ListBullet"/>
        <w:numPr>
          <w:ilvl w:val="0"/>
          <w:numId w:val="0"/>
        </w:numPr>
        <w:ind w:left="284" w:hanging="284"/>
        <w:rPr>
          <w:rFonts w:asciiTheme="minorHAnsi" w:hAnsiTheme="minorHAnsi" w:cstheme="minorHAnsi"/>
        </w:rPr>
      </w:pPr>
    </w:p>
    <w:p w14:paraId="1E8ED2CE" w14:textId="77777777" w:rsidR="00875041" w:rsidRDefault="00875041" w:rsidP="00CB158B">
      <w:pPr>
        <w:pStyle w:val="ListBullet"/>
        <w:numPr>
          <w:ilvl w:val="0"/>
          <w:numId w:val="0"/>
        </w:numPr>
        <w:ind w:left="284" w:hanging="284"/>
        <w:rPr>
          <w:rFonts w:asciiTheme="minorHAnsi" w:hAnsiTheme="minorHAnsi" w:cstheme="minorHAnsi"/>
        </w:rPr>
      </w:pPr>
    </w:p>
    <w:p w14:paraId="0FF66D07" w14:textId="7A0E00CD" w:rsidR="00875041" w:rsidRDefault="00875041" w:rsidP="00CB158B">
      <w:pPr>
        <w:pStyle w:val="ListBullet"/>
        <w:numPr>
          <w:ilvl w:val="0"/>
          <w:numId w:val="0"/>
        </w:numPr>
        <w:ind w:left="284" w:hanging="284"/>
        <w:rPr>
          <w:rFonts w:asciiTheme="minorHAnsi" w:hAnsiTheme="minorHAnsi" w:cstheme="minorHAnsi"/>
        </w:rPr>
      </w:pPr>
    </w:p>
    <w:p w14:paraId="46F63EA8" w14:textId="038EFAB1" w:rsidR="00875041" w:rsidRDefault="00875041" w:rsidP="00CB158B">
      <w:pPr>
        <w:pStyle w:val="ListBullet"/>
        <w:numPr>
          <w:ilvl w:val="0"/>
          <w:numId w:val="0"/>
        </w:numPr>
        <w:ind w:left="284" w:hanging="284"/>
        <w:rPr>
          <w:rFonts w:asciiTheme="minorHAnsi" w:hAnsiTheme="minorHAnsi" w:cstheme="minorHAnsi"/>
        </w:rPr>
      </w:pPr>
    </w:p>
    <w:p w14:paraId="61751EE4" w14:textId="4B8A1FA6" w:rsidR="00875041" w:rsidRDefault="00875041" w:rsidP="00CB158B">
      <w:pPr>
        <w:pStyle w:val="ListBullet"/>
        <w:numPr>
          <w:ilvl w:val="0"/>
          <w:numId w:val="0"/>
        </w:numPr>
        <w:ind w:left="284" w:hanging="284"/>
        <w:rPr>
          <w:rFonts w:asciiTheme="minorHAnsi" w:hAnsiTheme="minorHAnsi" w:cstheme="minorHAnsi"/>
        </w:rPr>
      </w:pPr>
    </w:p>
    <w:p w14:paraId="54C7E9F7" w14:textId="36171E68" w:rsidR="00875041" w:rsidRDefault="00875041" w:rsidP="00CB158B">
      <w:pPr>
        <w:pStyle w:val="ListBullet"/>
        <w:numPr>
          <w:ilvl w:val="0"/>
          <w:numId w:val="0"/>
        </w:numPr>
        <w:ind w:left="284" w:hanging="284"/>
        <w:rPr>
          <w:rFonts w:asciiTheme="minorHAnsi" w:hAnsiTheme="minorHAnsi" w:cstheme="minorHAnsi"/>
        </w:rPr>
      </w:pPr>
    </w:p>
    <w:p w14:paraId="61063859" w14:textId="70EE3E21" w:rsidR="00875041" w:rsidRDefault="00875041" w:rsidP="00CB158B">
      <w:pPr>
        <w:pStyle w:val="ListBullet"/>
        <w:numPr>
          <w:ilvl w:val="0"/>
          <w:numId w:val="0"/>
        </w:numPr>
        <w:ind w:left="284" w:hanging="284"/>
        <w:rPr>
          <w:rFonts w:asciiTheme="minorHAnsi" w:hAnsiTheme="minorHAnsi" w:cstheme="minorHAnsi"/>
        </w:rPr>
      </w:pPr>
    </w:p>
    <w:p w14:paraId="67B6A633" w14:textId="36CAB380" w:rsidR="00875041" w:rsidRDefault="00875041" w:rsidP="00CB158B">
      <w:pPr>
        <w:pStyle w:val="ListBullet"/>
        <w:numPr>
          <w:ilvl w:val="0"/>
          <w:numId w:val="0"/>
        </w:numPr>
        <w:ind w:left="284" w:hanging="284"/>
        <w:rPr>
          <w:rFonts w:asciiTheme="minorHAnsi" w:hAnsiTheme="minorHAnsi" w:cstheme="minorHAnsi"/>
        </w:rPr>
      </w:pPr>
    </w:p>
    <w:p w14:paraId="225B8897" w14:textId="77777777" w:rsidR="00875041" w:rsidRDefault="00875041" w:rsidP="00CB158B">
      <w:pPr>
        <w:pStyle w:val="ListBullet"/>
        <w:numPr>
          <w:ilvl w:val="0"/>
          <w:numId w:val="0"/>
        </w:numPr>
        <w:ind w:left="284" w:hanging="284"/>
        <w:rPr>
          <w:rFonts w:asciiTheme="minorHAnsi" w:hAnsiTheme="minorHAnsi" w:cstheme="minorHAnsi"/>
        </w:rPr>
      </w:pPr>
    </w:p>
    <w:p w14:paraId="3F36264E" w14:textId="02ECA6A5" w:rsidR="00875041" w:rsidRDefault="00875041" w:rsidP="00CB158B">
      <w:pPr>
        <w:pStyle w:val="ListBullet"/>
        <w:numPr>
          <w:ilvl w:val="0"/>
          <w:numId w:val="0"/>
        </w:numPr>
        <w:ind w:left="284" w:hanging="284"/>
        <w:rPr>
          <w:rFonts w:asciiTheme="minorHAnsi" w:hAnsiTheme="minorHAnsi" w:cstheme="minorHAnsi"/>
        </w:rPr>
      </w:pPr>
    </w:p>
    <w:p w14:paraId="0AAFE32E" w14:textId="77777777" w:rsidR="00875041" w:rsidRDefault="00875041" w:rsidP="00CB158B">
      <w:pPr>
        <w:pStyle w:val="ListBullet"/>
        <w:numPr>
          <w:ilvl w:val="0"/>
          <w:numId w:val="0"/>
        </w:numPr>
        <w:ind w:left="284" w:hanging="284"/>
        <w:rPr>
          <w:rFonts w:asciiTheme="minorHAnsi" w:hAnsiTheme="minorHAnsi" w:cstheme="minorHAnsi"/>
        </w:rPr>
      </w:pPr>
    </w:p>
    <w:p w14:paraId="789751E5" w14:textId="77777777" w:rsidR="00875041" w:rsidRDefault="00875041" w:rsidP="00CB158B">
      <w:pPr>
        <w:pStyle w:val="ListBullet"/>
        <w:numPr>
          <w:ilvl w:val="0"/>
          <w:numId w:val="0"/>
        </w:numPr>
        <w:ind w:left="284" w:hanging="284"/>
        <w:rPr>
          <w:rFonts w:asciiTheme="minorHAnsi" w:hAnsiTheme="minorHAnsi" w:cstheme="minorHAnsi"/>
        </w:rPr>
      </w:pPr>
    </w:p>
    <w:p w14:paraId="5569C063" w14:textId="77777777" w:rsidR="00875041" w:rsidRDefault="00875041" w:rsidP="00CB158B">
      <w:pPr>
        <w:pStyle w:val="ListBullet"/>
        <w:numPr>
          <w:ilvl w:val="0"/>
          <w:numId w:val="0"/>
        </w:numPr>
        <w:ind w:left="284" w:hanging="284"/>
        <w:rPr>
          <w:rFonts w:asciiTheme="minorHAnsi" w:hAnsiTheme="minorHAnsi" w:cstheme="minorHAnsi"/>
        </w:rPr>
      </w:pPr>
    </w:p>
    <w:p w14:paraId="739FDC22" w14:textId="0D65199B" w:rsidR="00875041" w:rsidRPr="00AD3B62" w:rsidRDefault="00875041" w:rsidP="00CB158B">
      <w:pPr>
        <w:pStyle w:val="ListBullet"/>
        <w:numPr>
          <w:ilvl w:val="0"/>
          <w:numId w:val="0"/>
        </w:numPr>
        <w:ind w:left="284" w:hanging="284"/>
        <w:rPr>
          <w:rFonts w:asciiTheme="minorHAnsi" w:hAnsiTheme="minorHAnsi" w:cstheme="minorHAnsi"/>
        </w:rPr>
      </w:pPr>
    </w:p>
    <w:p w14:paraId="1EF6BB25" w14:textId="682A21D7" w:rsidR="00042092" w:rsidRPr="00042092" w:rsidRDefault="00042092" w:rsidP="00042092">
      <w:pPr>
        <w:pStyle w:val="ListBullet"/>
        <w:numPr>
          <w:ilvl w:val="0"/>
          <w:numId w:val="0"/>
        </w:numPr>
        <w:ind w:left="360" w:hanging="360"/>
        <w:rPr>
          <w:rFonts w:asciiTheme="minorHAnsi" w:hAnsiTheme="minorHAnsi" w:cstheme="minorHAnsi"/>
        </w:rPr>
      </w:pPr>
    </w:p>
    <w:p w14:paraId="1B3C5EFC" w14:textId="77C0D407" w:rsidR="004276F6" w:rsidRDefault="004276F6" w:rsidP="00CB158B">
      <w:pPr>
        <w:pStyle w:val="ListBullet"/>
        <w:numPr>
          <w:ilvl w:val="0"/>
          <w:numId w:val="0"/>
        </w:numPr>
        <w:ind w:left="284" w:hanging="284"/>
        <w:rPr>
          <w:rFonts w:asciiTheme="minorHAnsi" w:hAnsiTheme="minorHAnsi" w:cstheme="minorHAnsi"/>
        </w:rPr>
      </w:pPr>
    </w:p>
    <w:p w14:paraId="1FDBD7DA" w14:textId="77777777" w:rsidR="00875041" w:rsidRDefault="00875041" w:rsidP="00CB158B">
      <w:pPr>
        <w:pStyle w:val="ListBullet"/>
        <w:numPr>
          <w:ilvl w:val="0"/>
          <w:numId w:val="0"/>
        </w:numPr>
        <w:ind w:left="284" w:hanging="284"/>
        <w:rPr>
          <w:rFonts w:asciiTheme="minorHAnsi" w:hAnsiTheme="minorHAnsi" w:cstheme="minorHAnsi"/>
        </w:rPr>
      </w:pPr>
    </w:p>
    <w:p w14:paraId="72903A46" w14:textId="77777777" w:rsidR="00875041" w:rsidRPr="00AD3B62" w:rsidRDefault="00875041" w:rsidP="00CB158B">
      <w:pPr>
        <w:pStyle w:val="ListBullet"/>
        <w:numPr>
          <w:ilvl w:val="0"/>
          <w:numId w:val="0"/>
        </w:numPr>
        <w:ind w:left="284" w:hanging="284"/>
        <w:rPr>
          <w:rFonts w:asciiTheme="minorHAnsi" w:hAnsiTheme="minorHAnsi" w:cstheme="minorHAnsi"/>
        </w:rPr>
      </w:pPr>
    </w:p>
    <w:p w14:paraId="346C5B13" w14:textId="1D422862" w:rsidR="004276F6" w:rsidRPr="00AD3B62" w:rsidRDefault="008F1B55" w:rsidP="006E5978">
      <w:pPr>
        <w:pStyle w:val="Heading2"/>
      </w:pPr>
      <w:bookmarkStart w:id="23" w:name="_Toc215493953"/>
      <w:r w:rsidRPr="00AD3B62">
        <w:t xml:space="preserve"> </w:t>
      </w:r>
      <w:r w:rsidR="004276F6" w:rsidRPr="00AD3B62">
        <w:t>Other considerations</w:t>
      </w:r>
      <w:bookmarkEnd w:id="23"/>
    </w:p>
    <w:p w14:paraId="41A60ADA" w14:textId="77777777" w:rsidR="004276F6" w:rsidRPr="00AD3B62" w:rsidRDefault="004276F6" w:rsidP="004276F6">
      <w:pPr>
        <w:rPr>
          <w:rFonts w:asciiTheme="minorHAnsi" w:hAnsiTheme="minorHAnsi" w:cstheme="minorHAnsi"/>
          <w:sz w:val="22"/>
          <w:szCs w:val="24"/>
        </w:rPr>
      </w:pPr>
      <w:r w:rsidRPr="00AD3B62">
        <w:rPr>
          <w:rFonts w:asciiTheme="minorHAnsi" w:hAnsiTheme="minorHAnsi" w:cstheme="minorHAnsi"/>
          <w:sz w:val="22"/>
          <w:szCs w:val="24"/>
        </w:rPr>
        <w:t>As set out in the regulatory principles of proportionate and risk-based and coherence and alignment, the GBV Regulator considers a range of factors when assessing risk and determining the appropriate compliance and enforcement response, including:</w:t>
      </w:r>
    </w:p>
    <w:p w14:paraId="138F1D30" w14:textId="77777777" w:rsidR="004276F6" w:rsidRPr="00AD3B62" w:rsidRDefault="004276F6" w:rsidP="004276F6">
      <w:pPr>
        <w:pStyle w:val="ListBullet"/>
        <w:rPr>
          <w:rFonts w:asciiTheme="minorHAnsi" w:hAnsiTheme="minorHAnsi" w:cstheme="minorHAnsi"/>
          <w:sz w:val="22"/>
          <w:szCs w:val="24"/>
        </w:rPr>
      </w:pPr>
      <w:r w:rsidRPr="00AD3B62">
        <w:rPr>
          <w:rFonts w:asciiTheme="minorHAnsi" w:hAnsiTheme="minorHAnsi" w:cstheme="minorHAnsi"/>
          <w:sz w:val="22"/>
          <w:szCs w:val="24"/>
        </w:rPr>
        <w:t>Nature and seriousness of the suspected non-compliance</w:t>
      </w:r>
    </w:p>
    <w:p w14:paraId="20674CD2" w14:textId="77777777" w:rsidR="004276F6" w:rsidRPr="00AD3B62" w:rsidRDefault="004276F6" w:rsidP="004276F6">
      <w:pPr>
        <w:pStyle w:val="ListBullet"/>
        <w:rPr>
          <w:rFonts w:asciiTheme="minorHAnsi" w:hAnsiTheme="minorHAnsi" w:cstheme="minorHAnsi"/>
          <w:sz w:val="22"/>
          <w:szCs w:val="24"/>
        </w:rPr>
      </w:pPr>
      <w:r w:rsidRPr="00AD3B62">
        <w:rPr>
          <w:rFonts w:asciiTheme="minorHAnsi" w:hAnsiTheme="minorHAnsi" w:cstheme="minorHAnsi"/>
          <w:sz w:val="22"/>
          <w:szCs w:val="24"/>
        </w:rPr>
        <w:t xml:space="preserve">Severity of the potential or actual harm to students or staff </w:t>
      </w:r>
    </w:p>
    <w:p w14:paraId="1F84689D" w14:textId="77777777" w:rsidR="004276F6" w:rsidRPr="00AD3B62" w:rsidRDefault="004276F6" w:rsidP="004276F6">
      <w:pPr>
        <w:pStyle w:val="ListBullet"/>
        <w:rPr>
          <w:rFonts w:asciiTheme="minorHAnsi" w:hAnsiTheme="minorHAnsi" w:cstheme="minorHAnsi"/>
          <w:sz w:val="22"/>
          <w:szCs w:val="24"/>
        </w:rPr>
      </w:pPr>
      <w:r w:rsidRPr="00AD3B62">
        <w:rPr>
          <w:rFonts w:asciiTheme="minorHAnsi" w:hAnsiTheme="minorHAnsi" w:cstheme="minorHAnsi"/>
          <w:sz w:val="22"/>
          <w:szCs w:val="24"/>
        </w:rPr>
        <w:t>Level of public concern or scrutiny</w:t>
      </w:r>
    </w:p>
    <w:p w14:paraId="0F337EF3" w14:textId="77777777" w:rsidR="004276F6" w:rsidRPr="00AD3B62" w:rsidRDefault="004276F6" w:rsidP="004276F6">
      <w:pPr>
        <w:pStyle w:val="ListBullet"/>
        <w:rPr>
          <w:rFonts w:asciiTheme="minorHAnsi" w:hAnsiTheme="minorHAnsi" w:cstheme="minorHAnsi"/>
          <w:sz w:val="22"/>
          <w:szCs w:val="24"/>
        </w:rPr>
      </w:pPr>
      <w:r w:rsidRPr="00AD3B62">
        <w:rPr>
          <w:rFonts w:asciiTheme="minorHAnsi" w:hAnsiTheme="minorHAnsi" w:cstheme="minorHAnsi"/>
          <w:sz w:val="22"/>
          <w:szCs w:val="24"/>
        </w:rPr>
        <w:t>Evidence of deliberate disregard for requirements or repeated non-compliant behaviour</w:t>
      </w:r>
    </w:p>
    <w:p w14:paraId="7CF174CC" w14:textId="77777777" w:rsidR="004276F6" w:rsidRPr="00AD3B62" w:rsidRDefault="004276F6" w:rsidP="004276F6">
      <w:pPr>
        <w:pStyle w:val="ListBullet"/>
        <w:rPr>
          <w:rFonts w:asciiTheme="minorHAnsi" w:hAnsiTheme="minorHAnsi" w:cstheme="minorHAnsi"/>
          <w:sz w:val="22"/>
          <w:szCs w:val="24"/>
        </w:rPr>
      </w:pPr>
      <w:r w:rsidRPr="00AD3B62">
        <w:rPr>
          <w:rFonts w:asciiTheme="minorHAnsi" w:hAnsiTheme="minorHAnsi" w:cstheme="minorHAnsi"/>
          <w:sz w:val="22"/>
          <w:szCs w:val="24"/>
        </w:rPr>
        <w:t>Potential for regulatory action to drive systemic and cultural change</w:t>
      </w:r>
    </w:p>
    <w:p w14:paraId="4583D278" w14:textId="77777777" w:rsidR="004276F6" w:rsidRPr="00AD3B62" w:rsidRDefault="004276F6" w:rsidP="004276F6">
      <w:pPr>
        <w:pStyle w:val="ListBullet"/>
        <w:rPr>
          <w:rFonts w:asciiTheme="minorHAnsi" w:hAnsiTheme="minorHAnsi" w:cstheme="minorHAnsi"/>
          <w:sz w:val="22"/>
          <w:szCs w:val="24"/>
        </w:rPr>
      </w:pPr>
      <w:r w:rsidRPr="00AD3B62">
        <w:rPr>
          <w:rFonts w:asciiTheme="minorHAnsi" w:hAnsiTheme="minorHAnsi" w:cstheme="minorHAnsi"/>
          <w:sz w:val="22"/>
          <w:szCs w:val="24"/>
        </w:rPr>
        <w:t>Consistency with person-centred and trauma-informed practice</w:t>
      </w:r>
    </w:p>
    <w:p w14:paraId="66FA9D3D" w14:textId="77777777" w:rsidR="004276F6" w:rsidRPr="00AD3B62" w:rsidRDefault="004276F6" w:rsidP="004276F6">
      <w:pPr>
        <w:pStyle w:val="ListBullet"/>
        <w:rPr>
          <w:rFonts w:asciiTheme="minorHAnsi" w:hAnsiTheme="minorHAnsi" w:cstheme="minorHAnsi"/>
          <w:sz w:val="22"/>
          <w:szCs w:val="24"/>
        </w:rPr>
      </w:pPr>
      <w:r w:rsidRPr="00AD3B62">
        <w:rPr>
          <w:rFonts w:asciiTheme="minorHAnsi" w:hAnsiTheme="minorHAnsi" w:cstheme="minorHAnsi"/>
          <w:sz w:val="22"/>
          <w:szCs w:val="24"/>
        </w:rPr>
        <w:t>Actions taken by the provider to remedy or address the issue</w:t>
      </w:r>
    </w:p>
    <w:p w14:paraId="27EFC19B" w14:textId="77777777" w:rsidR="004276F6" w:rsidRPr="00AD3B62" w:rsidRDefault="004276F6" w:rsidP="004276F6">
      <w:pPr>
        <w:pStyle w:val="ListBullet"/>
        <w:rPr>
          <w:rFonts w:asciiTheme="minorHAnsi" w:hAnsiTheme="minorHAnsi" w:cstheme="minorHAnsi"/>
          <w:sz w:val="22"/>
          <w:szCs w:val="24"/>
        </w:rPr>
      </w:pPr>
      <w:r w:rsidRPr="00AD3B62">
        <w:rPr>
          <w:rFonts w:asciiTheme="minorHAnsi" w:hAnsiTheme="minorHAnsi" w:cstheme="minorHAnsi"/>
          <w:sz w:val="22"/>
          <w:szCs w:val="24"/>
        </w:rPr>
        <w:t>Willingness to cooperate with the GBV Regulator to achieve voluntary compliance</w:t>
      </w:r>
    </w:p>
    <w:p w14:paraId="1F5BB536" w14:textId="1CBD5EEF" w:rsidR="004276F6" w:rsidRPr="00AD3B62" w:rsidRDefault="004276F6" w:rsidP="004276F6">
      <w:pPr>
        <w:pStyle w:val="ListBullet"/>
        <w:spacing w:after="0"/>
        <w:rPr>
          <w:rFonts w:asciiTheme="minorHAnsi" w:hAnsiTheme="minorHAnsi" w:cstheme="minorHAnsi"/>
          <w:sz w:val="22"/>
          <w:szCs w:val="24"/>
        </w:rPr>
      </w:pPr>
      <w:r w:rsidRPr="00AD3B62">
        <w:rPr>
          <w:rFonts w:asciiTheme="minorHAnsi" w:hAnsiTheme="minorHAnsi" w:cstheme="minorHAnsi"/>
          <w:sz w:val="22"/>
          <w:szCs w:val="24"/>
        </w:rPr>
        <w:t xml:space="preserve">Provider context, including: </w:t>
      </w:r>
    </w:p>
    <w:p w14:paraId="18935898" w14:textId="77777777" w:rsidR="004276F6" w:rsidRPr="00AD3B62" w:rsidRDefault="004276F6" w:rsidP="004276F6">
      <w:pPr>
        <w:pStyle w:val="ListBullet2"/>
        <w:rPr>
          <w:rFonts w:asciiTheme="minorHAnsi" w:hAnsiTheme="minorHAnsi" w:cstheme="minorHAnsi"/>
          <w:sz w:val="22"/>
          <w:szCs w:val="24"/>
        </w:rPr>
      </w:pPr>
      <w:r w:rsidRPr="00AD3B62">
        <w:rPr>
          <w:rFonts w:asciiTheme="minorHAnsi" w:hAnsiTheme="minorHAnsi" w:cstheme="minorHAnsi"/>
          <w:sz w:val="22"/>
          <w:szCs w:val="24"/>
        </w:rPr>
        <w:t>Compliance history</w:t>
      </w:r>
    </w:p>
    <w:p w14:paraId="3ADD9844" w14:textId="77777777" w:rsidR="004276F6" w:rsidRPr="00AD3B62" w:rsidRDefault="004276F6" w:rsidP="00D945E2">
      <w:pPr>
        <w:pStyle w:val="ListBullet2"/>
        <w:rPr>
          <w:rFonts w:asciiTheme="minorHAnsi" w:hAnsiTheme="minorHAnsi" w:cstheme="minorHAnsi"/>
          <w:sz w:val="22"/>
          <w:szCs w:val="24"/>
        </w:rPr>
      </w:pPr>
      <w:r w:rsidRPr="00AD3B62">
        <w:rPr>
          <w:rFonts w:asciiTheme="minorHAnsi" w:hAnsiTheme="minorHAnsi" w:cstheme="minorHAnsi"/>
          <w:sz w:val="22"/>
          <w:szCs w:val="24"/>
        </w:rPr>
        <w:t>Systems and practices to identify and manage risk</w:t>
      </w:r>
    </w:p>
    <w:p w14:paraId="778FCB8B" w14:textId="77777777" w:rsidR="004276F6" w:rsidRPr="00AD3B62" w:rsidRDefault="004276F6" w:rsidP="004276F6">
      <w:pPr>
        <w:pStyle w:val="ListBullet2"/>
        <w:rPr>
          <w:rFonts w:asciiTheme="minorHAnsi" w:hAnsiTheme="minorHAnsi" w:cstheme="minorHAnsi"/>
          <w:sz w:val="22"/>
          <w:szCs w:val="24"/>
        </w:rPr>
      </w:pPr>
      <w:r w:rsidRPr="00AD3B62">
        <w:rPr>
          <w:rFonts w:asciiTheme="minorHAnsi" w:hAnsiTheme="minorHAnsi" w:cstheme="minorHAnsi"/>
          <w:sz w:val="22"/>
          <w:szCs w:val="24"/>
        </w:rPr>
        <w:t>Capability and resources dedicated to risk management</w:t>
      </w:r>
    </w:p>
    <w:p w14:paraId="4177F3ED" w14:textId="21F96476" w:rsidR="004276F6" w:rsidRPr="00AD3B62" w:rsidRDefault="004276F6" w:rsidP="004276F6">
      <w:pPr>
        <w:pStyle w:val="ListBullet2"/>
        <w:rPr>
          <w:rFonts w:asciiTheme="minorHAnsi" w:hAnsiTheme="minorHAnsi" w:cstheme="minorHAnsi"/>
          <w:sz w:val="22"/>
          <w:szCs w:val="24"/>
        </w:rPr>
      </w:pPr>
      <w:r w:rsidRPr="00AD3B62">
        <w:rPr>
          <w:rFonts w:asciiTheme="minorHAnsi" w:hAnsiTheme="minorHAnsi" w:cstheme="minorHAnsi"/>
          <w:sz w:val="22"/>
          <w:szCs w:val="24"/>
        </w:rPr>
        <w:t>Attitude and commitment to compliance and the Code</w:t>
      </w:r>
    </w:p>
    <w:p w14:paraId="6DD2979E" w14:textId="6309BB6C" w:rsidR="004276F6" w:rsidRPr="00AD3B62" w:rsidRDefault="004276F6" w:rsidP="004276F6">
      <w:pPr>
        <w:rPr>
          <w:rFonts w:asciiTheme="minorHAnsi" w:hAnsiTheme="minorHAnsi" w:cstheme="minorHAnsi"/>
          <w:sz w:val="22"/>
          <w:szCs w:val="24"/>
        </w:rPr>
      </w:pPr>
      <w:r w:rsidRPr="00AD3B62">
        <w:rPr>
          <w:rFonts w:asciiTheme="minorHAnsi" w:hAnsiTheme="minorHAnsi" w:cstheme="minorHAnsi"/>
          <w:sz w:val="22"/>
          <w:szCs w:val="24"/>
        </w:rPr>
        <w:t xml:space="preserve">Where a provider chooses to self-report potential non-compliance, this may positively influence the GBV Regulator’s decision regarding the most appropriate </w:t>
      </w:r>
      <w:r w:rsidR="00AD70F5" w:rsidRPr="00AD3B62">
        <w:rPr>
          <w:rFonts w:asciiTheme="minorHAnsi" w:hAnsiTheme="minorHAnsi" w:cstheme="minorHAnsi"/>
          <w:sz w:val="22"/>
          <w:szCs w:val="24"/>
        </w:rPr>
        <w:t xml:space="preserve">an appropriate regulatory response. </w:t>
      </w:r>
    </w:p>
    <w:p w14:paraId="52298095" w14:textId="09F6DA48" w:rsidR="004276F6" w:rsidRPr="00AD3B62" w:rsidRDefault="004276F6" w:rsidP="003A1A4B">
      <w:pPr>
        <w:pStyle w:val="Heading1"/>
        <w:shd w:val="clear" w:color="auto" w:fill="FFFFFF" w:themeFill="background1"/>
        <w:spacing w:after="240"/>
        <w:rPr>
          <w:rFonts w:asciiTheme="minorHAnsi" w:hAnsiTheme="minorHAnsi" w:cstheme="minorHAnsi"/>
          <w:color w:val="49255F"/>
        </w:rPr>
      </w:pPr>
      <w:bookmarkStart w:id="24" w:name="_Toc215493954"/>
      <w:r w:rsidRPr="00AD3B62">
        <w:rPr>
          <w:rFonts w:asciiTheme="minorHAnsi" w:hAnsiTheme="minorHAnsi" w:cstheme="minorHAnsi"/>
          <w:color w:val="49255F"/>
        </w:rPr>
        <w:lastRenderedPageBreak/>
        <w:t>Voluntary compliance</w:t>
      </w:r>
      <w:bookmarkEnd w:id="24"/>
    </w:p>
    <w:p w14:paraId="459D6E90" w14:textId="77777777" w:rsidR="004276F6" w:rsidRPr="00AD3B62" w:rsidRDefault="004276F6" w:rsidP="004276F6">
      <w:pPr>
        <w:rPr>
          <w:rFonts w:asciiTheme="minorHAnsi" w:hAnsiTheme="minorHAnsi" w:cstheme="minorHAnsi"/>
          <w:sz w:val="22"/>
          <w:szCs w:val="24"/>
        </w:rPr>
      </w:pPr>
      <w:r w:rsidRPr="00AD3B62">
        <w:rPr>
          <w:rFonts w:asciiTheme="minorHAnsi" w:hAnsiTheme="minorHAnsi" w:cstheme="minorHAnsi"/>
          <w:sz w:val="22"/>
          <w:szCs w:val="24"/>
        </w:rPr>
        <w:t>As set out in the regulatory principles of collaborative and continuous improvement, the GBV Regulator seeks to promote voluntary compliance, which is the preferred compliance behaviour. This recognises that most providers are committed to meeting their requirements under the National Code, and that proactive support by the GBV Regulator fosters a culture of accountability and continuous improvement.</w:t>
      </w:r>
    </w:p>
    <w:p w14:paraId="43A76F3E" w14:textId="77777777" w:rsidR="004276F6" w:rsidRPr="00AD3B62" w:rsidRDefault="004276F6" w:rsidP="004276F6">
      <w:pPr>
        <w:rPr>
          <w:rFonts w:asciiTheme="minorHAnsi" w:hAnsiTheme="minorHAnsi" w:cstheme="minorHAnsi"/>
          <w:sz w:val="22"/>
          <w:szCs w:val="24"/>
        </w:rPr>
      </w:pPr>
      <w:r w:rsidRPr="00AD3B62">
        <w:rPr>
          <w:rFonts w:asciiTheme="minorHAnsi" w:hAnsiTheme="minorHAnsi" w:cstheme="minorHAnsi"/>
          <w:sz w:val="22"/>
          <w:szCs w:val="24"/>
        </w:rPr>
        <w:t>Voluntary compliance is largely supported through education and engagement activities. A dedicated education and engagement team within the GBV Regulator determines appropriate activities with the higher education sector, gender-based violence experts, staff, students, partner regulators and the wider public. This raises awareness of the National Code and cultivates a culture of compliance amongst providers.</w:t>
      </w:r>
    </w:p>
    <w:p w14:paraId="09636AB4" w14:textId="0E13F499" w:rsidR="004276F6" w:rsidRPr="00AD3B62" w:rsidRDefault="008F1B55" w:rsidP="006E5978">
      <w:pPr>
        <w:pStyle w:val="Heading2"/>
      </w:pPr>
      <w:bookmarkStart w:id="25" w:name="_Toc215493955"/>
      <w:r w:rsidRPr="00AD3B62">
        <w:t xml:space="preserve"> </w:t>
      </w:r>
      <w:r w:rsidR="004276F6" w:rsidRPr="00AD3B62">
        <w:t>Purpose of voluntary compliance</w:t>
      </w:r>
      <w:bookmarkEnd w:id="25"/>
    </w:p>
    <w:p w14:paraId="46013250" w14:textId="77777777" w:rsidR="004276F6" w:rsidRPr="00AD3B62" w:rsidRDefault="004276F6" w:rsidP="004276F6">
      <w:pPr>
        <w:rPr>
          <w:rFonts w:asciiTheme="minorHAnsi" w:hAnsiTheme="minorHAnsi" w:cstheme="minorHAnsi"/>
          <w:sz w:val="22"/>
          <w:szCs w:val="24"/>
        </w:rPr>
      </w:pPr>
      <w:r w:rsidRPr="00AD3B62">
        <w:rPr>
          <w:rFonts w:asciiTheme="minorHAnsi" w:hAnsiTheme="minorHAnsi" w:cstheme="minorHAnsi"/>
          <w:sz w:val="22"/>
          <w:szCs w:val="24"/>
        </w:rPr>
        <w:t xml:space="preserve">Voluntary compliance supports the GBV Regulator’s objective to prevent and respond to gender-based violence in a way that is proactive, proportionate, and sustainable. </w:t>
      </w:r>
    </w:p>
    <w:p w14:paraId="36F4065F" w14:textId="77777777" w:rsidR="004276F6" w:rsidRPr="00AD3B62" w:rsidRDefault="004276F6" w:rsidP="004276F6">
      <w:pPr>
        <w:rPr>
          <w:rFonts w:asciiTheme="minorHAnsi" w:hAnsiTheme="minorHAnsi" w:cstheme="minorHAnsi"/>
          <w:sz w:val="22"/>
          <w:szCs w:val="24"/>
        </w:rPr>
      </w:pPr>
      <w:r w:rsidRPr="00AD3B62">
        <w:rPr>
          <w:rFonts w:asciiTheme="minorHAnsi" w:hAnsiTheme="minorHAnsi" w:cstheme="minorHAnsi"/>
          <w:sz w:val="22"/>
          <w:szCs w:val="24"/>
        </w:rPr>
        <w:t>When providers voluntarily meet their requirements under the National Code it:</w:t>
      </w:r>
    </w:p>
    <w:p w14:paraId="6CB0D5DD" w14:textId="77777777" w:rsidR="004276F6" w:rsidRPr="00AD3B62" w:rsidRDefault="004276F6" w:rsidP="004276F6">
      <w:pPr>
        <w:pStyle w:val="ListBullet"/>
        <w:rPr>
          <w:rFonts w:asciiTheme="minorHAnsi" w:hAnsiTheme="minorHAnsi" w:cstheme="minorHAnsi"/>
          <w:sz w:val="22"/>
          <w:szCs w:val="24"/>
        </w:rPr>
      </w:pPr>
      <w:r w:rsidRPr="00AD3B62">
        <w:rPr>
          <w:rFonts w:asciiTheme="minorHAnsi" w:hAnsiTheme="minorHAnsi" w:cstheme="minorHAnsi"/>
          <w:sz w:val="22"/>
          <w:szCs w:val="24"/>
        </w:rPr>
        <w:t>Reduces the need for enforcement action and its associated burden on providers.</w:t>
      </w:r>
    </w:p>
    <w:p w14:paraId="6C09A1F5" w14:textId="77777777" w:rsidR="004276F6" w:rsidRPr="00AD3B62" w:rsidRDefault="004276F6" w:rsidP="004276F6">
      <w:pPr>
        <w:pStyle w:val="ListBullet"/>
        <w:rPr>
          <w:rFonts w:asciiTheme="minorHAnsi" w:hAnsiTheme="minorHAnsi" w:cstheme="minorHAnsi"/>
          <w:sz w:val="22"/>
          <w:szCs w:val="24"/>
        </w:rPr>
      </w:pPr>
      <w:r w:rsidRPr="00AD3B62">
        <w:rPr>
          <w:rFonts w:asciiTheme="minorHAnsi" w:hAnsiTheme="minorHAnsi" w:cstheme="minorHAnsi"/>
          <w:sz w:val="22"/>
          <w:szCs w:val="24"/>
        </w:rPr>
        <w:t>Enables identification and resolution of risks before the harm occurs.</w:t>
      </w:r>
    </w:p>
    <w:p w14:paraId="648BE539" w14:textId="77777777" w:rsidR="004276F6" w:rsidRPr="00AD3B62" w:rsidRDefault="004276F6" w:rsidP="004276F6">
      <w:pPr>
        <w:pStyle w:val="ListBullet"/>
        <w:rPr>
          <w:rFonts w:asciiTheme="minorHAnsi" w:hAnsiTheme="minorHAnsi" w:cstheme="minorHAnsi"/>
          <w:sz w:val="22"/>
          <w:szCs w:val="24"/>
        </w:rPr>
      </w:pPr>
      <w:r w:rsidRPr="00AD3B62">
        <w:rPr>
          <w:rFonts w:asciiTheme="minorHAnsi" w:hAnsiTheme="minorHAnsi" w:cstheme="minorHAnsi"/>
          <w:sz w:val="22"/>
          <w:szCs w:val="24"/>
        </w:rPr>
        <w:t>Builds trust and transparency between providers and the GBV Regulator.</w:t>
      </w:r>
    </w:p>
    <w:p w14:paraId="61D7F95D" w14:textId="77777777" w:rsidR="004276F6" w:rsidRPr="00AD3B62" w:rsidRDefault="004276F6" w:rsidP="004276F6">
      <w:pPr>
        <w:pStyle w:val="ListBullet"/>
        <w:rPr>
          <w:rFonts w:asciiTheme="minorHAnsi" w:hAnsiTheme="minorHAnsi" w:cstheme="minorHAnsi"/>
          <w:sz w:val="22"/>
          <w:szCs w:val="24"/>
        </w:rPr>
      </w:pPr>
      <w:r w:rsidRPr="00AD3B62">
        <w:rPr>
          <w:rFonts w:asciiTheme="minorHAnsi" w:hAnsiTheme="minorHAnsi" w:cstheme="minorHAnsi"/>
          <w:sz w:val="22"/>
          <w:szCs w:val="24"/>
        </w:rPr>
        <w:t>Promotes sector-wide learning and continuous improvement.</w:t>
      </w:r>
    </w:p>
    <w:p w14:paraId="4D32C8B3" w14:textId="77777777" w:rsidR="004276F6" w:rsidRPr="00AD3B62" w:rsidRDefault="004276F6" w:rsidP="004276F6">
      <w:pPr>
        <w:pStyle w:val="ListBullet"/>
        <w:rPr>
          <w:rFonts w:asciiTheme="minorHAnsi" w:hAnsiTheme="minorHAnsi" w:cstheme="minorHAnsi"/>
          <w:sz w:val="22"/>
          <w:szCs w:val="24"/>
        </w:rPr>
      </w:pPr>
      <w:r w:rsidRPr="00AD3B62">
        <w:rPr>
          <w:rFonts w:asciiTheme="minorHAnsi" w:hAnsiTheme="minorHAnsi" w:cstheme="minorHAnsi"/>
          <w:sz w:val="22"/>
          <w:szCs w:val="24"/>
        </w:rPr>
        <w:t>Strengthens provider capability to meet requirements consistently.</w:t>
      </w:r>
    </w:p>
    <w:p w14:paraId="6F509A14" w14:textId="100C9167" w:rsidR="004276F6" w:rsidRPr="00AD3B62" w:rsidRDefault="004276F6" w:rsidP="004276F6">
      <w:pPr>
        <w:pStyle w:val="ListBullet"/>
        <w:rPr>
          <w:rFonts w:asciiTheme="minorHAnsi" w:hAnsiTheme="minorHAnsi" w:cstheme="minorHAnsi"/>
          <w:sz w:val="22"/>
          <w:szCs w:val="24"/>
        </w:rPr>
      </w:pPr>
      <w:r w:rsidRPr="00AD3B62">
        <w:rPr>
          <w:rFonts w:asciiTheme="minorHAnsi" w:hAnsiTheme="minorHAnsi" w:cstheme="minorHAnsi"/>
          <w:sz w:val="22"/>
          <w:szCs w:val="24"/>
        </w:rPr>
        <w:t>Increases the likelihood of the activities being effective at preventing and reducing gender-based violence.</w:t>
      </w:r>
    </w:p>
    <w:p w14:paraId="0233D8BF" w14:textId="77777777" w:rsidR="004276F6" w:rsidRPr="00AD3B62" w:rsidRDefault="004276F6" w:rsidP="004276F6">
      <w:pPr>
        <w:rPr>
          <w:rFonts w:asciiTheme="minorHAnsi" w:hAnsiTheme="minorHAnsi" w:cstheme="minorHAnsi"/>
          <w:sz w:val="22"/>
          <w:szCs w:val="24"/>
        </w:rPr>
      </w:pPr>
      <w:r w:rsidRPr="00AD3B62">
        <w:rPr>
          <w:rFonts w:asciiTheme="minorHAnsi" w:hAnsiTheme="minorHAnsi" w:cstheme="minorHAnsi"/>
          <w:sz w:val="22"/>
          <w:szCs w:val="24"/>
        </w:rPr>
        <w:t>The GBV Regulator allocates significant effort to these activities to minimise harm, build capability, and support providers to meet their requirements under the National Code without the need for enforcement action.</w:t>
      </w:r>
    </w:p>
    <w:p w14:paraId="1A0EC505" w14:textId="5D696404" w:rsidR="004276F6" w:rsidRPr="00AD3B62" w:rsidRDefault="008971A5" w:rsidP="006E5978">
      <w:pPr>
        <w:pStyle w:val="Heading2"/>
      </w:pPr>
      <w:bookmarkStart w:id="26" w:name="_Toc215493956"/>
      <w:r w:rsidRPr="00AD3B62">
        <w:t xml:space="preserve"> </w:t>
      </w:r>
      <w:r w:rsidR="004276F6" w:rsidRPr="00AD3B62">
        <w:t>Activities to support voluntary compliance</w:t>
      </w:r>
      <w:bookmarkEnd w:id="26"/>
    </w:p>
    <w:p w14:paraId="43A91C0C" w14:textId="77777777" w:rsidR="004276F6" w:rsidRPr="00AD3B62" w:rsidRDefault="004276F6" w:rsidP="004276F6">
      <w:pPr>
        <w:rPr>
          <w:rFonts w:asciiTheme="minorHAnsi" w:hAnsiTheme="minorHAnsi" w:cstheme="minorHAnsi"/>
          <w:sz w:val="22"/>
          <w:szCs w:val="24"/>
        </w:rPr>
      </w:pPr>
      <w:r w:rsidRPr="00AD3B62">
        <w:rPr>
          <w:rFonts w:asciiTheme="minorHAnsi" w:hAnsiTheme="minorHAnsi" w:cstheme="minorHAnsi"/>
          <w:sz w:val="22"/>
          <w:szCs w:val="24"/>
        </w:rPr>
        <w:t xml:space="preserve">Consistent with the regulatory principle of collaborative, the GBV Regulator undertakes a range of educative and engagement activities designed to promote understanding and encourage early resolution of issues. These activities focus on preventing harm before it occurs and supporting voluntary compliance. </w:t>
      </w:r>
    </w:p>
    <w:p w14:paraId="5681DF8B" w14:textId="77777777" w:rsidR="004276F6" w:rsidRPr="00AD3B62" w:rsidRDefault="004276F6" w:rsidP="004276F6">
      <w:pPr>
        <w:rPr>
          <w:rFonts w:asciiTheme="minorHAnsi" w:hAnsiTheme="minorHAnsi" w:cstheme="minorHAnsi"/>
          <w:sz w:val="22"/>
          <w:szCs w:val="24"/>
        </w:rPr>
      </w:pPr>
      <w:r w:rsidRPr="00AD3B62">
        <w:rPr>
          <w:rFonts w:asciiTheme="minorHAnsi" w:hAnsiTheme="minorHAnsi" w:cstheme="minorHAnsi"/>
          <w:sz w:val="22"/>
          <w:szCs w:val="24"/>
        </w:rPr>
        <w:t>Key activities include:</w:t>
      </w:r>
    </w:p>
    <w:p w14:paraId="192BAF2A" w14:textId="77777777" w:rsidR="004276F6" w:rsidRPr="00AD3B62" w:rsidRDefault="004276F6" w:rsidP="004276F6">
      <w:pPr>
        <w:pStyle w:val="ListBullet"/>
        <w:rPr>
          <w:rFonts w:asciiTheme="minorHAnsi" w:hAnsiTheme="minorHAnsi" w:cstheme="minorHAnsi"/>
          <w:sz w:val="22"/>
          <w:szCs w:val="24"/>
        </w:rPr>
      </w:pPr>
      <w:r w:rsidRPr="00AD3B62">
        <w:rPr>
          <w:rFonts w:asciiTheme="minorHAnsi" w:hAnsiTheme="minorHAnsi" w:cstheme="minorHAnsi"/>
          <w:b/>
          <w:bCs/>
          <w:sz w:val="22"/>
          <w:szCs w:val="24"/>
        </w:rPr>
        <w:t>Guidance:</w:t>
      </w:r>
      <w:r w:rsidRPr="00AD3B62">
        <w:rPr>
          <w:rFonts w:asciiTheme="minorHAnsi" w:hAnsiTheme="minorHAnsi" w:cstheme="minorHAnsi"/>
          <w:sz w:val="22"/>
          <w:szCs w:val="24"/>
        </w:rPr>
        <w:t xml:space="preserve"> Practical guidance aligned with regulatory priorities and systemic risks. Resources are developed in response to gaps in knowledge or practice and are made accessible online.</w:t>
      </w:r>
    </w:p>
    <w:p w14:paraId="08073EB6" w14:textId="77777777" w:rsidR="004276F6" w:rsidRPr="00AD3B62" w:rsidRDefault="004276F6" w:rsidP="004276F6">
      <w:pPr>
        <w:pStyle w:val="ListBullet"/>
        <w:rPr>
          <w:rFonts w:asciiTheme="minorHAnsi" w:hAnsiTheme="minorHAnsi" w:cstheme="minorHAnsi"/>
          <w:sz w:val="22"/>
          <w:szCs w:val="24"/>
        </w:rPr>
      </w:pPr>
      <w:r w:rsidRPr="00AD3B62">
        <w:rPr>
          <w:rFonts w:asciiTheme="minorHAnsi" w:hAnsiTheme="minorHAnsi" w:cstheme="minorHAnsi"/>
          <w:b/>
          <w:bCs/>
          <w:sz w:val="22"/>
          <w:szCs w:val="24"/>
        </w:rPr>
        <w:t>Templates:</w:t>
      </w:r>
      <w:r w:rsidRPr="00AD3B62">
        <w:rPr>
          <w:rFonts w:asciiTheme="minorHAnsi" w:hAnsiTheme="minorHAnsi" w:cstheme="minorHAnsi"/>
          <w:sz w:val="22"/>
          <w:szCs w:val="24"/>
        </w:rPr>
        <w:t xml:space="preserve"> Standardised templates for key reporting and notification requirements to support consistency and reduce administrative burden.</w:t>
      </w:r>
    </w:p>
    <w:p w14:paraId="3989F46F" w14:textId="77777777" w:rsidR="004276F6" w:rsidRPr="00AD3B62" w:rsidRDefault="004276F6" w:rsidP="004276F6">
      <w:pPr>
        <w:pStyle w:val="ListBullet"/>
        <w:rPr>
          <w:rFonts w:asciiTheme="minorHAnsi" w:hAnsiTheme="minorHAnsi" w:cstheme="minorHAnsi"/>
          <w:sz w:val="22"/>
          <w:szCs w:val="24"/>
        </w:rPr>
      </w:pPr>
      <w:r w:rsidRPr="00AD3B62">
        <w:rPr>
          <w:rFonts w:asciiTheme="minorHAnsi" w:hAnsiTheme="minorHAnsi" w:cstheme="minorHAnsi"/>
          <w:b/>
          <w:bCs/>
          <w:sz w:val="22"/>
          <w:szCs w:val="24"/>
        </w:rPr>
        <w:t>Advice:</w:t>
      </w:r>
      <w:r w:rsidRPr="00AD3B62">
        <w:rPr>
          <w:rFonts w:asciiTheme="minorHAnsi" w:hAnsiTheme="minorHAnsi" w:cstheme="minorHAnsi"/>
          <w:sz w:val="22"/>
          <w:szCs w:val="24"/>
        </w:rPr>
        <w:t xml:space="preserve"> Responsive advice to clarify misunderstandings. Where repeated issues arise, FAQs are updated to ensure sector-wide access to consistent information.</w:t>
      </w:r>
    </w:p>
    <w:p w14:paraId="56F67E8C" w14:textId="77777777" w:rsidR="004276F6" w:rsidRPr="00AD3B62" w:rsidRDefault="004276F6" w:rsidP="004276F6">
      <w:pPr>
        <w:pStyle w:val="ListBullet"/>
        <w:rPr>
          <w:rFonts w:asciiTheme="minorHAnsi" w:hAnsiTheme="minorHAnsi" w:cstheme="minorHAnsi"/>
          <w:sz w:val="22"/>
          <w:szCs w:val="24"/>
        </w:rPr>
      </w:pPr>
      <w:r w:rsidRPr="00AD3B62">
        <w:rPr>
          <w:rFonts w:asciiTheme="minorHAnsi" w:hAnsiTheme="minorHAnsi" w:cstheme="minorHAnsi"/>
          <w:b/>
          <w:bCs/>
          <w:sz w:val="22"/>
          <w:szCs w:val="24"/>
        </w:rPr>
        <w:lastRenderedPageBreak/>
        <w:t>Engagement:</w:t>
      </w:r>
      <w:r w:rsidRPr="00AD3B62">
        <w:rPr>
          <w:rFonts w:asciiTheme="minorHAnsi" w:hAnsiTheme="minorHAnsi" w:cstheme="minorHAnsi"/>
          <w:sz w:val="22"/>
          <w:szCs w:val="24"/>
        </w:rPr>
        <w:t xml:space="preserve"> Strategic engagement with peak bodies, individual providers, and advisory panels to share insights, and promote emerging and leading practices.</w:t>
      </w:r>
    </w:p>
    <w:p w14:paraId="76C4B2D1" w14:textId="77777777" w:rsidR="004276F6" w:rsidRPr="00AD3B62" w:rsidRDefault="004276F6" w:rsidP="004276F6">
      <w:pPr>
        <w:pStyle w:val="ListBullet"/>
        <w:rPr>
          <w:rFonts w:asciiTheme="minorHAnsi" w:hAnsiTheme="minorHAnsi" w:cstheme="minorHAnsi"/>
          <w:sz w:val="22"/>
          <w:szCs w:val="24"/>
        </w:rPr>
      </w:pPr>
      <w:r w:rsidRPr="00AD3B62">
        <w:rPr>
          <w:rFonts w:asciiTheme="minorHAnsi" w:hAnsiTheme="minorHAnsi" w:cstheme="minorHAnsi"/>
          <w:b/>
          <w:bCs/>
          <w:sz w:val="22"/>
          <w:szCs w:val="24"/>
        </w:rPr>
        <w:t>Capability building</w:t>
      </w:r>
      <w:r w:rsidRPr="00AD3B62">
        <w:rPr>
          <w:rFonts w:asciiTheme="minorHAnsi" w:hAnsiTheme="minorHAnsi" w:cstheme="minorHAnsi"/>
          <w:sz w:val="22"/>
          <w:szCs w:val="24"/>
        </w:rPr>
        <w:t>: Support for providers to strengthen governance, systems, and culture. This includes embedding trauma-informed and person-centred approaches.</w:t>
      </w:r>
    </w:p>
    <w:p w14:paraId="51E6EA1E" w14:textId="42E9B5D1" w:rsidR="004276F6" w:rsidRPr="00AD3B62" w:rsidRDefault="004276F6" w:rsidP="003A1A4B">
      <w:pPr>
        <w:pStyle w:val="ListBullet"/>
        <w:rPr>
          <w:rFonts w:asciiTheme="minorHAnsi" w:hAnsiTheme="minorHAnsi" w:cstheme="minorHAnsi"/>
          <w:sz w:val="22"/>
          <w:szCs w:val="24"/>
        </w:rPr>
      </w:pPr>
      <w:r w:rsidRPr="00AD3B62">
        <w:rPr>
          <w:rFonts w:asciiTheme="minorHAnsi" w:hAnsiTheme="minorHAnsi" w:cstheme="minorHAnsi"/>
          <w:b/>
          <w:bCs/>
          <w:sz w:val="22"/>
          <w:szCs w:val="24"/>
        </w:rPr>
        <w:t>Stakeholder analysis:</w:t>
      </w:r>
      <w:r w:rsidRPr="00AD3B62">
        <w:rPr>
          <w:rFonts w:asciiTheme="minorHAnsi" w:hAnsiTheme="minorHAnsi" w:cstheme="minorHAnsi"/>
          <w:sz w:val="22"/>
          <w:szCs w:val="24"/>
        </w:rPr>
        <w:t xml:space="preserve"> Identification of key groups and organisations that influence successful implementation of the Code, ensuring tailored engagement strategies.</w:t>
      </w:r>
    </w:p>
    <w:p w14:paraId="19B1408F" w14:textId="132615EA" w:rsidR="00136153" w:rsidRDefault="00136153" w:rsidP="00136153">
      <w:pPr>
        <w:pStyle w:val="ListBullet"/>
        <w:rPr>
          <w:rFonts w:asciiTheme="minorHAnsi" w:hAnsiTheme="minorHAnsi" w:cstheme="minorHAnsi"/>
          <w:sz w:val="22"/>
          <w:szCs w:val="24"/>
        </w:rPr>
      </w:pPr>
      <w:r w:rsidRPr="00AD3B62">
        <w:rPr>
          <w:rFonts w:asciiTheme="minorHAnsi" w:hAnsiTheme="minorHAnsi" w:cstheme="minorHAnsi"/>
          <w:b/>
          <w:bCs/>
          <w:sz w:val="22"/>
          <w:szCs w:val="24"/>
        </w:rPr>
        <w:t>Letters of assurance:</w:t>
      </w:r>
      <w:r w:rsidRPr="00AD3B62">
        <w:rPr>
          <w:rFonts w:asciiTheme="minorHAnsi" w:hAnsiTheme="minorHAnsi" w:cstheme="minorHAnsi"/>
          <w:sz w:val="22"/>
          <w:szCs w:val="24"/>
        </w:rPr>
        <w:t xml:space="preserve"> provider commitments to remediate issues that are monitored by the GBV Regulator.</w:t>
      </w:r>
    </w:p>
    <w:p w14:paraId="67B92C86" w14:textId="77777777" w:rsidR="00875041" w:rsidRPr="00AD3B62" w:rsidRDefault="00875041" w:rsidP="00875041">
      <w:pPr>
        <w:pStyle w:val="ListBullet"/>
        <w:numPr>
          <w:ilvl w:val="0"/>
          <w:numId w:val="0"/>
        </w:numPr>
        <w:rPr>
          <w:rFonts w:asciiTheme="minorHAnsi" w:hAnsiTheme="minorHAnsi" w:cstheme="minorHAnsi"/>
          <w:sz w:val="22"/>
          <w:szCs w:val="24"/>
        </w:rPr>
      </w:pPr>
    </w:p>
    <w:p w14:paraId="631450A4" w14:textId="6D9342A5" w:rsidR="004276F6" w:rsidRPr="00AD3B62" w:rsidRDefault="004276F6" w:rsidP="00875041">
      <w:pPr>
        <w:pStyle w:val="Heading1"/>
        <w:shd w:val="clear" w:color="auto" w:fill="FFFFFF" w:themeFill="background1"/>
        <w:spacing w:before="0" w:after="240"/>
        <w:ind w:left="431" w:hanging="431"/>
        <w:rPr>
          <w:rFonts w:asciiTheme="minorHAnsi" w:hAnsiTheme="minorHAnsi" w:cstheme="minorHAnsi"/>
          <w:color w:val="49255F"/>
        </w:rPr>
      </w:pPr>
      <w:bookmarkStart w:id="27" w:name="_Toc215493957"/>
      <w:r w:rsidRPr="00AD3B62">
        <w:rPr>
          <w:rFonts w:asciiTheme="minorHAnsi" w:hAnsiTheme="minorHAnsi" w:cstheme="minorHAnsi"/>
          <w:color w:val="49255F"/>
        </w:rPr>
        <w:t>Directed compliance</w:t>
      </w:r>
      <w:bookmarkEnd w:id="27"/>
    </w:p>
    <w:p w14:paraId="0CF319EB" w14:textId="77777777" w:rsidR="004276F6" w:rsidRPr="00AD3B62" w:rsidRDefault="004276F6" w:rsidP="004276F6">
      <w:pPr>
        <w:rPr>
          <w:rFonts w:asciiTheme="minorHAnsi" w:hAnsiTheme="minorHAnsi" w:cstheme="minorHAnsi"/>
          <w:sz w:val="22"/>
          <w:szCs w:val="24"/>
        </w:rPr>
      </w:pPr>
      <w:r w:rsidRPr="00AD3B62">
        <w:rPr>
          <w:rFonts w:asciiTheme="minorHAnsi" w:hAnsiTheme="minorHAnsi" w:cstheme="minorHAnsi"/>
          <w:sz w:val="22"/>
          <w:szCs w:val="24"/>
        </w:rPr>
        <w:t xml:space="preserve">Consistent with the regulatory principle of transparency and accountability, directed compliance refers to the GBV Regulator’s regulatory actions to address non-compliance or suspected non-compliance that has been identified through monitoring, intelligence, or provider engagement. </w:t>
      </w:r>
    </w:p>
    <w:p w14:paraId="65360324" w14:textId="77777777" w:rsidR="004276F6" w:rsidRPr="00AD3B62" w:rsidRDefault="004276F6" w:rsidP="004276F6">
      <w:pPr>
        <w:rPr>
          <w:rFonts w:asciiTheme="minorHAnsi" w:hAnsiTheme="minorHAnsi" w:cstheme="minorHAnsi"/>
          <w:sz w:val="22"/>
          <w:szCs w:val="24"/>
        </w:rPr>
      </w:pPr>
      <w:r w:rsidRPr="00AD3B62">
        <w:rPr>
          <w:rFonts w:asciiTheme="minorHAnsi" w:hAnsiTheme="minorHAnsi" w:cstheme="minorHAnsi"/>
          <w:sz w:val="22"/>
          <w:szCs w:val="24"/>
        </w:rPr>
        <w:t>These actions are designed to guide providers toward meeting their requirements under the National Code without immediately escalating to formal enforcement.</w:t>
      </w:r>
    </w:p>
    <w:p w14:paraId="642373D0" w14:textId="4580EC99" w:rsidR="004276F6" w:rsidRPr="00AD3B62" w:rsidRDefault="008971A5" w:rsidP="006E5978">
      <w:pPr>
        <w:pStyle w:val="Heading2"/>
      </w:pPr>
      <w:bookmarkStart w:id="28" w:name="_Toc215493958"/>
      <w:r w:rsidRPr="00AD3B62">
        <w:t xml:space="preserve"> </w:t>
      </w:r>
      <w:r w:rsidR="004276F6" w:rsidRPr="00AD3B62">
        <w:t>Purpose of directed compliance</w:t>
      </w:r>
      <w:bookmarkEnd w:id="28"/>
      <w:r w:rsidR="004276F6" w:rsidRPr="00AD3B62">
        <w:t xml:space="preserve"> </w:t>
      </w:r>
    </w:p>
    <w:p w14:paraId="3F1ED671" w14:textId="77777777" w:rsidR="004276F6" w:rsidRPr="00AD3B62" w:rsidRDefault="004276F6" w:rsidP="004276F6">
      <w:pPr>
        <w:rPr>
          <w:rFonts w:asciiTheme="minorHAnsi" w:hAnsiTheme="minorHAnsi" w:cstheme="minorHAnsi"/>
          <w:sz w:val="22"/>
          <w:szCs w:val="24"/>
        </w:rPr>
      </w:pPr>
      <w:r w:rsidRPr="00AD3B62">
        <w:rPr>
          <w:rFonts w:asciiTheme="minorHAnsi" w:hAnsiTheme="minorHAnsi" w:cstheme="minorHAnsi"/>
          <w:sz w:val="22"/>
          <w:szCs w:val="24"/>
        </w:rPr>
        <w:t>The purpose of compliance activities is to:</w:t>
      </w:r>
    </w:p>
    <w:p w14:paraId="4D90F6D9" w14:textId="77777777" w:rsidR="004276F6" w:rsidRPr="00AD3B62" w:rsidRDefault="004276F6" w:rsidP="004276F6">
      <w:pPr>
        <w:pStyle w:val="ListBullet"/>
        <w:rPr>
          <w:rFonts w:asciiTheme="minorHAnsi" w:hAnsiTheme="minorHAnsi" w:cstheme="minorHAnsi"/>
          <w:sz w:val="22"/>
          <w:szCs w:val="24"/>
        </w:rPr>
      </w:pPr>
      <w:r w:rsidRPr="00AD3B62">
        <w:rPr>
          <w:rFonts w:asciiTheme="minorHAnsi" w:hAnsiTheme="minorHAnsi" w:cstheme="minorHAnsi"/>
          <w:sz w:val="22"/>
          <w:szCs w:val="24"/>
        </w:rPr>
        <w:t>Prompt corrective action in response to identified or suspected non-compliance.</w:t>
      </w:r>
    </w:p>
    <w:p w14:paraId="04B21CC0" w14:textId="77777777" w:rsidR="004276F6" w:rsidRPr="00AD3B62" w:rsidRDefault="004276F6" w:rsidP="004276F6">
      <w:pPr>
        <w:pStyle w:val="ListBullet"/>
        <w:rPr>
          <w:rFonts w:asciiTheme="minorHAnsi" w:hAnsiTheme="minorHAnsi" w:cstheme="minorHAnsi"/>
          <w:sz w:val="22"/>
          <w:szCs w:val="24"/>
        </w:rPr>
      </w:pPr>
      <w:r w:rsidRPr="00AD3B62">
        <w:rPr>
          <w:rFonts w:asciiTheme="minorHAnsi" w:hAnsiTheme="minorHAnsi" w:cstheme="minorHAnsi"/>
          <w:sz w:val="22"/>
          <w:szCs w:val="24"/>
        </w:rPr>
        <w:t>Support providers to understand and resolve issues in a timely and proportionate manner.</w:t>
      </w:r>
    </w:p>
    <w:p w14:paraId="01F04B38" w14:textId="77777777" w:rsidR="004276F6" w:rsidRPr="00AD3B62" w:rsidRDefault="004276F6" w:rsidP="004276F6">
      <w:pPr>
        <w:pStyle w:val="ListBullet"/>
        <w:rPr>
          <w:rFonts w:asciiTheme="minorHAnsi" w:hAnsiTheme="minorHAnsi" w:cstheme="minorHAnsi"/>
          <w:sz w:val="22"/>
          <w:szCs w:val="24"/>
        </w:rPr>
      </w:pPr>
      <w:r w:rsidRPr="00AD3B62">
        <w:rPr>
          <w:rFonts w:asciiTheme="minorHAnsi" w:hAnsiTheme="minorHAnsi" w:cstheme="minorHAnsi"/>
          <w:sz w:val="22"/>
          <w:szCs w:val="24"/>
        </w:rPr>
        <w:t>Minimise harm and disruption while maintaining accountability.</w:t>
      </w:r>
    </w:p>
    <w:p w14:paraId="72A726E7" w14:textId="2C056A72" w:rsidR="004276F6" w:rsidRPr="00AD3B62" w:rsidRDefault="004276F6" w:rsidP="004276F6">
      <w:pPr>
        <w:pStyle w:val="ListBullet"/>
        <w:rPr>
          <w:rFonts w:asciiTheme="minorHAnsi" w:hAnsiTheme="minorHAnsi" w:cstheme="minorHAnsi"/>
          <w:sz w:val="22"/>
          <w:szCs w:val="24"/>
        </w:rPr>
      </w:pPr>
      <w:r w:rsidRPr="00AD3B62">
        <w:rPr>
          <w:rFonts w:asciiTheme="minorHAnsi" w:hAnsiTheme="minorHAnsi" w:cstheme="minorHAnsi"/>
          <w:sz w:val="22"/>
          <w:szCs w:val="24"/>
        </w:rPr>
        <w:t>Encourage continuous improvement and prevent recurrence of breaches.</w:t>
      </w:r>
    </w:p>
    <w:p w14:paraId="6583D9D2" w14:textId="212FE56B" w:rsidR="004276F6" w:rsidRPr="00AD3B62" w:rsidRDefault="008971A5" w:rsidP="006E5978">
      <w:pPr>
        <w:pStyle w:val="Heading2"/>
      </w:pPr>
      <w:bookmarkStart w:id="29" w:name="_Toc215493959"/>
      <w:r w:rsidRPr="00AD3B62">
        <w:t xml:space="preserve"> </w:t>
      </w:r>
      <w:r w:rsidR="004276F6" w:rsidRPr="00AD3B62">
        <w:t>Activities to support compliance activities</w:t>
      </w:r>
      <w:bookmarkEnd w:id="29"/>
    </w:p>
    <w:p w14:paraId="0E484301" w14:textId="77777777" w:rsidR="004276F6" w:rsidRPr="00AD3B62" w:rsidRDefault="004276F6" w:rsidP="004276F6">
      <w:pPr>
        <w:rPr>
          <w:rFonts w:asciiTheme="minorHAnsi" w:hAnsiTheme="minorHAnsi" w:cstheme="minorHAnsi"/>
          <w:sz w:val="22"/>
          <w:szCs w:val="24"/>
        </w:rPr>
      </w:pPr>
      <w:r w:rsidRPr="00AD3B62">
        <w:rPr>
          <w:rFonts w:asciiTheme="minorHAnsi" w:hAnsiTheme="minorHAnsi" w:cstheme="minorHAnsi"/>
          <w:sz w:val="22"/>
          <w:szCs w:val="24"/>
        </w:rPr>
        <w:t xml:space="preserve">Key compliance activities and tools include: </w:t>
      </w:r>
    </w:p>
    <w:p w14:paraId="16AE0A73" w14:textId="77777777" w:rsidR="004276F6" w:rsidRPr="00AD3B62" w:rsidRDefault="004276F6" w:rsidP="004276F6">
      <w:pPr>
        <w:pStyle w:val="ListBullet"/>
        <w:rPr>
          <w:rFonts w:asciiTheme="minorHAnsi" w:hAnsiTheme="minorHAnsi" w:cstheme="minorHAnsi"/>
          <w:sz w:val="22"/>
          <w:szCs w:val="24"/>
        </w:rPr>
      </w:pPr>
      <w:r w:rsidRPr="00AD3B62">
        <w:rPr>
          <w:rFonts w:asciiTheme="minorHAnsi" w:hAnsiTheme="minorHAnsi" w:cstheme="minorHAnsi"/>
          <w:b/>
          <w:bCs/>
          <w:sz w:val="22"/>
          <w:szCs w:val="24"/>
        </w:rPr>
        <w:t>Compliance notices</w:t>
      </w:r>
      <w:r w:rsidRPr="00AD3B62">
        <w:rPr>
          <w:rFonts w:asciiTheme="minorHAnsi" w:hAnsiTheme="minorHAnsi" w:cstheme="minorHAnsi"/>
          <w:sz w:val="22"/>
          <w:szCs w:val="24"/>
        </w:rPr>
        <w:t xml:space="preserve">: formal notices requiring corrective action, which may result in a civil penalty if the provider fails to comply. </w:t>
      </w:r>
    </w:p>
    <w:p w14:paraId="4A00AB5F" w14:textId="77777777" w:rsidR="004276F6" w:rsidRPr="00AD3B62" w:rsidRDefault="004276F6" w:rsidP="004276F6">
      <w:pPr>
        <w:pStyle w:val="ListBullet"/>
        <w:rPr>
          <w:rFonts w:asciiTheme="minorHAnsi" w:hAnsiTheme="minorHAnsi" w:cstheme="minorHAnsi"/>
          <w:sz w:val="22"/>
          <w:szCs w:val="24"/>
        </w:rPr>
      </w:pPr>
      <w:r w:rsidRPr="00AD3B62">
        <w:rPr>
          <w:rFonts w:asciiTheme="minorHAnsi" w:hAnsiTheme="minorHAnsi" w:cstheme="minorHAnsi"/>
          <w:b/>
          <w:bCs/>
          <w:sz w:val="22"/>
          <w:szCs w:val="24"/>
        </w:rPr>
        <w:t>Warning letters:</w:t>
      </w:r>
      <w:r w:rsidRPr="00AD3B62">
        <w:rPr>
          <w:rFonts w:asciiTheme="minorHAnsi" w:hAnsiTheme="minorHAnsi" w:cstheme="minorHAnsi"/>
          <w:sz w:val="22"/>
          <w:szCs w:val="24"/>
        </w:rPr>
        <w:t xml:space="preserve"> informal written notices identifying concerns and expected actions.</w:t>
      </w:r>
    </w:p>
    <w:p w14:paraId="7F537CE7" w14:textId="757E426B" w:rsidR="004276F6" w:rsidRPr="00AD3B62" w:rsidRDefault="00DE77C7" w:rsidP="006E5978">
      <w:pPr>
        <w:pStyle w:val="Heading2"/>
      </w:pPr>
      <w:bookmarkStart w:id="30" w:name="_Toc215493960"/>
      <w:r w:rsidRPr="00AD3B62">
        <w:t xml:space="preserve"> </w:t>
      </w:r>
      <w:r w:rsidR="004276F6" w:rsidRPr="00AD3B62">
        <w:t>Outcomes of directed compliance activities</w:t>
      </w:r>
      <w:bookmarkEnd w:id="30"/>
    </w:p>
    <w:p w14:paraId="40EBA3C0" w14:textId="77777777" w:rsidR="004276F6" w:rsidRPr="00AD3B62" w:rsidRDefault="004276F6" w:rsidP="004276F6">
      <w:pPr>
        <w:rPr>
          <w:rFonts w:asciiTheme="minorHAnsi" w:hAnsiTheme="minorHAnsi" w:cstheme="minorHAnsi"/>
          <w:sz w:val="22"/>
          <w:szCs w:val="24"/>
        </w:rPr>
      </w:pPr>
      <w:r w:rsidRPr="00AD3B62">
        <w:rPr>
          <w:rFonts w:asciiTheme="minorHAnsi" w:hAnsiTheme="minorHAnsi" w:cstheme="minorHAnsi"/>
          <w:sz w:val="22"/>
          <w:szCs w:val="24"/>
        </w:rPr>
        <w:t>Directed compliance actions are intended to support providers in resolving issues early and proportionately. The outcomes of these activities include:</w:t>
      </w:r>
    </w:p>
    <w:p w14:paraId="5A0B3D13" w14:textId="77777777" w:rsidR="004276F6" w:rsidRPr="00AD3B62" w:rsidRDefault="004276F6" w:rsidP="004276F6">
      <w:pPr>
        <w:pStyle w:val="ListBullet"/>
        <w:rPr>
          <w:rFonts w:asciiTheme="minorHAnsi" w:hAnsiTheme="minorHAnsi" w:cstheme="minorHAnsi"/>
          <w:sz w:val="22"/>
          <w:szCs w:val="24"/>
        </w:rPr>
      </w:pPr>
      <w:r w:rsidRPr="00AD3B62">
        <w:rPr>
          <w:rFonts w:asciiTheme="minorHAnsi" w:hAnsiTheme="minorHAnsi" w:cstheme="minorHAnsi"/>
          <w:b/>
          <w:bCs/>
          <w:sz w:val="22"/>
          <w:szCs w:val="24"/>
        </w:rPr>
        <w:t>Corrective action:</w:t>
      </w:r>
      <w:r w:rsidRPr="00AD3B62">
        <w:rPr>
          <w:rFonts w:asciiTheme="minorHAnsi" w:hAnsiTheme="minorHAnsi" w:cstheme="minorHAnsi"/>
          <w:sz w:val="22"/>
          <w:szCs w:val="24"/>
        </w:rPr>
        <w:t xml:space="preserve"> providers take steps to address identified/suspected non-compliance. </w:t>
      </w:r>
    </w:p>
    <w:p w14:paraId="2823EBCA" w14:textId="77777777" w:rsidR="004276F6" w:rsidRPr="00AD3B62" w:rsidRDefault="004276F6" w:rsidP="004276F6">
      <w:pPr>
        <w:pStyle w:val="ListBullet"/>
        <w:rPr>
          <w:rFonts w:asciiTheme="minorHAnsi" w:hAnsiTheme="minorHAnsi" w:cstheme="minorHAnsi"/>
          <w:sz w:val="22"/>
          <w:szCs w:val="24"/>
        </w:rPr>
      </w:pPr>
      <w:r w:rsidRPr="00AD3B62">
        <w:rPr>
          <w:rFonts w:asciiTheme="minorHAnsi" w:hAnsiTheme="minorHAnsi" w:cstheme="minorHAnsi"/>
          <w:b/>
          <w:bCs/>
          <w:sz w:val="22"/>
          <w:szCs w:val="24"/>
        </w:rPr>
        <w:t>Timely resolution:</w:t>
      </w:r>
      <w:r w:rsidRPr="00AD3B62">
        <w:rPr>
          <w:rFonts w:asciiTheme="minorHAnsi" w:hAnsiTheme="minorHAnsi" w:cstheme="minorHAnsi"/>
          <w:sz w:val="22"/>
          <w:szCs w:val="24"/>
        </w:rPr>
        <w:t xml:space="preserve"> issues are resolved without escalation to formal enforcement and minimises disruption to students and staff.</w:t>
      </w:r>
    </w:p>
    <w:p w14:paraId="2772F8C1" w14:textId="78EC9BDA" w:rsidR="004276F6" w:rsidRPr="00AD3B62" w:rsidRDefault="004276F6" w:rsidP="004276F6">
      <w:pPr>
        <w:pStyle w:val="ListBullet"/>
        <w:rPr>
          <w:rFonts w:asciiTheme="minorHAnsi" w:hAnsiTheme="minorHAnsi" w:cstheme="minorHAnsi"/>
          <w:sz w:val="22"/>
          <w:szCs w:val="24"/>
        </w:rPr>
      </w:pPr>
      <w:r w:rsidRPr="00AD3B62">
        <w:rPr>
          <w:rFonts w:asciiTheme="minorHAnsi" w:hAnsiTheme="minorHAnsi" w:cstheme="minorHAnsi"/>
          <w:b/>
          <w:bCs/>
          <w:sz w:val="22"/>
          <w:szCs w:val="24"/>
        </w:rPr>
        <w:t>Escalation to enforcement</w:t>
      </w:r>
      <w:r w:rsidRPr="00AD3B62">
        <w:rPr>
          <w:rFonts w:asciiTheme="minorHAnsi" w:hAnsiTheme="minorHAnsi" w:cstheme="minorHAnsi"/>
          <w:sz w:val="22"/>
          <w:szCs w:val="24"/>
        </w:rPr>
        <w:t>: where directed compliance does not result in satisfactory outcomes or where there is serious risk, it is escalated to formal enforcement action.</w:t>
      </w:r>
    </w:p>
    <w:p w14:paraId="39488584" w14:textId="6D65EC41" w:rsidR="00875041" w:rsidRPr="00AD3B62" w:rsidRDefault="004276F6" w:rsidP="00B8786D">
      <w:pPr>
        <w:rPr>
          <w:rFonts w:asciiTheme="minorHAnsi" w:hAnsiTheme="minorHAnsi" w:cstheme="minorHAnsi"/>
          <w:sz w:val="22"/>
          <w:szCs w:val="24"/>
        </w:rPr>
      </w:pPr>
      <w:r w:rsidRPr="00AD3B62">
        <w:rPr>
          <w:rFonts w:asciiTheme="minorHAnsi" w:hAnsiTheme="minorHAnsi" w:cstheme="minorHAnsi"/>
          <w:sz w:val="22"/>
          <w:szCs w:val="24"/>
        </w:rPr>
        <w:t xml:space="preserve">Directed compliance is also consistent with the regulatory principle of continuous improvement as it contributes to sector-wide improvement by promoting consistent standards, encouraging early intervention, and reinforcing a culture of accountability. These activities are not designed only to </w:t>
      </w:r>
      <w:r w:rsidRPr="00AD3B62">
        <w:rPr>
          <w:rFonts w:asciiTheme="minorHAnsi" w:hAnsiTheme="minorHAnsi" w:cstheme="minorHAnsi"/>
          <w:sz w:val="22"/>
          <w:szCs w:val="24"/>
        </w:rPr>
        <w:lastRenderedPageBreak/>
        <w:t>address individual instances; they help build a regulatory environment where providers are supported to meet their requirements and uplift their performance and where risks are addressed before harm occurs.</w:t>
      </w:r>
      <w:r w:rsidR="00875041">
        <w:rPr>
          <w:rFonts w:asciiTheme="minorHAnsi" w:hAnsiTheme="minorHAnsi" w:cstheme="minorHAnsi"/>
          <w:sz w:val="22"/>
          <w:szCs w:val="24"/>
        </w:rPr>
        <w:br/>
      </w:r>
    </w:p>
    <w:p w14:paraId="3DDE2473" w14:textId="5C36C472" w:rsidR="004276F6" w:rsidRPr="00AD3B62" w:rsidRDefault="004276F6" w:rsidP="00875041">
      <w:pPr>
        <w:pStyle w:val="Heading1"/>
        <w:shd w:val="clear" w:color="auto" w:fill="FFFFFF" w:themeFill="background1"/>
        <w:spacing w:before="0" w:after="240"/>
        <w:ind w:left="431" w:hanging="431"/>
        <w:rPr>
          <w:rFonts w:asciiTheme="minorHAnsi" w:hAnsiTheme="minorHAnsi" w:cstheme="minorHAnsi"/>
          <w:color w:val="49255F"/>
        </w:rPr>
      </w:pPr>
      <w:bookmarkStart w:id="31" w:name="_Toc215493961"/>
      <w:r w:rsidRPr="00AD3B62">
        <w:rPr>
          <w:rFonts w:asciiTheme="minorHAnsi" w:hAnsiTheme="minorHAnsi" w:cstheme="minorHAnsi"/>
          <w:color w:val="49255F"/>
        </w:rPr>
        <w:t>Enforcement</w:t>
      </w:r>
      <w:bookmarkEnd w:id="31"/>
      <w:r w:rsidRPr="00AD3B62">
        <w:rPr>
          <w:rFonts w:asciiTheme="minorHAnsi" w:hAnsiTheme="minorHAnsi" w:cstheme="minorHAnsi"/>
          <w:color w:val="49255F"/>
        </w:rPr>
        <w:t xml:space="preserve"> </w:t>
      </w:r>
    </w:p>
    <w:p w14:paraId="0A292675" w14:textId="542533FF" w:rsidR="004276F6" w:rsidRPr="00AD3B62" w:rsidRDefault="004276F6" w:rsidP="004276F6">
      <w:pPr>
        <w:rPr>
          <w:rFonts w:asciiTheme="minorHAnsi" w:hAnsiTheme="minorHAnsi" w:cstheme="minorHAnsi"/>
          <w:sz w:val="22"/>
          <w:szCs w:val="24"/>
        </w:rPr>
      </w:pPr>
      <w:r w:rsidRPr="00AD3B62">
        <w:rPr>
          <w:rFonts w:asciiTheme="minorHAnsi" w:hAnsiTheme="minorHAnsi" w:cstheme="minorHAnsi"/>
          <w:sz w:val="22"/>
          <w:szCs w:val="24"/>
        </w:rPr>
        <w:t xml:space="preserve">The GBV Regulator exists to drive sector-wide change to reduce gender-based violence. This is reflected in its regulatory principle of continuous improvement. Enforcement is one way to achieve this purpose. Enforcement actions seek to generate sector-wide impact by prompting improvements in practice, increasing awareness of requirements, and creating a culture of compliance. </w:t>
      </w:r>
    </w:p>
    <w:p w14:paraId="466478E8" w14:textId="56318E7A" w:rsidR="004276F6" w:rsidRPr="00AD3B62" w:rsidRDefault="004276F6" w:rsidP="004276F6">
      <w:pPr>
        <w:rPr>
          <w:rFonts w:asciiTheme="minorHAnsi" w:hAnsiTheme="minorHAnsi" w:cstheme="minorHAnsi"/>
          <w:sz w:val="22"/>
          <w:szCs w:val="24"/>
        </w:rPr>
      </w:pPr>
      <w:r w:rsidRPr="00AD3B62">
        <w:rPr>
          <w:rFonts w:asciiTheme="minorHAnsi" w:hAnsiTheme="minorHAnsi" w:cstheme="minorHAnsi"/>
          <w:sz w:val="22"/>
          <w:szCs w:val="24"/>
        </w:rPr>
        <w:t>Consistent with the regulatory principles of proportionate and risk-based, and transparent and accountable, enforcement is used where there is serious or systemic non-compliance from a provider, or where there is a significant risk of harm to students, staff or to the broader community. Enforcement actions are taken to hold higher education providers accountable to their requirements under the National Code and the Act.</w:t>
      </w:r>
    </w:p>
    <w:p w14:paraId="177F29FC" w14:textId="1560CAAF" w:rsidR="004276F6" w:rsidRPr="00AD3B62" w:rsidRDefault="008F1B55" w:rsidP="006E5978">
      <w:pPr>
        <w:pStyle w:val="Heading2"/>
      </w:pPr>
      <w:bookmarkStart w:id="32" w:name="_Toc215493962"/>
      <w:r w:rsidRPr="00AD3B62">
        <w:t xml:space="preserve"> </w:t>
      </w:r>
      <w:r w:rsidR="004276F6" w:rsidRPr="00AD3B62">
        <w:t>Purpose of enforcement activities</w:t>
      </w:r>
      <w:bookmarkEnd w:id="32"/>
    </w:p>
    <w:p w14:paraId="047A69E3" w14:textId="77777777" w:rsidR="004276F6" w:rsidRPr="00AD3B62" w:rsidRDefault="004276F6" w:rsidP="004276F6">
      <w:pPr>
        <w:rPr>
          <w:rFonts w:asciiTheme="minorHAnsi" w:hAnsiTheme="minorHAnsi" w:cstheme="minorHAnsi"/>
          <w:sz w:val="22"/>
          <w:szCs w:val="24"/>
        </w:rPr>
      </w:pPr>
      <w:r w:rsidRPr="00AD3B62">
        <w:rPr>
          <w:rFonts w:asciiTheme="minorHAnsi" w:hAnsiTheme="minorHAnsi" w:cstheme="minorHAnsi"/>
          <w:sz w:val="22"/>
          <w:szCs w:val="24"/>
        </w:rPr>
        <w:t xml:space="preserve">The purpose of enforcement actions is to: </w:t>
      </w:r>
    </w:p>
    <w:p w14:paraId="6613C188" w14:textId="77777777" w:rsidR="004276F6" w:rsidRPr="00AD3B62" w:rsidRDefault="004276F6" w:rsidP="004276F6">
      <w:pPr>
        <w:pStyle w:val="ListParagraph"/>
        <w:numPr>
          <w:ilvl w:val="0"/>
          <w:numId w:val="21"/>
        </w:numPr>
        <w:rPr>
          <w:rFonts w:asciiTheme="minorHAnsi" w:hAnsiTheme="minorHAnsi" w:cstheme="minorHAnsi"/>
          <w:sz w:val="22"/>
          <w:szCs w:val="24"/>
        </w:rPr>
      </w:pPr>
      <w:r w:rsidRPr="00AD3B62">
        <w:rPr>
          <w:rFonts w:asciiTheme="minorHAnsi" w:hAnsiTheme="minorHAnsi" w:cstheme="minorHAnsi"/>
          <w:sz w:val="22"/>
          <w:szCs w:val="24"/>
        </w:rPr>
        <w:t xml:space="preserve">Protect students and staff from harm. </w:t>
      </w:r>
    </w:p>
    <w:p w14:paraId="5A960066" w14:textId="77777777" w:rsidR="004276F6" w:rsidRPr="00AD3B62" w:rsidRDefault="004276F6" w:rsidP="004276F6">
      <w:pPr>
        <w:pStyle w:val="ListParagraph"/>
        <w:numPr>
          <w:ilvl w:val="0"/>
          <w:numId w:val="21"/>
        </w:numPr>
        <w:rPr>
          <w:rFonts w:asciiTheme="minorHAnsi" w:hAnsiTheme="minorHAnsi" w:cstheme="minorHAnsi"/>
          <w:sz w:val="22"/>
          <w:szCs w:val="24"/>
        </w:rPr>
      </w:pPr>
      <w:r w:rsidRPr="00AD3B62">
        <w:rPr>
          <w:rFonts w:asciiTheme="minorHAnsi" w:hAnsiTheme="minorHAnsi" w:cstheme="minorHAnsi"/>
          <w:sz w:val="22"/>
          <w:szCs w:val="24"/>
        </w:rPr>
        <w:t xml:space="preserve">Ensure accountability for serious or repeated breaches of the National Code or the Act. </w:t>
      </w:r>
    </w:p>
    <w:p w14:paraId="6B057A8F" w14:textId="77777777" w:rsidR="004276F6" w:rsidRPr="00AD3B62" w:rsidRDefault="004276F6" w:rsidP="004276F6">
      <w:pPr>
        <w:pStyle w:val="ListParagraph"/>
        <w:numPr>
          <w:ilvl w:val="0"/>
          <w:numId w:val="21"/>
        </w:numPr>
        <w:rPr>
          <w:rFonts w:asciiTheme="minorHAnsi" w:hAnsiTheme="minorHAnsi" w:cstheme="minorHAnsi"/>
          <w:sz w:val="22"/>
          <w:szCs w:val="24"/>
        </w:rPr>
      </w:pPr>
      <w:r w:rsidRPr="00AD3B62">
        <w:rPr>
          <w:rFonts w:asciiTheme="minorHAnsi" w:hAnsiTheme="minorHAnsi" w:cstheme="minorHAnsi"/>
          <w:sz w:val="22"/>
          <w:szCs w:val="24"/>
        </w:rPr>
        <w:t xml:space="preserve">Deter future non-compliance and promote sector-wide compliance. </w:t>
      </w:r>
    </w:p>
    <w:p w14:paraId="613B7CDC" w14:textId="17928503" w:rsidR="004276F6" w:rsidRPr="00AD3B62" w:rsidRDefault="004276F6" w:rsidP="004276F6">
      <w:pPr>
        <w:pStyle w:val="ListParagraph"/>
        <w:numPr>
          <w:ilvl w:val="0"/>
          <w:numId w:val="21"/>
        </w:numPr>
        <w:rPr>
          <w:rFonts w:asciiTheme="minorHAnsi" w:hAnsiTheme="minorHAnsi" w:cstheme="minorHAnsi"/>
          <w:sz w:val="22"/>
          <w:szCs w:val="24"/>
        </w:rPr>
      </w:pPr>
      <w:r w:rsidRPr="00AD3B62">
        <w:rPr>
          <w:rFonts w:asciiTheme="minorHAnsi" w:hAnsiTheme="minorHAnsi" w:cstheme="minorHAnsi"/>
          <w:sz w:val="22"/>
          <w:szCs w:val="24"/>
        </w:rPr>
        <w:t>Maintain public confidence in the higher education sector and the GBV Regulator’s regulatory framework.</w:t>
      </w:r>
    </w:p>
    <w:p w14:paraId="4231E840" w14:textId="67E862ED" w:rsidR="004276F6" w:rsidRPr="00AD3B62" w:rsidRDefault="00CA1AF2" w:rsidP="006E5978">
      <w:pPr>
        <w:pStyle w:val="Heading2"/>
      </w:pPr>
      <w:bookmarkStart w:id="33" w:name="_Toc215493963"/>
      <w:r w:rsidRPr="00AD3B62">
        <w:t xml:space="preserve"> </w:t>
      </w:r>
      <w:r w:rsidR="004276F6" w:rsidRPr="00AD3B62">
        <w:t>Enforcement tools and activities</w:t>
      </w:r>
      <w:bookmarkEnd w:id="33"/>
      <w:r w:rsidR="004276F6" w:rsidRPr="00AD3B62">
        <w:t xml:space="preserve"> </w:t>
      </w:r>
    </w:p>
    <w:p w14:paraId="615B36E8" w14:textId="77777777" w:rsidR="004276F6" w:rsidRPr="00AD3B62" w:rsidRDefault="004276F6" w:rsidP="004276F6">
      <w:pPr>
        <w:rPr>
          <w:rFonts w:asciiTheme="minorHAnsi" w:hAnsiTheme="minorHAnsi" w:cstheme="minorHAnsi"/>
          <w:sz w:val="22"/>
          <w:szCs w:val="24"/>
        </w:rPr>
      </w:pPr>
      <w:r w:rsidRPr="00AD3B62">
        <w:rPr>
          <w:rFonts w:asciiTheme="minorHAnsi" w:hAnsiTheme="minorHAnsi" w:cstheme="minorHAnsi"/>
          <w:sz w:val="22"/>
          <w:szCs w:val="24"/>
        </w:rPr>
        <w:t>Key enforcement activities and tools include:</w:t>
      </w:r>
    </w:p>
    <w:p w14:paraId="6D678FC1" w14:textId="77777777" w:rsidR="004276F6" w:rsidRPr="00AD3B62" w:rsidRDefault="004276F6" w:rsidP="004276F6">
      <w:pPr>
        <w:pStyle w:val="ListBullet"/>
        <w:rPr>
          <w:rFonts w:asciiTheme="minorHAnsi" w:hAnsiTheme="minorHAnsi" w:cstheme="minorHAnsi"/>
          <w:sz w:val="22"/>
          <w:szCs w:val="24"/>
        </w:rPr>
      </w:pPr>
      <w:r w:rsidRPr="00AD3B62">
        <w:rPr>
          <w:rFonts w:asciiTheme="minorHAnsi" w:hAnsiTheme="minorHAnsi" w:cstheme="minorHAnsi"/>
          <w:b/>
          <w:bCs/>
          <w:sz w:val="22"/>
          <w:szCs w:val="24"/>
        </w:rPr>
        <w:t>Infringement notices:</w:t>
      </w:r>
      <w:r w:rsidRPr="00AD3B62">
        <w:rPr>
          <w:rFonts w:asciiTheme="minorHAnsi" w:hAnsiTheme="minorHAnsi" w:cstheme="minorHAnsi"/>
          <w:sz w:val="22"/>
          <w:szCs w:val="24"/>
        </w:rPr>
        <w:t xml:space="preserve"> administrative penalties for contraventions. </w:t>
      </w:r>
    </w:p>
    <w:p w14:paraId="19F6BDB9" w14:textId="77777777" w:rsidR="004276F6" w:rsidRPr="00AD3B62" w:rsidRDefault="004276F6" w:rsidP="004276F6">
      <w:pPr>
        <w:pStyle w:val="ListBullet"/>
        <w:rPr>
          <w:rFonts w:asciiTheme="minorHAnsi" w:hAnsiTheme="minorHAnsi" w:cstheme="minorHAnsi"/>
          <w:sz w:val="22"/>
          <w:szCs w:val="24"/>
        </w:rPr>
      </w:pPr>
      <w:r w:rsidRPr="00AD3B62">
        <w:rPr>
          <w:rFonts w:asciiTheme="minorHAnsi" w:hAnsiTheme="minorHAnsi" w:cstheme="minorHAnsi"/>
          <w:b/>
          <w:bCs/>
          <w:sz w:val="22"/>
          <w:szCs w:val="24"/>
        </w:rPr>
        <w:t>Civil penalties:</w:t>
      </w:r>
      <w:r w:rsidRPr="00AD3B62">
        <w:rPr>
          <w:rFonts w:asciiTheme="minorHAnsi" w:hAnsiTheme="minorHAnsi" w:cstheme="minorHAnsi"/>
          <w:sz w:val="22"/>
          <w:szCs w:val="24"/>
        </w:rPr>
        <w:t xml:space="preserve"> court-imposed fines for breaches of the National Code or Act.</w:t>
      </w:r>
    </w:p>
    <w:p w14:paraId="49CFF0C7" w14:textId="77777777" w:rsidR="004276F6" w:rsidRPr="00AD3B62" w:rsidRDefault="004276F6" w:rsidP="004276F6">
      <w:pPr>
        <w:pStyle w:val="ListBullet"/>
        <w:rPr>
          <w:rFonts w:asciiTheme="minorHAnsi" w:hAnsiTheme="minorHAnsi" w:cstheme="minorHAnsi"/>
          <w:sz w:val="22"/>
          <w:szCs w:val="24"/>
        </w:rPr>
      </w:pPr>
      <w:r w:rsidRPr="00AD3B62">
        <w:rPr>
          <w:rFonts w:asciiTheme="minorHAnsi" w:hAnsiTheme="minorHAnsi" w:cstheme="minorHAnsi"/>
          <w:b/>
          <w:bCs/>
          <w:sz w:val="22"/>
          <w:szCs w:val="24"/>
        </w:rPr>
        <w:t>Enforceable undertakings</w:t>
      </w:r>
      <w:r w:rsidRPr="00AD3B62">
        <w:rPr>
          <w:rFonts w:asciiTheme="minorHAnsi" w:hAnsiTheme="minorHAnsi" w:cstheme="minorHAnsi"/>
          <w:sz w:val="22"/>
          <w:szCs w:val="24"/>
        </w:rPr>
        <w:t>: legally binding commitments to take corrective action.</w:t>
      </w:r>
    </w:p>
    <w:p w14:paraId="5154FDB2" w14:textId="77777777" w:rsidR="004276F6" w:rsidRPr="00AD3B62" w:rsidRDefault="004276F6" w:rsidP="004276F6">
      <w:pPr>
        <w:pStyle w:val="ListBullet"/>
        <w:rPr>
          <w:rFonts w:asciiTheme="minorHAnsi" w:hAnsiTheme="minorHAnsi" w:cstheme="minorHAnsi"/>
          <w:sz w:val="22"/>
          <w:szCs w:val="24"/>
        </w:rPr>
      </w:pPr>
      <w:r w:rsidRPr="00AD3B62">
        <w:rPr>
          <w:rFonts w:asciiTheme="minorHAnsi" w:hAnsiTheme="minorHAnsi" w:cstheme="minorHAnsi"/>
          <w:b/>
          <w:bCs/>
          <w:sz w:val="22"/>
          <w:szCs w:val="24"/>
        </w:rPr>
        <w:t>Injunctions:</w:t>
      </w:r>
      <w:r w:rsidRPr="00AD3B62">
        <w:rPr>
          <w:rFonts w:asciiTheme="minorHAnsi" w:hAnsiTheme="minorHAnsi" w:cstheme="minorHAnsi"/>
          <w:sz w:val="22"/>
          <w:szCs w:val="24"/>
        </w:rPr>
        <w:t xml:space="preserve"> court orders to compel or restrain provider conduct.</w:t>
      </w:r>
    </w:p>
    <w:p w14:paraId="5835A236" w14:textId="77777777" w:rsidR="004276F6" w:rsidRPr="00AD3B62" w:rsidRDefault="004276F6" w:rsidP="004276F6">
      <w:pPr>
        <w:pStyle w:val="ListBullet"/>
        <w:rPr>
          <w:rFonts w:asciiTheme="minorHAnsi" w:hAnsiTheme="minorHAnsi" w:cstheme="minorHAnsi"/>
          <w:sz w:val="22"/>
          <w:szCs w:val="24"/>
        </w:rPr>
      </w:pPr>
      <w:r w:rsidRPr="00AD3B62">
        <w:rPr>
          <w:rFonts w:asciiTheme="minorHAnsi" w:hAnsiTheme="minorHAnsi" w:cstheme="minorHAnsi"/>
          <w:b/>
          <w:bCs/>
          <w:sz w:val="22"/>
          <w:szCs w:val="24"/>
        </w:rPr>
        <w:t>Litigation:</w:t>
      </w:r>
      <w:r w:rsidRPr="00AD3B62">
        <w:rPr>
          <w:rFonts w:asciiTheme="minorHAnsi" w:hAnsiTheme="minorHAnsi" w:cstheme="minorHAnsi"/>
          <w:sz w:val="22"/>
          <w:szCs w:val="24"/>
        </w:rPr>
        <w:t xml:space="preserve"> legal proceedings to enforce requirements or penalties.</w:t>
      </w:r>
    </w:p>
    <w:p w14:paraId="2B1C6FC2" w14:textId="50CCB481" w:rsidR="004276F6" w:rsidRPr="00AD3B62" w:rsidRDefault="004276F6" w:rsidP="004276F6">
      <w:pPr>
        <w:pStyle w:val="ListBullet"/>
        <w:rPr>
          <w:rFonts w:asciiTheme="minorHAnsi" w:hAnsiTheme="minorHAnsi" w:cstheme="minorHAnsi"/>
          <w:sz w:val="22"/>
          <w:szCs w:val="24"/>
        </w:rPr>
      </w:pPr>
      <w:r w:rsidRPr="00AD3B62">
        <w:rPr>
          <w:rFonts w:asciiTheme="minorHAnsi" w:hAnsiTheme="minorHAnsi" w:cstheme="minorHAnsi"/>
          <w:b/>
          <w:bCs/>
          <w:sz w:val="22"/>
          <w:szCs w:val="24"/>
        </w:rPr>
        <w:t>Referrals:</w:t>
      </w:r>
      <w:r w:rsidRPr="00AD3B62">
        <w:rPr>
          <w:rFonts w:asciiTheme="minorHAnsi" w:hAnsiTheme="minorHAnsi" w:cstheme="minorHAnsi"/>
          <w:sz w:val="22"/>
          <w:szCs w:val="24"/>
        </w:rPr>
        <w:t xml:space="preserve"> escalation to other regulators.</w:t>
      </w:r>
    </w:p>
    <w:p w14:paraId="7CF83772" w14:textId="7663A61B" w:rsidR="004276F6" w:rsidRPr="00AD3B62" w:rsidRDefault="00CA1AF2" w:rsidP="006E5978">
      <w:pPr>
        <w:pStyle w:val="Heading2"/>
      </w:pPr>
      <w:bookmarkStart w:id="34" w:name="_Toc215493964"/>
      <w:r w:rsidRPr="00AD3B62">
        <w:t xml:space="preserve"> </w:t>
      </w:r>
      <w:r w:rsidR="004276F6" w:rsidRPr="00AD3B62">
        <w:t>Outcomes of enforcement activities</w:t>
      </w:r>
      <w:bookmarkEnd w:id="34"/>
      <w:r w:rsidR="004276F6" w:rsidRPr="00AD3B62">
        <w:t xml:space="preserve"> </w:t>
      </w:r>
    </w:p>
    <w:p w14:paraId="597405AD" w14:textId="77777777" w:rsidR="004276F6" w:rsidRPr="00AD3B62" w:rsidRDefault="004276F6" w:rsidP="004276F6">
      <w:pPr>
        <w:rPr>
          <w:rFonts w:asciiTheme="minorHAnsi" w:hAnsiTheme="minorHAnsi" w:cstheme="minorHAnsi"/>
          <w:sz w:val="22"/>
          <w:szCs w:val="24"/>
        </w:rPr>
      </w:pPr>
      <w:r w:rsidRPr="00AD3B62">
        <w:rPr>
          <w:rFonts w:asciiTheme="minorHAnsi" w:hAnsiTheme="minorHAnsi" w:cstheme="minorHAnsi"/>
          <w:sz w:val="22"/>
          <w:szCs w:val="24"/>
        </w:rPr>
        <w:t xml:space="preserve">Outcomes of enforcement action vary depending on the nature and the severity of the non-compliance and may include: </w:t>
      </w:r>
    </w:p>
    <w:p w14:paraId="5B97D74E" w14:textId="77777777" w:rsidR="004276F6" w:rsidRPr="00AD3B62" w:rsidRDefault="004276F6" w:rsidP="004276F6">
      <w:pPr>
        <w:pStyle w:val="ListBullet"/>
        <w:rPr>
          <w:rFonts w:asciiTheme="minorHAnsi" w:hAnsiTheme="minorHAnsi" w:cstheme="minorHAnsi"/>
          <w:sz w:val="22"/>
          <w:szCs w:val="24"/>
        </w:rPr>
      </w:pPr>
      <w:r w:rsidRPr="00AD3B62">
        <w:rPr>
          <w:rFonts w:asciiTheme="minorHAnsi" w:hAnsiTheme="minorHAnsi" w:cstheme="minorHAnsi"/>
          <w:b/>
          <w:bCs/>
          <w:sz w:val="22"/>
          <w:szCs w:val="24"/>
        </w:rPr>
        <w:t>Corrective action:</w:t>
      </w:r>
      <w:r w:rsidRPr="00AD3B62">
        <w:rPr>
          <w:rFonts w:asciiTheme="minorHAnsi" w:hAnsiTheme="minorHAnsi" w:cstheme="minorHAnsi"/>
          <w:sz w:val="22"/>
          <w:szCs w:val="24"/>
        </w:rPr>
        <w:t xml:space="preserve"> provider is required to take specific steps to remedy non-compliance. </w:t>
      </w:r>
    </w:p>
    <w:p w14:paraId="1DECFE81" w14:textId="77777777" w:rsidR="004276F6" w:rsidRPr="00AD3B62" w:rsidRDefault="004276F6" w:rsidP="004276F6">
      <w:pPr>
        <w:pStyle w:val="ListBullet"/>
        <w:rPr>
          <w:rFonts w:asciiTheme="minorHAnsi" w:hAnsiTheme="minorHAnsi" w:cstheme="minorHAnsi"/>
          <w:sz w:val="22"/>
          <w:szCs w:val="24"/>
        </w:rPr>
      </w:pPr>
      <w:r w:rsidRPr="00AD3B62">
        <w:rPr>
          <w:rFonts w:asciiTheme="minorHAnsi" w:hAnsiTheme="minorHAnsi" w:cstheme="minorHAnsi"/>
          <w:b/>
          <w:bCs/>
          <w:sz w:val="22"/>
          <w:szCs w:val="24"/>
        </w:rPr>
        <w:t>Legal consequences:</w:t>
      </w:r>
      <w:r w:rsidRPr="00AD3B62">
        <w:rPr>
          <w:rFonts w:asciiTheme="minorHAnsi" w:hAnsiTheme="minorHAnsi" w:cstheme="minorHAnsi"/>
          <w:sz w:val="22"/>
          <w:szCs w:val="24"/>
        </w:rPr>
        <w:t xml:space="preserve"> enforcement may result in court-imposed actions or enforceable undertakings that have legal requirements. </w:t>
      </w:r>
    </w:p>
    <w:p w14:paraId="48F5FE39" w14:textId="77777777" w:rsidR="004276F6" w:rsidRPr="00AD3B62" w:rsidRDefault="004276F6" w:rsidP="004276F6">
      <w:pPr>
        <w:pStyle w:val="ListBullet"/>
        <w:rPr>
          <w:rFonts w:asciiTheme="minorHAnsi" w:hAnsiTheme="minorHAnsi" w:cstheme="minorHAnsi"/>
          <w:sz w:val="22"/>
          <w:szCs w:val="24"/>
        </w:rPr>
      </w:pPr>
      <w:r w:rsidRPr="00AD3B62">
        <w:rPr>
          <w:rFonts w:asciiTheme="minorHAnsi" w:hAnsiTheme="minorHAnsi" w:cstheme="minorHAnsi"/>
          <w:b/>
          <w:bCs/>
          <w:sz w:val="22"/>
          <w:szCs w:val="24"/>
        </w:rPr>
        <w:t>Referral:</w:t>
      </w:r>
      <w:r w:rsidRPr="00AD3B62">
        <w:rPr>
          <w:rFonts w:asciiTheme="minorHAnsi" w:hAnsiTheme="minorHAnsi" w:cstheme="minorHAnsi"/>
          <w:sz w:val="22"/>
          <w:szCs w:val="24"/>
        </w:rPr>
        <w:t xml:space="preserve"> matters may be referred to other relevant regulatory bodies that may result in additional sanctions, including suspension, deregistration or cancellation of funding. </w:t>
      </w:r>
    </w:p>
    <w:p w14:paraId="4916EE05" w14:textId="67A53BDA" w:rsidR="004276F6" w:rsidRPr="00AD3B62" w:rsidRDefault="004276F6" w:rsidP="004276F6">
      <w:pPr>
        <w:pStyle w:val="ListBullet"/>
        <w:rPr>
          <w:rFonts w:asciiTheme="minorHAnsi" w:hAnsiTheme="minorHAnsi" w:cstheme="minorHAnsi"/>
          <w:sz w:val="22"/>
          <w:szCs w:val="24"/>
        </w:rPr>
      </w:pPr>
      <w:r w:rsidRPr="00AD3B62">
        <w:rPr>
          <w:rFonts w:asciiTheme="minorHAnsi" w:hAnsiTheme="minorHAnsi" w:cstheme="minorHAnsi"/>
          <w:b/>
          <w:bCs/>
          <w:sz w:val="22"/>
          <w:szCs w:val="24"/>
        </w:rPr>
        <w:lastRenderedPageBreak/>
        <w:t>Reputational consequences:</w:t>
      </w:r>
      <w:r w:rsidRPr="00AD3B62">
        <w:rPr>
          <w:rFonts w:asciiTheme="minorHAnsi" w:hAnsiTheme="minorHAnsi" w:cstheme="minorHAnsi"/>
          <w:sz w:val="22"/>
          <w:szCs w:val="24"/>
        </w:rPr>
        <w:t xml:space="preserve"> enforcement may affect the perceptions students, staff and the public have of them, particularly where breaches are serious and/or repeated.</w:t>
      </w:r>
    </w:p>
    <w:p w14:paraId="0962933C" w14:textId="63BF5FAF" w:rsidR="004276F6" w:rsidRPr="00AD3B62" w:rsidRDefault="004276F6" w:rsidP="004276F6">
      <w:pPr>
        <w:rPr>
          <w:rFonts w:asciiTheme="minorHAnsi" w:hAnsiTheme="minorHAnsi" w:cstheme="minorHAnsi"/>
          <w:sz w:val="22"/>
          <w:szCs w:val="24"/>
        </w:rPr>
      </w:pPr>
      <w:r w:rsidRPr="00AD3B62">
        <w:rPr>
          <w:rFonts w:asciiTheme="minorHAnsi" w:hAnsiTheme="minorHAnsi" w:cstheme="minorHAnsi"/>
          <w:sz w:val="22"/>
          <w:szCs w:val="24"/>
        </w:rPr>
        <w:t>These outcomes contribute to a strong and accountable regulatory environment that prioritises safety, equity, and justice and are consistent with the regulatory principle of continuous improvement.</w:t>
      </w:r>
      <w:r w:rsidR="00875041">
        <w:rPr>
          <w:rFonts w:asciiTheme="minorHAnsi" w:hAnsiTheme="minorHAnsi" w:cstheme="minorHAnsi"/>
          <w:sz w:val="22"/>
          <w:szCs w:val="24"/>
        </w:rPr>
        <w:br/>
      </w:r>
    </w:p>
    <w:p w14:paraId="79D24221" w14:textId="5831BA45" w:rsidR="004276F6" w:rsidRPr="00AD3B62" w:rsidRDefault="004276F6" w:rsidP="00875041">
      <w:pPr>
        <w:pStyle w:val="Heading1"/>
        <w:spacing w:before="0" w:after="240"/>
        <w:ind w:left="431" w:hanging="431"/>
        <w:rPr>
          <w:rFonts w:asciiTheme="minorHAnsi" w:hAnsiTheme="minorHAnsi" w:cstheme="minorHAnsi"/>
          <w:color w:val="49255F"/>
        </w:rPr>
      </w:pPr>
      <w:bookmarkStart w:id="35" w:name="_Toc215493965"/>
      <w:r w:rsidRPr="00AD3B62">
        <w:rPr>
          <w:rFonts w:asciiTheme="minorHAnsi" w:hAnsiTheme="minorHAnsi" w:cstheme="minorHAnsi"/>
          <w:color w:val="49255F"/>
        </w:rPr>
        <w:t>Compliance and enforcement tools</w:t>
      </w:r>
      <w:bookmarkEnd w:id="35"/>
    </w:p>
    <w:p w14:paraId="207AA00C" w14:textId="64043432" w:rsidR="004276F6" w:rsidRPr="00AD3B62" w:rsidRDefault="00197917" w:rsidP="00875041">
      <w:pPr>
        <w:spacing w:after="120"/>
        <w:rPr>
          <w:rFonts w:asciiTheme="minorHAnsi" w:hAnsiTheme="minorHAnsi" w:cstheme="minorHAnsi"/>
          <w:sz w:val="22"/>
          <w:szCs w:val="24"/>
        </w:rPr>
      </w:pPr>
      <w:r w:rsidRPr="00AD3B62">
        <w:rPr>
          <w:rFonts w:asciiTheme="minorHAnsi" w:hAnsiTheme="minorHAnsi" w:cstheme="minorHAnsi"/>
          <w:sz w:val="22"/>
          <w:szCs w:val="24"/>
        </w:rPr>
        <w:t>The GBV Regulator uses a range of regulatory tools where necessary to secure compliance. These tools are grouped into several areas:</w:t>
      </w:r>
    </w:p>
    <w:tbl>
      <w:tblPr>
        <w:tblStyle w:val="EDU-Basic"/>
        <w:tblW w:w="8505" w:type="dxa"/>
        <w:tblLook w:val="04A0" w:firstRow="1" w:lastRow="0" w:firstColumn="1" w:lastColumn="0" w:noHBand="0" w:noVBand="1"/>
      </w:tblPr>
      <w:tblGrid>
        <w:gridCol w:w="1404"/>
        <w:gridCol w:w="7101"/>
      </w:tblGrid>
      <w:tr w:rsidR="00197917" w:rsidRPr="00AD3B62" w14:paraId="160F3994" w14:textId="77777777" w:rsidTr="00875041">
        <w:trPr>
          <w:cnfStyle w:val="100000000000" w:firstRow="1" w:lastRow="0" w:firstColumn="0" w:lastColumn="0" w:oddVBand="0" w:evenVBand="0" w:oddHBand="0" w:evenHBand="0" w:firstRowFirstColumn="0" w:firstRowLastColumn="0" w:lastRowFirstColumn="0" w:lastRowLastColumn="0"/>
          <w:trHeight w:val="372"/>
          <w:tblHeader/>
        </w:trPr>
        <w:tc>
          <w:tcPr>
            <w:cnfStyle w:val="001000000000" w:firstRow="0" w:lastRow="0" w:firstColumn="1" w:lastColumn="0" w:oddVBand="0" w:evenVBand="0" w:oddHBand="0" w:evenHBand="0" w:firstRowFirstColumn="0" w:firstRowLastColumn="0" w:lastRowFirstColumn="0" w:lastRowLastColumn="0"/>
            <w:tcW w:w="1404" w:type="dxa"/>
            <w:hideMark/>
          </w:tcPr>
          <w:p w14:paraId="11C8943A" w14:textId="77777777" w:rsidR="00197917" w:rsidRPr="00AD3B62" w:rsidRDefault="00197917" w:rsidP="00197917">
            <w:pPr>
              <w:spacing w:line="259" w:lineRule="auto"/>
              <w:rPr>
                <w:rFonts w:asciiTheme="minorHAnsi" w:hAnsiTheme="minorHAnsi" w:cstheme="minorHAnsi"/>
                <w:sz w:val="22"/>
                <w:szCs w:val="24"/>
              </w:rPr>
            </w:pPr>
            <w:r w:rsidRPr="00AD3B62">
              <w:rPr>
                <w:rFonts w:asciiTheme="minorHAnsi" w:hAnsiTheme="minorHAnsi" w:cstheme="minorHAnsi"/>
                <w:b/>
                <w:bCs/>
                <w:sz w:val="22"/>
                <w:szCs w:val="24"/>
              </w:rPr>
              <w:t>Tool</w:t>
            </w:r>
          </w:p>
        </w:tc>
        <w:tc>
          <w:tcPr>
            <w:tcW w:w="7101" w:type="dxa"/>
            <w:hideMark/>
          </w:tcPr>
          <w:p w14:paraId="56EB259F" w14:textId="2E24040F" w:rsidR="00197917" w:rsidRPr="00AD3B62" w:rsidRDefault="00197917" w:rsidP="00197917">
            <w:pPr>
              <w:spacing w:line="259"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2"/>
                <w:szCs w:val="24"/>
              </w:rPr>
            </w:pPr>
            <w:r w:rsidRPr="00AD3B62">
              <w:rPr>
                <w:rFonts w:asciiTheme="minorHAnsi" w:hAnsiTheme="minorHAnsi" w:cstheme="minorHAnsi"/>
                <w:b/>
                <w:bCs/>
                <w:color w:val="FFFFFF" w:themeColor="background1"/>
                <w:sz w:val="22"/>
                <w:szCs w:val="24"/>
              </w:rPr>
              <w:t>Role</w:t>
            </w:r>
          </w:p>
        </w:tc>
      </w:tr>
      <w:tr w:rsidR="00197917" w:rsidRPr="00AD3B62" w14:paraId="289FED9B" w14:textId="77777777" w:rsidTr="0024390B">
        <w:trPr>
          <w:cnfStyle w:val="000000100000" w:firstRow="0" w:lastRow="0" w:firstColumn="0" w:lastColumn="0" w:oddVBand="0" w:evenVBand="0" w:oddHBand="1" w:evenHBand="0" w:firstRowFirstColumn="0" w:firstRowLastColumn="0" w:lastRowFirstColumn="0" w:lastRowLastColumn="0"/>
          <w:trHeight w:val="1155"/>
        </w:trPr>
        <w:tc>
          <w:tcPr>
            <w:cnfStyle w:val="001000000000" w:firstRow="0" w:lastRow="0" w:firstColumn="1" w:lastColumn="0" w:oddVBand="0" w:evenVBand="0" w:oddHBand="0" w:evenHBand="0" w:firstRowFirstColumn="0" w:firstRowLastColumn="0" w:lastRowFirstColumn="0" w:lastRowLastColumn="0"/>
            <w:tcW w:w="1404" w:type="dxa"/>
            <w:shd w:val="clear" w:color="auto" w:fill="FDEBD4" w:themeFill="accent6" w:themeFillTint="33"/>
            <w:hideMark/>
          </w:tcPr>
          <w:p w14:paraId="61209D0F" w14:textId="77777777" w:rsidR="00197917" w:rsidRPr="00AD3B62" w:rsidRDefault="00197917" w:rsidP="00197917">
            <w:pPr>
              <w:spacing w:line="259" w:lineRule="auto"/>
              <w:rPr>
                <w:rFonts w:asciiTheme="minorHAnsi" w:hAnsiTheme="minorHAnsi" w:cstheme="minorHAnsi"/>
                <w:sz w:val="22"/>
                <w:szCs w:val="24"/>
              </w:rPr>
            </w:pPr>
            <w:r w:rsidRPr="00AD3B62">
              <w:rPr>
                <w:rFonts w:asciiTheme="minorHAnsi" w:hAnsiTheme="minorHAnsi" w:cstheme="minorHAnsi"/>
                <w:b/>
                <w:sz w:val="22"/>
                <w:szCs w:val="24"/>
              </w:rPr>
              <w:t>Guidance to Comply</w:t>
            </w:r>
          </w:p>
        </w:tc>
        <w:tc>
          <w:tcPr>
            <w:tcW w:w="7101" w:type="dxa"/>
            <w:hideMark/>
          </w:tcPr>
          <w:p w14:paraId="3B362E6D" w14:textId="77777777" w:rsidR="00197917" w:rsidRPr="00AD3B62" w:rsidRDefault="00197917" w:rsidP="00197917">
            <w:pPr>
              <w:spacing w:line="259"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4"/>
              </w:rPr>
            </w:pPr>
            <w:r w:rsidRPr="00AD3B62">
              <w:rPr>
                <w:rFonts w:asciiTheme="minorHAnsi" w:hAnsiTheme="minorHAnsi" w:cstheme="minorHAnsi"/>
                <w:sz w:val="22"/>
                <w:szCs w:val="24"/>
              </w:rPr>
              <w:t xml:space="preserve">Provide clear guidance and good practice examples to promote voluntary compliance. This includes information on regulatory obligations, minimum standards, risk management, and reporting requirements. </w:t>
            </w:r>
          </w:p>
        </w:tc>
      </w:tr>
      <w:tr w:rsidR="00197917" w:rsidRPr="00AD3B62" w14:paraId="58AA625B" w14:textId="77777777" w:rsidTr="00875041">
        <w:trPr>
          <w:cnfStyle w:val="000000010000" w:firstRow="0" w:lastRow="0" w:firstColumn="0" w:lastColumn="0" w:oddVBand="0" w:evenVBand="0" w:oddHBand="0" w:evenHBand="1" w:firstRowFirstColumn="0" w:firstRowLastColumn="0" w:lastRowFirstColumn="0" w:lastRowLastColumn="0"/>
          <w:trHeight w:val="3916"/>
        </w:trPr>
        <w:tc>
          <w:tcPr>
            <w:cnfStyle w:val="001000000000" w:firstRow="0" w:lastRow="0" w:firstColumn="1" w:lastColumn="0" w:oddVBand="0" w:evenVBand="0" w:oddHBand="0" w:evenHBand="0" w:firstRowFirstColumn="0" w:firstRowLastColumn="0" w:lastRowFirstColumn="0" w:lastRowLastColumn="0"/>
            <w:tcW w:w="1404" w:type="dxa"/>
            <w:shd w:val="clear" w:color="auto" w:fill="FDEBD4" w:themeFill="accent6" w:themeFillTint="33"/>
            <w:hideMark/>
          </w:tcPr>
          <w:p w14:paraId="1A6B1D44" w14:textId="77777777" w:rsidR="00197917" w:rsidRPr="00AD3B62" w:rsidRDefault="00197917" w:rsidP="00197917">
            <w:pPr>
              <w:spacing w:line="259" w:lineRule="auto"/>
              <w:rPr>
                <w:rFonts w:asciiTheme="minorHAnsi" w:hAnsiTheme="minorHAnsi" w:cstheme="minorHAnsi"/>
                <w:b/>
                <w:sz w:val="22"/>
                <w:szCs w:val="24"/>
              </w:rPr>
            </w:pPr>
            <w:r w:rsidRPr="00AD3B62">
              <w:rPr>
                <w:rFonts w:asciiTheme="minorHAnsi" w:hAnsiTheme="minorHAnsi" w:cstheme="minorHAnsi"/>
                <w:b/>
                <w:sz w:val="22"/>
                <w:szCs w:val="24"/>
              </w:rPr>
              <w:t>Information gathering and compliance monitoring</w:t>
            </w:r>
          </w:p>
        </w:tc>
        <w:tc>
          <w:tcPr>
            <w:tcW w:w="7101" w:type="dxa"/>
            <w:hideMark/>
          </w:tcPr>
          <w:p w14:paraId="1A4E77E5" w14:textId="77777777" w:rsidR="00197917" w:rsidRPr="00AD3B62" w:rsidRDefault="00197917" w:rsidP="00197917">
            <w:pPr>
              <w:spacing w:line="259"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4"/>
              </w:rPr>
            </w:pPr>
            <w:r w:rsidRPr="00AD3B62">
              <w:rPr>
                <w:rFonts w:asciiTheme="minorHAnsi" w:hAnsiTheme="minorHAnsi" w:cstheme="minorHAnsi"/>
                <w:sz w:val="22"/>
                <w:szCs w:val="24"/>
              </w:rPr>
              <w:t>Proactive and responsive measures to monitor performance, detect non-compliance, identify risks, compel the giving of information and identify guidance to ensure compliance. Examples include requiring a higher education provider to report on how it has complied with the National Code under a Notice to Report on Compliance, requiring provision of requested information under a Notice to Produce, or the conduct of an audit, survey or inspection.  </w:t>
            </w:r>
          </w:p>
          <w:p w14:paraId="4F5A5CE3" w14:textId="77777777" w:rsidR="00197917" w:rsidRPr="00AD3B62" w:rsidRDefault="00197917" w:rsidP="00197917">
            <w:pPr>
              <w:spacing w:line="259"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4"/>
              </w:rPr>
            </w:pPr>
            <w:r w:rsidRPr="00AD3B62">
              <w:rPr>
                <w:rFonts w:asciiTheme="minorHAnsi" w:hAnsiTheme="minorHAnsi" w:cstheme="minorHAnsi"/>
                <w:sz w:val="22"/>
                <w:szCs w:val="24"/>
              </w:rPr>
              <w:t xml:space="preserve">Audits may include desktop reviews, rapid reviews triggered by complaints or referrals, or in-depth audits including on-site reviews. There may also be thematic sector-wide audits on specific issues or joint audits with a </w:t>
            </w:r>
            <w:proofErr w:type="gramStart"/>
            <w:r w:rsidRPr="00AD3B62">
              <w:rPr>
                <w:rFonts w:asciiTheme="minorHAnsi" w:hAnsiTheme="minorHAnsi" w:cstheme="minorHAnsi"/>
                <w:sz w:val="22"/>
                <w:szCs w:val="24"/>
              </w:rPr>
              <w:t>co-regulators</w:t>
            </w:r>
            <w:proofErr w:type="gramEnd"/>
            <w:r w:rsidRPr="00AD3B62">
              <w:rPr>
                <w:rFonts w:asciiTheme="minorHAnsi" w:hAnsiTheme="minorHAnsi" w:cstheme="minorHAnsi"/>
                <w:sz w:val="22"/>
                <w:szCs w:val="24"/>
              </w:rPr>
              <w:t xml:space="preserve"> such as TEQSA, or with other agencies like the National Student Ombudsman (NSO).</w:t>
            </w:r>
          </w:p>
        </w:tc>
      </w:tr>
      <w:tr w:rsidR="00197917" w:rsidRPr="00AD3B62" w14:paraId="24883037" w14:textId="77777777" w:rsidTr="0024390B">
        <w:trPr>
          <w:cnfStyle w:val="000000100000" w:firstRow="0" w:lastRow="0" w:firstColumn="0" w:lastColumn="0" w:oddVBand="0" w:evenVBand="0" w:oddHBand="1" w:evenHBand="0" w:firstRowFirstColumn="0" w:firstRowLastColumn="0" w:lastRowFirstColumn="0" w:lastRowLastColumn="0"/>
          <w:trHeight w:val="795"/>
        </w:trPr>
        <w:tc>
          <w:tcPr>
            <w:cnfStyle w:val="001000000000" w:firstRow="0" w:lastRow="0" w:firstColumn="1" w:lastColumn="0" w:oddVBand="0" w:evenVBand="0" w:oddHBand="0" w:evenHBand="0" w:firstRowFirstColumn="0" w:firstRowLastColumn="0" w:lastRowFirstColumn="0" w:lastRowLastColumn="0"/>
            <w:tcW w:w="1404" w:type="dxa"/>
            <w:shd w:val="clear" w:color="auto" w:fill="FDEBD4" w:themeFill="accent6" w:themeFillTint="33"/>
            <w:hideMark/>
          </w:tcPr>
          <w:p w14:paraId="1B8C1A7F" w14:textId="77777777" w:rsidR="00197917" w:rsidRPr="00AD3B62" w:rsidRDefault="00197917" w:rsidP="00197917">
            <w:pPr>
              <w:spacing w:line="259" w:lineRule="auto"/>
              <w:rPr>
                <w:rFonts w:asciiTheme="minorHAnsi" w:hAnsiTheme="minorHAnsi" w:cstheme="minorHAnsi"/>
                <w:sz w:val="22"/>
                <w:szCs w:val="24"/>
              </w:rPr>
            </w:pPr>
            <w:r w:rsidRPr="00AD3B62">
              <w:rPr>
                <w:rFonts w:asciiTheme="minorHAnsi" w:hAnsiTheme="minorHAnsi" w:cstheme="minorHAnsi"/>
                <w:b/>
                <w:sz w:val="22"/>
                <w:szCs w:val="24"/>
              </w:rPr>
              <w:t>Notifiable Conduct</w:t>
            </w:r>
          </w:p>
        </w:tc>
        <w:tc>
          <w:tcPr>
            <w:tcW w:w="7101" w:type="dxa"/>
            <w:hideMark/>
          </w:tcPr>
          <w:p w14:paraId="68E14104" w14:textId="77777777" w:rsidR="00197917" w:rsidRPr="00AD3B62" w:rsidRDefault="00197917" w:rsidP="00197917">
            <w:pPr>
              <w:spacing w:line="259"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4"/>
              </w:rPr>
            </w:pPr>
            <w:r w:rsidRPr="00AD3B62">
              <w:rPr>
                <w:rFonts w:asciiTheme="minorHAnsi" w:hAnsiTheme="minorHAnsi" w:cstheme="minorHAnsi"/>
                <w:sz w:val="22"/>
                <w:szCs w:val="24"/>
              </w:rPr>
              <w:t>Requires notification to the GBV Regulator where provided information is no longer accurate. Examples include changes to student accommodation details, and where a higher education provider identifies non-compliance. </w:t>
            </w:r>
          </w:p>
        </w:tc>
      </w:tr>
      <w:tr w:rsidR="00197917" w:rsidRPr="00AD3B62" w14:paraId="7F05B177" w14:textId="77777777" w:rsidTr="00E07A24">
        <w:trPr>
          <w:cnfStyle w:val="000000010000" w:firstRow="0" w:lastRow="0" w:firstColumn="0" w:lastColumn="0" w:oddVBand="0" w:evenVBand="0" w:oddHBand="0" w:evenHBand="1" w:firstRowFirstColumn="0" w:firstRowLastColumn="0" w:lastRowFirstColumn="0" w:lastRowLastColumn="0"/>
          <w:trHeight w:val="1042"/>
        </w:trPr>
        <w:tc>
          <w:tcPr>
            <w:cnfStyle w:val="001000000000" w:firstRow="0" w:lastRow="0" w:firstColumn="1" w:lastColumn="0" w:oddVBand="0" w:evenVBand="0" w:oddHBand="0" w:evenHBand="0" w:firstRowFirstColumn="0" w:firstRowLastColumn="0" w:lastRowFirstColumn="0" w:lastRowLastColumn="0"/>
            <w:tcW w:w="1404" w:type="dxa"/>
            <w:shd w:val="clear" w:color="auto" w:fill="FDEBD4" w:themeFill="accent6" w:themeFillTint="33"/>
            <w:hideMark/>
          </w:tcPr>
          <w:p w14:paraId="17AE67D4" w14:textId="77777777" w:rsidR="00197917" w:rsidRPr="00AD3B62" w:rsidRDefault="00197917" w:rsidP="00197917">
            <w:pPr>
              <w:spacing w:line="259" w:lineRule="auto"/>
              <w:rPr>
                <w:rFonts w:asciiTheme="minorHAnsi" w:hAnsiTheme="minorHAnsi" w:cstheme="minorHAnsi"/>
                <w:sz w:val="22"/>
                <w:szCs w:val="24"/>
              </w:rPr>
            </w:pPr>
            <w:r w:rsidRPr="00AD3B62">
              <w:rPr>
                <w:rFonts w:asciiTheme="minorHAnsi" w:hAnsiTheme="minorHAnsi" w:cstheme="minorHAnsi"/>
                <w:b/>
                <w:sz w:val="22"/>
                <w:szCs w:val="24"/>
              </w:rPr>
              <w:t>Remediation</w:t>
            </w:r>
          </w:p>
        </w:tc>
        <w:tc>
          <w:tcPr>
            <w:tcW w:w="7101" w:type="dxa"/>
            <w:hideMark/>
          </w:tcPr>
          <w:p w14:paraId="18D1EC30" w14:textId="77777777" w:rsidR="00197917" w:rsidRPr="00AD3B62" w:rsidRDefault="00197917" w:rsidP="00875041">
            <w:pPr>
              <w:spacing w:after="120" w:afterAutospacing="0" w:line="259"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4"/>
              </w:rPr>
            </w:pPr>
            <w:r w:rsidRPr="00AD3B62">
              <w:rPr>
                <w:rFonts w:asciiTheme="minorHAnsi" w:hAnsiTheme="minorHAnsi" w:cstheme="minorHAnsi"/>
                <w:sz w:val="22"/>
                <w:szCs w:val="24"/>
              </w:rPr>
              <w:t>Where non-compliance is identified, the GBV regulator encourages voluntary compliance or use of regulatory tools to secure compliance. </w:t>
            </w:r>
          </w:p>
          <w:p w14:paraId="485E9B71" w14:textId="77777777" w:rsidR="00197917" w:rsidRPr="00AD3B62" w:rsidRDefault="00197917" w:rsidP="00875041">
            <w:pPr>
              <w:spacing w:before="0" w:beforeAutospacing="0" w:after="120" w:afterAutospacing="0" w:line="259"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4"/>
              </w:rPr>
            </w:pPr>
            <w:r w:rsidRPr="00AD3B62">
              <w:rPr>
                <w:rFonts w:asciiTheme="minorHAnsi" w:hAnsiTheme="minorHAnsi" w:cstheme="minorHAnsi"/>
                <w:sz w:val="22"/>
                <w:szCs w:val="24"/>
              </w:rPr>
              <w:t>Examples of remedial action include: </w:t>
            </w:r>
          </w:p>
          <w:p w14:paraId="4C0B123C" w14:textId="77777777" w:rsidR="00197917" w:rsidRPr="00AD3B62" w:rsidRDefault="00197917" w:rsidP="00875041">
            <w:pPr>
              <w:pStyle w:val="ListBullet"/>
              <w:spacing w:after="120" w:afterAutospacing="0"/>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4"/>
              </w:rPr>
            </w:pPr>
            <w:r w:rsidRPr="00AD3B62">
              <w:rPr>
                <w:rFonts w:asciiTheme="minorHAnsi" w:hAnsiTheme="minorHAnsi" w:cstheme="minorHAnsi"/>
                <w:sz w:val="22"/>
                <w:szCs w:val="24"/>
              </w:rPr>
              <w:t>Providing verbal or written guidance to support remedial action by a higher education provider in the form of a warning letter. Guidance will notify providers of suspected non-compliance and outline concerns. There is an opportunity to respond and take corrective action.</w:t>
            </w:r>
          </w:p>
          <w:p w14:paraId="27073597" w14:textId="77777777" w:rsidR="00197917" w:rsidRPr="00AD3B62" w:rsidRDefault="00197917" w:rsidP="00875041">
            <w:pPr>
              <w:pStyle w:val="ListBullet"/>
              <w:spacing w:after="120" w:afterAutospacing="0"/>
              <w:contextualSpacing w:val="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4"/>
              </w:rPr>
            </w:pPr>
            <w:r w:rsidRPr="00AD3B62">
              <w:rPr>
                <w:rFonts w:asciiTheme="minorHAnsi" w:hAnsiTheme="minorHAnsi" w:cstheme="minorHAnsi"/>
                <w:sz w:val="22"/>
                <w:szCs w:val="24"/>
              </w:rPr>
              <w:t>Remedying by agreement or by accepting a written voluntary undertaking. </w:t>
            </w:r>
          </w:p>
          <w:p w14:paraId="190A1D11" w14:textId="68AC26EF" w:rsidR="00197917" w:rsidRPr="00AD3B62" w:rsidRDefault="00197917" w:rsidP="00197917">
            <w:pPr>
              <w:pStyle w:val="ListBulle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4"/>
              </w:rPr>
            </w:pPr>
            <w:r w:rsidRPr="00AD3B62">
              <w:rPr>
                <w:rFonts w:asciiTheme="minorHAnsi" w:hAnsiTheme="minorHAnsi" w:cstheme="minorHAnsi"/>
                <w:sz w:val="22"/>
                <w:szCs w:val="24"/>
              </w:rPr>
              <w:t xml:space="preserve">Issuing a Compliance Notice </w:t>
            </w:r>
            <w:r w:rsidR="00A011FE" w:rsidRPr="00AD3B62">
              <w:rPr>
                <w:rFonts w:asciiTheme="minorHAnsi" w:hAnsiTheme="minorHAnsi" w:cstheme="minorHAnsi"/>
                <w:sz w:val="22"/>
                <w:szCs w:val="24"/>
              </w:rPr>
              <w:t>with</w:t>
            </w:r>
            <w:r w:rsidRPr="00AD3B62">
              <w:rPr>
                <w:rFonts w:asciiTheme="minorHAnsi" w:hAnsiTheme="minorHAnsi" w:cstheme="minorHAnsi"/>
                <w:sz w:val="22"/>
                <w:szCs w:val="24"/>
              </w:rPr>
              <w:t xml:space="preserve"> require remedial </w:t>
            </w:r>
            <w:r w:rsidR="00A011FE" w:rsidRPr="00AD3B62">
              <w:rPr>
                <w:rFonts w:asciiTheme="minorHAnsi" w:hAnsiTheme="minorHAnsi" w:cstheme="minorHAnsi"/>
                <w:sz w:val="22"/>
                <w:szCs w:val="24"/>
              </w:rPr>
              <w:t>conditions</w:t>
            </w:r>
            <w:r w:rsidRPr="00AD3B62">
              <w:rPr>
                <w:rFonts w:asciiTheme="minorHAnsi" w:hAnsiTheme="minorHAnsi" w:cstheme="minorHAnsi"/>
                <w:sz w:val="22"/>
                <w:szCs w:val="24"/>
              </w:rPr>
              <w:t xml:space="preserve"> to remedy a non-compliance, or a Prohibition Notice to stop a higher education provider from taking an action for a defined period. </w:t>
            </w:r>
          </w:p>
          <w:p w14:paraId="66B669CC" w14:textId="3AC0FF2C" w:rsidR="00197917" w:rsidRPr="00AD3B62" w:rsidRDefault="00197917" w:rsidP="00875041">
            <w:pPr>
              <w:pStyle w:val="ListBullet"/>
              <w:spacing w:after="0" w:afterAutospacing="0"/>
              <w:ind w:left="357" w:hanging="357"/>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4"/>
              </w:rPr>
            </w:pPr>
            <w:r w:rsidRPr="00AD3B62">
              <w:rPr>
                <w:rFonts w:asciiTheme="minorHAnsi" w:hAnsiTheme="minorHAnsi" w:cstheme="minorHAnsi"/>
                <w:sz w:val="22"/>
                <w:szCs w:val="24"/>
              </w:rPr>
              <w:lastRenderedPageBreak/>
              <w:t>Issuing a Notice to Implement a National Student Ombudsman Recommendation relating to gender-based violence and report on implementation.</w:t>
            </w:r>
          </w:p>
        </w:tc>
      </w:tr>
      <w:tr w:rsidR="00197917" w:rsidRPr="00AD3B62" w14:paraId="2DBE883B" w14:textId="77777777" w:rsidTr="0024390B">
        <w:trPr>
          <w:cnfStyle w:val="000000100000" w:firstRow="0" w:lastRow="0" w:firstColumn="0" w:lastColumn="0" w:oddVBand="0" w:evenVBand="0" w:oddHBand="1" w:evenHBand="0" w:firstRowFirstColumn="0" w:firstRowLastColumn="0" w:lastRowFirstColumn="0" w:lastRowLastColumn="0"/>
          <w:trHeight w:val="2125"/>
        </w:trPr>
        <w:tc>
          <w:tcPr>
            <w:cnfStyle w:val="001000000000" w:firstRow="0" w:lastRow="0" w:firstColumn="1" w:lastColumn="0" w:oddVBand="0" w:evenVBand="0" w:oddHBand="0" w:evenHBand="0" w:firstRowFirstColumn="0" w:firstRowLastColumn="0" w:lastRowFirstColumn="0" w:lastRowLastColumn="0"/>
            <w:tcW w:w="1404" w:type="dxa"/>
            <w:shd w:val="clear" w:color="auto" w:fill="FDEBD4" w:themeFill="accent6" w:themeFillTint="33"/>
          </w:tcPr>
          <w:p w14:paraId="187613D3" w14:textId="77777777" w:rsidR="00197917" w:rsidRPr="00AD3B62" w:rsidRDefault="00197917" w:rsidP="00197917">
            <w:pPr>
              <w:spacing w:line="259" w:lineRule="auto"/>
              <w:rPr>
                <w:rFonts w:asciiTheme="minorHAnsi" w:hAnsiTheme="minorHAnsi" w:cstheme="minorHAnsi"/>
                <w:b/>
                <w:bCs/>
                <w:sz w:val="22"/>
                <w:szCs w:val="24"/>
              </w:rPr>
            </w:pPr>
            <w:r w:rsidRPr="00AD3B62">
              <w:rPr>
                <w:rFonts w:asciiTheme="minorHAnsi" w:hAnsiTheme="minorHAnsi" w:cstheme="minorHAnsi"/>
                <w:b/>
                <w:bCs/>
                <w:sz w:val="22"/>
                <w:szCs w:val="24"/>
              </w:rPr>
              <w:lastRenderedPageBreak/>
              <w:t>Public reporting</w:t>
            </w:r>
          </w:p>
        </w:tc>
        <w:tc>
          <w:tcPr>
            <w:tcW w:w="7101" w:type="dxa"/>
          </w:tcPr>
          <w:p w14:paraId="04E34738" w14:textId="77777777" w:rsidR="00197917" w:rsidRPr="00AD3B62" w:rsidRDefault="00197917" w:rsidP="00197917">
            <w:pPr>
              <w:spacing w:line="259"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4"/>
              </w:rPr>
            </w:pPr>
            <w:r w:rsidRPr="00AD3B62">
              <w:rPr>
                <w:rFonts w:asciiTheme="minorHAnsi" w:hAnsiTheme="minorHAnsi" w:cstheme="minorHAnsi"/>
                <w:sz w:val="22"/>
                <w:szCs w:val="24"/>
              </w:rPr>
              <w:t xml:space="preserve">Sections 43 and 44 of the Act allow the GBV Regulator to publish information about a higher education provider’s non-compliance, the exercise of monitoring and investigation powers, enforcement actions taken and any sector-wide compliance trends. </w:t>
            </w:r>
          </w:p>
          <w:p w14:paraId="1E2FE059" w14:textId="77777777" w:rsidR="00197917" w:rsidRPr="00AD3B62" w:rsidRDefault="00197917" w:rsidP="00197917">
            <w:pPr>
              <w:spacing w:line="259"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4"/>
              </w:rPr>
            </w:pPr>
            <w:r w:rsidRPr="00AD3B62">
              <w:rPr>
                <w:rFonts w:asciiTheme="minorHAnsi" w:hAnsiTheme="minorHAnsi" w:cstheme="minorHAnsi"/>
                <w:sz w:val="22"/>
                <w:szCs w:val="24"/>
              </w:rPr>
              <w:t>Public reporting is used to promote accountability and act as deterrence. It ensures that students, staff and the public are informed about providers who fail to meet obligations and support sector-wide learning.</w:t>
            </w:r>
          </w:p>
        </w:tc>
      </w:tr>
      <w:tr w:rsidR="00197917" w:rsidRPr="00AD3B62" w14:paraId="52CFFC9A" w14:textId="77777777" w:rsidTr="0024390B">
        <w:trPr>
          <w:cnfStyle w:val="000000010000" w:firstRow="0" w:lastRow="0" w:firstColumn="0" w:lastColumn="0" w:oddVBand="0" w:evenVBand="0" w:oddHBand="0" w:evenHBand="1"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1404" w:type="dxa"/>
            <w:shd w:val="clear" w:color="auto" w:fill="FDEBD4" w:themeFill="accent6" w:themeFillTint="33"/>
            <w:hideMark/>
          </w:tcPr>
          <w:p w14:paraId="017D075E" w14:textId="77777777" w:rsidR="00197917" w:rsidRPr="00AD3B62" w:rsidRDefault="00197917" w:rsidP="00197917">
            <w:pPr>
              <w:spacing w:line="259" w:lineRule="auto"/>
              <w:rPr>
                <w:rFonts w:asciiTheme="minorHAnsi" w:hAnsiTheme="minorHAnsi" w:cstheme="minorHAnsi"/>
                <w:sz w:val="22"/>
                <w:szCs w:val="24"/>
              </w:rPr>
            </w:pPr>
            <w:r w:rsidRPr="00AD3B62">
              <w:rPr>
                <w:rFonts w:asciiTheme="minorHAnsi" w:hAnsiTheme="minorHAnsi" w:cstheme="minorHAnsi"/>
                <w:b/>
                <w:bCs/>
                <w:sz w:val="22"/>
                <w:szCs w:val="24"/>
              </w:rPr>
              <w:t>Referral</w:t>
            </w:r>
          </w:p>
        </w:tc>
        <w:tc>
          <w:tcPr>
            <w:tcW w:w="7101" w:type="dxa"/>
            <w:hideMark/>
          </w:tcPr>
          <w:p w14:paraId="34906303" w14:textId="77777777" w:rsidR="00197917" w:rsidRPr="00AD3B62" w:rsidRDefault="00197917" w:rsidP="00197917">
            <w:pPr>
              <w:spacing w:line="259"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4"/>
              </w:rPr>
            </w:pPr>
            <w:r w:rsidRPr="00AD3B62">
              <w:rPr>
                <w:rFonts w:asciiTheme="minorHAnsi" w:hAnsiTheme="minorHAnsi" w:cstheme="minorHAnsi"/>
                <w:sz w:val="22"/>
                <w:szCs w:val="24"/>
              </w:rPr>
              <w:t>Referral of a matter to another agency, regulator or law enforcement agency to review, consider enforcement action, vary registration or support an existing investigation or regulatory action. </w:t>
            </w:r>
          </w:p>
          <w:p w14:paraId="223336F8" w14:textId="77777777" w:rsidR="00197917" w:rsidRPr="00AD3B62" w:rsidRDefault="00197917" w:rsidP="00197917">
            <w:pPr>
              <w:spacing w:line="259"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4"/>
              </w:rPr>
            </w:pPr>
            <w:r w:rsidRPr="00AD3B62">
              <w:rPr>
                <w:rFonts w:asciiTheme="minorHAnsi" w:hAnsiTheme="minorHAnsi" w:cstheme="minorHAnsi"/>
                <w:sz w:val="22"/>
                <w:szCs w:val="24"/>
              </w:rPr>
              <w:t xml:space="preserve">The GBV Regulator may refer matters to the Minister for Education, TEQSA, the NSO, or other agencies including State and Territory government agencies. </w:t>
            </w:r>
          </w:p>
          <w:p w14:paraId="21D09503" w14:textId="77777777" w:rsidR="00197917" w:rsidRPr="00AD3B62" w:rsidRDefault="00197917" w:rsidP="00197917">
            <w:pPr>
              <w:spacing w:line="259"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4"/>
              </w:rPr>
            </w:pPr>
            <w:r w:rsidRPr="00AD3B62">
              <w:rPr>
                <w:rFonts w:asciiTheme="minorHAnsi" w:hAnsiTheme="minorHAnsi" w:cstheme="minorHAnsi"/>
                <w:sz w:val="22"/>
                <w:szCs w:val="24"/>
              </w:rPr>
              <w:t>Non-compliance with the National Code can trigger action under:</w:t>
            </w:r>
          </w:p>
          <w:p w14:paraId="2B2F6FA3" w14:textId="77777777" w:rsidR="00197917" w:rsidRPr="00AD3B62" w:rsidRDefault="00197917" w:rsidP="00197917">
            <w:pPr>
              <w:pStyle w:val="ListBulle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4"/>
              </w:rPr>
            </w:pPr>
            <w:r w:rsidRPr="00AD3B62">
              <w:rPr>
                <w:rFonts w:asciiTheme="minorHAnsi" w:hAnsiTheme="minorHAnsi" w:cstheme="minorHAnsi"/>
                <w:b/>
                <w:bCs/>
                <w:sz w:val="22"/>
                <w:szCs w:val="24"/>
              </w:rPr>
              <w:t>HESA:</w:t>
            </w:r>
            <w:r w:rsidRPr="00AD3B62">
              <w:rPr>
                <w:rFonts w:asciiTheme="minorHAnsi" w:hAnsiTheme="minorHAnsi" w:cstheme="minorHAnsi"/>
                <w:sz w:val="22"/>
                <w:szCs w:val="24"/>
              </w:rPr>
              <w:t xml:space="preserve"> Serious or sustained breaches may lead to suspension or cancellation of Commonwealth funding approval under Division 22.</w:t>
            </w:r>
          </w:p>
          <w:p w14:paraId="180FCA64" w14:textId="5C3CFFD5" w:rsidR="00197917" w:rsidRPr="00AD3B62" w:rsidRDefault="00197917" w:rsidP="00197917">
            <w:pPr>
              <w:pStyle w:val="ListBulle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4"/>
              </w:rPr>
            </w:pPr>
            <w:r w:rsidRPr="00AD3B62">
              <w:rPr>
                <w:rFonts w:asciiTheme="minorHAnsi" w:hAnsiTheme="minorHAnsi" w:cstheme="minorHAnsi"/>
                <w:b/>
                <w:bCs/>
                <w:sz w:val="22"/>
                <w:szCs w:val="24"/>
              </w:rPr>
              <w:t>TEQSA Act:</w:t>
            </w:r>
            <w:r w:rsidRPr="00AD3B62">
              <w:rPr>
                <w:rFonts w:asciiTheme="minorHAnsi" w:hAnsiTheme="minorHAnsi" w:cstheme="minorHAnsi"/>
                <w:sz w:val="22"/>
                <w:szCs w:val="24"/>
              </w:rPr>
              <w:t xml:space="preserve"> Non-compliance may indicate governance failures, allowing TEQSA to impose conditions or cancel registration.</w:t>
            </w:r>
          </w:p>
          <w:p w14:paraId="30D41254" w14:textId="77777777" w:rsidR="00197917" w:rsidRPr="00AD3B62" w:rsidRDefault="00197917" w:rsidP="00197917">
            <w:pPr>
              <w:spacing w:line="259"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4"/>
              </w:rPr>
            </w:pPr>
            <w:r w:rsidRPr="00AD3B62">
              <w:rPr>
                <w:rFonts w:asciiTheme="minorHAnsi" w:hAnsiTheme="minorHAnsi" w:cstheme="minorHAnsi"/>
                <w:sz w:val="22"/>
                <w:szCs w:val="24"/>
              </w:rPr>
              <w:t>While the GBV Regulator prioritises voluntary compliance, systemic or persistent breaches will be escalated to these bodies to ensure accountability and student safety.</w:t>
            </w:r>
          </w:p>
        </w:tc>
      </w:tr>
      <w:tr w:rsidR="00197917" w:rsidRPr="00AD3B62" w14:paraId="1DDD68BE" w14:textId="77777777" w:rsidTr="00875041">
        <w:trPr>
          <w:cnfStyle w:val="000000100000" w:firstRow="0" w:lastRow="0" w:firstColumn="0" w:lastColumn="0" w:oddVBand="0" w:evenVBand="0" w:oddHBand="1" w:evenHBand="0" w:firstRowFirstColumn="0" w:firstRowLastColumn="0" w:lastRowFirstColumn="0" w:lastRowLastColumn="0"/>
          <w:trHeight w:val="4035"/>
        </w:trPr>
        <w:tc>
          <w:tcPr>
            <w:cnfStyle w:val="001000000000" w:firstRow="0" w:lastRow="0" w:firstColumn="1" w:lastColumn="0" w:oddVBand="0" w:evenVBand="0" w:oddHBand="0" w:evenHBand="0" w:firstRowFirstColumn="0" w:firstRowLastColumn="0" w:lastRowFirstColumn="0" w:lastRowLastColumn="0"/>
            <w:tcW w:w="1404" w:type="dxa"/>
            <w:shd w:val="clear" w:color="auto" w:fill="FDEBD4" w:themeFill="accent6" w:themeFillTint="33"/>
            <w:hideMark/>
          </w:tcPr>
          <w:p w14:paraId="101A82DB" w14:textId="77777777" w:rsidR="00197917" w:rsidRPr="00AD3B62" w:rsidRDefault="00197917" w:rsidP="00197917">
            <w:pPr>
              <w:spacing w:line="259" w:lineRule="auto"/>
              <w:rPr>
                <w:rFonts w:asciiTheme="minorHAnsi" w:hAnsiTheme="minorHAnsi" w:cstheme="minorHAnsi"/>
                <w:sz w:val="22"/>
                <w:szCs w:val="24"/>
              </w:rPr>
            </w:pPr>
            <w:r w:rsidRPr="00AD3B62">
              <w:rPr>
                <w:rFonts w:asciiTheme="minorHAnsi" w:hAnsiTheme="minorHAnsi" w:cstheme="minorHAnsi"/>
                <w:b/>
                <w:bCs/>
                <w:sz w:val="22"/>
                <w:szCs w:val="24"/>
              </w:rPr>
              <w:t>Sanctions</w:t>
            </w:r>
          </w:p>
        </w:tc>
        <w:tc>
          <w:tcPr>
            <w:tcW w:w="7101" w:type="dxa"/>
            <w:hideMark/>
          </w:tcPr>
          <w:p w14:paraId="641AB60B" w14:textId="77777777" w:rsidR="00197917" w:rsidRPr="00AD3B62" w:rsidRDefault="00197917" w:rsidP="00197917">
            <w:pPr>
              <w:spacing w:line="259"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4"/>
              </w:rPr>
            </w:pPr>
            <w:r w:rsidRPr="00AD3B62">
              <w:rPr>
                <w:rFonts w:asciiTheme="minorHAnsi" w:hAnsiTheme="minorHAnsi" w:cstheme="minorHAnsi"/>
                <w:sz w:val="22"/>
                <w:szCs w:val="24"/>
              </w:rPr>
              <w:t>Where serious non-compliance is identified, the GBV Regulator will consider the risk and harm from the non-compliance, and the higher education provider's culpability and attitude to compliance, when deciding what action to take. </w:t>
            </w:r>
          </w:p>
          <w:p w14:paraId="6FC69D75" w14:textId="77777777" w:rsidR="00197917" w:rsidRPr="00AD3B62" w:rsidRDefault="00197917" w:rsidP="00197917">
            <w:pPr>
              <w:spacing w:line="259"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4"/>
              </w:rPr>
            </w:pPr>
            <w:r w:rsidRPr="00AD3B62">
              <w:rPr>
                <w:rFonts w:asciiTheme="minorHAnsi" w:hAnsiTheme="minorHAnsi" w:cstheme="minorHAnsi"/>
                <w:sz w:val="22"/>
                <w:szCs w:val="24"/>
              </w:rPr>
              <w:t>Examples of sanctions include:</w:t>
            </w:r>
          </w:p>
          <w:p w14:paraId="6AF82ADE" w14:textId="77777777" w:rsidR="00197917" w:rsidRPr="00AD3B62" w:rsidRDefault="00197917" w:rsidP="00197917">
            <w:pPr>
              <w:pStyle w:val="ListBulle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4"/>
              </w:rPr>
            </w:pPr>
            <w:r w:rsidRPr="00AD3B62">
              <w:rPr>
                <w:rFonts w:asciiTheme="minorHAnsi" w:hAnsiTheme="minorHAnsi" w:cstheme="minorHAnsi"/>
                <w:sz w:val="22"/>
                <w:szCs w:val="24"/>
              </w:rPr>
              <w:t>Infringements.</w:t>
            </w:r>
          </w:p>
          <w:p w14:paraId="577C03DD" w14:textId="77777777" w:rsidR="00197917" w:rsidRPr="00AD3B62" w:rsidRDefault="00197917" w:rsidP="00197917">
            <w:pPr>
              <w:pStyle w:val="ListBulle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4"/>
              </w:rPr>
            </w:pPr>
            <w:r w:rsidRPr="00AD3B62">
              <w:rPr>
                <w:rFonts w:asciiTheme="minorHAnsi" w:hAnsiTheme="minorHAnsi" w:cstheme="minorHAnsi"/>
                <w:sz w:val="22"/>
                <w:szCs w:val="24"/>
              </w:rPr>
              <w:t>Publicly naming non-compliant higher education providers.</w:t>
            </w:r>
          </w:p>
          <w:p w14:paraId="16018921" w14:textId="53F6721B" w:rsidR="00197917" w:rsidRPr="00AD3B62" w:rsidRDefault="00197917" w:rsidP="00197917">
            <w:pPr>
              <w:pStyle w:val="ListBulle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4"/>
              </w:rPr>
            </w:pPr>
            <w:r w:rsidRPr="00AD3B62">
              <w:rPr>
                <w:rFonts w:asciiTheme="minorHAnsi" w:hAnsiTheme="minorHAnsi" w:cstheme="minorHAnsi"/>
                <w:sz w:val="22"/>
                <w:szCs w:val="24"/>
              </w:rPr>
              <w:t>Seeking a civil penalty order.</w:t>
            </w:r>
          </w:p>
          <w:p w14:paraId="0ADBD35C" w14:textId="77777777" w:rsidR="00197917" w:rsidRPr="00AD3B62" w:rsidRDefault="00197917" w:rsidP="00197917">
            <w:pPr>
              <w:pStyle w:val="ListBulle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4"/>
              </w:rPr>
            </w:pPr>
            <w:r w:rsidRPr="00AD3B62">
              <w:rPr>
                <w:rFonts w:asciiTheme="minorHAnsi" w:hAnsiTheme="minorHAnsi" w:cstheme="minorHAnsi"/>
                <w:sz w:val="22"/>
                <w:szCs w:val="24"/>
              </w:rPr>
              <w:t>Accepting a court enforceable undertaking.</w:t>
            </w:r>
          </w:p>
          <w:p w14:paraId="3F3C7CF1" w14:textId="77777777" w:rsidR="00197917" w:rsidRPr="00AD3B62" w:rsidRDefault="00197917" w:rsidP="00197917">
            <w:pPr>
              <w:pStyle w:val="ListBulle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4"/>
              </w:rPr>
            </w:pPr>
            <w:r w:rsidRPr="00AD3B62">
              <w:rPr>
                <w:rFonts w:asciiTheme="minorHAnsi" w:hAnsiTheme="minorHAnsi" w:cstheme="minorHAnsi"/>
                <w:sz w:val="22"/>
                <w:szCs w:val="24"/>
              </w:rPr>
              <w:t>Seeking an injunction to prevent non-compliance or further non-compliance with the National Code. </w:t>
            </w:r>
          </w:p>
          <w:p w14:paraId="6AE63DCA" w14:textId="1CCA1339" w:rsidR="00DA6CD4" w:rsidRPr="00AD3B62" w:rsidRDefault="00DA6CD4" w:rsidP="00875041">
            <w:pPr>
              <w:pStyle w:val="ListBullet"/>
              <w:spacing w:after="0" w:afterAutospacing="0"/>
              <w:ind w:left="357" w:hanging="357"/>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4"/>
              </w:rPr>
            </w:pPr>
            <w:r w:rsidRPr="00AD3B62">
              <w:rPr>
                <w:rFonts w:asciiTheme="minorHAnsi" w:hAnsiTheme="minorHAnsi" w:cstheme="minorHAnsi"/>
                <w:sz w:val="22"/>
                <w:szCs w:val="24"/>
              </w:rPr>
              <w:t>Seek</w:t>
            </w:r>
            <w:r w:rsidR="00E347A8" w:rsidRPr="00AD3B62">
              <w:rPr>
                <w:rFonts w:asciiTheme="minorHAnsi" w:hAnsiTheme="minorHAnsi" w:cstheme="minorHAnsi"/>
                <w:sz w:val="22"/>
                <w:szCs w:val="24"/>
              </w:rPr>
              <w:t>ing</w:t>
            </w:r>
            <w:r w:rsidRPr="00AD3B62">
              <w:rPr>
                <w:rFonts w:asciiTheme="minorHAnsi" w:hAnsiTheme="minorHAnsi" w:cstheme="minorHAnsi"/>
                <w:sz w:val="22"/>
                <w:szCs w:val="24"/>
              </w:rPr>
              <w:t xml:space="preserve"> HESA cancellation. </w:t>
            </w:r>
          </w:p>
        </w:tc>
      </w:tr>
    </w:tbl>
    <w:p w14:paraId="6820B28A" w14:textId="77777777" w:rsidR="00197917" w:rsidRPr="00AD3B62" w:rsidRDefault="00197917" w:rsidP="00197917">
      <w:pPr>
        <w:rPr>
          <w:rFonts w:asciiTheme="minorHAnsi" w:hAnsiTheme="minorHAnsi" w:cstheme="minorHAnsi"/>
        </w:rPr>
      </w:pPr>
    </w:p>
    <w:p w14:paraId="0F630423" w14:textId="7837886A" w:rsidR="00197917" w:rsidRPr="00AD3B62" w:rsidRDefault="00197917" w:rsidP="00C02452">
      <w:pPr>
        <w:pStyle w:val="Heading1"/>
        <w:spacing w:after="240"/>
        <w:rPr>
          <w:rFonts w:asciiTheme="minorHAnsi" w:hAnsiTheme="minorHAnsi" w:cstheme="minorHAnsi"/>
          <w:color w:val="49255F"/>
        </w:rPr>
      </w:pPr>
      <w:bookmarkStart w:id="36" w:name="_Toc215493966"/>
      <w:r w:rsidRPr="00AD3B62">
        <w:rPr>
          <w:rFonts w:asciiTheme="minorHAnsi" w:hAnsiTheme="minorHAnsi" w:cstheme="minorHAnsi"/>
          <w:color w:val="49255F"/>
        </w:rPr>
        <w:lastRenderedPageBreak/>
        <w:t>Transparency and accountability</w:t>
      </w:r>
      <w:bookmarkEnd w:id="36"/>
      <w:r w:rsidRPr="00AD3B62">
        <w:rPr>
          <w:rFonts w:asciiTheme="minorHAnsi" w:hAnsiTheme="minorHAnsi" w:cstheme="minorHAnsi"/>
          <w:color w:val="49255F"/>
        </w:rPr>
        <w:t xml:space="preserve"> </w:t>
      </w:r>
    </w:p>
    <w:p w14:paraId="3F906B18" w14:textId="77777777" w:rsidR="00197917" w:rsidRPr="00AD3B62" w:rsidRDefault="00197917" w:rsidP="00197917">
      <w:pPr>
        <w:rPr>
          <w:rFonts w:asciiTheme="minorHAnsi" w:hAnsiTheme="minorHAnsi" w:cstheme="minorHAnsi"/>
          <w:sz w:val="22"/>
          <w:szCs w:val="24"/>
        </w:rPr>
      </w:pPr>
      <w:r w:rsidRPr="00AD3B62">
        <w:rPr>
          <w:rFonts w:asciiTheme="minorHAnsi" w:hAnsiTheme="minorHAnsi" w:cstheme="minorHAnsi"/>
          <w:sz w:val="22"/>
          <w:szCs w:val="24"/>
        </w:rPr>
        <w:t xml:space="preserve">Consistent with the regulatory principle of transparent and accountable, the GBV Regulator exercises its compliance and enforcement functions in a manner that is open and subject to scrutiny. </w:t>
      </w:r>
    </w:p>
    <w:p w14:paraId="22695408" w14:textId="77777777" w:rsidR="00197917" w:rsidRPr="00AD3B62" w:rsidRDefault="00197917" w:rsidP="00197917">
      <w:pPr>
        <w:rPr>
          <w:rFonts w:asciiTheme="minorHAnsi" w:hAnsiTheme="minorHAnsi" w:cstheme="minorHAnsi"/>
          <w:sz w:val="22"/>
          <w:szCs w:val="24"/>
        </w:rPr>
      </w:pPr>
      <w:r w:rsidRPr="00AD3B62">
        <w:rPr>
          <w:rFonts w:asciiTheme="minorHAnsi" w:hAnsiTheme="minorHAnsi" w:cstheme="minorHAnsi"/>
          <w:sz w:val="22"/>
          <w:szCs w:val="24"/>
        </w:rPr>
        <w:t xml:space="preserve">Avenues to review regulatory decisions are made clear to higher education providers when the GBV Regulator uses its regulatory tools. Where there are concerns that the GBV Regulator is acting outside of the scope of its statutory powers, concerned parties are advised of the process to lodge a complaint, request an internal review, seek a merits review through the Administrative Review Tribunal (ART) or judicial review through the Courts.  </w:t>
      </w:r>
    </w:p>
    <w:p w14:paraId="3DC9885B" w14:textId="7842FB5E" w:rsidR="00197917" w:rsidRPr="00AD3B62" w:rsidRDefault="00CA1AF2" w:rsidP="006E5978">
      <w:pPr>
        <w:pStyle w:val="Heading2"/>
      </w:pPr>
      <w:bookmarkStart w:id="37" w:name="_Toc215493967"/>
      <w:r w:rsidRPr="00AD3B62">
        <w:t xml:space="preserve"> </w:t>
      </w:r>
      <w:r w:rsidR="00197917" w:rsidRPr="00AD3B62">
        <w:t>Co-regulators</w:t>
      </w:r>
      <w:bookmarkEnd w:id="37"/>
      <w:r w:rsidR="00197917" w:rsidRPr="00AD3B62">
        <w:t xml:space="preserve"> </w:t>
      </w:r>
    </w:p>
    <w:p w14:paraId="7780CF8A" w14:textId="77777777" w:rsidR="00197917" w:rsidRPr="00AD3B62" w:rsidRDefault="00197917" w:rsidP="00197917">
      <w:pPr>
        <w:rPr>
          <w:rFonts w:asciiTheme="minorHAnsi" w:hAnsiTheme="minorHAnsi" w:cstheme="minorHAnsi"/>
          <w:sz w:val="22"/>
          <w:szCs w:val="24"/>
        </w:rPr>
      </w:pPr>
      <w:r w:rsidRPr="00AD3B62">
        <w:rPr>
          <w:rFonts w:asciiTheme="minorHAnsi" w:hAnsiTheme="minorHAnsi" w:cstheme="minorHAnsi"/>
          <w:sz w:val="22"/>
          <w:szCs w:val="24"/>
        </w:rPr>
        <w:t xml:space="preserve">Consistent with the regulatory principle of coherence and alignment, the GBV Regulator operates within a shared regulatory environment alongside agencies that have complementary responsibilities for safety, standards and equality in higher education. </w:t>
      </w:r>
    </w:p>
    <w:p w14:paraId="23A6E216" w14:textId="77777777" w:rsidR="00197917" w:rsidRPr="00AD3B62" w:rsidRDefault="00197917" w:rsidP="00197917">
      <w:pPr>
        <w:rPr>
          <w:rFonts w:asciiTheme="minorHAnsi" w:hAnsiTheme="minorHAnsi" w:cstheme="minorHAnsi"/>
          <w:sz w:val="22"/>
          <w:szCs w:val="24"/>
        </w:rPr>
      </w:pPr>
      <w:r w:rsidRPr="00AD3B62">
        <w:rPr>
          <w:rFonts w:asciiTheme="minorHAnsi" w:hAnsiTheme="minorHAnsi" w:cstheme="minorHAnsi"/>
          <w:sz w:val="22"/>
          <w:szCs w:val="24"/>
        </w:rPr>
        <w:t xml:space="preserve">Collaboration is essential to avoid duplication and reduce burden on providers, and to ensure a consistent national approach to preventing and responding to gender-based violence. </w:t>
      </w:r>
    </w:p>
    <w:p w14:paraId="543C30B2" w14:textId="77777777" w:rsidR="00197917" w:rsidRPr="00AD3B62" w:rsidRDefault="00197917" w:rsidP="00197917">
      <w:pPr>
        <w:rPr>
          <w:rFonts w:asciiTheme="minorHAnsi" w:hAnsiTheme="minorHAnsi" w:cstheme="minorHAnsi"/>
          <w:sz w:val="22"/>
          <w:szCs w:val="24"/>
        </w:rPr>
      </w:pPr>
      <w:r w:rsidRPr="00AD3B62">
        <w:rPr>
          <w:rFonts w:asciiTheme="minorHAnsi" w:hAnsiTheme="minorHAnsi" w:cstheme="minorHAnsi"/>
          <w:sz w:val="22"/>
          <w:szCs w:val="24"/>
        </w:rPr>
        <w:t xml:space="preserve">The GBV Regulator works with key partners such as TEQSA and the NSO to share information and reduce regulatory burden. </w:t>
      </w:r>
    </w:p>
    <w:p w14:paraId="2424FA2D" w14:textId="3CB2419B" w:rsidR="00197917" w:rsidRPr="00AD3B62" w:rsidRDefault="00CA1AF2" w:rsidP="006E5978">
      <w:pPr>
        <w:pStyle w:val="Heading2"/>
      </w:pPr>
      <w:bookmarkStart w:id="38" w:name="_Toc215493968"/>
      <w:r w:rsidRPr="00AD3B62">
        <w:t xml:space="preserve"> </w:t>
      </w:r>
      <w:r w:rsidR="00197917" w:rsidRPr="00AD3B62">
        <w:t>Statutory and public reporting</w:t>
      </w:r>
      <w:bookmarkEnd w:id="38"/>
    </w:p>
    <w:p w14:paraId="399E5E33" w14:textId="77777777" w:rsidR="00197917" w:rsidRPr="00AD3B62" w:rsidRDefault="00197917" w:rsidP="00197917">
      <w:pPr>
        <w:rPr>
          <w:rFonts w:asciiTheme="minorHAnsi" w:hAnsiTheme="minorHAnsi" w:cstheme="minorHAnsi"/>
          <w:sz w:val="22"/>
          <w:szCs w:val="24"/>
        </w:rPr>
      </w:pPr>
      <w:r w:rsidRPr="00AD3B62">
        <w:rPr>
          <w:rFonts w:asciiTheme="minorHAnsi" w:hAnsiTheme="minorHAnsi" w:cstheme="minorHAnsi"/>
          <w:sz w:val="22"/>
          <w:szCs w:val="24"/>
        </w:rPr>
        <w:t>In accordance with Section 47 of the Act, the GBV Regulator reports to Parliament annually on compliance, monitoring, investigation and enforcement activities, including the number and type of activities conducted, use of statutory powers and key outcomes.</w:t>
      </w:r>
    </w:p>
    <w:p w14:paraId="0B9099CE" w14:textId="77777777" w:rsidR="00197917" w:rsidRPr="00AD3B62" w:rsidRDefault="00197917" w:rsidP="00197917">
      <w:pPr>
        <w:rPr>
          <w:rFonts w:asciiTheme="minorHAnsi" w:hAnsiTheme="minorHAnsi" w:cstheme="minorHAnsi"/>
          <w:sz w:val="22"/>
          <w:szCs w:val="24"/>
        </w:rPr>
      </w:pPr>
      <w:r w:rsidRPr="00AD3B62">
        <w:rPr>
          <w:rFonts w:asciiTheme="minorHAnsi" w:hAnsiTheme="minorHAnsi" w:cstheme="minorHAnsi"/>
          <w:sz w:val="22"/>
          <w:szCs w:val="24"/>
        </w:rPr>
        <w:t>Aggregated sector insights from compliance activities are summarised each year in the Annual Report to Parliament, consistent with privacy, confidentiality and trauma-informed principles to promote sector learning and transparency. These reports present trends and good practice examples without identifying individual providers.</w:t>
      </w:r>
    </w:p>
    <w:p w14:paraId="45692E0E" w14:textId="1168A3E1" w:rsidR="00197917" w:rsidRPr="00AD3B62" w:rsidRDefault="00CA1AF2" w:rsidP="006E5978">
      <w:pPr>
        <w:pStyle w:val="Heading2"/>
      </w:pPr>
      <w:bookmarkStart w:id="39" w:name="_Toc215493969"/>
      <w:r w:rsidRPr="00AD3B62">
        <w:t xml:space="preserve"> </w:t>
      </w:r>
      <w:r w:rsidR="00197917" w:rsidRPr="00AD3B62">
        <w:t>Privacy</w:t>
      </w:r>
      <w:bookmarkEnd w:id="39"/>
      <w:r w:rsidR="00197917" w:rsidRPr="00AD3B62">
        <w:t xml:space="preserve"> </w:t>
      </w:r>
    </w:p>
    <w:p w14:paraId="20DBB4D9" w14:textId="77777777" w:rsidR="00197917" w:rsidRPr="00AD3B62" w:rsidRDefault="00197917" w:rsidP="00197917">
      <w:pPr>
        <w:rPr>
          <w:rFonts w:asciiTheme="minorHAnsi" w:hAnsiTheme="minorHAnsi" w:cstheme="minorHAnsi"/>
          <w:sz w:val="22"/>
          <w:szCs w:val="24"/>
        </w:rPr>
      </w:pPr>
      <w:r w:rsidRPr="00AD3B62">
        <w:rPr>
          <w:rFonts w:asciiTheme="minorHAnsi" w:hAnsiTheme="minorHAnsi" w:cstheme="minorHAnsi"/>
          <w:sz w:val="22"/>
          <w:szCs w:val="24"/>
        </w:rPr>
        <w:t xml:space="preserve">The GBV Regulator collects, uses and manages information in accordance with the Act, the </w:t>
      </w:r>
      <w:r w:rsidRPr="00AD3B62">
        <w:rPr>
          <w:rFonts w:asciiTheme="minorHAnsi" w:hAnsiTheme="minorHAnsi" w:cstheme="minorHAnsi"/>
          <w:i/>
          <w:iCs/>
          <w:sz w:val="22"/>
          <w:szCs w:val="24"/>
        </w:rPr>
        <w:t>Privacy Act 1988</w:t>
      </w:r>
      <w:r w:rsidRPr="00AD3B62">
        <w:rPr>
          <w:rFonts w:asciiTheme="minorHAnsi" w:hAnsiTheme="minorHAnsi" w:cstheme="minorHAnsi"/>
          <w:sz w:val="22"/>
          <w:szCs w:val="24"/>
        </w:rPr>
        <w:t xml:space="preserve"> (</w:t>
      </w:r>
      <w:proofErr w:type="spellStart"/>
      <w:r w:rsidRPr="00AD3B62">
        <w:rPr>
          <w:rFonts w:asciiTheme="minorHAnsi" w:hAnsiTheme="minorHAnsi" w:cstheme="minorHAnsi"/>
          <w:sz w:val="22"/>
          <w:szCs w:val="24"/>
        </w:rPr>
        <w:t>Cth</w:t>
      </w:r>
      <w:proofErr w:type="spellEnd"/>
      <w:r w:rsidRPr="00AD3B62">
        <w:rPr>
          <w:rFonts w:asciiTheme="minorHAnsi" w:hAnsiTheme="minorHAnsi" w:cstheme="minorHAnsi"/>
          <w:sz w:val="22"/>
          <w:szCs w:val="24"/>
        </w:rPr>
        <w:t>), the Australian Privacy Principles (APPs), the Department of Education’s Privacy Policy and Information Management Policy (</w:t>
      </w:r>
      <w:r w:rsidRPr="00AD3B62">
        <w:rPr>
          <w:rStyle w:val="Hyperlink"/>
          <w:rFonts w:asciiTheme="minorHAnsi" w:hAnsiTheme="minorHAnsi" w:cstheme="minorHAnsi"/>
          <w:sz w:val="22"/>
          <w:szCs w:val="24"/>
        </w:rPr>
        <w:t>https://www.education.gov.au/using-site/privacy</w:t>
      </w:r>
      <w:r w:rsidRPr="00AD3B62">
        <w:rPr>
          <w:rFonts w:asciiTheme="minorHAnsi" w:hAnsiTheme="minorHAnsi" w:cstheme="minorHAnsi"/>
          <w:sz w:val="22"/>
          <w:szCs w:val="24"/>
        </w:rPr>
        <w:t>).</w:t>
      </w:r>
    </w:p>
    <w:p w14:paraId="27B5B27D" w14:textId="77777777" w:rsidR="00197917" w:rsidRPr="00AD3B62" w:rsidRDefault="00197917" w:rsidP="00197917">
      <w:pPr>
        <w:rPr>
          <w:rFonts w:asciiTheme="minorHAnsi" w:hAnsiTheme="minorHAnsi" w:cstheme="minorHAnsi"/>
          <w:sz w:val="22"/>
          <w:szCs w:val="24"/>
        </w:rPr>
      </w:pPr>
      <w:r w:rsidRPr="00AD3B62">
        <w:rPr>
          <w:rFonts w:asciiTheme="minorHAnsi" w:hAnsiTheme="minorHAnsi" w:cstheme="minorHAnsi"/>
          <w:sz w:val="22"/>
          <w:szCs w:val="24"/>
        </w:rPr>
        <w:t>All protected information obtained through compliance monitoring, audit, or engagement activities is handled lawfully, securely, and proportionately, as required under Section 42 of the Act. Under Section 42 of the Act, officers, contractors and any person engaged under the Act may use protected information, in accordance with the delegations, for the purposes of promoting compliance with this Act or legislative instruments made under the Act or in performing functions, or exercising powers, under the Act or legislative instruments made under this Act.</w:t>
      </w:r>
    </w:p>
    <w:p w14:paraId="008D2E18" w14:textId="77777777" w:rsidR="00197917" w:rsidRPr="00AD3B62" w:rsidRDefault="00197917" w:rsidP="00197917">
      <w:pPr>
        <w:rPr>
          <w:rFonts w:asciiTheme="minorHAnsi" w:hAnsiTheme="minorHAnsi" w:cstheme="minorHAnsi"/>
          <w:sz w:val="22"/>
          <w:szCs w:val="24"/>
        </w:rPr>
      </w:pPr>
      <w:r w:rsidRPr="00AD3B62">
        <w:rPr>
          <w:rFonts w:asciiTheme="minorHAnsi" w:hAnsiTheme="minorHAnsi" w:cstheme="minorHAnsi"/>
          <w:sz w:val="22"/>
          <w:szCs w:val="24"/>
        </w:rPr>
        <w:t xml:space="preserve">The GBV Regulator also shares information with co-regulators or oversight bodies under Section 42 of the Act in accordance with the Privacy Act and confidentiality obligations. All such exchanges are </w:t>
      </w:r>
      <w:r w:rsidRPr="00AD3B62">
        <w:rPr>
          <w:rFonts w:asciiTheme="minorHAnsi" w:hAnsiTheme="minorHAnsi" w:cstheme="minorHAnsi"/>
          <w:sz w:val="22"/>
          <w:szCs w:val="24"/>
        </w:rPr>
        <w:lastRenderedPageBreak/>
        <w:t>governed by Memorandums of Understanding that specify information-handling, confidentiality, and data-protection requirements.</w:t>
      </w:r>
    </w:p>
    <w:p w14:paraId="432E098A" w14:textId="77777777" w:rsidR="00197917" w:rsidRPr="00AD3B62" w:rsidRDefault="00197917" w:rsidP="00197917">
      <w:pPr>
        <w:rPr>
          <w:rFonts w:asciiTheme="minorHAnsi" w:hAnsiTheme="minorHAnsi" w:cstheme="minorHAnsi"/>
          <w:sz w:val="22"/>
          <w:szCs w:val="24"/>
        </w:rPr>
      </w:pPr>
      <w:r w:rsidRPr="00AD3B62">
        <w:rPr>
          <w:rFonts w:asciiTheme="minorHAnsi" w:hAnsiTheme="minorHAnsi" w:cstheme="minorHAnsi"/>
          <w:sz w:val="22"/>
          <w:szCs w:val="24"/>
        </w:rPr>
        <w:t>GBV Regulator staff and Authorised Officers are bound by the APS Code of Conduct and the APS Values, and must act with honesty, integrity, care and diligence, treat all people with respect and courtesy, and maintain appropriate confidentiality about information obtained through their work. These obligations underpin every aspect of compliance and audit activity.</w:t>
      </w:r>
    </w:p>
    <w:p w14:paraId="5830BD29" w14:textId="77777777" w:rsidR="00197917" w:rsidRPr="00AD3B62" w:rsidRDefault="00197917" w:rsidP="00197917">
      <w:pPr>
        <w:rPr>
          <w:rFonts w:asciiTheme="minorHAnsi" w:hAnsiTheme="minorHAnsi" w:cstheme="minorHAnsi"/>
          <w:sz w:val="22"/>
          <w:szCs w:val="24"/>
        </w:rPr>
      </w:pPr>
      <w:r w:rsidRPr="00AD3B62">
        <w:rPr>
          <w:rFonts w:asciiTheme="minorHAnsi" w:hAnsiTheme="minorHAnsi" w:cstheme="minorHAnsi"/>
          <w:sz w:val="22"/>
          <w:szCs w:val="24"/>
        </w:rPr>
        <w:t xml:space="preserve">Any disclosures to the public about compliance performance or using information obtained through compliance activities are made in accordance with Sections 43 and 44 of the Act, and consistent with regulatory principles. </w:t>
      </w:r>
    </w:p>
    <w:p w14:paraId="60D5C4E1" w14:textId="27B301F4" w:rsidR="00197917" w:rsidRPr="00AD3B62" w:rsidRDefault="00197917" w:rsidP="00433613">
      <w:pPr>
        <w:pStyle w:val="Heading3"/>
        <w:rPr>
          <w:rFonts w:asciiTheme="minorHAnsi" w:hAnsiTheme="minorHAnsi"/>
        </w:rPr>
      </w:pPr>
      <w:bookmarkStart w:id="40" w:name="_Toc215493970"/>
      <w:r w:rsidRPr="00AD3B62">
        <w:rPr>
          <w:rFonts w:asciiTheme="minorHAnsi" w:hAnsiTheme="minorHAnsi"/>
        </w:rPr>
        <w:t>Information handling</w:t>
      </w:r>
      <w:bookmarkEnd w:id="40"/>
    </w:p>
    <w:p w14:paraId="03EED6AA" w14:textId="77777777" w:rsidR="00197917" w:rsidRPr="00AD3B62" w:rsidRDefault="00197917" w:rsidP="00197917">
      <w:pPr>
        <w:rPr>
          <w:rFonts w:asciiTheme="minorHAnsi" w:hAnsiTheme="minorHAnsi" w:cstheme="minorHAnsi"/>
          <w:sz w:val="22"/>
          <w:szCs w:val="24"/>
        </w:rPr>
      </w:pPr>
      <w:r w:rsidRPr="00AD3B62">
        <w:rPr>
          <w:rFonts w:asciiTheme="minorHAnsi" w:hAnsiTheme="minorHAnsi" w:cstheme="minorHAnsi"/>
          <w:sz w:val="22"/>
          <w:szCs w:val="24"/>
        </w:rPr>
        <w:t>Personal information is collected only where it is reasonably necessary for performing our statutory compliance and monitoring functions. Information is used solely for the purpose for which it was collected, unless a lawful exception applies. All information must be stored within systems listed on the department’s approved Information Management Systems Register. Access to protected information is restricted to GBV Regulator employees and authorised officers with a legitimate business need and stored within approved departmental systems.</w:t>
      </w:r>
    </w:p>
    <w:p w14:paraId="7CADF2F3" w14:textId="1D8BA5E9" w:rsidR="00197917" w:rsidRPr="00AD3B62" w:rsidRDefault="00CA1AF2" w:rsidP="006E5978">
      <w:pPr>
        <w:pStyle w:val="Heading2"/>
      </w:pPr>
      <w:bookmarkStart w:id="41" w:name="_Toc215493971"/>
      <w:r w:rsidRPr="00AD3B62">
        <w:t xml:space="preserve"> </w:t>
      </w:r>
      <w:r w:rsidR="00197917" w:rsidRPr="00AD3B62">
        <w:t>Evaluation</w:t>
      </w:r>
      <w:bookmarkEnd w:id="41"/>
    </w:p>
    <w:p w14:paraId="384E4126" w14:textId="77777777" w:rsidR="00197917" w:rsidRPr="00AD3B62" w:rsidRDefault="00197917" w:rsidP="00197917">
      <w:pPr>
        <w:rPr>
          <w:rFonts w:asciiTheme="minorHAnsi" w:hAnsiTheme="minorHAnsi" w:cstheme="minorHAnsi"/>
          <w:sz w:val="22"/>
          <w:szCs w:val="24"/>
        </w:rPr>
      </w:pPr>
      <w:r w:rsidRPr="00AD3B62">
        <w:rPr>
          <w:rFonts w:asciiTheme="minorHAnsi" w:hAnsiTheme="minorHAnsi" w:cstheme="minorHAnsi"/>
          <w:sz w:val="22"/>
          <w:szCs w:val="24"/>
        </w:rPr>
        <w:t xml:space="preserve">Consistent with the regulatory principle of continuous improvement, the GBV Regulator is committed to continuous improvement of its compliance and enforcement approach. </w:t>
      </w:r>
    </w:p>
    <w:p w14:paraId="2D2625CC" w14:textId="77777777" w:rsidR="00197917" w:rsidRPr="00AD3B62" w:rsidRDefault="00197917" w:rsidP="00197917">
      <w:pPr>
        <w:rPr>
          <w:rFonts w:asciiTheme="minorHAnsi" w:hAnsiTheme="minorHAnsi" w:cstheme="minorHAnsi"/>
          <w:sz w:val="22"/>
          <w:szCs w:val="24"/>
        </w:rPr>
      </w:pPr>
      <w:r w:rsidRPr="00AD3B62">
        <w:rPr>
          <w:rFonts w:asciiTheme="minorHAnsi" w:hAnsiTheme="minorHAnsi" w:cstheme="minorHAnsi"/>
          <w:sz w:val="22"/>
          <w:szCs w:val="24"/>
        </w:rPr>
        <w:t xml:space="preserve">Evaluation ensures that regulatory settings, guidance, and practices remain effective, proportionate, and responsive to emerging risks and sector needs. </w:t>
      </w:r>
    </w:p>
    <w:p w14:paraId="2B84D887" w14:textId="77777777" w:rsidR="00197917" w:rsidRPr="00AD3B62" w:rsidRDefault="00197917" w:rsidP="00197917">
      <w:pPr>
        <w:rPr>
          <w:rFonts w:asciiTheme="minorHAnsi" w:hAnsiTheme="minorHAnsi" w:cstheme="minorHAnsi"/>
          <w:sz w:val="22"/>
          <w:szCs w:val="24"/>
        </w:rPr>
      </w:pPr>
      <w:r w:rsidRPr="00AD3B62">
        <w:rPr>
          <w:rFonts w:asciiTheme="minorHAnsi" w:hAnsiTheme="minorHAnsi" w:cstheme="minorHAnsi"/>
          <w:sz w:val="22"/>
          <w:szCs w:val="24"/>
        </w:rPr>
        <w:t>The GBV Regulator is committed to:</w:t>
      </w:r>
    </w:p>
    <w:p w14:paraId="58107F75" w14:textId="77777777" w:rsidR="00197917" w:rsidRPr="00AD3B62" w:rsidRDefault="00197917" w:rsidP="00197917">
      <w:pPr>
        <w:pStyle w:val="ListBullet"/>
        <w:rPr>
          <w:rFonts w:asciiTheme="minorHAnsi" w:hAnsiTheme="minorHAnsi" w:cstheme="minorHAnsi"/>
          <w:sz w:val="22"/>
          <w:szCs w:val="24"/>
        </w:rPr>
      </w:pPr>
      <w:r w:rsidRPr="00AD3B62">
        <w:rPr>
          <w:rFonts w:asciiTheme="minorHAnsi" w:hAnsiTheme="minorHAnsi" w:cstheme="minorHAnsi"/>
          <w:sz w:val="22"/>
          <w:szCs w:val="24"/>
        </w:rPr>
        <w:t>Evaluate how compliance and enforcement activities contribute to preventing and responding to gender-based violence across the higher education sector.</w:t>
      </w:r>
    </w:p>
    <w:p w14:paraId="4E604782" w14:textId="77777777" w:rsidR="00197917" w:rsidRPr="00AD3B62" w:rsidRDefault="00197917" w:rsidP="00197917">
      <w:pPr>
        <w:pStyle w:val="ListBullet"/>
        <w:rPr>
          <w:rFonts w:asciiTheme="minorHAnsi" w:hAnsiTheme="minorHAnsi" w:cstheme="minorHAnsi"/>
          <w:sz w:val="22"/>
          <w:szCs w:val="24"/>
        </w:rPr>
      </w:pPr>
      <w:r w:rsidRPr="00AD3B62">
        <w:rPr>
          <w:rFonts w:asciiTheme="minorHAnsi" w:hAnsiTheme="minorHAnsi" w:cstheme="minorHAnsi"/>
          <w:sz w:val="22"/>
          <w:szCs w:val="24"/>
        </w:rPr>
        <w:t>Use data, intelligence, and stakeholder feedback to identify challenges, emerging risks, and opportunities for improvement.</w:t>
      </w:r>
    </w:p>
    <w:p w14:paraId="0895131F" w14:textId="77777777" w:rsidR="00197917" w:rsidRPr="00AD3B62" w:rsidRDefault="00197917" w:rsidP="00197917">
      <w:pPr>
        <w:pStyle w:val="ListBullet"/>
        <w:rPr>
          <w:rFonts w:asciiTheme="minorHAnsi" w:hAnsiTheme="minorHAnsi" w:cstheme="minorHAnsi"/>
          <w:sz w:val="22"/>
          <w:szCs w:val="24"/>
        </w:rPr>
      </w:pPr>
      <w:r w:rsidRPr="00AD3B62">
        <w:rPr>
          <w:rFonts w:asciiTheme="minorHAnsi" w:hAnsiTheme="minorHAnsi" w:cstheme="minorHAnsi"/>
          <w:sz w:val="22"/>
          <w:szCs w:val="24"/>
        </w:rPr>
        <w:t>Incorporate lessons from compliance activities into regulatory priorities and guidance.</w:t>
      </w:r>
    </w:p>
    <w:p w14:paraId="52DB0979" w14:textId="77777777" w:rsidR="00197917" w:rsidRPr="00AD3B62" w:rsidRDefault="00197917" w:rsidP="00197917">
      <w:pPr>
        <w:pStyle w:val="ListBullet"/>
        <w:rPr>
          <w:rFonts w:asciiTheme="minorHAnsi" w:hAnsiTheme="minorHAnsi" w:cstheme="minorHAnsi"/>
          <w:sz w:val="22"/>
          <w:szCs w:val="24"/>
        </w:rPr>
      </w:pPr>
      <w:r w:rsidRPr="00AD3B62">
        <w:rPr>
          <w:rFonts w:asciiTheme="minorHAnsi" w:hAnsiTheme="minorHAnsi" w:cstheme="minorHAnsi"/>
          <w:sz w:val="22"/>
          <w:szCs w:val="24"/>
        </w:rPr>
        <w:t>Engage with providers and co-regulators to share insights, promote best practice, and build capability.</w:t>
      </w:r>
    </w:p>
    <w:p w14:paraId="6A378A7D" w14:textId="153950BC" w:rsidR="00197917" w:rsidRPr="00AD3B62" w:rsidRDefault="00197917" w:rsidP="00197917">
      <w:pPr>
        <w:pStyle w:val="ListBullet"/>
        <w:rPr>
          <w:rFonts w:asciiTheme="minorHAnsi" w:hAnsiTheme="minorHAnsi" w:cstheme="minorHAnsi"/>
          <w:sz w:val="22"/>
          <w:szCs w:val="24"/>
        </w:rPr>
      </w:pPr>
      <w:r w:rsidRPr="00AD3B62">
        <w:rPr>
          <w:rFonts w:asciiTheme="minorHAnsi" w:hAnsiTheme="minorHAnsi" w:cstheme="minorHAnsi"/>
          <w:sz w:val="22"/>
          <w:szCs w:val="24"/>
        </w:rPr>
        <w:t>Publish aggregated compliance data and regulatory outcomes in annual reports and other public documents, consistent with privacy and trauma-informed principles.</w:t>
      </w:r>
    </w:p>
    <w:p w14:paraId="1F73AD4A" w14:textId="344C4C5E" w:rsidR="007305A5" w:rsidRPr="00AD3B62" w:rsidRDefault="00197917" w:rsidP="00197917">
      <w:pPr>
        <w:rPr>
          <w:rFonts w:asciiTheme="minorHAnsi" w:hAnsiTheme="minorHAnsi" w:cstheme="minorHAnsi"/>
          <w:sz w:val="22"/>
          <w:szCs w:val="24"/>
        </w:rPr>
      </w:pPr>
      <w:r w:rsidRPr="00AD3B62">
        <w:rPr>
          <w:rFonts w:asciiTheme="minorHAnsi" w:hAnsiTheme="minorHAnsi" w:cstheme="minorHAnsi"/>
          <w:sz w:val="22"/>
          <w:szCs w:val="24"/>
        </w:rPr>
        <w:t>Evaluation findings also inform updates to compliance guidance, regulatory priorities, and enforcement strategies. This policy is reviewed annually, or sooner if required, to ensure alignment with legislative changes, sector maturity, and best practice in regulatory design.</w:t>
      </w:r>
    </w:p>
    <w:p w14:paraId="04907104" w14:textId="2A1FAF28" w:rsidR="00197917" w:rsidRPr="00AD3B62" w:rsidRDefault="007305A5" w:rsidP="007305A5">
      <w:pPr>
        <w:spacing w:after="160"/>
        <w:rPr>
          <w:rFonts w:asciiTheme="minorHAnsi" w:hAnsiTheme="minorHAnsi" w:cstheme="minorHAnsi"/>
          <w:sz w:val="22"/>
          <w:szCs w:val="24"/>
        </w:rPr>
      </w:pPr>
      <w:r w:rsidRPr="00AD3B62">
        <w:rPr>
          <w:rFonts w:asciiTheme="minorHAnsi" w:hAnsiTheme="minorHAnsi" w:cstheme="minorHAnsi"/>
          <w:sz w:val="22"/>
          <w:szCs w:val="24"/>
        </w:rPr>
        <w:br w:type="page"/>
      </w:r>
    </w:p>
    <w:p w14:paraId="09D1DDD6" w14:textId="432E432B" w:rsidR="00197917" w:rsidRPr="00AD3B62" w:rsidRDefault="00197917" w:rsidP="003A1A4B">
      <w:pPr>
        <w:pStyle w:val="Heading1"/>
        <w:shd w:val="clear" w:color="auto" w:fill="FFFFFF" w:themeFill="background1"/>
        <w:rPr>
          <w:rFonts w:asciiTheme="minorHAnsi" w:hAnsiTheme="minorHAnsi" w:cstheme="minorHAnsi"/>
          <w:color w:val="49255F"/>
          <w:sz w:val="44"/>
          <w:szCs w:val="24"/>
        </w:rPr>
      </w:pPr>
      <w:bookmarkStart w:id="42" w:name="_Toc215493972"/>
      <w:r w:rsidRPr="00AD3B62">
        <w:rPr>
          <w:rFonts w:asciiTheme="minorHAnsi" w:hAnsiTheme="minorHAnsi" w:cstheme="minorHAnsi"/>
          <w:color w:val="49255F"/>
          <w:sz w:val="44"/>
          <w:szCs w:val="24"/>
        </w:rPr>
        <w:lastRenderedPageBreak/>
        <w:t xml:space="preserve">Appendix: </w:t>
      </w:r>
      <w:r w:rsidR="007305A5" w:rsidRPr="00D47DBA">
        <w:rPr>
          <w:rFonts w:asciiTheme="minorHAnsi" w:hAnsiTheme="minorHAnsi" w:cstheme="minorHAnsi"/>
          <w:color w:val="49255F"/>
          <w:sz w:val="32"/>
          <w:szCs w:val="18"/>
        </w:rPr>
        <w:t>T</w:t>
      </w:r>
      <w:r w:rsidRPr="00D47DBA">
        <w:rPr>
          <w:rFonts w:asciiTheme="minorHAnsi" w:hAnsiTheme="minorHAnsi" w:cstheme="minorHAnsi"/>
          <w:color w:val="49255F"/>
          <w:sz w:val="32"/>
          <w:szCs w:val="18"/>
        </w:rPr>
        <w:t>ables for assessing risk and non-compliance</w:t>
      </w:r>
      <w:bookmarkEnd w:id="42"/>
    </w:p>
    <w:p w14:paraId="3E7E974B" w14:textId="5714CFEA" w:rsidR="00197917" w:rsidRPr="00AD3B62" w:rsidRDefault="00197917" w:rsidP="00433613">
      <w:pPr>
        <w:pStyle w:val="Heading3"/>
        <w:numPr>
          <w:ilvl w:val="0"/>
          <w:numId w:val="0"/>
        </w:numPr>
        <w:rPr>
          <w:rFonts w:asciiTheme="minorHAnsi" w:hAnsiTheme="minorHAnsi"/>
        </w:rPr>
      </w:pPr>
      <w:bookmarkStart w:id="43" w:name="_Toc215493973"/>
      <w:r w:rsidRPr="00AD3B62">
        <w:rPr>
          <w:rFonts w:asciiTheme="minorHAnsi" w:hAnsiTheme="minorHAnsi"/>
        </w:rPr>
        <w:t xml:space="preserve">Table 1: </w:t>
      </w:r>
      <w:r w:rsidR="00AD3B62">
        <w:rPr>
          <w:rFonts w:asciiTheme="minorHAnsi" w:hAnsiTheme="minorHAnsi"/>
        </w:rPr>
        <w:t>A</w:t>
      </w:r>
      <w:r w:rsidRPr="00AD3B62">
        <w:rPr>
          <w:rFonts w:asciiTheme="minorHAnsi" w:hAnsiTheme="minorHAnsi"/>
        </w:rPr>
        <w:t>ssessing the likelihood of non-compliance</w:t>
      </w:r>
      <w:bookmarkEnd w:id="43"/>
      <w:r w:rsidRPr="00AD3B62">
        <w:rPr>
          <w:rFonts w:asciiTheme="minorHAnsi" w:hAnsiTheme="minorHAnsi"/>
        </w:rPr>
        <w:t xml:space="preserve"> </w:t>
      </w:r>
    </w:p>
    <w:tbl>
      <w:tblPr>
        <w:tblStyle w:val="TableGridLight"/>
        <w:tblpPr w:leftFromText="180" w:rightFromText="180" w:vertAnchor="text" w:horzAnchor="margin" w:tblpXSpec="center" w:tblpY="144"/>
        <w:tblW w:w="9169" w:type="dxa"/>
        <w:tblLook w:val="04A0" w:firstRow="1" w:lastRow="0" w:firstColumn="1" w:lastColumn="0" w:noHBand="0" w:noVBand="1"/>
      </w:tblPr>
      <w:tblGrid>
        <w:gridCol w:w="623"/>
        <w:gridCol w:w="8546"/>
      </w:tblGrid>
      <w:tr w:rsidR="00197917" w:rsidRPr="00AD3B62" w14:paraId="7DD117D4" w14:textId="77777777" w:rsidTr="007305A5">
        <w:trPr>
          <w:trHeight w:val="233"/>
        </w:trPr>
        <w:tc>
          <w:tcPr>
            <w:tcW w:w="623" w:type="dxa"/>
            <w:vMerge w:val="restart"/>
            <w:tcBorders>
              <w:top w:val="single" w:sz="24" w:space="0" w:color="FFFFFF" w:themeColor="background1"/>
              <w:left w:val="single" w:sz="36" w:space="0" w:color="FFFFFF" w:themeColor="background1"/>
              <w:right w:val="single" w:sz="36" w:space="0" w:color="FFFFFF" w:themeColor="background1"/>
            </w:tcBorders>
            <w:shd w:val="clear" w:color="auto" w:fill="9C0E0E" w:themeFill="accent5" w:themeFillShade="80"/>
            <w:textDirection w:val="btLr"/>
          </w:tcPr>
          <w:p w14:paraId="544AA8DF" w14:textId="77777777" w:rsidR="00197917" w:rsidRPr="00AD3B62" w:rsidRDefault="00197917" w:rsidP="00197917">
            <w:pPr>
              <w:spacing w:after="200"/>
              <w:ind w:left="113" w:right="113"/>
              <w:contextualSpacing/>
              <w:jc w:val="center"/>
              <w:rPr>
                <w:rFonts w:asciiTheme="minorHAnsi" w:hAnsiTheme="minorHAnsi" w:cstheme="minorHAnsi"/>
                <w:b/>
                <w:bCs/>
                <w:color w:val="FFFFFF" w:themeColor="background1"/>
                <w:sz w:val="24"/>
                <w:szCs w:val="24"/>
              </w:rPr>
            </w:pPr>
            <w:r w:rsidRPr="00AD3B62">
              <w:rPr>
                <w:rFonts w:asciiTheme="minorHAnsi" w:hAnsiTheme="minorHAnsi" w:cstheme="minorHAnsi"/>
                <w:b/>
                <w:color w:val="FFFFFF" w:themeColor="background1"/>
                <w:sz w:val="28"/>
                <w:szCs w:val="28"/>
              </w:rPr>
              <w:t>Certain</w:t>
            </w:r>
          </w:p>
        </w:tc>
        <w:tc>
          <w:tcPr>
            <w:tcW w:w="8546" w:type="dxa"/>
            <w:tcBorders>
              <w:top w:val="single" w:sz="18" w:space="0" w:color="FFFFFF" w:themeColor="background1"/>
              <w:left w:val="single" w:sz="36" w:space="0" w:color="FFFFFF" w:themeColor="background1"/>
              <w:bottom w:val="single" w:sz="36" w:space="0" w:color="FFFFFF" w:themeColor="background1"/>
              <w:right w:val="single" w:sz="24" w:space="0" w:color="FFFFFF" w:themeColor="background1"/>
            </w:tcBorders>
            <w:shd w:val="clear" w:color="auto" w:fill="F2F2F2" w:themeFill="background1" w:themeFillShade="F2"/>
          </w:tcPr>
          <w:p w14:paraId="4F3D4D73" w14:textId="77777777" w:rsidR="00197917" w:rsidRPr="00AD3B62" w:rsidRDefault="00197917" w:rsidP="00197917">
            <w:pPr>
              <w:spacing w:after="200"/>
              <w:contextualSpacing/>
              <w:rPr>
                <w:rFonts w:asciiTheme="minorHAnsi" w:hAnsiTheme="minorHAnsi" w:cstheme="minorHAnsi"/>
                <w:sz w:val="20"/>
                <w:szCs w:val="20"/>
              </w:rPr>
            </w:pPr>
            <w:r w:rsidRPr="00AD3B62">
              <w:rPr>
                <w:rFonts w:asciiTheme="minorHAnsi" w:hAnsiTheme="minorHAnsi" w:cstheme="minorHAnsi"/>
                <w:sz w:val="20"/>
                <w:szCs w:val="20"/>
              </w:rPr>
              <w:t>Repeated failure to meet acceptable standards, to understand requirements, and to have systems of management or address concerns</w:t>
            </w:r>
          </w:p>
        </w:tc>
      </w:tr>
      <w:tr w:rsidR="00197917" w:rsidRPr="00AD3B62" w14:paraId="28955D80" w14:textId="77777777" w:rsidTr="007305A5">
        <w:trPr>
          <w:trHeight w:val="537"/>
        </w:trPr>
        <w:tc>
          <w:tcPr>
            <w:tcW w:w="623" w:type="dxa"/>
            <w:vMerge/>
            <w:tcBorders>
              <w:left w:val="single" w:sz="36" w:space="0" w:color="FFFFFF" w:themeColor="background1"/>
              <w:right w:val="single" w:sz="36" w:space="0" w:color="FFFFFF" w:themeColor="background1"/>
            </w:tcBorders>
            <w:shd w:val="clear" w:color="auto" w:fill="9C0E0E" w:themeFill="accent5" w:themeFillShade="80"/>
            <w:textDirection w:val="btLr"/>
          </w:tcPr>
          <w:p w14:paraId="598C2529" w14:textId="77777777" w:rsidR="00197917" w:rsidRPr="00AD3B62" w:rsidRDefault="00197917" w:rsidP="00197917">
            <w:pPr>
              <w:spacing w:after="200"/>
              <w:ind w:left="113" w:right="113"/>
              <w:contextualSpacing/>
              <w:jc w:val="center"/>
              <w:rPr>
                <w:rFonts w:asciiTheme="minorHAnsi" w:hAnsiTheme="minorHAnsi" w:cstheme="minorHAnsi"/>
                <w:b/>
                <w:bCs/>
                <w:color w:val="FFFFFF" w:themeColor="background1"/>
                <w:sz w:val="24"/>
                <w:szCs w:val="24"/>
              </w:rPr>
            </w:pPr>
          </w:p>
        </w:tc>
        <w:tc>
          <w:tcPr>
            <w:tcW w:w="8546" w:type="dxa"/>
            <w:tcBorders>
              <w:top w:val="single" w:sz="36" w:space="0" w:color="FFFFFF" w:themeColor="background1"/>
              <w:left w:val="single" w:sz="36" w:space="0" w:color="FFFFFF" w:themeColor="background1"/>
              <w:bottom w:val="single" w:sz="36" w:space="0" w:color="FFFFFF" w:themeColor="background1"/>
              <w:right w:val="single" w:sz="24" w:space="0" w:color="FFFFFF" w:themeColor="background1"/>
            </w:tcBorders>
            <w:shd w:val="clear" w:color="auto" w:fill="F2F2F2" w:themeFill="background1" w:themeFillShade="F2"/>
          </w:tcPr>
          <w:p w14:paraId="707A8D8D" w14:textId="77777777" w:rsidR="00197917" w:rsidRPr="00AD3B62" w:rsidRDefault="00197917" w:rsidP="00197917">
            <w:pPr>
              <w:spacing w:after="200"/>
              <w:contextualSpacing/>
              <w:rPr>
                <w:rFonts w:asciiTheme="minorHAnsi" w:hAnsiTheme="minorHAnsi" w:cstheme="minorHAnsi"/>
                <w:sz w:val="20"/>
                <w:szCs w:val="20"/>
              </w:rPr>
            </w:pPr>
            <w:r w:rsidRPr="00AD3B62">
              <w:rPr>
                <w:rFonts w:asciiTheme="minorHAnsi" w:hAnsiTheme="minorHAnsi" w:cstheme="minorHAnsi"/>
                <w:sz w:val="20"/>
                <w:szCs w:val="20"/>
              </w:rPr>
              <w:t>Refusal to comply, to dedicate suitable resources or qualified staff, and to cooperate with the GBV Regulator or provide information</w:t>
            </w:r>
          </w:p>
        </w:tc>
      </w:tr>
      <w:tr w:rsidR="00197917" w:rsidRPr="00AD3B62" w14:paraId="7ACD000A" w14:textId="77777777" w:rsidTr="007305A5">
        <w:trPr>
          <w:trHeight w:val="603"/>
        </w:trPr>
        <w:tc>
          <w:tcPr>
            <w:tcW w:w="623" w:type="dxa"/>
            <w:vMerge/>
            <w:tcBorders>
              <w:left w:val="single" w:sz="36" w:space="0" w:color="FFFFFF" w:themeColor="background1"/>
              <w:bottom w:val="single" w:sz="36" w:space="0" w:color="FFFFFF" w:themeColor="background1"/>
              <w:right w:val="single" w:sz="36" w:space="0" w:color="FFFFFF" w:themeColor="background1"/>
            </w:tcBorders>
            <w:shd w:val="clear" w:color="auto" w:fill="9C0E0E" w:themeFill="accent5" w:themeFillShade="80"/>
            <w:textDirection w:val="btLr"/>
          </w:tcPr>
          <w:p w14:paraId="0530B3F9" w14:textId="77777777" w:rsidR="00197917" w:rsidRPr="00AD3B62" w:rsidRDefault="00197917" w:rsidP="00197917">
            <w:pPr>
              <w:spacing w:after="200"/>
              <w:ind w:left="113" w:right="113"/>
              <w:contextualSpacing/>
              <w:jc w:val="center"/>
              <w:rPr>
                <w:rFonts w:asciiTheme="minorHAnsi" w:hAnsiTheme="minorHAnsi" w:cstheme="minorHAnsi"/>
                <w:b/>
                <w:bCs/>
                <w:color w:val="FFFFFF" w:themeColor="background1"/>
                <w:sz w:val="24"/>
                <w:szCs w:val="24"/>
              </w:rPr>
            </w:pPr>
          </w:p>
        </w:tc>
        <w:tc>
          <w:tcPr>
            <w:tcW w:w="8546" w:type="dxa"/>
            <w:tcBorders>
              <w:top w:val="single" w:sz="36" w:space="0" w:color="FFFFFF" w:themeColor="background1"/>
              <w:left w:val="single" w:sz="36" w:space="0" w:color="FFFFFF" w:themeColor="background1"/>
              <w:bottom w:val="single" w:sz="36" w:space="0" w:color="FFFFFF" w:themeColor="background1"/>
              <w:right w:val="single" w:sz="24" w:space="0" w:color="FFFFFF" w:themeColor="background1"/>
            </w:tcBorders>
            <w:shd w:val="clear" w:color="auto" w:fill="F2F2F2" w:themeFill="background1" w:themeFillShade="F2"/>
          </w:tcPr>
          <w:p w14:paraId="3874FAF9" w14:textId="77777777" w:rsidR="00197917" w:rsidRPr="00AD3B62" w:rsidRDefault="00197917" w:rsidP="00197917">
            <w:pPr>
              <w:spacing w:after="200"/>
              <w:contextualSpacing/>
              <w:rPr>
                <w:rFonts w:asciiTheme="minorHAnsi" w:hAnsiTheme="minorHAnsi" w:cstheme="minorHAnsi"/>
                <w:sz w:val="20"/>
                <w:szCs w:val="20"/>
              </w:rPr>
            </w:pPr>
            <w:r w:rsidRPr="00AD3B62">
              <w:rPr>
                <w:rFonts w:asciiTheme="minorHAnsi" w:hAnsiTheme="minorHAnsi" w:cstheme="minorHAnsi"/>
                <w:sz w:val="20"/>
                <w:szCs w:val="20"/>
              </w:rPr>
              <w:t>Significant substantiated or outstanding investigations, complaints, incidents or NSO recommendations</w:t>
            </w:r>
          </w:p>
        </w:tc>
      </w:tr>
      <w:tr w:rsidR="00197917" w:rsidRPr="00AD3B62" w14:paraId="08D5333A" w14:textId="77777777" w:rsidTr="007305A5">
        <w:trPr>
          <w:trHeight w:val="302"/>
        </w:trPr>
        <w:tc>
          <w:tcPr>
            <w:tcW w:w="623" w:type="dxa"/>
            <w:vMerge w:val="restart"/>
            <w:tcBorders>
              <w:top w:val="single" w:sz="36" w:space="0" w:color="FFFFFF" w:themeColor="background1"/>
              <w:left w:val="single" w:sz="36" w:space="0" w:color="FFFFFF" w:themeColor="background1"/>
              <w:right w:val="single" w:sz="36" w:space="0" w:color="FFFFFF" w:themeColor="background1"/>
            </w:tcBorders>
            <w:shd w:val="clear" w:color="auto" w:fill="FF0000"/>
            <w:textDirection w:val="btLr"/>
          </w:tcPr>
          <w:p w14:paraId="25877AD1" w14:textId="77777777" w:rsidR="00197917" w:rsidRPr="00AD3B62" w:rsidRDefault="00197917" w:rsidP="00197917">
            <w:pPr>
              <w:spacing w:after="200"/>
              <w:ind w:left="113" w:right="113"/>
              <w:contextualSpacing/>
              <w:jc w:val="center"/>
              <w:rPr>
                <w:rFonts w:asciiTheme="minorHAnsi" w:hAnsiTheme="minorHAnsi" w:cstheme="minorHAnsi"/>
                <w:b/>
                <w:bCs/>
                <w:color w:val="FFFFFF" w:themeColor="background1"/>
                <w:sz w:val="24"/>
                <w:szCs w:val="24"/>
              </w:rPr>
            </w:pPr>
            <w:r w:rsidRPr="00AD3B62">
              <w:rPr>
                <w:rFonts w:asciiTheme="minorHAnsi" w:hAnsiTheme="minorHAnsi" w:cstheme="minorHAnsi"/>
                <w:b/>
                <w:color w:val="FFFFFF" w:themeColor="background1"/>
                <w:sz w:val="32"/>
                <w:szCs w:val="32"/>
              </w:rPr>
              <w:t>Likely</w:t>
            </w:r>
          </w:p>
        </w:tc>
        <w:tc>
          <w:tcPr>
            <w:tcW w:w="8546" w:type="dxa"/>
            <w:tcBorders>
              <w:top w:val="single" w:sz="36" w:space="0" w:color="FFFFFF" w:themeColor="background1"/>
              <w:left w:val="single" w:sz="36" w:space="0" w:color="FFFFFF" w:themeColor="background1"/>
              <w:bottom w:val="single" w:sz="36" w:space="0" w:color="FFFFFF" w:themeColor="background1"/>
              <w:right w:val="single" w:sz="24" w:space="0" w:color="FFFFFF" w:themeColor="background1"/>
            </w:tcBorders>
            <w:shd w:val="clear" w:color="auto" w:fill="F2F2F2" w:themeFill="background1" w:themeFillShade="F2"/>
          </w:tcPr>
          <w:p w14:paraId="597F6F14" w14:textId="77777777" w:rsidR="00197917" w:rsidRPr="00AD3B62" w:rsidRDefault="00197917" w:rsidP="00197917">
            <w:pPr>
              <w:spacing w:after="200"/>
              <w:contextualSpacing/>
              <w:rPr>
                <w:rFonts w:asciiTheme="minorHAnsi" w:hAnsiTheme="minorHAnsi" w:cstheme="minorHAnsi"/>
                <w:sz w:val="20"/>
                <w:szCs w:val="20"/>
              </w:rPr>
            </w:pPr>
            <w:r w:rsidRPr="00AD3B62">
              <w:rPr>
                <w:rFonts w:asciiTheme="minorHAnsi" w:hAnsiTheme="minorHAnsi" w:cstheme="minorHAnsi"/>
                <w:sz w:val="20"/>
                <w:szCs w:val="20"/>
              </w:rPr>
              <w:t>Pattern of repeated non-compliance, biased or misleading self-assessment, poor compliance history or failure to comply with a remedial notice</w:t>
            </w:r>
          </w:p>
        </w:tc>
      </w:tr>
      <w:tr w:rsidR="00197917" w:rsidRPr="00AD3B62" w14:paraId="645EF363" w14:textId="77777777" w:rsidTr="007305A5">
        <w:trPr>
          <w:trHeight w:val="301"/>
        </w:trPr>
        <w:tc>
          <w:tcPr>
            <w:tcW w:w="623" w:type="dxa"/>
            <w:vMerge/>
            <w:tcBorders>
              <w:left w:val="single" w:sz="36" w:space="0" w:color="FFFFFF" w:themeColor="background1"/>
              <w:right w:val="single" w:sz="36" w:space="0" w:color="FFFFFF" w:themeColor="background1"/>
            </w:tcBorders>
            <w:shd w:val="clear" w:color="auto" w:fill="FF0000"/>
            <w:textDirection w:val="btLr"/>
          </w:tcPr>
          <w:p w14:paraId="761AED31" w14:textId="77777777" w:rsidR="00197917" w:rsidRPr="00AD3B62" w:rsidRDefault="00197917" w:rsidP="00197917">
            <w:pPr>
              <w:spacing w:after="200"/>
              <w:ind w:left="113" w:right="113"/>
              <w:contextualSpacing/>
              <w:jc w:val="center"/>
              <w:rPr>
                <w:rFonts w:asciiTheme="minorHAnsi" w:hAnsiTheme="minorHAnsi" w:cstheme="minorHAnsi"/>
                <w:b/>
                <w:bCs/>
                <w:color w:val="FFFFFF" w:themeColor="background1"/>
                <w:sz w:val="24"/>
                <w:szCs w:val="24"/>
              </w:rPr>
            </w:pPr>
          </w:p>
        </w:tc>
        <w:tc>
          <w:tcPr>
            <w:tcW w:w="8546" w:type="dxa"/>
            <w:tcBorders>
              <w:top w:val="single" w:sz="36" w:space="0" w:color="FFFFFF" w:themeColor="background1"/>
              <w:left w:val="single" w:sz="36" w:space="0" w:color="FFFFFF" w:themeColor="background1"/>
              <w:bottom w:val="single" w:sz="36" w:space="0" w:color="FFFFFF" w:themeColor="background1"/>
              <w:right w:val="single" w:sz="24" w:space="0" w:color="FFFFFF" w:themeColor="background1"/>
            </w:tcBorders>
            <w:shd w:val="clear" w:color="auto" w:fill="F2F2F2" w:themeFill="background1" w:themeFillShade="F2"/>
          </w:tcPr>
          <w:p w14:paraId="020A68B1" w14:textId="77777777" w:rsidR="00197917" w:rsidRPr="00AD3B62" w:rsidRDefault="00197917" w:rsidP="00197917">
            <w:pPr>
              <w:spacing w:after="200"/>
              <w:contextualSpacing/>
              <w:rPr>
                <w:rFonts w:asciiTheme="minorHAnsi" w:hAnsiTheme="minorHAnsi" w:cstheme="minorHAnsi"/>
                <w:sz w:val="20"/>
                <w:szCs w:val="20"/>
              </w:rPr>
            </w:pPr>
            <w:r w:rsidRPr="00AD3B62">
              <w:rPr>
                <w:rFonts w:asciiTheme="minorHAnsi" w:hAnsiTheme="minorHAnsi" w:cstheme="minorHAnsi"/>
                <w:sz w:val="20"/>
                <w:szCs w:val="20"/>
              </w:rPr>
              <w:t>Higher than average volume of complaints or notifications from partner regulators, legal action, or a disproportionate ratio of disclosures to students and staff</w:t>
            </w:r>
          </w:p>
        </w:tc>
      </w:tr>
      <w:tr w:rsidR="00197917" w:rsidRPr="00AD3B62" w14:paraId="5AA70DDA" w14:textId="77777777" w:rsidTr="007305A5">
        <w:trPr>
          <w:trHeight w:val="270"/>
        </w:trPr>
        <w:tc>
          <w:tcPr>
            <w:tcW w:w="623" w:type="dxa"/>
            <w:vMerge/>
            <w:tcBorders>
              <w:left w:val="single" w:sz="36" w:space="0" w:color="FFFFFF" w:themeColor="background1"/>
              <w:bottom w:val="single" w:sz="36" w:space="0" w:color="FFFFFF" w:themeColor="background1"/>
              <w:right w:val="single" w:sz="36" w:space="0" w:color="FFFFFF" w:themeColor="background1"/>
            </w:tcBorders>
            <w:shd w:val="clear" w:color="auto" w:fill="FF0000"/>
            <w:textDirection w:val="btLr"/>
          </w:tcPr>
          <w:p w14:paraId="29AC19CD" w14:textId="77777777" w:rsidR="00197917" w:rsidRPr="00AD3B62" w:rsidRDefault="00197917" w:rsidP="00197917">
            <w:pPr>
              <w:spacing w:after="200"/>
              <w:ind w:left="113" w:right="113"/>
              <w:contextualSpacing/>
              <w:jc w:val="center"/>
              <w:rPr>
                <w:rFonts w:asciiTheme="minorHAnsi" w:hAnsiTheme="minorHAnsi" w:cstheme="minorHAnsi"/>
                <w:b/>
                <w:bCs/>
                <w:color w:val="FFFFFF" w:themeColor="background1"/>
                <w:sz w:val="24"/>
                <w:szCs w:val="24"/>
              </w:rPr>
            </w:pPr>
          </w:p>
        </w:tc>
        <w:tc>
          <w:tcPr>
            <w:tcW w:w="8546" w:type="dxa"/>
            <w:tcBorders>
              <w:top w:val="single" w:sz="36" w:space="0" w:color="FFFFFF" w:themeColor="background1"/>
              <w:left w:val="single" w:sz="36" w:space="0" w:color="FFFFFF" w:themeColor="background1"/>
              <w:bottom w:val="single" w:sz="36" w:space="0" w:color="FFFFFF" w:themeColor="background1"/>
              <w:right w:val="single" w:sz="24" w:space="0" w:color="FFFFFF" w:themeColor="background1"/>
            </w:tcBorders>
            <w:shd w:val="clear" w:color="auto" w:fill="F2F2F2" w:themeFill="background1" w:themeFillShade="F2"/>
          </w:tcPr>
          <w:p w14:paraId="4A66891E" w14:textId="77777777" w:rsidR="00197917" w:rsidRPr="00AD3B62" w:rsidRDefault="00197917" w:rsidP="00197917">
            <w:pPr>
              <w:spacing w:after="200"/>
              <w:contextualSpacing/>
              <w:rPr>
                <w:rFonts w:asciiTheme="minorHAnsi" w:hAnsiTheme="minorHAnsi" w:cstheme="minorHAnsi"/>
                <w:sz w:val="20"/>
                <w:szCs w:val="20"/>
              </w:rPr>
            </w:pPr>
            <w:r w:rsidRPr="00AD3B62">
              <w:rPr>
                <w:rFonts w:asciiTheme="minorHAnsi" w:hAnsiTheme="minorHAnsi" w:cstheme="minorHAnsi"/>
                <w:sz w:val="20"/>
                <w:szCs w:val="20"/>
              </w:rPr>
              <w:t>Questionable capacity to meet requirements, high staff turnover or casualisation, poor risk-management processes in place, or presence of governance related registration conditions</w:t>
            </w:r>
          </w:p>
        </w:tc>
      </w:tr>
      <w:tr w:rsidR="00197917" w:rsidRPr="00AD3B62" w14:paraId="4E410D4E" w14:textId="77777777" w:rsidTr="007305A5">
        <w:trPr>
          <w:trHeight w:val="503"/>
        </w:trPr>
        <w:tc>
          <w:tcPr>
            <w:tcW w:w="623" w:type="dxa"/>
            <w:vMerge w:val="restart"/>
            <w:tcBorders>
              <w:top w:val="single" w:sz="36" w:space="0" w:color="FFFFFF" w:themeColor="background1"/>
              <w:left w:val="single" w:sz="36" w:space="0" w:color="FFFFFF" w:themeColor="background1"/>
              <w:right w:val="single" w:sz="36" w:space="0" w:color="FFFFFF" w:themeColor="background1"/>
            </w:tcBorders>
            <w:shd w:val="clear" w:color="auto" w:fill="FFC000"/>
            <w:textDirection w:val="btLr"/>
          </w:tcPr>
          <w:p w14:paraId="55CB48C0" w14:textId="77777777" w:rsidR="00197917" w:rsidRPr="00AD3B62" w:rsidRDefault="00197917" w:rsidP="00197917">
            <w:pPr>
              <w:spacing w:after="200"/>
              <w:ind w:left="113" w:right="113"/>
              <w:contextualSpacing/>
              <w:jc w:val="center"/>
              <w:rPr>
                <w:rFonts w:asciiTheme="minorHAnsi" w:hAnsiTheme="minorHAnsi" w:cstheme="minorHAnsi"/>
                <w:b/>
                <w:bCs/>
                <w:color w:val="FFFFFF" w:themeColor="background1"/>
                <w:sz w:val="24"/>
                <w:szCs w:val="24"/>
              </w:rPr>
            </w:pPr>
            <w:r w:rsidRPr="00AD3B62">
              <w:rPr>
                <w:rFonts w:asciiTheme="minorHAnsi" w:hAnsiTheme="minorHAnsi" w:cstheme="minorHAnsi"/>
                <w:b/>
                <w:color w:val="000000" w:themeColor="text1"/>
                <w:sz w:val="28"/>
                <w:szCs w:val="28"/>
              </w:rPr>
              <w:t>Possible</w:t>
            </w:r>
          </w:p>
        </w:tc>
        <w:tc>
          <w:tcPr>
            <w:tcW w:w="8546" w:type="dxa"/>
            <w:tcBorders>
              <w:top w:val="single" w:sz="36" w:space="0" w:color="FFFFFF" w:themeColor="background1"/>
              <w:left w:val="single" w:sz="36" w:space="0" w:color="FFFFFF" w:themeColor="background1"/>
              <w:bottom w:val="single" w:sz="36" w:space="0" w:color="FFFFFF" w:themeColor="background1"/>
              <w:right w:val="single" w:sz="24" w:space="0" w:color="FFFFFF" w:themeColor="background1"/>
            </w:tcBorders>
            <w:shd w:val="clear" w:color="auto" w:fill="F2F2F2" w:themeFill="background1" w:themeFillShade="F2"/>
          </w:tcPr>
          <w:p w14:paraId="72B2BE72" w14:textId="77777777" w:rsidR="00197917" w:rsidRPr="00AD3B62" w:rsidRDefault="00197917" w:rsidP="00197917">
            <w:pPr>
              <w:spacing w:after="200"/>
              <w:contextualSpacing/>
              <w:rPr>
                <w:rFonts w:asciiTheme="minorHAnsi" w:hAnsiTheme="minorHAnsi" w:cstheme="minorHAnsi"/>
                <w:sz w:val="20"/>
                <w:szCs w:val="20"/>
              </w:rPr>
            </w:pPr>
            <w:r w:rsidRPr="00AD3B62">
              <w:rPr>
                <w:rFonts w:asciiTheme="minorHAnsi" w:hAnsiTheme="minorHAnsi" w:cstheme="minorHAnsi"/>
                <w:sz w:val="20"/>
                <w:szCs w:val="20"/>
              </w:rPr>
              <w:t>Numerous previous incidents of non-compliance, of complaints, or relevant legal proceedings, or media/public reports or registration conditions</w:t>
            </w:r>
          </w:p>
        </w:tc>
      </w:tr>
      <w:tr w:rsidR="00197917" w:rsidRPr="00AD3B62" w14:paraId="70505EF4" w14:textId="77777777" w:rsidTr="007305A5">
        <w:trPr>
          <w:trHeight w:val="321"/>
        </w:trPr>
        <w:tc>
          <w:tcPr>
            <w:tcW w:w="623" w:type="dxa"/>
            <w:vMerge/>
            <w:tcBorders>
              <w:left w:val="single" w:sz="36" w:space="0" w:color="FFFFFF" w:themeColor="background1"/>
              <w:right w:val="single" w:sz="36" w:space="0" w:color="FFFFFF" w:themeColor="background1"/>
            </w:tcBorders>
            <w:shd w:val="clear" w:color="auto" w:fill="FFC000"/>
            <w:textDirection w:val="btLr"/>
          </w:tcPr>
          <w:p w14:paraId="30A846C6" w14:textId="77777777" w:rsidR="00197917" w:rsidRPr="00AD3B62" w:rsidRDefault="00197917" w:rsidP="00197917">
            <w:pPr>
              <w:spacing w:after="200"/>
              <w:ind w:left="113" w:right="113"/>
              <w:contextualSpacing/>
              <w:jc w:val="center"/>
              <w:rPr>
                <w:rFonts w:asciiTheme="minorHAnsi" w:hAnsiTheme="minorHAnsi" w:cstheme="minorHAnsi"/>
                <w:b/>
                <w:bCs/>
                <w:color w:val="FFFFFF" w:themeColor="background1"/>
                <w:sz w:val="24"/>
                <w:szCs w:val="24"/>
              </w:rPr>
            </w:pPr>
          </w:p>
        </w:tc>
        <w:tc>
          <w:tcPr>
            <w:tcW w:w="8546" w:type="dxa"/>
            <w:tcBorders>
              <w:top w:val="single" w:sz="36" w:space="0" w:color="FFFFFF" w:themeColor="background1"/>
              <w:left w:val="single" w:sz="36" w:space="0" w:color="FFFFFF" w:themeColor="background1"/>
              <w:bottom w:val="single" w:sz="36" w:space="0" w:color="FFFFFF" w:themeColor="background1"/>
              <w:right w:val="single" w:sz="24" w:space="0" w:color="FFFFFF" w:themeColor="background1"/>
            </w:tcBorders>
            <w:shd w:val="clear" w:color="auto" w:fill="F2F2F2" w:themeFill="background1" w:themeFillShade="F2"/>
          </w:tcPr>
          <w:p w14:paraId="42AFE0D0" w14:textId="77777777" w:rsidR="00197917" w:rsidRPr="00AD3B62" w:rsidRDefault="00197917" w:rsidP="00197917">
            <w:pPr>
              <w:spacing w:after="200"/>
              <w:contextualSpacing/>
              <w:rPr>
                <w:rFonts w:asciiTheme="minorHAnsi" w:hAnsiTheme="minorHAnsi" w:cstheme="minorHAnsi"/>
                <w:sz w:val="20"/>
                <w:szCs w:val="20"/>
              </w:rPr>
            </w:pPr>
            <w:r w:rsidRPr="00AD3B62">
              <w:rPr>
                <w:rFonts w:asciiTheme="minorHAnsi" w:hAnsiTheme="minorHAnsi" w:cstheme="minorHAnsi"/>
                <w:sz w:val="20"/>
                <w:szCs w:val="20"/>
              </w:rPr>
              <w:t xml:space="preserve">Failure to update governance bodies, to dedicate suitable resources or absent resources, late or incomplete planning, reporting, document provision, or notification to regulator and partner regulators </w:t>
            </w:r>
          </w:p>
        </w:tc>
      </w:tr>
      <w:tr w:rsidR="00197917" w:rsidRPr="00AD3B62" w14:paraId="2339BD2D" w14:textId="77777777" w:rsidTr="007305A5">
        <w:trPr>
          <w:trHeight w:val="586"/>
        </w:trPr>
        <w:tc>
          <w:tcPr>
            <w:tcW w:w="623" w:type="dxa"/>
            <w:vMerge/>
            <w:tcBorders>
              <w:left w:val="single" w:sz="36" w:space="0" w:color="FFFFFF" w:themeColor="background1"/>
              <w:right w:val="single" w:sz="36" w:space="0" w:color="FFFFFF" w:themeColor="background1"/>
            </w:tcBorders>
            <w:shd w:val="clear" w:color="auto" w:fill="FFC000"/>
            <w:textDirection w:val="btLr"/>
          </w:tcPr>
          <w:p w14:paraId="5657BD36" w14:textId="77777777" w:rsidR="00197917" w:rsidRPr="00AD3B62" w:rsidRDefault="00197917" w:rsidP="00197917">
            <w:pPr>
              <w:spacing w:after="200"/>
              <w:ind w:left="113" w:right="113"/>
              <w:contextualSpacing/>
              <w:jc w:val="center"/>
              <w:rPr>
                <w:rFonts w:asciiTheme="minorHAnsi" w:hAnsiTheme="minorHAnsi" w:cstheme="minorHAnsi"/>
                <w:b/>
                <w:bCs/>
                <w:color w:val="FFFFFF" w:themeColor="background1"/>
                <w:sz w:val="24"/>
                <w:szCs w:val="24"/>
              </w:rPr>
            </w:pPr>
          </w:p>
        </w:tc>
        <w:tc>
          <w:tcPr>
            <w:tcW w:w="8546" w:type="dxa"/>
            <w:tcBorders>
              <w:top w:val="single" w:sz="36" w:space="0" w:color="FFFFFF" w:themeColor="background1"/>
              <w:left w:val="single" w:sz="36" w:space="0" w:color="FFFFFF" w:themeColor="background1"/>
              <w:bottom w:val="single" w:sz="36" w:space="0" w:color="FFFFFF" w:themeColor="background1"/>
              <w:right w:val="single" w:sz="24" w:space="0" w:color="FFFFFF" w:themeColor="background1"/>
            </w:tcBorders>
            <w:shd w:val="clear" w:color="auto" w:fill="F2F2F2" w:themeFill="background1" w:themeFillShade="F2"/>
          </w:tcPr>
          <w:p w14:paraId="7F02A325" w14:textId="77777777" w:rsidR="00197917" w:rsidRPr="00AD3B62" w:rsidRDefault="00197917" w:rsidP="00197917">
            <w:pPr>
              <w:spacing w:after="200"/>
              <w:contextualSpacing/>
              <w:rPr>
                <w:rFonts w:asciiTheme="minorHAnsi" w:hAnsiTheme="minorHAnsi" w:cstheme="minorHAnsi"/>
                <w:sz w:val="20"/>
                <w:szCs w:val="20"/>
              </w:rPr>
            </w:pPr>
            <w:r w:rsidRPr="00AD3B62">
              <w:rPr>
                <w:rFonts w:asciiTheme="minorHAnsi" w:hAnsiTheme="minorHAnsi" w:cstheme="minorHAnsi"/>
                <w:sz w:val="20"/>
                <w:szCs w:val="20"/>
              </w:rPr>
              <w:t>Outdated methods, responses or practices, poor risk identification or management, or issues with training or support to staff and students on gender-based violence</w:t>
            </w:r>
          </w:p>
        </w:tc>
      </w:tr>
      <w:tr w:rsidR="00197917" w:rsidRPr="00AD3B62" w14:paraId="3C27E5F4" w14:textId="77777777" w:rsidTr="007305A5">
        <w:trPr>
          <w:trHeight w:val="155"/>
        </w:trPr>
        <w:tc>
          <w:tcPr>
            <w:tcW w:w="623" w:type="dxa"/>
            <w:vMerge w:val="restart"/>
            <w:tcBorders>
              <w:top w:val="single" w:sz="36" w:space="0" w:color="FFFFFF" w:themeColor="background1"/>
              <w:left w:val="single" w:sz="36" w:space="0" w:color="FFFFFF" w:themeColor="background1"/>
              <w:right w:val="single" w:sz="36" w:space="0" w:color="FFFFFF" w:themeColor="background1"/>
            </w:tcBorders>
            <w:shd w:val="clear" w:color="auto" w:fill="92D050"/>
            <w:textDirection w:val="btLr"/>
          </w:tcPr>
          <w:p w14:paraId="791B2F33" w14:textId="77777777" w:rsidR="00197917" w:rsidRPr="00AD3B62" w:rsidRDefault="00197917" w:rsidP="00197917">
            <w:pPr>
              <w:spacing w:after="200"/>
              <w:ind w:left="113" w:right="113"/>
              <w:contextualSpacing/>
              <w:jc w:val="center"/>
              <w:rPr>
                <w:rFonts w:asciiTheme="minorHAnsi" w:hAnsiTheme="minorHAnsi" w:cstheme="minorHAnsi"/>
                <w:b/>
                <w:bCs/>
                <w:color w:val="FFFFFF" w:themeColor="background1"/>
                <w:sz w:val="24"/>
                <w:szCs w:val="24"/>
              </w:rPr>
            </w:pPr>
            <w:r w:rsidRPr="00AD3B62">
              <w:rPr>
                <w:rFonts w:asciiTheme="minorHAnsi" w:hAnsiTheme="minorHAnsi" w:cstheme="minorHAnsi"/>
                <w:b/>
                <w:color w:val="000000" w:themeColor="text1"/>
                <w:sz w:val="28"/>
                <w:szCs w:val="28"/>
              </w:rPr>
              <w:t>Unlikely</w:t>
            </w:r>
          </w:p>
        </w:tc>
        <w:tc>
          <w:tcPr>
            <w:tcW w:w="8546" w:type="dxa"/>
            <w:tcBorders>
              <w:top w:val="single" w:sz="36" w:space="0" w:color="FFFFFF" w:themeColor="background1"/>
              <w:left w:val="single" w:sz="36" w:space="0" w:color="FFFFFF" w:themeColor="background1"/>
              <w:bottom w:val="single" w:sz="36" w:space="0" w:color="FFFFFF" w:themeColor="background1"/>
              <w:right w:val="single" w:sz="12" w:space="0" w:color="FFFFFF" w:themeColor="background1"/>
            </w:tcBorders>
            <w:shd w:val="clear" w:color="auto" w:fill="F2F2F2" w:themeFill="background1" w:themeFillShade="F2"/>
          </w:tcPr>
          <w:p w14:paraId="22EEBF26" w14:textId="77777777" w:rsidR="00197917" w:rsidRPr="00AD3B62" w:rsidRDefault="00197917" w:rsidP="00197917">
            <w:pPr>
              <w:spacing w:after="200"/>
              <w:contextualSpacing/>
              <w:rPr>
                <w:rFonts w:asciiTheme="minorHAnsi" w:hAnsiTheme="minorHAnsi" w:cstheme="minorHAnsi"/>
                <w:sz w:val="20"/>
                <w:szCs w:val="20"/>
              </w:rPr>
            </w:pPr>
            <w:r w:rsidRPr="00AD3B62">
              <w:rPr>
                <w:rFonts w:asciiTheme="minorHAnsi" w:hAnsiTheme="minorHAnsi" w:cstheme="minorHAnsi"/>
                <w:sz w:val="20"/>
                <w:szCs w:val="20"/>
              </w:rPr>
              <w:t>Demonstrated willingness to comply, strong internal governance and reporting, and a healthy culture with a strong focus on</w:t>
            </w:r>
            <w:r w:rsidRPr="00AD3B62" w:rsidDel="00DB58A1">
              <w:rPr>
                <w:rFonts w:asciiTheme="minorHAnsi" w:hAnsiTheme="minorHAnsi" w:cstheme="minorHAnsi"/>
                <w:sz w:val="20"/>
                <w:szCs w:val="20"/>
              </w:rPr>
              <w:t xml:space="preserve"> </w:t>
            </w:r>
            <w:r w:rsidRPr="00AD3B62">
              <w:rPr>
                <w:rFonts w:asciiTheme="minorHAnsi" w:hAnsiTheme="minorHAnsi" w:cstheme="minorHAnsi"/>
                <w:sz w:val="20"/>
                <w:szCs w:val="20"/>
              </w:rPr>
              <w:t>wellbeing, with dedicated resources and roles to meet standards</w:t>
            </w:r>
          </w:p>
        </w:tc>
      </w:tr>
      <w:tr w:rsidR="00197917" w:rsidRPr="00AD3B62" w14:paraId="24D0754E" w14:textId="77777777" w:rsidTr="007305A5">
        <w:trPr>
          <w:trHeight w:val="444"/>
        </w:trPr>
        <w:tc>
          <w:tcPr>
            <w:tcW w:w="623" w:type="dxa"/>
            <w:vMerge/>
            <w:tcBorders>
              <w:left w:val="single" w:sz="36" w:space="0" w:color="FFFFFF" w:themeColor="background1"/>
              <w:right w:val="single" w:sz="36" w:space="0" w:color="FFFFFF" w:themeColor="background1"/>
            </w:tcBorders>
            <w:shd w:val="clear" w:color="auto" w:fill="92D050"/>
            <w:textDirection w:val="btLr"/>
          </w:tcPr>
          <w:p w14:paraId="61AD909D" w14:textId="77777777" w:rsidR="00197917" w:rsidRPr="00AD3B62" w:rsidRDefault="00197917" w:rsidP="00197917">
            <w:pPr>
              <w:tabs>
                <w:tab w:val="num" w:pos="1209"/>
              </w:tabs>
              <w:spacing w:after="200"/>
              <w:ind w:right="113" w:hanging="360"/>
              <w:contextualSpacing/>
              <w:jc w:val="center"/>
              <w:rPr>
                <w:rFonts w:asciiTheme="minorHAnsi" w:hAnsiTheme="minorHAnsi" w:cstheme="minorHAnsi"/>
                <w:b/>
                <w:bCs/>
                <w:color w:val="FFFFFF" w:themeColor="background1"/>
                <w:sz w:val="24"/>
                <w:szCs w:val="24"/>
              </w:rPr>
            </w:pPr>
          </w:p>
        </w:tc>
        <w:tc>
          <w:tcPr>
            <w:tcW w:w="8546" w:type="dxa"/>
            <w:tcBorders>
              <w:top w:val="single" w:sz="36" w:space="0" w:color="FFFFFF" w:themeColor="background1"/>
              <w:left w:val="single" w:sz="36" w:space="0" w:color="FFFFFF" w:themeColor="background1"/>
              <w:bottom w:val="single" w:sz="36" w:space="0" w:color="FFFFFF" w:themeColor="background1"/>
              <w:right w:val="single" w:sz="12" w:space="0" w:color="FFFFFF" w:themeColor="background1"/>
            </w:tcBorders>
            <w:shd w:val="clear" w:color="auto" w:fill="F2F2F2" w:themeFill="background1" w:themeFillShade="F2"/>
          </w:tcPr>
          <w:p w14:paraId="5A91C21B" w14:textId="77777777" w:rsidR="00197917" w:rsidRPr="00AD3B62" w:rsidRDefault="00197917" w:rsidP="00197917">
            <w:pPr>
              <w:spacing w:after="200"/>
              <w:contextualSpacing/>
              <w:rPr>
                <w:rFonts w:asciiTheme="minorHAnsi" w:hAnsiTheme="minorHAnsi" w:cstheme="minorHAnsi"/>
                <w:sz w:val="20"/>
                <w:szCs w:val="20"/>
              </w:rPr>
            </w:pPr>
            <w:r w:rsidRPr="00AD3B62">
              <w:rPr>
                <w:rFonts w:asciiTheme="minorHAnsi" w:hAnsiTheme="minorHAnsi" w:cstheme="minorHAnsi"/>
                <w:sz w:val="20"/>
                <w:szCs w:val="20"/>
              </w:rPr>
              <w:t>Previous isolated or one-off non-compliance or complaints, timely reporting and regulatory co-operation</w:t>
            </w:r>
          </w:p>
        </w:tc>
      </w:tr>
      <w:tr w:rsidR="00197917" w:rsidRPr="00AD3B62" w14:paraId="2FF15498" w14:textId="77777777" w:rsidTr="007305A5">
        <w:trPr>
          <w:trHeight w:val="535"/>
        </w:trPr>
        <w:tc>
          <w:tcPr>
            <w:tcW w:w="623" w:type="dxa"/>
            <w:vMerge/>
            <w:tcBorders>
              <w:left w:val="single" w:sz="36" w:space="0" w:color="FFFFFF" w:themeColor="background1"/>
              <w:bottom w:val="single" w:sz="36" w:space="0" w:color="FFFFFF" w:themeColor="background1"/>
              <w:right w:val="single" w:sz="36" w:space="0" w:color="FFFFFF" w:themeColor="background1"/>
            </w:tcBorders>
            <w:shd w:val="clear" w:color="auto" w:fill="92D050"/>
            <w:textDirection w:val="btLr"/>
          </w:tcPr>
          <w:p w14:paraId="6C30EF99" w14:textId="77777777" w:rsidR="00197917" w:rsidRPr="00AD3B62" w:rsidRDefault="00197917" w:rsidP="00197917">
            <w:pPr>
              <w:spacing w:after="200"/>
              <w:ind w:left="113" w:right="113"/>
              <w:contextualSpacing/>
              <w:jc w:val="center"/>
              <w:rPr>
                <w:rFonts w:asciiTheme="minorHAnsi" w:hAnsiTheme="minorHAnsi" w:cstheme="minorHAnsi"/>
                <w:b/>
                <w:bCs/>
                <w:color w:val="FFFFFF" w:themeColor="background1"/>
                <w:sz w:val="24"/>
                <w:szCs w:val="24"/>
              </w:rPr>
            </w:pPr>
          </w:p>
        </w:tc>
        <w:tc>
          <w:tcPr>
            <w:tcW w:w="8546" w:type="dxa"/>
            <w:tcBorders>
              <w:top w:val="single" w:sz="36" w:space="0" w:color="FFFFFF" w:themeColor="background1"/>
              <w:left w:val="single" w:sz="36" w:space="0" w:color="FFFFFF" w:themeColor="background1"/>
              <w:right w:val="single" w:sz="12" w:space="0" w:color="FFFFFF" w:themeColor="background1"/>
            </w:tcBorders>
            <w:shd w:val="clear" w:color="auto" w:fill="F2F2F2" w:themeFill="background1" w:themeFillShade="F2"/>
          </w:tcPr>
          <w:p w14:paraId="2C64BE9D" w14:textId="77777777" w:rsidR="00197917" w:rsidRPr="00AD3B62" w:rsidRDefault="00197917" w:rsidP="00197917">
            <w:pPr>
              <w:spacing w:after="200"/>
              <w:contextualSpacing/>
              <w:rPr>
                <w:rFonts w:asciiTheme="minorHAnsi" w:hAnsiTheme="minorHAnsi" w:cstheme="minorHAnsi"/>
                <w:sz w:val="20"/>
                <w:szCs w:val="20"/>
              </w:rPr>
            </w:pPr>
            <w:r w:rsidRPr="00AD3B62">
              <w:rPr>
                <w:rFonts w:asciiTheme="minorHAnsi" w:hAnsiTheme="minorHAnsi" w:cstheme="minorHAnsi"/>
                <w:sz w:val="20"/>
                <w:szCs w:val="20"/>
              </w:rPr>
              <w:t xml:space="preserve">Awareness of risk and needs reflected in systems of work, practices, relationships with student organisations and other peak </w:t>
            </w:r>
            <w:r w:rsidRPr="00AD3B62" w:rsidDel="00DB58A1">
              <w:rPr>
                <w:rFonts w:asciiTheme="minorHAnsi" w:hAnsiTheme="minorHAnsi" w:cstheme="minorHAnsi"/>
                <w:sz w:val="20"/>
                <w:szCs w:val="20"/>
              </w:rPr>
              <w:t>r</w:t>
            </w:r>
            <w:r w:rsidRPr="00AD3B62">
              <w:rPr>
                <w:rFonts w:asciiTheme="minorHAnsi" w:hAnsiTheme="minorHAnsi" w:cstheme="minorHAnsi"/>
                <w:sz w:val="20"/>
                <w:szCs w:val="20"/>
              </w:rPr>
              <w:t>epresentative bodies</w:t>
            </w:r>
          </w:p>
        </w:tc>
      </w:tr>
      <w:tr w:rsidR="00197917" w:rsidRPr="00AD3B62" w14:paraId="0426CC81" w14:textId="77777777" w:rsidTr="007305A5">
        <w:trPr>
          <w:trHeight w:val="270"/>
        </w:trPr>
        <w:tc>
          <w:tcPr>
            <w:tcW w:w="623" w:type="dxa"/>
            <w:vMerge w:val="restart"/>
            <w:tcBorders>
              <w:top w:val="single" w:sz="36" w:space="0" w:color="FFFFFF" w:themeColor="background1"/>
              <w:left w:val="single" w:sz="36" w:space="0" w:color="FFFFFF" w:themeColor="background1"/>
              <w:right w:val="single" w:sz="36" w:space="0" w:color="FFFFFF" w:themeColor="background1"/>
            </w:tcBorders>
            <w:shd w:val="clear" w:color="auto" w:fill="00B050"/>
            <w:textDirection w:val="btLr"/>
          </w:tcPr>
          <w:p w14:paraId="5847109A" w14:textId="77777777" w:rsidR="00197917" w:rsidRPr="00AD3B62" w:rsidRDefault="00197917" w:rsidP="00197917">
            <w:pPr>
              <w:spacing w:after="200"/>
              <w:ind w:left="113" w:right="113"/>
              <w:contextualSpacing/>
              <w:jc w:val="center"/>
              <w:rPr>
                <w:rFonts w:asciiTheme="minorHAnsi" w:hAnsiTheme="minorHAnsi" w:cstheme="minorHAnsi"/>
                <w:b/>
                <w:bCs/>
                <w:color w:val="FFFFFF" w:themeColor="background1"/>
                <w:sz w:val="24"/>
                <w:szCs w:val="24"/>
              </w:rPr>
            </w:pPr>
            <w:r w:rsidRPr="00AD3B62">
              <w:rPr>
                <w:rFonts w:asciiTheme="minorHAnsi" w:hAnsiTheme="minorHAnsi" w:cstheme="minorHAnsi"/>
                <w:b/>
                <w:color w:val="000000" w:themeColor="text1"/>
                <w:sz w:val="28"/>
                <w:szCs w:val="28"/>
              </w:rPr>
              <w:t>Rare</w:t>
            </w:r>
          </w:p>
        </w:tc>
        <w:tc>
          <w:tcPr>
            <w:tcW w:w="8546" w:type="dxa"/>
            <w:tcBorders>
              <w:top w:val="single" w:sz="36" w:space="0" w:color="FFFFFF" w:themeColor="background1"/>
              <w:left w:val="single" w:sz="36" w:space="0" w:color="FFFFFF" w:themeColor="background1"/>
              <w:bottom w:val="single" w:sz="36" w:space="0" w:color="FFFFFF" w:themeColor="background1"/>
              <w:right w:val="single" w:sz="24" w:space="0" w:color="FFFFFF" w:themeColor="background1"/>
            </w:tcBorders>
            <w:shd w:val="clear" w:color="auto" w:fill="F2F2F2" w:themeFill="background1" w:themeFillShade="F2"/>
          </w:tcPr>
          <w:p w14:paraId="3954C56E" w14:textId="77777777" w:rsidR="00197917" w:rsidRPr="00AD3B62" w:rsidRDefault="00197917" w:rsidP="00197917">
            <w:pPr>
              <w:spacing w:after="200"/>
              <w:contextualSpacing/>
              <w:rPr>
                <w:rFonts w:asciiTheme="minorHAnsi" w:hAnsiTheme="minorHAnsi" w:cstheme="minorHAnsi"/>
                <w:sz w:val="20"/>
                <w:szCs w:val="20"/>
              </w:rPr>
            </w:pPr>
            <w:r w:rsidRPr="00AD3B62">
              <w:rPr>
                <w:rFonts w:asciiTheme="minorHAnsi" w:hAnsiTheme="minorHAnsi" w:cstheme="minorHAnsi"/>
                <w:sz w:val="20"/>
                <w:szCs w:val="20"/>
              </w:rPr>
              <w:t>No previous occurrence of non-compliance, complaints, NSO recommendations, or related registration conditions, and</w:t>
            </w:r>
            <w:r w:rsidRPr="00AD3B62" w:rsidDel="00804186">
              <w:rPr>
                <w:rFonts w:asciiTheme="minorHAnsi" w:hAnsiTheme="minorHAnsi" w:cstheme="minorHAnsi"/>
                <w:sz w:val="20"/>
                <w:szCs w:val="20"/>
              </w:rPr>
              <w:t xml:space="preserve"> </w:t>
            </w:r>
            <w:r w:rsidRPr="00AD3B62">
              <w:rPr>
                <w:rFonts w:asciiTheme="minorHAnsi" w:hAnsiTheme="minorHAnsi" w:cstheme="minorHAnsi"/>
                <w:sz w:val="20"/>
                <w:szCs w:val="20"/>
              </w:rPr>
              <w:t xml:space="preserve">leadership known to be addressing gender-based violence in line with standards </w:t>
            </w:r>
          </w:p>
        </w:tc>
      </w:tr>
      <w:tr w:rsidR="00197917" w:rsidRPr="00AD3B62" w14:paraId="2094EE6F" w14:textId="77777777" w:rsidTr="007305A5">
        <w:trPr>
          <w:trHeight w:val="555"/>
        </w:trPr>
        <w:tc>
          <w:tcPr>
            <w:tcW w:w="623" w:type="dxa"/>
            <w:vMerge/>
            <w:tcBorders>
              <w:left w:val="single" w:sz="36" w:space="0" w:color="FFFFFF" w:themeColor="background1"/>
              <w:right w:val="single" w:sz="36" w:space="0" w:color="FFFFFF" w:themeColor="background1"/>
            </w:tcBorders>
            <w:shd w:val="clear" w:color="auto" w:fill="00B050"/>
          </w:tcPr>
          <w:p w14:paraId="5F802589" w14:textId="77777777" w:rsidR="00197917" w:rsidRPr="00AD3B62" w:rsidRDefault="00197917" w:rsidP="00197917">
            <w:pPr>
              <w:spacing w:after="200"/>
              <w:contextualSpacing/>
              <w:rPr>
                <w:rFonts w:asciiTheme="minorHAnsi" w:hAnsiTheme="minorHAnsi" w:cstheme="minorHAnsi"/>
              </w:rPr>
            </w:pPr>
          </w:p>
        </w:tc>
        <w:tc>
          <w:tcPr>
            <w:tcW w:w="8546" w:type="dxa"/>
            <w:tcBorders>
              <w:top w:val="single" w:sz="36" w:space="0" w:color="FFFFFF" w:themeColor="background1"/>
              <w:left w:val="single" w:sz="36" w:space="0" w:color="FFFFFF" w:themeColor="background1"/>
              <w:bottom w:val="single" w:sz="36" w:space="0" w:color="FFFFFF" w:themeColor="background1"/>
              <w:right w:val="single" w:sz="24" w:space="0" w:color="FFFFFF" w:themeColor="background1"/>
            </w:tcBorders>
            <w:shd w:val="clear" w:color="auto" w:fill="F2F2F2" w:themeFill="background1" w:themeFillShade="F2"/>
          </w:tcPr>
          <w:p w14:paraId="522CED35" w14:textId="77777777" w:rsidR="00197917" w:rsidRPr="00AD3B62" w:rsidRDefault="00197917" w:rsidP="00197917">
            <w:pPr>
              <w:spacing w:after="200"/>
              <w:contextualSpacing/>
              <w:rPr>
                <w:rFonts w:asciiTheme="minorHAnsi" w:hAnsiTheme="minorHAnsi" w:cstheme="minorHAnsi"/>
                <w:sz w:val="20"/>
                <w:szCs w:val="20"/>
              </w:rPr>
            </w:pPr>
            <w:r w:rsidRPr="00AD3B62">
              <w:rPr>
                <w:rFonts w:asciiTheme="minorHAnsi" w:hAnsiTheme="minorHAnsi" w:cstheme="minorHAnsi"/>
                <w:sz w:val="20"/>
                <w:szCs w:val="20"/>
              </w:rPr>
              <w:t xml:space="preserve">Co-operative and open compliance attitude, high levels of student and staff satisfaction, known as a good performer with a strong governance culture and continuous improvement approach </w:t>
            </w:r>
          </w:p>
        </w:tc>
      </w:tr>
      <w:tr w:rsidR="00197917" w:rsidRPr="00AD3B62" w14:paraId="3233AC0D" w14:textId="77777777" w:rsidTr="007305A5">
        <w:trPr>
          <w:trHeight w:val="554"/>
        </w:trPr>
        <w:tc>
          <w:tcPr>
            <w:tcW w:w="623" w:type="dxa"/>
            <w:vMerge/>
            <w:tcBorders>
              <w:left w:val="single" w:sz="36" w:space="0" w:color="FFFFFF" w:themeColor="background1"/>
              <w:bottom w:val="single" w:sz="24" w:space="0" w:color="FFFFFF" w:themeColor="background1"/>
              <w:right w:val="single" w:sz="36" w:space="0" w:color="FFFFFF" w:themeColor="background1"/>
            </w:tcBorders>
            <w:shd w:val="clear" w:color="auto" w:fill="00B050"/>
          </w:tcPr>
          <w:p w14:paraId="0C8BEC8C" w14:textId="77777777" w:rsidR="00197917" w:rsidRPr="00AD3B62" w:rsidRDefault="00197917" w:rsidP="00197917">
            <w:pPr>
              <w:spacing w:after="200"/>
              <w:contextualSpacing/>
              <w:rPr>
                <w:rFonts w:asciiTheme="minorHAnsi" w:hAnsiTheme="minorHAnsi" w:cstheme="minorHAnsi"/>
              </w:rPr>
            </w:pPr>
          </w:p>
        </w:tc>
        <w:tc>
          <w:tcPr>
            <w:tcW w:w="8546" w:type="dxa"/>
            <w:tcBorders>
              <w:top w:val="single" w:sz="36" w:space="0" w:color="FFFFFF" w:themeColor="background1"/>
              <w:left w:val="single" w:sz="36" w:space="0" w:color="FFFFFF" w:themeColor="background1"/>
              <w:bottom w:val="single" w:sz="24" w:space="0" w:color="FFFFFF" w:themeColor="background1"/>
              <w:right w:val="single" w:sz="24" w:space="0" w:color="FFFFFF" w:themeColor="background1"/>
            </w:tcBorders>
            <w:shd w:val="clear" w:color="auto" w:fill="F2F2F2" w:themeFill="background1" w:themeFillShade="F2"/>
          </w:tcPr>
          <w:p w14:paraId="6EFE70A0" w14:textId="77777777" w:rsidR="00197917" w:rsidRPr="00AD3B62" w:rsidRDefault="00197917" w:rsidP="00197917">
            <w:pPr>
              <w:spacing w:after="200"/>
              <w:contextualSpacing/>
              <w:rPr>
                <w:rFonts w:asciiTheme="minorHAnsi" w:hAnsiTheme="minorHAnsi" w:cstheme="minorHAnsi"/>
                <w:sz w:val="20"/>
                <w:szCs w:val="20"/>
              </w:rPr>
            </w:pPr>
            <w:r w:rsidRPr="00AD3B62">
              <w:rPr>
                <w:rFonts w:asciiTheme="minorHAnsi" w:hAnsiTheme="minorHAnsi" w:cstheme="minorHAnsi"/>
                <w:sz w:val="20"/>
                <w:szCs w:val="20"/>
              </w:rPr>
              <w:t>Good systems of management, governance, reporting, risk identification and management, including dedicated roles or governance</w:t>
            </w:r>
            <w:r w:rsidRPr="00AD3B62" w:rsidDel="004C5C5A">
              <w:rPr>
                <w:rFonts w:asciiTheme="minorHAnsi" w:hAnsiTheme="minorHAnsi" w:cstheme="minorHAnsi"/>
                <w:sz w:val="20"/>
                <w:szCs w:val="20"/>
              </w:rPr>
              <w:t xml:space="preserve"> </w:t>
            </w:r>
            <w:r w:rsidRPr="00AD3B62">
              <w:rPr>
                <w:rFonts w:asciiTheme="minorHAnsi" w:hAnsiTheme="minorHAnsi" w:cstheme="minorHAnsi"/>
                <w:sz w:val="20"/>
                <w:szCs w:val="20"/>
              </w:rPr>
              <w:t>responsibility and public transparency</w:t>
            </w:r>
          </w:p>
        </w:tc>
      </w:tr>
    </w:tbl>
    <w:p w14:paraId="2B17FA9D" w14:textId="0F6F6239" w:rsidR="00197917" w:rsidRPr="00AD3B62" w:rsidRDefault="00197917" w:rsidP="00433613">
      <w:pPr>
        <w:pStyle w:val="Heading3"/>
        <w:numPr>
          <w:ilvl w:val="0"/>
          <w:numId w:val="0"/>
        </w:numPr>
        <w:rPr>
          <w:rFonts w:asciiTheme="minorHAnsi" w:hAnsiTheme="minorHAnsi"/>
        </w:rPr>
      </w:pPr>
      <w:bookmarkStart w:id="44" w:name="_Toc215493974"/>
      <w:r w:rsidRPr="00AD3B62">
        <w:rPr>
          <w:rFonts w:asciiTheme="minorHAnsi" w:hAnsiTheme="minorHAnsi"/>
        </w:rPr>
        <w:t>Table 2: considering the consequences of non-compliance</w:t>
      </w:r>
      <w:bookmarkEnd w:id="44"/>
    </w:p>
    <w:tbl>
      <w:tblPr>
        <w:tblStyle w:val="TableGridLight"/>
        <w:tblW w:w="9073" w:type="dxa"/>
        <w:tblInd w:w="-187" w:type="dxa"/>
        <w:tblLook w:val="04A0" w:firstRow="1" w:lastRow="0" w:firstColumn="1" w:lastColumn="0" w:noHBand="0" w:noVBand="1"/>
      </w:tblPr>
      <w:tblGrid>
        <w:gridCol w:w="709"/>
        <w:gridCol w:w="8364"/>
      </w:tblGrid>
      <w:tr w:rsidR="00BA4B25" w:rsidRPr="00AD3B62" w14:paraId="70BEB014" w14:textId="77777777" w:rsidTr="00F105A9">
        <w:trPr>
          <w:trHeight w:val="1045"/>
        </w:trPr>
        <w:tc>
          <w:tcPr>
            <w:tcW w:w="709" w:type="dxa"/>
            <w:tcBorders>
              <w:top w:val="single" w:sz="24" w:space="0" w:color="FFFFFF" w:themeColor="background1"/>
              <w:left w:val="single" w:sz="36" w:space="0" w:color="FFFFFF" w:themeColor="background1"/>
              <w:right w:val="single" w:sz="36" w:space="0" w:color="FFFFFF" w:themeColor="background1"/>
            </w:tcBorders>
            <w:shd w:val="clear" w:color="auto" w:fill="9C0E0E" w:themeFill="accent5" w:themeFillShade="80"/>
            <w:textDirection w:val="btLr"/>
          </w:tcPr>
          <w:p w14:paraId="5BBB170D" w14:textId="77777777" w:rsidR="00197917" w:rsidRPr="00AD3B62" w:rsidRDefault="00197917" w:rsidP="00197917">
            <w:pPr>
              <w:spacing w:after="200"/>
              <w:ind w:left="113" w:right="113"/>
              <w:contextualSpacing/>
              <w:jc w:val="center"/>
              <w:rPr>
                <w:rFonts w:asciiTheme="minorHAnsi" w:hAnsiTheme="minorHAnsi" w:cstheme="minorHAnsi"/>
                <w:b/>
                <w:bCs/>
                <w:color w:val="FFFFFF" w:themeColor="background1"/>
                <w:sz w:val="24"/>
                <w:szCs w:val="24"/>
              </w:rPr>
            </w:pPr>
            <w:r w:rsidRPr="00AD3B62">
              <w:rPr>
                <w:rFonts w:asciiTheme="minorHAnsi" w:hAnsiTheme="minorHAnsi" w:cstheme="minorHAnsi"/>
                <w:b/>
                <w:bCs/>
                <w:color w:val="FFFFFF" w:themeColor="background1"/>
                <w:sz w:val="22"/>
              </w:rPr>
              <w:t>Severe</w:t>
            </w:r>
          </w:p>
        </w:tc>
        <w:tc>
          <w:tcPr>
            <w:tcW w:w="8364" w:type="dxa"/>
            <w:tcBorders>
              <w:top w:val="single" w:sz="36" w:space="0" w:color="FFFFFF" w:themeColor="background1"/>
              <w:left w:val="single" w:sz="36" w:space="0" w:color="FFFFFF" w:themeColor="background1"/>
              <w:right w:val="single" w:sz="24" w:space="0" w:color="FFFFFF" w:themeColor="background1"/>
            </w:tcBorders>
            <w:shd w:val="clear" w:color="auto" w:fill="F2F2F2" w:themeFill="background1" w:themeFillShade="F2"/>
            <w:vAlign w:val="center"/>
          </w:tcPr>
          <w:p w14:paraId="33702816" w14:textId="77777777" w:rsidR="00197917" w:rsidRPr="00AD3B62" w:rsidRDefault="00197917" w:rsidP="00197917">
            <w:pPr>
              <w:tabs>
                <w:tab w:val="num" w:pos="1209"/>
              </w:tabs>
              <w:spacing w:after="200"/>
              <w:contextualSpacing/>
              <w:rPr>
                <w:rFonts w:asciiTheme="minorHAnsi" w:hAnsiTheme="minorHAnsi" w:cstheme="minorHAnsi"/>
                <w:sz w:val="20"/>
                <w:szCs w:val="20"/>
              </w:rPr>
            </w:pPr>
            <w:r w:rsidRPr="00AD3B62">
              <w:rPr>
                <w:rFonts w:asciiTheme="minorHAnsi" w:hAnsiTheme="minorHAnsi" w:cstheme="minorHAnsi"/>
                <w:sz w:val="20"/>
                <w:szCs w:val="20"/>
              </w:rPr>
              <w:t>Severe, permanent or life-changing physical or psychological injury</w:t>
            </w:r>
          </w:p>
        </w:tc>
      </w:tr>
      <w:tr w:rsidR="00BA4B25" w:rsidRPr="00AD3B62" w14:paraId="27356ED8" w14:textId="77777777" w:rsidTr="007305A5">
        <w:trPr>
          <w:trHeight w:val="390"/>
        </w:trPr>
        <w:tc>
          <w:tcPr>
            <w:tcW w:w="709" w:type="dxa"/>
            <w:vMerge w:val="restart"/>
            <w:tcBorders>
              <w:top w:val="single" w:sz="36" w:space="0" w:color="FFFFFF" w:themeColor="background1"/>
              <w:left w:val="single" w:sz="36" w:space="0" w:color="FFFFFF" w:themeColor="background1"/>
              <w:right w:val="single" w:sz="36" w:space="0" w:color="FFFFFF" w:themeColor="background1"/>
            </w:tcBorders>
            <w:shd w:val="clear" w:color="auto" w:fill="FF0000"/>
            <w:textDirection w:val="btLr"/>
          </w:tcPr>
          <w:p w14:paraId="5E75D22B" w14:textId="77777777" w:rsidR="00197917" w:rsidRPr="00AD3B62" w:rsidRDefault="00197917" w:rsidP="00197917">
            <w:pPr>
              <w:spacing w:after="200"/>
              <w:ind w:left="113" w:right="113"/>
              <w:contextualSpacing/>
              <w:jc w:val="center"/>
              <w:rPr>
                <w:rFonts w:asciiTheme="minorHAnsi" w:hAnsiTheme="minorHAnsi" w:cstheme="minorHAnsi"/>
                <w:b/>
                <w:bCs/>
                <w:color w:val="000000" w:themeColor="text1"/>
                <w:sz w:val="24"/>
                <w:szCs w:val="24"/>
              </w:rPr>
            </w:pPr>
            <w:r w:rsidRPr="00AD3B62">
              <w:rPr>
                <w:rFonts w:asciiTheme="minorHAnsi" w:hAnsiTheme="minorHAnsi" w:cstheme="minorHAnsi"/>
                <w:b/>
                <w:bCs/>
                <w:color w:val="FFFFFF" w:themeColor="background1"/>
                <w:sz w:val="24"/>
                <w:szCs w:val="24"/>
              </w:rPr>
              <w:t>Major</w:t>
            </w:r>
          </w:p>
        </w:tc>
        <w:tc>
          <w:tcPr>
            <w:tcW w:w="8364" w:type="dxa"/>
            <w:tcBorders>
              <w:top w:val="single" w:sz="36" w:space="0" w:color="FFFFFF" w:themeColor="background1"/>
              <w:left w:val="single" w:sz="36" w:space="0" w:color="FFFFFF" w:themeColor="background1"/>
              <w:bottom w:val="single" w:sz="36" w:space="0" w:color="FFFFFF" w:themeColor="background1"/>
              <w:right w:val="single" w:sz="24" w:space="0" w:color="FFFFFF" w:themeColor="background1"/>
            </w:tcBorders>
            <w:shd w:val="clear" w:color="auto" w:fill="F2F2F2" w:themeFill="background1" w:themeFillShade="F2"/>
            <w:vAlign w:val="bottom"/>
          </w:tcPr>
          <w:p w14:paraId="690CB2D4" w14:textId="77777777" w:rsidR="00197917" w:rsidRPr="00AD3B62" w:rsidRDefault="00197917" w:rsidP="00197917">
            <w:pPr>
              <w:spacing w:after="200"/>
              <w:contextualSpacing/>
              <w:rPr>
                <w:rFonts w:asciiTheme="minorHAnsi" w:hAnsiTheme="minorHAnsi" w:cstheme="minorHAnsi"/>
                <w:sz w:val="20"/>
                <w:szCs w:val="20"/>
              </w:rPr>
            </w:pPr>
            <w:r w:rsidRPr="00AD3B62">
              <w:rPr>
                <w:rFonts w:asciiTheme="minorHAnsi" w:hAnsiTheme="minorHAnsi" w:cstheme="minorHAnsi"/>
                <w:sz w:val="20"/>
                <w:szCs w:val="20"/>
              </w:rPr>
              <w:t>Substantial or long-lasting physical or psychological injury</w:t>
            </w:r>
          </w:p>
        </w:tc>
      </w:tr>
      <w:tr w:rsidR="00BA4B25" w:rsidRPr="00AD3B62" w14:paraId="13C696AF" w14:textId="77777777" w:rsidTr="00F105A9">
        <w:trPr>
          <w:trHeight w:val="336"/>
        </w:trPr>
        <w:tc>
          <w:tcPr>
            <w:tcW w:w="709" w:type="dxa"/>
            <w:vMerge/>
            <w:tcBorders>
              <w:left w:val="single" w:sz="36" w:space="0" w:color="FFFFFF" w:themeColor="background1"/>
              <w:right w:val="single" w:sz="36" w:space="0" w:color="FFFFFF" w:themeColor="background1"/>
            </w:tcBorders>
            <w:shd w:val="clear" w:color="auto" w:fill="FF0000"/>
            <w:textDirection w:val="btLr"/>
          </w:tcPr>
          <w:p w14:paraId="47EA29A9" w14:textId="77777777" w:rsidR="00197917" w:rsidRPr="00AD3B62" w:rsidRDefault="00197917" w:rsidP="00197917">
            <w:pPr>
              <w:spacing w:after="200"/>
              <w:ind w:left="113" w:right="113"/>
              <w:contextualSpacing/>
              <w:jc w:val="center"/>
              <w:rPr>
                <w:rFonts w:asciiTheme="minorHAnsi" w:hAnsiTheme="minorHAnsi" w:cstheme="minorHAnsi"/>
                <w:b/>
                <w:bCs/>
                <w:color w:val="FFFFFF" w:themeColor="background1"/>
                <w:sz w:val="24"/>
                <w:szCs w:val="24"/>
              </w:rPr>
            </w:pPr>
          </w:p>
        </w:tc>
        <w:tc>
          <w:tcPr>
            <w:tcW w:w="8364" w:type="dxa"/>
            <w:tcBorders>
              <w:top w:val="single" w:sz="36" w:space="0" w:color="FFFFFF" w:themeColor="background1"/>
              <w:left w:val="single" w:sz="36" w:space="0" w:color="FFFFFF" w:themeColor="background1"/>
              <w:right w:val="single" w:sz="24" w:space="0" w:color="FFFFFF" w:themeColor="background1"/>
            </w:tcBorders>
            <w:shd w:val="clear" w:color="auto" w:fill="F2F2F2" w:themeFill="background1" w:themeFillShade="F2"/>
            <w:vAlign w:val="center"/>
          </w:tcPr>
          <w:p w14:paraId="7D4D2663" w14:textId="3EF2E8E5" w:rsidR="00197917" w:rsidRPr="00AD3B62" w:rsidRDefault="00197917" w:rsidP="00197917">
            <w:pPr>
              <w:spacing w:after="200"/>
              <w:contextualSpacing/>
              <w:rPr>
                <w:rFonts w:asciiTheme="minorHAnsi" w:hAnsiTheme="minorHAnsi" w:cstheme="minorHAnsi"/>
                <w:sz w:val="20"/>
                <w:szCs w:val="20"/>
              </w:rPr>
            </w:pPr>
            <w:r w:rsidRPr="00AD3B62">
              <w:rPr>
                <w:rFonts w:asciiTheme="minorHAnsi" w:hAnsiTheme="minorHAnsi" w:cstheme="minorHAnsi"/>
                <w:sz w:val="20"/>
                <w:szCs w:val="20"/>
              </w:rPr>
              <w:t>Significant financial harm or life-impacting educational disruption</w:t>
            </w:r>
            <w:r w:rsidR="00F328FC">
              <w:rPr>
                <w:rFonts w:asciiTheme="minorHAnsi" w:hAnsiTheme="minorHAnsi" w:cstheme="minorHAnsi"/>
                <w:sz w:val="20"/>
                <w:szCs w:val="20"/>
              </w:rPr>
              <w:br/>
            </w:r>
          </w:p>
        </w:tc>
      </w:tr>
      <w:tr w:rsidR="00BA4B25" w:rsidRPr="00AD3B62" w14:paraId="595F0DD5" w14:textId="77777777" w:rsidTr="007305A5">
        <w:trPr>
          <w:trHeight w:val="336"/>
        </w:trPr>
        <w:tc>
          <w:tcPr>
            <w:tcW w:w="709" w:type="dxa"/>
            <w:vMerge w:val="restart"/>
            <w:tcBorders>
              <w:top w:val="single" w:sz="36" w:space="0" w:color="FFFFFF" w:themeColor="background1"/>
              <w:left w:val="single" w:sz="36" w:space="0" w:color="FFFFFF" w:themeColor="background1"/>
              <w:right w:val="single" w:sz="36" w:space="0" w:color="FFFFFF" w:themeColor="background1"/>
            </w:tcBorders>
            <w:shd w:val="clear" w:color="auto" w:fill="FFC000"/>
            <w:textDirection w:val="btLr"/>
          </w:tcPr>
          <w:p w14:paraId="448F6EA6" w14:textId="77777777" w:rsidR="00197917" w:rsidRPr="00AD3B62" w:rsidRDefault="00197917" w:rsidP="00197917">
            <w:pPr>
              <w:spacing w:after="200"/>
              <w:ind w:left="113" w:right="113"/>
              <w:contextualSpacing/>
              <w:jc w:val="center"/>
              <w:rPr>
                <w:rFonts w:asciiTheme="minorHAnsi" w:hAnsiTheme="minorHAnsi" w:cstheme="minorHAnsi"/>
                <w:b/>
                <w:bCs/>
                <w:color w:val="000000" w:themeColor="text1"/>
                <w:sz w:val="24"/>
                <w:szCs w:val="24"/>
              </w:rPr>
            </w:pPr>
            <w:r w:rsidRPr="00AD3B62">
              <w:rPr>
                <w:rFonts w:asciiTheme="minorHAnsi" w:hAnsiTheme="minorHAnsi" w:cstheme="minorHAnsi"/>
                <w:b/>
                <w:bCs/>
                <w:color w:val="000000" w:themeColor="text1"/>
                <w:sz w:val="24"/>
                <w:szCs w:val="24"/>
              </w:rPr>
              <w:lastRenderedPageBreak/>
              <w:t>Moderate</w:t>
            </w:r>
          </w:p>
        </w:tc>
        <w:tc>
          <w:tcPr>
            <w:tcW w:w="8364" w:type="dxa"/>
            <w:tcBorders>
              <w:top w:val="single" w:sz="36" w:space="0" w:color="FFFFFF" w:themeColor="background1"/>
              <w:left w:val="single" w:sz="36" w:space="0" w:color="FFFFFF" w:themeColor="background1"/>
              <w:bottom w:val="single" w:sz="36" w:space="0" w:color="FFFFFF" w:themeColor="background1"/>
              <w:right w:val="single" w:sz="24" w:space="0" w:color="FFFFFF" w:themeColor="background1"/>
            </w:tcBorders>
            <w:shd w:val="clear" w:color="auto" w:fill="F2F2F2" w:themeFill="background1" w:themeFillShade="F2"/>
            <w:vAlign w:val="center"/>
          </w:tcPr>
          <w:p w14:paraId="4D949D30" w14:textId="77777777" w:rsidR="00197917" w:rsidRPr="00AD3B62" w:rsidRDefault="00197917" w:rsidP="00197917">
            <w:pPr>
              <w:spacing w:after="200"/>
              <w:contextualSpacing/>
              <w:rPr>
                <w:rFonts w:asciiTheme="minorHAnsi" w:hAnsiTheme="minorHAnsi" w:cstheme="minorHAnsi"/>
                <w:sz w:val="20"/>
                <w:szCs w:val="20"/>
              </w:rPr>
            </w:pPr>
            <w:r w:rsidRPr="00AD3B62">
              <w:rPr>
                <w:rFonts w:asciiTheme="minorHAnsi" w:hAnsiTheme="minorHAnsi" w:cstheme="minorHAnsi"/>
                <w:sz w:val="20"/>
                <w:szCs w:val="20"/>
              </w:rPr>
              <w:t>Serious physical or psychological injury with moderate-term recovery</w:t>
            </w:r>
          </w:p>
        </w:tc>
      </w:tr>
      <w:tr w:rsidR="00BA4B25" w:rsidRPr="00AD3B62" w14:paraId="4BC2278C" w14:textId="77777777" w:rsidTr="007305A5">
        <w:trPr>
          <w:trHeight w:val="321"/>
        </w:trPr>
        <w:tc>
          <w:tcPr>
            <w:tcW w:w="709" w:type="dxa"/>
            <w:vMerge/>
            <w:tcBorders>
              <w:left w:val="single" w:sz="36" w:space="0" w:color="FFFFFF" w:themeColor="background1"/>
              <w:right w:val="single" w:sz="36" w:space="0" w:color="FFFFFF" w:themeColor="background1"/>
            </w:tcBorders>
            <w:shd w:val="clear" w:color="auto" w:fill="FFC000"/>
            <w:textDirection w:val="btLr"/>
          </w:tcPr>
          <w:p w14:paraId="2EA28497" w14:textId="77777777" w:rsidR="00197917" w:rsidRPr="00AD3B62" w:rsidRDefault="00197917" w:rsidP="00197917">
            <w:pPr>
              <w:spacing w:after="200"/>
              <w:ind w:left="113" w:right="113"/>
              <w:contextualSpacing/>
              <w:jc w:val="center"/>
              <w:rPr>
                <w:rFonts w:asciiTheme="minorHAnsi" w:hAnsiTheme="minorHAnsi" w:cstheme="minorHAnsi"/>
                <w:b/>
                <w:bCs/>
                <w:color w:val="FFFFFF" w:themeColor="background1"/>
                <w:sz w:val="24"/>
                <w:szCs w:val="24"/>
              </w:rPr>
            </w:pPr>
          </w:p>
        </w:tc>
        <w:tc>
          <w:tcPr>
            <w:tcW w:w="8364" w:type="dxa"/>
            <w:tcBorders>
              <w:top w:val="single" w:sz="36" w:space="0" w:color="FFFFFF" w:themeColor="background1"/>
              <w:left w:val="single" w:sz="36" w:space="0" w:color="FFFFFF" w:themeColor="background1"/>
              <w:bottom w:val="single" w:sz="36" w:space="0" w:color="FFFFFF" w:themeColor="background1"/>
              <w:right w:val="single" w:sz="24" w:space="0" w:color="FFFFFF" w:themeColor="background1"/>
            </w:tcBorders>
            <w:shd w:val="clear" w:color="auto" w:fill="F2F2F2" w:themeFill="background1" w:themeFillShade="F2"/>
            <w:vAlign w:val="center"/>
          </w:tcPr>
          <w:p w14:paraId="2BC55106" w14:textId="77777777" w:rsidR="00197917" w:rsidRPr="00AD3B62" w:rsidRDefault="00197917" w:rsidP="00197917">
            <w:pPr>
              <w:spacing w:after="200"/>
              <w:contextualSpacing/>
              <w:rPr>
                <w:rFonts w:asciiTheme="minorHAnsi" w:hAnsiTheme="minorHAnsi" w:cstheme="minorHAnsi"/>
                <w:sz w:val="20"/>
                <w:szCs w:val="20"/>
              </w:rPr>
            </w:pPr>
            <w:r w:rsidRPr="00AD3B62">
              <w:rPr>
                <w:rFonts w:asciiTheme="minorHAnsi" w:hAnsiTheme="minorHAnsi" w:cstheme="minorHAnsi"/>
                <w:sz w:val="20"/>
                <w:szCs w:val="20"/>
              </w:rPr>
              <w:t>Medium term financial harm or educational or work disruption</w:t>
            </w:r>
          </w:p>
        </w:tc>
      </w:tr>
      <w:tr w:rsidR="00BA4B25" w:rsidRPr="00AD3B62" w14:paraId="6A8025E5" w14:textId="77777777" w:rsidTr="007305A5">
        <w:trPr>
          <w:trHeight w:val="460"/>
        </w:trPr>
        <w:tc>
          <w:tcPr>
            <w:tcW w:w="709" w:type="dxa"/>
            <w:vMerge/>
            <w:tcBorders>
              <w:left w:val="single" w:sz="36" w:space="0" w:color="FFFFFF" w:themeColor="background1"/>
              <w:right w:val="single" w:sz="36" w:space="0" w:color="FFFFFF" w:themeColor="background1"/>
            </w:tcBorders>
            <w:shd w:val="clear" w:color="auto" w:fill="FFC000"/>
            <w:textDirection w:val="btLr"/>
          </w:tcPr>
          <w:p w14:paraId="727413ED" w14:textId="77777777" w:rsidR="00197917" w:rsidRPr="00AD3B62" w:rsidRDefault="00197917" w:rsidP="00197917">
            <w:pPr>
              <w:spacing w:after="200"/>
              <w:ind w:left="113" w:right="113"/>
              <w:contextualSpacing/>
              <w:jc w:val="center"/>
              <w:rPr>
                <w:rFonts w:asciiTheme="minorHAnsi" w:hAnsiTheme="minorHAnsi" w:cstheme="minorHAnsi"/>
                <w:b/>
                <w:bCs/>
                <w:color w:val="FFFFFF" w:themeColor="background1"/>
                <w:sz w:val="24"/>
                <w:szCs w:val="24"/>
              </w:rPr>
            </w:pPr>
          </w:p>
        </w:tc>
        <w:tc>
          <w:tcPr>
            <w:tcW w:w="8364" w:type="dxa"/>
            <w:tcBorders>
              <w:top w:val="single" w:sz="36" w:space="0" w:color="FFFFFF" w:themeColor="background1"/>
              <w:left w:val="single" w:sz="36" w:space="0" w:color="FFFFFF" w:themeColor="background1"/>
              <w:bottom w:val="single" w:sz="36" w:space="0" w:color="FFFFFF" w:themeColor="background1"/>
              <w:right w:val="single" w:sz="24" w:space="0" w:color="FFFFFF" w:themeColor="background1"/>
            </w:tcBorders>
            <w:shd w:val="clear" w:color="auto" w:fill="F2F2F2" w:themeFill="background1" w:themeFillShade="F2"/>
            <w:vAlign w:val="center"/>
          </w:tcPr>
          <w:p w14:paraId="6A2D64C7" w14:textId="77777777" w:rsidR="00197917" w:rsidRPr="00AD3B62" w:rsidRDefault="00197917" w:rsidP="00197917">
            <w:pPr>
              <w:spacing w:after="200"/>
              <w:contextualSpacing/>
              <w:rPr>
                <w:rFonts w:asciiTheme="minorHAnsi" w:hAnsiTheme="minorHAnsi" w:cstheme="minorHAnsi"/>
                <w:sz w:val="20"/>
                <w:szCs w:val="20"/>
              </w:rPr>
            </w:pPr>
            <w:r w:rsidRPr="00AD3B62">
              <w:rPr>
                <w:rFonts w:asciiTheme="minorHAnsi" w:hAnsiTheme="minorHAnsi" w:cstheme="minorHAnsi"/>
                <w:sz w:val="20"/>
                <w:szCs w:val="20"/>
              </w:rPr>
              <w:t>Re-traumatisation, diminishment of rights or harm caused by higher education provider denial or conduct impacting recovery or healing</w:t>
            </w:r>
          </w:p>
        </w:tc>
      </w:tr>
      <w:tr w:rsidR="00BA4B25" w:rsidRPr="00AD3B62" w14:paraId="1D0BB276" w14:textId="77777777" w:rsidTr="007305A5">
        <w:trPr>
          <w:trHeight w:val="378"/>
        </w:trPr>
        <w:tc>
          <w:tcPr>
            <w:tcW w:w="709" w:type="dxa"/>
            <w:vMerge w:val="restart"/>
            <w:tcBorders>
              <w:top w:val="single" w:sz="36" w:space="0" w:color="FFFFFF" w:themeColor="background1"/>
              <w:left w:val="single" w:sz="36" w:space="0" w:color="FFFFFF" w:themeColor="background1"/>
              <w:right w:val="single" w:sz="36" w:space="0" w:color="FFFFFF" w:themeColor="background1"/>
            </w:tcBorders>
            <w:shd w:val="clear" w:color="auto" w:fill="92D050"/>
            <w:textDirection w:val="btLr"/>
          </w:tcPr>
          <w:p w14:paraId="513AA8D8" w14:textId="77777777" w:rsidR="00197917" w:rsidRPr="00AD3B62" w:rsidRDefault="00197917" w:rsidP="00197917">
            <w:pPr>
              <w:spacing w:after="200"/>
              <w:ind w:left="113" w:right="113"/>
              <w:contextualSpacing/>
              <w:jc w:val="center"/>
              <w:rPr>
                <w:rFonts w:asciiTheme="minorHAnsi" w:hAnsiTheme="minorHAnsi" w:cstheme="minorHAnsi"/>
                <w:b/>
                <w:bCs/>
                <w:color w:val="000000" w:themeColor="text1"/>
                <w:sz w:val="24"/>
                <w:szCs w:val="24"/>
              </w:rPr>
            </w:pPr>
            <w:r w:rsidRPr="00AD3B62">
              <w:rPr>
                <w:rFonts w:asciiTheme="minorHAnsi" w:hAnsiTheme="minorHAnsi" w:cstheme="minorHAnsi"/>
                <w:b/>
                <w:bCs/>
                <w:color w:val="000000" w:themeColor="text1"/>
                <w:sz w:val="24"/>
                <w:szCs w:val="24"/>
              </w:rPr>
              <w:t>Minor</w:t>
            </w:r>
          </w:p>
        </w:tc>
        <w:tc>
          <w:tcPr>
            <w:tcW w:w="8364" w:type="dxa"/>
            <w:tcBorders>
              <w:top w:val="single" w:sz="36" w:space="0" w:color="FFFFFF" w:themeColor="background1"/>
              <w:left w:val="single" w:sz="36" w:space="0" w:color="FFFFFF" w:themeColor="background1"/>
              <w:bottom w:val="single" w:sz="36" w:space="0" w:color="FFFFFF" w:themeColor="background1"/>
              <w:right w:val="single" w:sz="12" w:space="0" w:color="FFFFFF" w:themeColor="background1"/>
            </w:tcBorders>
            <w:shd w:val="clear" w:color="auto" w:fill="F2F2F2" w:themeFill="background1" w:themeFillShade="F2"/>
            <w:vAlign w:val="center"/>
          </w:tcPr>
          <w:p w14:paraId="526C3A76" w14:textId="77777777" w:rsidR="00197917" w:rsidRPr="00AD3B62" w:rsidRDefault="00197917" w:rsidP="00197917">
            <w:pPr>
              <w:spacing w:after="200"/>
              <w:contextualSpacing/>
              <w:rPr>
                <w:rFonts w:asciiTheme="minorHAnsi" w:hAnsiTheme="minorHAnsi" w:cstheme="minorHAnsi"/>
                <w:sz w:val="20"/>
                <w:szCs w:val="20"/>
              </w:rPr>
            </w:pPr>
            <w:r w:rsidRPr="00AD3B62">
              <w:rPr>
                <w:rFonts w:asciiTheme="minorHAnsi" w:hAnsiTheme="minorHAnsi" w:cstheme="minorHAnsi"/>
                <w:sz w:val="20"/>
                <w:szCs w:val="20"/>
              </w:rPr>
              <w:t>Short term injury with short-term recovery</w:t>
            </w:r>
          </w:p>
        </w:tc>
      </w:tr>
      <w:tr w:rsidR="00BA4B25" w:rsidRPr="00AD3B62" w14:paraId="0CF2F96A" w14:textId="77777777" w:rsidTr="007305A5">
        <w:trPr>
          <w:trHeight w:val="395"/>
        </w:trPr>
        <w:tc>
          <w:tcPr>
            <w:tcW w:w="709" w:type="dxa"/>
            <w:vMerge/>
            <w:tcBorders>
              <w:left w:val="single" w:sz="36" w:space="0" w:color="FFFFFF" w:themeColor="background1"/>
              <w:right w:val="single" w:sz="36" w:space="0" w:color="FFFFFF" w:themeColor="background1"/>
            </w:tcBorders>
            <w:shd w:val="clear" w:color="auto" w:fill="92D050"/>
            <w:textDirection w:val="btLr"/>
          </w:tcPr>
          <w:p w14:paraId="64CA1A6D" w14:textId="77777777" w:rsidR="00197917" w:rsidRPr="00AD3B62" w:rsidRDefault="00197917" w:rsidP="00197917">
            <w:pPr>
              <w:tabs>
                <w:tab w:val="num" w:pos="1209"/>
              </w:tabs>
              <w:spacing w:after="200"/>
              <w:ind w:right="113" w:hanging="360"/>
              <w:contextualSpacing/>
              <w:jc w:val="center"/>
              <w:rPr>
                <w:rFonts w:asciiTheme="minorHAnsi" w:hAnsiTheme="minorHAnsi" w:cstheme="minorHAnsi"/>
                <w:b/>
                <w:bCs/>
                <w:color w:val="FFFFFF" w:themeColor="background1"/>
                <w:sz w:val="24"/>
                <w:szCs w:val="24"/>
              </w:rPr>
            </w:pPr>
          </w:p>
        </w:tc>
        <w:tc>
          <w:tcPr>
            <w:tcW w:w="8364" w:type="dxa"/>
            <w:tcBorders>
              <w:top w:val="single" w:sz="36" w:space="0" w:color="FFFFFF" w:themeColor="background1"/>
              <w:left w:val="single" w:sz="36" w:space="0" w:color="FFFFFF" w:themeColor="background1"/>
              <w:right w:val="single" w:sz="12" w:space="0" w:color="FFFFFF" w:themeColor="background1"/>
            </w:tcBorders>
            <w:shd w:val="clear" w:color="auto" w:fill="F2F2F2" w:themeFill="background1" w:themeFillShade="F2"/>
            <w:vAlign w:val="center"/>
          </w:tcPr>
          <w:p w14:paraId="3864C554" w14:textId="77777777" w:rsidR="00197917" w:rsidRPr="00AD3B62" w:rsidRDefault="00197917" w:rsidP="00197917">
            <w:pPr>
              <w:spacing w:after="200"/>
              <w:contextualSpacing/>
              <w:rPr>
                <w:rFonts w:asciiTheme="minorHAnsi" w:hAnsiTheme="minorHAnsi" w:cstheme="minorHAnsi"/>
                <w:sz w:val="20"/>
                <w:szCs w:val="20"/>
              </w:rPr>
            </w:pPr>
            <w:r w:rsidRPr="00AD3B62">
              <w:rPr>
                <w:rFonts w:asciiTheme="minorHAnsi" w:hAnsiTheme="minorHAnsi" w:cstheme="minorHAnsi"/>
                <w:sz w:val="20"/>
                <w:szCs w:val="20"/>
              </w:rPr>
              <w:t>Short term disrespect, loss of agency, disruption from education or work or loss of trust in institution</w:t>
            </w:r>
          </w:p>
        </w:tc>
      </w:tr>
      <w:tr w:rsidR="00BA4B25" w:rsidRPr="00AD3B62" w14:paraId="746324E2" w14:textId="77777777" w:rsidTr="007305A5">
        <w:trPr>
          <w:trHeight w:val="412"/>
        </w:trPr>
        <w:tc>
          <w:tcPr>
            <w:tcW w:w="709" w:type="dxa"/>
            <w:vMerge w:val="restart"/>
            <w:tcBorders>
              <w:top w:val="single" w:sz="36" w:space="0" w:color="FFFFFF" w:themeColor="background1"/>
              <w:left w:val="single" w:sz="36" w:space="0" w:color="FFFFFF" w:themeColor="background1"/>
              <w:right w:val="single" w:sz="36" w:space="0" w:color="FFFFFF" w:themeColor="background1"/>
            </w:tcBorders>
            <w:shd w:val="clear" w:color="auto" w:fill="00B050"/>
            <w:textDirection w:val="btLr"/>
          </w:tcPr>
          <w:p w14:paraId="60571F70" w14:textId="77777777" w:rsidR="00197917" w:rsidRPr="00AD3B62" w:rsidRDefault="00197917" w:rsidP="00197917">
            <w:pPr>
              <w:spacing w:after="200"/>
              <w:ind w:left="113" w:right="113"/>
              <w:contextualSpacing/>
              <w:jc w:val="center"/>
              <w:rPr>
                <w:rFonts w:asciiTheme="minorHAnsi" w:hAnsiTheme="minorHAnsi" w:cstheme="minorHAnsi"/>
                <w:b/>
                <w:bCs/>
                <w:color w:val="000000" w:themeColor="text1"/>
                <w:sz w:val="24"/>
                <w:szCs w:val="24"/>
              </w:rPr>
            </w:pPr>
            <w:r w:rsidRPr="00AD3B62">
              <w:rPr>
                <w:rFonts w:asciiTheme="minorHAnsi" w:hAnsiTheme="minorHAnsi" w:cstheme="minorHAnsi"/>
                <w:b/>
                <w:bCs/>
                <w:color w:val="000000" w:themeColor="text1"/>
                <w:sz w:val="24"/>
                <w:szCs w:val="24"/>
              </w:rPr>
              <w:t>Low</w:t>
            </w:r>
          </w:p>
        </w:tc>
        <w:tc>
          <w:tcPr>
            <w:tcW w:w="8364" w:type="dxa"/>
            <w:tcBorders>
              <w:top w:val="single" w:sz="36" w:space="0" w:color="FFFFFF" w:themeColor="background1"/>
              <w:left w:val="single" w:sz="36" w:space="0" w:color="FFFFFF" w:themeColor="background1"/>
              <w:bottom w:val="single" w:sz="36" w:space="0" w:color="FFFFFF" w:themeColor="background1"/>
              <w:right w:val="single" w:sz="24" w:space="0" w:color="FFFFFF" w:themeColor="background1"/>
            </w:tcBorders>
            <w:shd w:val="clear" w:color="auto" w:fill="F2F2F2" w:themeFill="background1" w:themeFillShade="F2"/>
            <w:vAlign w:val="center"/>
          </w:tcPr>
          <w:p w14:paraId="095DF3EB" w14:textId="77777777" w:rsidR="00197917" w:rsidRPr="00AD3B62" w:rsidRDefault="00197917" w:rsidP="00197917">
            <w:pPr>
              <w:spacing w:after="200"/>
              <w:contextualSpacing/>
              <w:rPr>
                <w:rFonts w:asciiTheme="minorHAnsi" w:hAnsiTheme="minorHAnsi" w:cstheme="minorHAnsi"/>
                <w:sz w:val="20"/>
                <w:szCs w:val="20"/>
              </w:rPr>
            </w:pPr>
            <w:r w:rsidRPr="00AD3B62">
              <w:rPr>
                <w:rFonts w:asciiTheme="minorHAnsi" w:hAnsiTheme="minorHAnsi" w:cstheme="minorHAnsi"/>
                <w:sz w:val="20"/>
                <w:szCs w:val="20"/>
              </w:rPr>
              <w:t>Minor relational, social, physical or psychological injury</w:t>
            </w:r>
          </w:p>
        </w:tc>
      </w:tr>
      <w:tr w:rsidR="00BA4B25" w:rsidRPr="00AD3B62" w14:paraId="225A69A2" w14:textId="77777777" w:rsidTr="007305A5">
        <w:trPr>
          <w:trHeight w:val="406"/>
        </w:trPr>
        <w:tc>
          <w:tcPr>
            <w:tcW w:w="709" w:type="dxa"/>
            <w:vMerge/>
            <w:tcBorders>
              <w:left w:val="single" w:sz="36" w:space="0" w:color="FFFFFF" w:themeColor="background1"/>
              <w:bottom w:val="single" w:sz="36" w:space="0" w:color="FFFFFF" w:themeColor="background1"/>
              <w:right w:val="single" w:sz="36" w:space="0" w:color="FFFFFF" w:themeColor="background1"/>
            </w:tcBorders>
            <w:shd w:val="clear" w:color="auto" w:fill="00B050"/>
          </w:tcPr>
          <w:p w14:paraId="1A8AD9E1" w14:textId="77777777" w:rsidR="00197917" w:rsidRPr="00AD3B62" w:rsidRDefault="00197917" w:rsidP="00197917">
            <w:pPr>
              <w:spacing w:after="200"/>
              <w:contextualSpacing/>
              <w:rPr>
                <w:rFonts w:asciiTheme="minorHAnsi" w:hAnsiTheme="minorHAnsi" w:cstheme="minorHAnsi"/>
              </w:rPr>
            </w:pPr>
          </w:p>
        </w:tc>
        <w:tc>
          <w:tcPr>
            <w:tcW w:w="8364" w:type="dxa"/>
            <w:tcBorders>
              <w:top w:val="single" w:sz="36" w:space="0" w:color="FFFFFF" w:themeColor="background1"/>
              <w:left w:val="single" w:sz="36" w:space="0" w:color="FFFFFF" w:themeColor="background1"/>
              <w:bottom w:val="single" w:sz="36" w:space="0" w:color="FFFFFF" w:themeColor="background1"/>
              <w:right w:val="single" w:sz="24" w:space="0" w:color="FFFFFF" w:themeColor="background1"/>
            </w:tcBorders>
            <w:shd w:val="clear" w:color="auto" w:fill="F2F2F2" w:themeFill="background1" w:themeFillShade="F2"/>
            <w:vAlign w:val="center"/>
          </w:tcPr>
          <w:p w14:paraId="5BD5563E" w14:textId="77777777" w:rsidR="00197917" w:rsidRPr="00AD3B62" w:rsidRDefault="00197917" w:rsidP="00197917">
            <w:pPr>
              <w:spacing w:after="200"/>
              <w:contextualSpacing/>
              <w:rPr>
                <w:rFonts w:asciiTheme="minorHAnsi" w:hAnsiTheme="minorHAnsi" w:cstheme="minorHAnsi"/>
                <w:sz w:val="20"/>
                <w:szCs w:val="20"/>
              </w:rPr>
            </w:pPr>
            <w:r w:rsidRPr="00AD3B62">
              <w:rPr>
                <w:rFonts w:asciiTheme="minorHAnsi" w:hAnsiTheme="minorHAnsi" w:cstheme="minorHAnsi"/>
                <w:sz w:val="20"/>
                <w:szCs w:val="20"/>
              </w:rPr>
              <w:t>Temporary loss of agency or disconnection from education or work</w:t>
            </w:r>
          </w:p>
        </w:tc>
      </w:tr>
    </w:tbl>
    <w:p w14:paraId="7ED5608C" w14:textId="4A8685F6" w:rsidR="00197917" w:rsidRPr="00AD3B62" w:rsidRDefault="00197917" w:rsidP="00433613">
      <w:pPr>
        <w:pStyle w:val="Heading3"/>
        <w:numPr>
          <w:ilvl w:val="0"/>
          <w:numId w:val="0"/>
        </w:numPr>
        <w:rPr>
          <w:rFonts w:asciiTheme="minorHAnsi" w:hAnsiTheme="minorHAnsi"/>
        </w:rPr>
      </w:pPr>
      <w:bookmarkStart w:id="45" w:name="_Toc215493975"/>
      <w:r w:rsidRPr="00AD3B62">
        <w:rPr>
          <w:rFonts w:asciiTheme="minorHAnsi" w:hAnsiTheme="minorHAnsi"/>
        </w:rPr>
        <w:t>Table 3: considering a provider’s culpability</w:t>
      </w:r>
      <w:bookmarkEnd w:id="45"/>
      <w:r w:rsidRPr="00AD3B62">
        <w:rPr>
          <w:rFonts w:asciiTheme="minorHAnsi" w:hAnsiTheme="minorHAnsi"/>
        </w:rPr>
        <w:t xml:space="preserve"> </w:t>
      </w:r>
    </w:p>
    <w:tbl>
      <w:tblPr>
        <w:tblStyle w:val="TableGridLight"/>
        <w:tblW w:w="9073" w:type="dxa"/>
        <w:tblInd w:w="-187" w:type="dxa"/>
        <w:tblLook w:val="04A0" w:firstRow="1" w:lastRow="0" w:firstColumn="1" w:lastColumn="0" w:noHBand="0" w:noVBand="1"/>
      </w:tblPr>
      <w:tblGrid>
        <w:gridCol w:w="709"/>
        <w:gridCol w:w="8364"/>
      </w:tblGrid>
      <w:tr w:rsidR="00BA4B25" w:rsidRPr="00AD3B62" w14:paraId="5346CE9A" w14:textId="77777777" w:rsidTr="007305A5">
        <w:trPr>
          <w:trHeight w:val="533"/>
        </w:trPr>
        <w:tc>
          <w:tcPr>
            <w:tcW w:w="709" w:type="dxa"/>
            <w:vMerge w:val="restart"/>
            <w:tcBorders>
              <w:top w:val="single" w:sz="24" w:space="0" w:color="FFFFFF" w:themeColor="background1"/>
              <w:left w:val="single" w:sz="36" w:space="0" w:color="FFFFFF" w:themeColor="background1"/>
              <w:right w:val="single" w:sz="36" w:space="0" w:color="FFFFFF" w:themeColor="background1"/>
            </w:tcBorders>
            <w:shd w:val="clear" w:color="auto" w:fill="9C0E0E" w:themeFill="accent5" w:themeFillShade="80"/>
            <w:textDirection w:val="btLr"/>
          </w:tcPr>
          <w:p w14:paraId="1CD09136" w14:textId="77777777" w:rsidR="00197917" w:rsidRPr="00AD3B62" w:rsidRDefault="00197917" w:rsidP="00197917">
            <w:pPr>
              <w:spacing w:after="200"/>
              <w:ind w:left="113" w:right="113"/>
              <w:contextualSpacing/>
              <w:jc w:val="center"/>
              <w:rPr>
                <w:rFonts w:asciiTheme="minorHAnsi" w:hAnsiTheme="minorHAnsi" w:cstheme="minorHAnsi"/>
                <w:b/>
                <w:color w:val="FFFFFF" w:themeColor="background1"/>
                <w:sz w:val="28"/>
                <w:szCs w:val="28"/>
              </w:rPr>
            </w:pPr>
            <w:r w:rsidRPr="00AD3B62">
              <w:rPr>
                <w:rFonts w:asciiTheme="minorHAnsi" w:hAnsiTheme="minorHAnsi" w:cstheme="minorHAnsi"/>
                <w:b/>
                <w:color w:val="FFFFFF" w:themeColor="background1"/>
                <w:sz w:val="28"/>
                <w:szCs w:val="28"/>
              </w:rPr>
              <w:t>Serious</w:t>
            </w:r>
          </w:p>
        </w:tc>
        <w:tc>
          <w:tcPr>
            <w:tcW w:w="8364" w:type="dxa"/>
            <w:tcBorders>
              <w:top w:val="single" w:sz="36" w:space="0" w:color="FFFFFF" w:themeColor="background1"/>
              <w:left w:val="single" w:sz="36" w:space="0" w:color="FFFFFF" w:themeColor="background1"/>
              <w:bottom w:val="single" w:sz="36" w:space="0" w:color="FFFFFF" w:themeColor="background1"/>
              <w:right w:val="single" w:sz="24" w:space="0" w:color="FFFFFF" w:themeColor="background1"/>
            </w:tcBorders>
            <w:shd w:val="clear" w:color="auto" w:fill="F2F2F2" w:themeFill="background1" w:themeFillShade="F2"/>
          </w:tcPr>
          <w:p w14:paraId="085F8390" w14:textId="77777777" w:rsidR="00197917" w:rsidRPr="00AD3B62" w:rsidRDefault="00197917" w:rsidP="00197917">
            <w:pPr>
              <w:spacing w:after="200"/>
              <w:contextualSpacing/>
              <w:rPr>
                <w:rFonts w:asciiTheme="minorHAnsi" w:hAnsiTheme="minorHAnsi" w:cstheme="minorHAnsi"/>
                <w:sz w:val="20"/>
                <w:szCs w:val="20"/>
              </w:rPr>
            </w:pPr>
            <w:r w:rsidRPr="00AD3B62">
              <w:rPr>
                <w:rFonts w:asciiTheme="minorHAnsi" w:hAnsiTheme="minorHAnsi" w:cstheme="minorHAnsi"/>
                <w:sz w:val="20"/>
                <w:szCs w:val="20"/>
              </w:rPr>
              <w:t>Deliberate, wilful or misleading conduct, omission, or actively hindering regulatory action or undermining the National Code and its intention</w:t>
            </w:r>
          </w:p>
        </w:tc>
      </w:tr>
      <w:tr w:rsidR="00BA4B25" w:rsidRPr="00AD3B62" w14:paraId="24B7B9C0" w14:textId="77777777" w:rsidTr="007305A5">
        <w:trPr>
          <w:trHeight w:val="445"/>
        </w:trPr>
        <w:tc>
          <w:tcPr>
            <w:tcW w:w="709" w:type="dxa"/>
            <w:vMerge/>
            <w:tcBorders>
              <w:left w:val="single" w:sz="36" w:space="0" w:color="FFFFFF" w:themeColor="background1"/>
              <w:right w:val="single" w:sz="36" w:space="0" w:color="FFFFFF" w:themeColor="background1"/>
            </w:tcBorders>
            <w:shd w:val="clear" w:color="auto" w:fill="9C0E0E" w:themeFill="accent5" w:themeFillShade="80"/>
            <w:textDirection w:val="btLr"/>
          </w:tcPr>
          <w:p w14:paraId="5E70D8FD" w14:textId="77777777" w:rsidR="00197917" w:rsidRPr="00AD3B62" w:rsidRDefault="00197917" w:rsidP="00197917">
            <w:pPr>
              <w:spacing w:after="200"/>
              <w:ind w:left="113" w:right="113"/>
              <w:contextualSpacing/>
              <w:jc w:val="center"/>
              <w:rPr>
                <w:rFonts w:asciiTheme="minorHAnsi" w:hAnsiTheme="minorHAnsi" w:cstheme="minorHAnsi"/>
                <w:b/>
                <w:color w:val="FFFFFF" w:themeColor="background1"/>
                <w:sz w:val="28"/>
                <w:szCs w:val="28"/>
              </w:rPr>
            </w:pPr>
          </w:p>
        </w:tc>
        <w:tc>
          <w:tcPr>
            <w:tcW w:w="8364" w:type="dxa"/>
            <w:tcBorders>
              <w:top w:val="single" w:sz="36" w:space="0" w:color="FFFFFF" w:themeColor="background1"/>
              <w:left w:val="single" w:sz="36" w:space="0" w:color="FFFFFF" w:themeColor="background1"/>
              <w:bottom w:val="single" w:sz="36" w:space="0" w:color="FFFFFF" w:themeColor="background1"/>
              <w:right w:val="single" w:sz="24" w:space="0" w:color="FFFFFF" w:themeColor="background1"/>
            </w:tcBorders>
            <w:shd w:val="clear" w:color="auto" w:fill="F2F2F2" w:themeFill="background1" w:themeFillShade="F2"/>
          </w:tcPr>
          <w:p w14:paraId="2A414318" w14:textId="77777777" w:rsidR="00197917" w:rsidRPr="00AD3B62" w:rsidRDefault="00197917" w:rsidP="00197917">
            <w:pPr>
              <w:spacing w:after="200"/>
              <w:contextualSpacing/>
              <w:rPr>
                <w:rFonts w:asciiTheme="minorHAnsi" w:hAnsiTheme="minorHAnsi" w:cstheme="minorHAnsi"/>
                <w:sz w:val="20"/>
                <w:szCs w:val="20"/>
              </w:rPr>
            </w:pPr>
            <w:r w:rsidRPr="00AD3B62">
              <w:rPr>
                <w:rFonts w:asciiTheme="minorHAnsi" w:hAnsiTheme="minorHAnsi" w:cstheme="minorHAnsi"/>
                <w:sz w:val="20"/>
                <w:szCs w:val="20"/>
              </w:rPr>
              <w:t>Repeated non-compliance across many areas, or non-compliance involved significant falling short of acceptable standards</w:t>
            </w:r>
          </w:p>
        </w:tc>
      </w:tr>
      <w:tr w:rsidR="00BA4B25" w:rsidRPr="00AD3B62" w14:paraId="4032C89C" w14:textId="77777777" w:rsidTr="007305A5">
        <w:trPr>
          <w:trHeight w:val="200"/>
        </w:trPr>
        <w:tc>
          <w:tcPr>
            <w:tcW w:w="709" w:type="dxa"/>
            <w:vMerge/>
            <w:tcBorders>
              <w:left w:val="single" w:sz="36" w:space="0" w:color="FFFFFF" w:themeColor="background1"/>
              <w:bottom w:val="single" w:sz="36" w:space="0" w:color="FFFFFF" w:themeColor="background1"/>
              <w:right w:val="single" w:sz="36" w:space="0" w:color="FFFFFF" w:themeColor="background1"/>
            </w:tcBorders>
            <w:shd w:val="clear" w:color="auto" w:fill="9C0E0E" w:themeFill="accent5" w:themeFillShade="80"/>
            <w:textDirection w:val="btLr"/>
          </w:tcPr>
          <w:p w14:paraId="375DBFE9" w14:textId="77777777" w:rsidR="00197917" w:rsidRPr="00AD3B62" w:rsidRDefault="00197917" w:rsidP="00197917">
            <w:pPr>
              <w:spacing w:after="200"/>
              <w:ind w:left="113" w:right="113"/>
              <w:contextualSpacing/>
              <w:jc w:val="center"/>
              <w:rPr>
                <w:rFonts w:asciiTheme="minorHAnsi" w:hAnsiTheme="minorHAnsi" w:cstheme="minorHAnsi"/>
                <w:b/>
                <w:color w:val="FFFFFF" w:themeColor="background1"/>
                <w:sz w:val="28"/>
                <w:szCs w:val="28"/>
              </w:rPr>
            </w:pPr>
          </w:p>
        </w:tc>
        <w:tc>
          <w:tcPr>
            <w:tcW w:w="8364" w:type="dxa"/>
            <w:tcBorders>
              <w:top w:val="single" w:sz="36" w:space="0" w:color="FFFFFF" w:themeColor="background1"/>
              <w:left w:val="single" w:sz="36" w:space="0" w:color="FFFFFF" w:themeColor="background1"/>
              <w:bottom w:val="single" w:sz="36" w:space="0" w:color="FFFFFF" w:themeColor="background1"/>
              <w:right w:val="single" w:sz="24" w:space="0" w:color="FFFFFF" w:themeColor="background1"/>
            </w:tcBorders>
            <w:shd w:val="clear" w:color="auto" w:fill="F2F2F2" w:themeFill="background1" w:themeFillShade="F2"/>
          </w:tcPr>
          <w:p w14:paraId="22981A39" w14:textId="77777777" w:rsidR="00197917" w:rsidRPr="00AD3B62" w:rsidRDefault="00197917" w:rsidP="00197917">
            <w:pPr>
              <w:spacing w:after="200"/>
              <w:contextualSpacing/>
              <w:rPr>
                <w:rFonts w:asciiTheme="minorHAnsi" w:hAnsiTheme="minorHAnsi" w:cstheme="minorHAnsi"/>
                <w:sz w:val="20"/>
                <w:szCs w:val="20"/>
              </w:rPr>
            </w:pPr>
            <w:r w:rsidRPr="00AD3B62">
              <w:rPr>
                <w:rFonts w:asciiTheme="minorHAnsi" w:hAnsiTheme="minorHAnsi" w:cstheme="minorHAnsi"/>
                <w:sz w:val="20"/>
                <w:szCs w:val="20"/>
              </w:rPr>
              <w:t>Risk was obvious and preventable with ongoing non-compliance, or non-compliance of long duration</w:t>
            </w:r>
          </w:p>
        </w:tc>
      </w:tr>
      <w:tr w:rsidR="00BA4B25" w:rsidRPr="00AD3B62" w14:paraId="4EBA86B2" w14:textId="77777777" w:rsidTr="007305A5">
        <w:trPr>
          <w:trHeight w:val="302"/>
        </w:trPr>
        <w:tc>
          <w:tcPr>
            <w:tcW w:w="709" w:type="dxa"/>
            <w:vMerge w:val="restart"/>
            <w:tcBorders>
              <w:top w:val="single" w:sz="36" w:space="0" w:color="FFFFFF" w:themeColor="background1"/>
              <w:left w:val="single" w:sz="36" w:space="0" w:color="FFFFFF" w:themeColor="background1"/>
              <w:right w:val="single" w:sz="36" w:space="0" w:color="FFFFFF" w:themeColor="background1"/>
            </w:tcBorders>
            <w:shd w:val="clear" w:color="auto" w:fill="FF0000"/>
            <w:textDirection w:val="btLr"/>
          </w:tcPr>
          <w:p w14:paraId="7746E295" w14:textId="77777777" w:rsidR="00197917" w:rsidRPr="00AD3B62" w:rsidRDefault="00197917" w:rsidP="00197917">
            <w:pPr>
              <w:spacing w:after="200"/>
              <w:ind w:left="113" w:right="113"/>
              <w:contextualSpacing/>
              <w:jc w:val="center"/>
              <w:rPr>
                <w:rFonts w:asciiTheme="minorHAnsi" w:hAnsiTheme="minorHAnsi" w:cstheme="minorHAnsi"/>
                <w:b/>
                <w:color w:val="FFFFFF" w:themeColor="background1"/>
                <w:sz w:val="28"/>
                <w:szCs w:val="28"/>
              </w:rPr>
            </w:pPr>
            <w:r w:rsidRPr="00AD3B62" w:rsidDel="00721ACF">
              <w:rPr>
                <w:rFonts w:asciiTheme="minorHAnsi" w:hAnsiTheme="minorHAnsi" w:cstheme="minorHAnsi"/>
                <w:b/>
                <w:color w:val="FFFFFF" w:themeColor="background1"/>
                <w:sz w:val="28"/>
                <w:szCs w:val="28"/>
              </w:rPr>
              <w:t>M</w:t>
            </w:r>
            <w:r w:rsidRPr="00AD3B62">
              <w:rPr>
                <w:rFonts w:asciiTheme="minorHAnsi" w:hAnsiTheme="minorHAnsi" w:cstheme="minorHAnsi"/>
                <w:b/>
                <w:color w:val="FFFFFF" w:themeColor="background1"/>
                <w:sz w:val="28"/>
                <w:szCs w:val="28"/>
              </w:rPr>
              <w:t>ajor</w:t>
            </w:r>
          </w:p>
        </w:tc>
        <w:tc>
          <w:tcPr>
            <w:tcW w:w="8364" w:type="dxa"/>
            <w:tcBorders>
              <w:top w:val="single" w:sz="36" w:space="0" w:color="FFFFFF" w:themeColor="background1"/>
              <w:left w:val="single" w:sz="36" w:space="0" w:color="FFFFFF" w:themeColor="background1"/>
              <w:bottom w:val="single" w:sz="36" w:space="0" w:color="FFFFFF" w:themeColor="background1"/>
              <w:right w:val="single" w:sz="24" w:space="0" w:color="FFFFFF" w:themeColor="background1"/>
            </w:tcBorders>
            <w:shd w:val="clear" w:color="auto" w:fill="F2F2F2" w:themeFill="background1" w:themeFillShade="F2"/>
          </w:tcPr>
          <w:p w14:paraId="756F6D21" w14:textId="77777777" w:rsidR="00197917" w:rsidRPr="00AD3B62" w:rsidRDefault="00197917" w:rsidP="00197917">
            <w:pPr>
              <w:spacing w:after="200"/>
              <w:contextualSpacing/>
              <w:rPr>
                <w:rFonts w:asciiTheme="minorHAnsi" w:hAnsiTheme="minorHAnsi" w:cstheme="minorHAnsi"/>
                <w:sz w:val="20"/>
                <w:szCs w:val="20"/>
              </w:rPr>
            </w:pPr>
            <w:r w:rsidRPr="00AD3B62">
              <w:rPr>
                <w:rFonts w:asciiTheme="minorHAnsi" w:hAnsiTheme="minorHAnsi" w:cstheme="minorHAnsi"/>
                <w:sz w:val="20"/>
                <w:szCs w:val="20"/>
              </w:rPr>
              <w:t>Conduct was reckless, with no thought to risk despite obvious consequences, or involved avoidance of compliance obligations or a pattern of disregard to compliance</w:t>
            </w:r>
          </w:p>
        </w:tc>
      </w:tr>
      <w:tr w:rsidR="00BA4B25" w:rsidRPr="00AD3B62" w14:paraId="4A56D948" w14:textId="77777777" w:rsidTr="007305A5">
        <w:trPr>
          <w:trHeight w:val="561"/>
        </w:trPr>
        <w:tc>
          <w:tcPr>
            <w:tcW w:w="709" w:type="dxa"/>
            <w:vMerge/>
            <w:tcBorders>
              <w:left w:val="single" w:sz="36" w:space="0" w:color="FFFFFF" w:themeColor="background1"/>
              <w:right w:val="single" w:sz="36" w:space="0" w:color="FFFFFF" w:themeColor="background1"/>
            </w:tcBorders>
            <w:shd w:val="clear" w:color="auto" w:fill="FF0000"/>
            <w:textDirection w:val="btLr"/>
          </w:tcPr>
          <w:p w14:paraId="64CE304E" w14:textId="77777777" w:rsidR="00197917" w:rsidRPr="00AD3B62" w:rsidRDefault="00197917" w:rsidP="00197917">
            <w:pPr>
              <w:spacing w:after="200"/>
              <w:ind w:left="113" w:right="113"/>
              <w:contextualSpacing/>
              <w:jc w:val="center"/>
              <w:rPr>
                <w:rFonts w:asciiTheme="minorHAnsi" w:hAnsiTheme="minorHAnsi" w:cstheme="minorHAnsi"/>
                <w:b/>
                <w:color w:val="FFFFFF" w:themeColor="background1"/>
                <w:sz w:val="24"/>
                <w:szCs w:val="24"/>
              </w:rPr>
            </w:pPr>
          </w:p>
        </w:tc>
        <w:tc>
          <w:tcPr>
            <w:tcW w:w="8364" w:type="dxa"/>
            <w:tcBorders>
              <w:top w:val="single" w:sz="36" w:space="0" w:color="FFFFFF" w:themeColor="background1"/>
              <w:left w:val="single" w:sz="36" w:space="0" w:color="FFFFFF" w:themeColor="background1"/>
              <w:bottom w:val="single" w:sz="36" w:space="0" w:color="FFFFFF" w:themeColor="background1"/>
              <w:right w:val="single" w:sz="24" w:space="0" w:color="FFFFFF" w:themeColor="background1"/>
            </w:tcBorders>
            <w:shd w:val="clear" w:color="auto" w:fill="F2F2F2" w:themeFill="background1" w:themeFillShade="F2"/>
          </w:tcPr>
          <w:p w14:paraId="552011C7" w14:textId="77777777" w:rsidR="00197917" w:rsidRPr="00AD3B62" w:rsidRDefault="00197917" w:rsidP="00197917">
            <w:pPr>
              <w:spacing w:after="200"/>
              <w:contextualSpacing/>
              <w:rPr>
                <w:rFonts w:asciiTheme="minorHAnsi" w:hAnsiTheme="minorHAnsi" w:cstheme="minorHAnsi"/>
                <w:sz w:val="20"/>
                <w:szCs w:val="20"/>
              </w:rPr>
            </w:pPr>
            <w:r w:rsidRPr="00AD3B62">
              <w:rPr>
                <w:rFonts w:asciiTheme="minorHAnsi" w:hAnsiTheme="minorHAnsi" w:cstheme="minorHAnsi"/>
                <w:sz w:val="20"/>
                <w:szCs w:val="20"/>
              </w:rPr>
              <w:t>Non-compliance was foreseeable and easily preventable, no action was taken or insufficient remedial effort made, no or limited effort to understand or resolve compliance issue</w:t>
            </w:r>
          </w:p>
        </w:tc>
      </w:tr>
      <w:tr w:rsidR="00BA4B25" w:rsidRPr="00AD3B62" w14:paraId="3920A9AC" w14:textId="77777777" w:rsidTr="007305A5">
        <w:trPr>
          <w:trHeight w:val="270"/>
        </w:trPr>
        <w:tc>
          <w:tcPr>
            <w:tcW w:w="709" w:type="dxa"/>
            <w:vMerge/>
            <w:tcBorders>
              <w:left w:val="single" w:sz="36" w:space="0" w:color="FFFFFF" w:themeColor="background1"/>
              <w:bottom w:val="single" w:sz="36" w:space="0" w:color="FFFFFF" w:themeColor="background1"/>
              <w:right w:val="single" w:sz="36" w:space="0" w:color="FFFFFF" w:themeColor="background1"/>
            </w:tcBorders>
            <w:shd w:val="clear" w:color="auto" w:fill="FF0000"/>
            <w:textDirection w:val="btLr"/>
          </w:tcPr>
          <w:p w14:paraId="00DA7EC5" w14:textId="77777777" w:rsidR="00197917" w:rsidRPr="00AD3B62" w:rsidRDefault="00197917" w:rsidP="00197917">
            <w:pPr>
              <w:spacing w:after="200"/>
              <w:ind w:left="113" w:right="113"/>
              <w:contextualSpacing/>
              <w:jc w:val="center"/>
              <w:rPr>
                <w:rFonts w:asciiTheme="minorHAnsi" w:hAnsiTheme="minorHAnsi" w:cstheme="minorHAnsi"/>
                <w:b/>
                <w:color w:val="FFFFFF" w:themeColor="background1"/>
                <w:sz w:val="24"/>
                <w:szCs w:val="24"/>
              </w:rPr>
            </w:pPr>
          </w:p>
        </w:tc>
        <w:tc>
          <w:tcPr>
            <w:tcW w:w="8364" w:type="dxa"/>
            <w:tcBorders>
              <w:top w:val="single" w:sz="36" w:space="0" w:color="FFFFFF" w:themeColor="background1"/>
              <w:left w:val="single" w:sz="36" w:space="0" w:color="FFFFFF" w:themeColor="background1"/>
              <w:bottom w:val="single" w:sz="36" w:space="0" w:color="FFFFFF" w:themeColor="background1"/>
              <w:right w:val="single" w:sz="24" w:space="0" w:color="FFFFFF" w:themeColor="background1"/>
            </w:tcBorders>
            <w:shd w:val="clear" w:color="auto" w:fill="F2F2F2" w:themeFill="background1" w:themeFillShade="F2"/>
          </w:tcPr>
          <w:p w14:paraId="593DF659" w14:textId="77777777" w:rsidR="00197917" w:rsidRPr="00AD3B62" w:rsidRDefault="00197917" w:rsidP="00197917">
            <w:pPr>
              <w:spacing w:after="200"/>
              <w:contextualSpacing/>
              <w:rPr>
                <w:rFonts w:asciiTheme="minorHAnsi" w:hAnsiTheme="minorHAnsi" w:cstheme="minorHAnsi"/>
                <w:sz w:val="20"/>
                <w:szCs w:val="20"/>
              </w:rPr>
            </w:pPr>
            <w:r w:rsidRPr="00AD3B62">
              <w:rPr>
                <w:rFonts w:asciiTheme="minorHAnsi" w:hAnsiTheme="minorHAnsi" w:cstheme="minorHAnsi"/>
                <w:sz w:val="20"/>
                <w:szCs w:val="20"/>
              </w:rPr>
              <w:t>Previous non-compliance in one or many areas, or regulatory action or concerns of employees, students or student accommodation or placement staff not acted on</w:t>
            </w:r>
          </w:p>
        </w:tc>
      </w:tr>
      <w:tr w:rsidR="00BA4B25" w:rsidRPr="00AD3B62" w14:paraId="43A2A625" w14:textId="77777777" w:rsidTr="007305A5">
        <w:trPr>
          <w:trHeight w:val="477"/>
        </w:trPr>
        <w:tc>
          <w:tcPr>
            <w:tcW w:w="709" w:type="dxa"/>
            <w:vMerge w:val="restart"/>
            <w:tcBorders>
              <w:top w:val="single" w:sz="36" w:space="0" w:color="FFFFFF" w:themeColor="background1"/>
              <w:left w:val="single" w:sz="36" w:space="0" w:color="FFFFFF" w:themeColor="background1"/>
              <w:right w:val="single" w:sz="36" w:space="0" w:color="FFFFFF" w:themeColor="background1"/>
            </w:tcBorders>
            <w:shd w:val="clear" w:color="auto" w:fill="FFC000"/>
            <w:textDirection w:val="btLr"/>
          </w:tcPr>
          <w:p w14:paraId="3519FBA9" w14:textId="77777777" w:rsidR="00197917" w:rsidRPr="00AD3B62" w:rsidRDefault="00197917" w:rsidP="00197917">
            <w:pPr>
              <w:spacing w:after="200"/>
              <w:ind w:left="113" w:right="113"/>
              <w:contextualSpacing/>
              <w:jc w:val="center"/>
              <w:rPr>
                <w:rFonts w:asciiTheme="minorHAnsi" w:hAnsiTheme="minorHAnsi" w:cstheme="minorHAnsi"/>
                <w:b/>
                <w:bCs/>
                <w:color w:val="FFFFFF" w:themeColor="background1"/>
                <w:sz w:val="24"/>
                <w:szCs w:val="24"/>
              </w:rPr>
            </w:pPr>
            <w:r w:rsidRPr="00AD3B62">
              <w:rPr>
                <w:rFonts w:asciiTheme="minorHAnsi" w:hAnsiTheme="minorHAnsi" w:cstheme="minorHAnsi"/>
                <w:b/>
                <w:color w:val="000000" w:themeColor="text1"/>
                <w:sz w:val="28"/>
                <w:szCs w:val="28"/>
              </w:rPr>
              <w:t>Moderate</w:t>
            </w:r>
          </w:p>
        </w:tc>
        <w:tc>
          <w:tcPr>
            <w:tcW w:w="8364" w:type="dxa"/>
            <w:tcBorders>
              <w:top w:val="single" w:sz="36" w:space="0" w:color="FFFFFF" w:themeColor="background1"/>
              <w:left w:val="single" w:sz="36" w:space="0" w:color="FFFFFF" w:themeColor="background1"/>
              <w:bottom w:val="single" w:sz="36" w:space="0" w:color="FFFFFF" w:themeColor="background1"/>
              <w:right w:val="single" w:sz="24" w:space="0" w:color="FFFFFF" w:themeColor="background1"/>
            </w:tcBorders>
            <w:shd w:val="clear" w:color="auto" w:fill="F2F2F2" w:themeFill="background1" w:themeFillShade="F2"/>
          </w:tcPr>
          <w:p w14:paraId="40D84382" w14:textId="77777777" w:rsidR="00197917" w:rsidRPr="00AD3B62" w:rsidRDefault="00197917" w:rsidP="00197917">
            <w:pPr>
              <w:spacing w:after="200"/>
              <w:contextualSpacing/>
              <w:rPr>
                <w:rFonts w:asciiTheme="minorHAnsi" w:hAnsiTheme="minorHAnsi" w:cstheme="minorHAnsi"/>
                <w:sz w:val="20"/>
                <w:szCs w:val="20"/>
              </w:rPr>
            </w:pPr>
            <w:r w:rsidRPr="00AD3B62">
              <w:rPr>
                <w:rFonts w:asciiTheme="minorHAnsi" w:hAnsiTheme="minorHAnsi" w:cstheme="minorHAnsi"/>
                <w:sz w:val="20"/>
                <w:szCs w:val="20"/>
              </w:rPr>
              <w:t>Risk was foreseeable and whilst difficult to prevent or intervene, was preventable, and there was inaction knowing harm could occur</w:t>
            </w:r>
          </w:p>
        </w:tc>
      </w:tr>
      <w:tr w:rsidR="00BA4B25" w:rsidRPr="00AD3B62" w14:paraId="583E1FEA" w14:textId="77777777" w:rsidTr="007305A5">
        <w:trPr>
          <w:trHeight w:val="389"/>
        </w:trPr>
        <w:tc>
          <w:tcPr>
            <w:tcW w:w="709" w:type="dxa"/>
            <w:vMerge/>
            <w:tcBorders>
              <w:left w:val="single" w:sz="36" w:space="0" w:color="FFFFFF" w:themeColor="background1"/>
              <w:right w:val="single" w:sz="36" w:space="0" w:color="FFFFFF" w:themeColor="background1"/>
            </w:tcBorders>
            <w:shd w:val="clear" w:color="auto" w:fill="FFC000"/>
            <w:textDirection w:val="btLr"/>
          </w:tcPr>
          <w:p w14:paraId="51CCC410" w14:textId="77777777" w:rsidR="00197917" w:rsidRPr="00AD3B62" w:rsidRDefault="00197917" w:rsidP="00197917">
            <w:pPr>
              <w:spacing w:after="200"/>
              <w:ind w:left="113" w:right="113"/>
              <w:contextualSpacing/>
              <w:jc w:val="center"/>
              <w:rPr>
                <w:rFonts w:asciiTheme="minorHAnsi" w:hAnsiTheme="minorHAnsi" w:cstheme="minorHAnsi"/>
                <w:b/>
                <w:color w:val="FFFFFF" w:themeColor="background1"/>
                <w:sz w:val="24"/>
                <w:szCs w:val="24"/>
              </w:rPr>
            </w:pPr>
          </w:p>
        </w:tc>
        <w:tc>
          <w:tcPr>
            <w:tcW w:w="8364" w:type="dxa"/>
            <w:tcBorders>
              <w:top w:val="single" w:sz="36" w:space="0" w:color="FFFFFF" w:themeColor="background1"/>
              <w:left w:val="single" w:sz="36" w:space="0" w:color="FFFFFF" w:themeColor="background1"/>
              <w:bottom w:val="single" w:sz="36" w:space="0" w:color="FFFFFF" w:themeColor="background1"/>
              <w:right w:val="single" w:sz="24" w:space="0" w:color="FFFFFF" w:themeColor="background1"/>
            </w:tcBorders>
            <w:shd w:val="clear" w:color="auto" w:fill="F2F2F2" w:themeFill="background1" w:themeFillShade="F2"/>
          </w:tcPr>
          <w:p w14:paraId="378A85DC" w14:textId="77777777" w:rsidR="00197917" w:rsidRPr="00AD3B62" w:rsidRDefault="00197917" w:rsidP="00197917">
            <w:pPr>
              <w:spacing w:after="200"/>
              <w:contextualSpacing/>
              <w:rPr>
                <w:rFonts w:asciiTheme="minorHAnsi" w:hAnsiTheme="minorHAnsi" w:cstheme="minorHAnsi"/>
                <w:sz w:val="20"/>
                <w:szCs w:val="20"/>
              </w:rPr>
            </w:pPr>
            <w:r w:rsidRPr="00AD3B62">
              <w:rPr>
                <w:rFonts w:asciiTheme="minorHAnsi" w:hAnsiTheme="minorHAnsi" w:cstheme="minorHAnsi"/>
                <w:sz w:val="20"/>
                <w:szCs w:val="20"/>
              </w:rPr>
              <w:t>Awareness or knowledge of non-compliance but lax attitude or past isolated non-compliance, reports or complaints from students or staff</w:t>
            </w:r>
          </w:p>
        </w:tc>
      </w:tr>
      <w:tr w:rsidR="00BA4B25" w:rsidRPr="00AD3B62" w14:paraId="67F159B4" w14:textId="77777777" w:rsidTr="00105DD8">
        <w:trPr>
          <w:trHeight w:val="555"/>
        </w:trPr>
        <w:tc>
          <w:tcPr>
            <w:tcW w:w="709" w:type="dxa"/>
            <w:vMerge/>
            <w:tcBorders>
              <w:left w:val="single" w:sz="36" w:space="0" w:color="FFFFFF" w:themeColor="background1"/>
              <w:right w:val="single" w:sz="36" w:space="0" w:color="FFFFFF" w:themeColor="background1"/>
            </w:tcBorders>
            <w:shd w:val="clear" w:color="auto" w:fill="FFC000"/>
            <w:textDirection w:val="btLr"/>
          </w:tcPr>
          <w:p w14:paraId="625B296D" w14:textId="77777777" w:rsidR="00197917" w:rsidRPr="00AD3B62" w:rsidRDefault="00197917" w:rsidP="00197917">
            <w:pPr>
              <w:spacing w:after="200"/>
              <w:ind w:left="113" w:right="113"/>
              <w:contextualSpacing/>
              <w:jc w:val="center"/>
              <w:rPr>
                <w:rFonts w:asciiTheme="minorHAnsi" w:hAnsiTheme="minorHAnsi" w:cstheme="minorHAnsi"/>
                <w:b/>
                <w:color w:val="FFFFFF" w:themeColor="background1"/>
                <w:sz w:val="24"/>
                <w:szCs w:val="24"/>
              </w:rPr>
            </w:pPr>
          </w:p>
        </w:tc>
        <w:tc>
          <w:tcPr>
            <w:tcW w:w="8364" w:type="dxa"/>
            <w:tcBorders>
              <w:top w:val="single" w:sz="36" w:space="0" w:color="FFFFFF" w:themeColor="background1"/>
              <w:left w:val="single" w:sz="36" w:space="0" w:color="FFFFFF" w:themeColor="background1"/>
              <w:bottom w:val="single" w:sz="36" w:space="0" w:color="FFFFFF" w:themeColor="background1"/>
              <w:right w:val="single" w:sz="24" w:space="0" w:color="FFFFFF" w:themeColor="background1"/>
            </w:tcBorders>
            <w:shd w:val="clear" w:color="auto" w:fill="F2F2F2" w:themeFill="background1" w:themeFillShade="F2"/>
          </w:tcPr>
          <w:p w14:paraId="5E511722" w14:textId="77777777" w:rsidR="00197917" w:rsidRPr="00AD3B62" w:rsidRDefault="00197917" w:rsidP="00197917">
            <w:pPr>
              <w:spacing w:after="200"/>
              <w:contextualSpacing/>
              <w:rPr>
                <w:rFonts w:asciiTheme="minorHAnsi" w:hAnsiTheme="minorHAnsi" w:cstheme="minorHAnsi"/>
                <w:sz w:val="20"/>
                <w:szCs w:val="20"/>
              </w:rPr>
            </w:pPr>
            <w:r w:rsidRPr="00AD3B62">
              <w:rPr>
                <w:rFonts w:asciiTheme="minorHAnsi" w:hAnsiTheme="minorHAnsi" w:cstheme="minorHAnsi"/>
                <w:sz w:val="20"/>
                <w:szCs w:val="20"/>
              </w:rPr>
              <w:t>Lack of insight into non-compliance or its consequences</w:t>
            </w:r>
          </w:p>
        </w:tc>
      </w:tr>
      <w:tr w:rsidR="00BA4B25" w:rsidRPr="00AD3B62" w14:paraId="745D576B" w14:textId="77777777" w:rsidTr="007305A5">
        <w:trPr>
          <w:trHeight w:val="451"/>
        </w:trPr>
        <w:tc>
          <w:tcPr>
            <w:tcW w:w="709" w:type="dxa"/>
            <w:vMerge w:val="restart"/>
            <w:tcBorders>
              <w:top w:val="single" w:sz="36" w:space="0" w:color="FFFFFF" w:themeColor="background1"/>
              <w:left w:val="single" w:sz="36" w:space="0" w:color="FFFFFF" w:themeColor="background1"/>
              <w:right w:val="single" w:sz="36" w:space="0" w:color="FFFFFF" w:themeColor="background1"/>
            </w:tcBorders>
            <w:shd w:val="clear" w:color="auto" w:fill="92D050"/>
            <w:textDirection w:val="btLr"/>
          </w:tcPr>
          <w:p w14:paraId="310B2CE0" w14:textId="77777777" w:rsidR="00197917" w:rsidRPr="00AD3B62" w:rsidRDefault="00197917" w:rsidP="00197917">
            <w:pPr>
              <w:spacing w:after="200"/>
              <w:ind w:left="113" w:right="113"/>
              <w:contextualSpacing/>
              <w:jc w:val="center"/>
              <w:rPr>
                <w:rFonts w:asciiTheme="minorHAnsi" w:hAnsiTheme="minorHAnsi" w:cstheme="minorHAnsi"/>
                <w:b/>
                <w:color w:val="000000" w:themeColor="text1"/>
                <w:sz w:val="28"/>
                <w:szCs w:val="28"/>
              </w:rPr>
            </w:pPr>
            <w:r w:rsidRPr="00AD3B62">
              <w:rPr>
                <w:rFonts w:asciiTheme="minorHAnsi" w:hAnsiTheme="minorHAnsi" w:cstheme="minorHAnsi"/>
                <w:b/>
                <w:color w:val="000000" w:themeColor="text1"/>
                <w:sz w:val="28"/>
                <w:szCs w:val="28"/>
              </w:rPr>
              <w:t>Minor</w:t>
            </w:r>
          </w:p>
        </w:tc>
        <w:tc>
          <w:tcPr>
            <w:tcW w:w="8364" w:type="dxa"/>
            <w:tcBorders>
              <w:top w:val="single" w:sz="36" w:space="0" w:color="FFFFFF" w:themeColor="background1"/>
              <w:left w:val="single" w:sz="36" w:space="0" w:color="FFFFFF" w:themeColor="background1"/>
              <w:bottom w:val="single" w:sz="36" w:space="0" w:color="FFFFFF" w:themeColor="background1"/>
              <w:right w:val="single" w:sz="12" w:space="0" w:color="FFFFFF" w:themeColor="background1"/>
            </w:tcBorders>
            <w:shd w:val="clear" w:color="auto" w:fill="F2F2F2" w:themeFill="background1" w:themeFillShade="F2"/>
          </w:tcPr>
          <w:p w14:paraId="14C56917" w14:textId="77777777" w:rsidR="00197917" w:rsidRPr="00AD3B62" w:rsidRDefault="00197917" w:rsidP="00197917">
            <w:pPr>
              <w:spacing w:after="200"/>
              <w:contextualSpacing/>
              <w:rPr>
                <w:rFonts w:asciiTheme="minorHAnsi" w:hAnsiTheme="minorHAnsi" w:cstheme="minorHAnsi"/>
                <w:sz w:val="20"/>
                <w:szCs w:val="20"/>
              </w:rPr>
            </w:pPr>
            <w:r w:rsidRPr="00AD3B62">
              <w:rPr>
                <w:rFonts w:asciiTheme="minorHAnsi" w:hAnsiTheme="minorHAnsi" w:cstheme="minorHAnsi"/>
                <w:sz w:val="20"/>
                <w:szCs w:val="20"/>
              </w:rPr>
              <w:t>Didn’t anticipate or intend harm, demonstrates insight and informed understanding of risk and the potential impacts of provider behaviour</w:t>
            </w:r>
          </w:p>
        </w:tc>
      </w:tr>
      <w:tr w:rsidR="00BA4B25" w:rsidRPr="00AD3B62" w14:paraId="521F7B91" w14:textId="77777777" w:rsidTr="007305A5">
        <w:trPr>
          <w:trHeight w:val="362"/>
        </w:trPr>
        <w:tc>
          <w:tcPr>
            <w:tcW w:w="709" w:type="dxa"/>
            <w:vMerge/>
            <w:tcBorders>
              <w:left w:val="single" w:sz="36" w:space="0" w:color="FFFFFF" w:themeColor="background1"/>
              <w:right w:val="single" w:sz="36" w:space="0" w:color="FFFFFF" w:themeColor="background1"/>
            </w:tcBorders>
            <w:shd w:val="clear" w:color="auto" w:fill="92D050"/>
            <w:textDirection w:val="btLr"/>
          </w:tcPr>
          <w:p w14:paraId="3BEF8953" w14:textId="77777777" w:rsidR="00197917" w:rsidRPr="00AD3B62" w:rsidRDefault="00197917" w:rsidP="00197917">
            <w:pPr>
              <w:tabs>
                <w:tab w:val="num" w:pos="1209"/>
              </w:tabs>
              <w:spacing w:after="200"/>
              <w:ind w:right="113" w:hanging="360"/>
              <w:contextualSpacing/>
              <w:jc w:val="center"/>
              <w:rPr>
                <w:rFonts w:asciiTheme="minorHAnsi" w:hAnsiTheme="minorHAnsi" w:cstheme="minorHAnsi"/>
                <w:b/>
                <w:color w:val="FFFFFF" w:themeColor="background1"/>
                <w:sz w:val="28"/>
                <w:szCs w:val="28"/>
              </w:rPr>
            </w:pPr>
          </w:p>
        </w:tc>
        <w:tc>
          <w:tcPr>
            <w:tcW w:w="8364" w:type="dxa"/>
            <w:tcBorders>
              <w:top w:val="single" w:sz="36" w:space="0" w:color="FFFFFF" w:themeColor="background1"/>
              <w:left w:val="single" w:sz="36" w:space="0" w:color="FFFFFF" w:themeColor="background1"/>
              <w:bottom w:val="single" w:sz="36" w:space="0" w:color="FFFFFF" w:themeColor="background1"/>
              <w:right w:val="single" w:sz="12" w:space="0" w:color="FFFFFF" w:themeColor="background1"/>
            </w:tcBorders>
            <w:shd w:val="clear" w:color="auto" w:fill="F2F2F2" w:themeFill="background1" w:themeFillShade="F2"/>
          </w:tcPr>
          <w:p w14:paraId="6F740CE4" w14:textId="77777777" w:rsidR="00197917" w:rsidRPr="00AD3B62" w:rsidRDefault="00197917" w:rsidP="00197917">
            <w:pPr>
              <w:spacing w:after="200"/>
              <w:contextualSpacing/>
              <w:rPr>
                <w:rFonts w:asciiTheme="minorHAnsi" w:hAnsiTheme="minorHAnsi" w:cstheme="minorHAnsi"/>
                <w:sz w:val="20"/>
                <w:szCs w:val="20"/>
              </w:rPr>
            </w:pPr>
            <w:r w:rsidRPr="00AD3B62">
              <w:rPr>
                <w:rFonts w:asciiTheme="minorHAnsi" w:hAnsiTheme="minorHAnsi" w:cstheme="minorHAnsi"/>
                <w:sz w:val="20"/>
                <w:szCs w:val="20"/>
              </w:rPr>
              <w:t xml:space="preserve">Non-compliance of short duration, difficult to predict and prevent and incident occurred despite reasonable prevention and risk-management practices </w:t>
            </w:r>
          </w:p>
        </w:tc>
      </w:tr>
      <w:tr w:rsidR="00BA4B25" w:rsidRPr="00AD3B62" w14:paraId="21D20384" w14:textId="77777777" w:rsidTr="007305A5">
        <w:trPr>
          <w:trHeight w:val="340"/>
        </w:trPr>
        <w:tc>
          <w:tcPr>
            <w:tcW w:w="709" w:type="dxa"/>
            <w:vMerge/>
            <w:tcBorders>
              <w:left w:val="single" w:sz="36" w:space="0" w:color="FFFFFF" w:themeColor="background1"/>
              <w:bottom w:val="single" w:sz="36" w:space="0" w:color="FFFFFF" w:themeColor="background1"/>
              <w:right w:val="single" w:sz="36" w:space="0" w:color="FFFFFF" w:themeColor="background1"/>
            </w:tcBorders>
            <w:shd w:val="clear" w:color="auto" w:fill="92D050"/>
            <w:textDirection w:val="btLr"/>
          </w:tcPr>
          <w:p w14:paraId="1CD44384" w14:textId="77777777" w:rsidR="00197917" w:rsidRPr="00AD3B62" w:rsidRDefault="00197917" w:rsidP="00197917">
            <w:pPr>
              <w:spacing w:after="200"/>
              <w:ind w:left="113" w:right="113"/>
              <w:contextualSpacing/>
              <w:jc w:val="center"/>
              <w:rPr>
                <w:rFonts w:asciiTheme="minorHAnsi" w:hAnsiTheme="minorHAnsi" w:cstheme="minorHAnsi"/>
                <w:b/>
                <w:color w:val="FFFFFF" w:themeColor="background1"/>
                <w:sz w:val="28"/>
                <w:szCs w:val="28"/>
              </w:rPr>
            </w:pPr>
          </w:p>
        </w:tc>
        <w:tc>
          <w:tcPr>
            <w:tcW w:w="8364" w:type="dxa"/>
            <w:tcBorders>
              <w:top w:val="single" w:sz="36" w:space="0" w:color="FFFFFF" w:themeColor="background1"/>
              <w:left w:val="single" w:sz="36" w:space="0" w:color="FFFFFF" w:themeColor="background1"/>
              <w:right w:val="single" w:sz="12" w:space="0" w:color="FFFFFF" w:themeColor="background1"/>
            </w:tcBorders>
            <w:shd w:val="clear" w:color="auto" w:fill="F2F2F2" w:themeFill="background1" w:themeFillShade="F2"/>
          </w:tcPr>
          <w:p w14:paraId="162EF0A1" w14:textId="77777777" w:rsidR="00197917" w:rsidRPr="00AD3B62" w:rsidRDefault="00197917" w:rsidP="00197917">
            <w:pPr>
              <w:spacing w:after="200"/>
              <w:contextualSpacing/>
              <w:rPr>
                <w:rFonts w:asciiTheme="minorHAnsi" w:hAnsiTheme="minorHAnsi" w:cstheme="minorHAnsi"/>
                <w:sz w:val="20"/>
                <w:szCs w:val="20"/>
              </w:rPr>
            </w:pPr>
            <w:r w:rsidRPr="00AD3B62">
              <w:rPr>
                <w:rFonts w:asciiTheme="minorHAnsi" w:hAnsiTheme="minorHAnsi" w:cstheme="minorHAnsi"/>
                <w:sz w:val="20"/>
                <w:szCs w:val="20"/>
              </w:rPr>
              <w:t>Actions taken to address compliance and engage with regulatory processes</w:t>
            </w:r>
          </w:p>
        </w:tc>
      </w:tr>
      <w:tr w:rsidR="00BA4B25" w:rsidRPr="00AD3B62" w14:paraId="36FCE023" w14:textId="77777777" w:rsidTr="007305A5">
        <w:trPr>
          <w:trHeight w:val="270"/>
        </w:trPr>
        <w:tc>
          <w:tcPr>
            <w:tcW w:w="709" w:type="dxa"/>
            <w:vMerge w:val="restart"/>
            <w:tcBorders>
              <w:top w:val="single" w:sz="36" w:space="0" w:color="FFFFFF" w:themeColor="background1"/>
              <w:left w:val="single" w:sz="36" w:space="0" w:color="FFFFFF" w:themeColor="background1"/>
              <w:right w:val="single" w:sz="36" w:space="0" w:color="FFFFFF" w:themeColor="background1"/>
            </w:tcBorders>
            <w:shd w:val="clear" w:color="auto" w:fill="00B050"/>
            <w:textDirection w:val="btLr"/>
          </w:tcPr>
          <w:p w14:paraId="10DDAD2E" w14:textId="77777777" w:rsidR="00197917" w:rsidRPr="00AD3B62" w:rsidRDefault="00197917" w:rsidP="00197917">
            <w:pPr>
              <w:spacing w:after="200"/>
              <w:ind w:left="113" w:right="113"/>
              <w:contextualSpacing/>
              <w:jc w:val="center"/>
              <w:rPr>
                <w:rFonts w:asciiTheme="minorHAnsi" w:hAnsiTheme="minorHAnsi" w:cstheme="minorHAnsi"/>
                <w:b/>
                <w:color w:val="000000" w:themeColor="text1"/>
                <w:sz w:val="28"/>
                <w:szCs w:val="28"/>
              </w:rPr>
            </w:pPr>
            <w:r w:rsidRPr="00AD3B62">
              <w:rPr>
                <w:rFonts w:asciiTheme="minorHAnsi" w:hAnsiTheme="minorHAnsi" w:cstheme="minorHAnsi"/>
                <w:b/>
                <w:color w:val="000000" w:themeColor="text1"/>
                <w:sz w:val="28"/>
                <w:szCs w:val="28"/>
              </w:rPr>
              <w:t>Low</w:t>
            </w:r>
          </w:p>
          <w:p w14:paraId="23498977" w14:textId="77777777" w:rsidR="00197917" w:rsidRPr="00AD3B62" w:rsidRDefault="00197917" w:rsidP="00197917">
            <w:pPr>
              <w:ind w:left="113" w:right="113"/>
              <w:jc w:val="center"/>
              <w:rPr>
                <w:rFonts w:asciiTheme="minorHAnsi" w:hAnsiTheme="minorHAnsi" w:cstheme="minorHAnsi"/>
                <w:sz w:val="28"/>
                <w:szCs w:val="28"/>
              </w:rPr>
            </w:pPr>
          </w:p>
        </w:tc>
        <w:tc>
          <w:tcPr>
            <w:tcW w:w="8364" w:type="dxa"/>
            <w:tcBorders>
              <w:top w:val="single" w:sz="36" w:space="0" w:color="FFFFFF" w:themeColor="background1"/>
              <w:left w:val="single" w:sz="36" w:space="0" w:color="FFFFFF" w:themeColor="background1"/>
              <w:bottom w:val="single" w:sz="36" w:space="0" w:color="FFFFFF" w:themeColor="background1"/>
              <w:right w:val="single" w:sz="24" w:space="0" w:color="FFFFFF" w:themeColor="background1"/>
            </w:tcBorders>
            <w:shd w:val="clear" w:color="auto" w:fill="F2F2F2" w:themeFill="background1" w:themeFillShade="F2"/>
          </w:tcPr>
          <w:p w14:paraId="572B6635" w14:textId="77777777" w:rsidR="00197917" w:rsidRPr="00AD3B62" w:rsidRDefault="00197917" w:rsidP="00197917">
            <w:pPr>
              <w:spacing w:after="200"/>
              <w:contextualSpacing/>
              <w:rPr>
                <w:rFonts w:asciiTheme="minorHAnsi" w:hAnsiTheme="minorHAnsi" w:cstheme="minorHAnsi"/>
                <w:sz w:val="20"/>
                <w:szCs w:val="20"/>
              </w:rPr>
            </w:pPr>
            <w:r w:rsidRPr="00AD3B62">
              <w:rPr>
                <w:rFonts w:asciiTheme="minorHAnsi" w:hAnsiTheme="minorHAnsi" w:cstheme="minorHAnsi"/>
                <w:sz w:val="20"/>
                <w:szCs w:val="20"/>
              </w:rPr>
              <w:t>No history of non-compliance or NSO recommendations</w:t>
            </w:r>
          </w:p>
        </w:tc>
      </w:tr>
      <w:tr w:rsidR="00BA4B25" w:rsidRPr="00AD3B62" w14:paraId="3785AC21" w14:textId="77777777" w:rsidTr="007305A5">
        <w:trPr>
          <w:trHeight w:val="555"/>
        </w:trPr>
        <w:tc>
          <w:tcPr>
            <w:tcW w:w="709" w:type="dxa"/>
            <w:vMerge/>
            <w:tcBorders>
              <w:left w:val="single" w:sz="36" w:space="0" w:color="FFFFFF" w:themeColor="background1"/>
              <w:right w:val="single" w:sz="36" w:space="0" w:color="FFFFFF" w:themeColor="background1"/>
            </w:tcBorders>
            <w:shd w:val="clear" w:color="auto" w:fill="00B050"/>
          </w:tcPr>
          <w:p w14:paraId="1E2F733D" w14:textId="77777777" w:rsidR="00197917" w:rsidRPr="00AD3B62" w:rsidRDefault="00197917" w:rsidP="00197917">
            <w:pPr>
              <w:spacing w:after="200"/>
              <w:contextualSpacing/>
              <w:rPr>
                <w:rFonts w:asciiTheme="minorHAnsi" w:hAnsiTheme="minorHAnsi" w:cstheme="minorHAnsi"/>
                <w:szCs w:val="21"/>
              </w:rPr>
            </w:pPr>
          </w:p>
        </w:tc>
        <w:tc>
          <w:tcPr>
            <w:tcW w:w="8364" w:type="dxa"/>
            <w:tcBorders>
              <w:top w:val="single" w:sz="36" w:space="0" w:color="FFFFFF" w:themeColor="background1"/>
              <w:left w:val="single" w:sz="36" w:space="0" w:color="FFFFFF" w:themeColor="background1"/>
              <w:bottom w:val="single" w:sz="36" w:space="0" w:color="FFFFFF" w:themeColor="background1"/>
              <w:right w:val="single" w:sz="24" w:space="0" w:color="FFFFFF" w:themeColor="background1"/>
            </w:tcBorders>
            <w:shd w:val="clear" w:color="auto" w:fill="F2F2F2" w:themeFill="background1" w:themeFillShade="F2"/>
          </w:tcPr>
          <w:p w14:paraId="1D649A71" w14:textId="77777777" w:rsidR="00197917" w:rsidRPr="00AD3B62" w:rsidRDefault="00197917" w:rsidP="00197917">
            <w:pPr>
              <w:spacing w:after="200"/>
              <w:contextualSpacing/>
              <w:rPr>
                <w:rFonts w:asciiTheme="minorHAnsi" w:hAnsiTheme="minorHAnsi" w:cstheme="minorHAnsi"/>
                <w:sz w:val="20"/>
                <w:szCs w:val="20"/>
              </w:rPr>
            </w:pPr>
            <w:r w:rsidRPr="00AD3B62">
              <w:rPr>
                <w:rFonts w:asciiTheme="minorHAnsi" w:hAnsiTheme="minorHAnsi" w:cstheme="minorHAnsi"/>
                <w:sz w:val="20"/>
                <w:szCs w:val="20"/>
              </w:rPr>
              <w:t>Proactive remedial action taken to prevent recurrence or future harm, non-compliance of short duration, commitment to continuous improvement</w:t>
            </w:r>
          </w:p>
        </w:tc>
      </w:tr>
      <w:tr w:rsidR="00BA4B25" w:rsidRPr="00AD3B62" w14:paraId="15FE4A1C" w14:textId="77777777" w:rsidTr="007305A5">
        <w:trPr>
          <w:trHeight w:val="554"/>
        </w:trPr>
        <w:tc>
          <w:tcPr>
            <w:tcW w:w="709" w:type="dxa"/>
            <w:vMerge/>
            <w:tcBorders>
              <w:left w:val="single" w:sz="36" w:space="0" w:color="FFFFFF" w:themeColor="background1"/>
              <w:bottom w:val="single" w:sz="24" w:space="0" w:color="FFFFFF" w:themeColor="background1"/>
              <w:right w:val="single" w:sz="36" w:space="0" w:color="FFFFFF" w:themeColor="background1"/>
            </w:tcBorders>
            <w:shd w:val="clear" w:color="auto" w:fill="00B050"/>
          </w:tcPr>
          <w:p w14:paraId="1E2947FB" w14:textId="77777777" w:rsidR="00197917" w:rsidRPr="00AD3B62" w:rsidRDefault="00197917" w:rsidP="00197917">
            <w:pPr>
              <w:spacing w:after="200"/>
              <w:contextualSpacing/>
              <w:rPr>
                <w:rFonts w:asciiTheme="minorHAnsi" w:hAnsiTheme="minorHAnsi" w:cstheme="minorHAnsi"/>
                <w:szCs w:val="21"/>
              </w:rPr>
            </w:pPr>
          </w:p>
        </w:tc>
        <w:tc>
          <w:tcPr>
            <w:tcW w:w="8364" w:type="dxa"/>
            <w:tcBorders>
              <w:top w:val="single" w:sz="36" w:space="0" w:color="FFFFFF" w:themeColor="background1"/>
              <w:left w:val="single" w:sz="36" w:space="0" w:color="FFFFFF" w:themeColor="background1"/>
              <w:bottom w:val="single" w:sz="24" w:space="0" w:color="FFFFFF" w:themeColor="background1"/>
              <w:right w:val="single" w:sz="24" w:space="0" w:color="FFFFFF" w:themeColor="background1"/>
            </w:tcBorders>
            <w:shd w:val="clear" w:color="auto" w:fill="F2F2F2" w:themeFill="background1" w:themeFillShade="F2"/>
          </w:tcPr>
          <w:p w14:paraId="30BB216E" w14:textId="77777777" w:rsidR="00197917" w:rsidRPr="00AD3B62" w:rsidRDefault="00197917" w:rsidP="00197917">
            <w:pPr>
              <w:spacing w:after="200"/>
              <w:contextualSpacing/>
              <w:rPr>
                <w:rFonts w:asciiTheme="minorHAnsi" w:hAnsiTheme="minorHAnsi" w:cstheme="minorHAnsi"/>
                <w:sz w:val="20"/>
                <w:szCs w:val="20"/>
              </w:rPr>
            </w:pPr>
            <w:r w:rsidRPr="00AD3B62">
              <w:rPr>
                <w:rFonts w:asciiTheme="minorHAnsi" w:hAnsiTheme="minorHAnsi" w:cstheme="minorHAnsi"/>
                <w:sz w:val="20"/>
                <w:szCs w:val="20"/>
              </w:rPr>
              <w:t>High level of responsiveness to the regulator, genuine insight and demonstrable engagement to improve practices</w:t>
            </w:r>
          </w:p>
        </w:tc>
      </w:tr>
    </w:tbl>
    <w:p w14:paraId="59039A5C" w14:textId="528FC9E7" w:rsidR="0017134D" w:rsidRPr="00AD3B62" w:rsidRDefault="0017134D" w:rsidP="007305A5">
      <w:pPr>
        <w:pStyle w:val="Caption"/>
        <w:keepNext/>
        <w:rPr>
          <w:rFonts w:asciiTheme="minorHAnsi" w:hAnsiTheme="minorHAnsi" w:cstheme="minorHAnsi"/>
        </w:rPr>
      </w:pPr>
    </w:p>
    <w:sectPr w:rsidR="0017134D" w:rsidRPr="00AD3B62" w:rsidSect="00E07A24">
      <w:footerReference w:type="default" r:id="rId20"/>
      <w:pgSz w:w="11906" w:h="16838"/>
      <w:pgMar w:top="1135"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33FB1C" w14:textId="77777777" w:rsidR="00C0588C" w:rsidRDefault="00C0588C" w:rsidP="000A6228">
      <w:pPr>
        <w:spacing w:after="0" w:line="240" w:lineRule="auto"/>
      </w:pPr>
      <w:r>
        <w:separator/>
      </w:r>
    </w:p>
  </w:endnote>
  <w:endnote w:type="continuationSeparator" w:id="0">
    <w:p w14:paraId="72AED400" w14:textId="77777777" w:rsidR="00C0588C" w:rsidRDefault="00C0588C" w:rsidP="000A6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NeueLT Pro 55 Roman">
    <w:altName w:val="Arial"/>
    <w:panose1 w:val="00000000000000000000"/>
    <w:charset w:val="00"/>
    <w:family w:val="swiss"/>
    <w:notTrueType/>
    <w:pitch w:val="variable"/>
    <w:sig w:usb0="800000AF" w:usb1="5000205B" w:usb2="00000000" w:usb3="00000000" w:csb0="0000009B" w:csb1="00000000"/>
  </w:font>
  <w:font w:name="Titillium Web">
    <w:charset w:val="00"/>
    <w:family w:val="auto"/>
    <w:pitch w:val="variable"/>
    <w:sig w:usb0="00000007" w:usb1="00000001"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2A7BF" w14:textId="086393B6" w:rsidR="00221D8F" w:rsidRDefault="00197917">
    <w:pPr>
      <w:pStyle w:val="Footer"/>
    </w:pPr>
    <w:r>
      <w:t>Compliance and Enforcement Policy | Higher Education Gender-based Violence Regulator</w:t>
    </w:r>
    <w:r w:rsidR="00221D8F">
      <w:t xml:space="preserve"> | </w:t>
    </w:r>
    <w:r w:rsidR="00221D8F" w:rsidRPr="00AF1F18">
      <w:fldChar w:fldCharType="begin"/>
    </w:r>
    <w:r w:rsidR="00221D8F" w:rsidRPr="00AF1F18">
      <w:instrText xml:space="preserve"> PAGE   \* MERGEFORMAT </w:instrText>
    </w:r>
    <w:r w:rsidR="00221D8F" w:rsidRPr="00AF1F18">
      <w:fldChar w:fldCharType="separate"/>
    </w:r>
    <w:r w:rsidR="00221D8F" w:rsidRPr="00AF1F18">
      <w:t>1</w:t>
    </w:r>
    <w:r w:rsidR="00221D8F" w:rsidRPr="00AF1F1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EF9D9D" w14:textId="77777777" w:rsidR="00C0588C" w:rsidRDefault="00C0588C" w:rsidP="000A6228">
      <w:pPr>
        <w:spacing w:after="0" w:line="240" w:lineRule="auto"/>
      </w:pPr>
      <w:r>
        <w:separator/>
      </w:r>
    </w:p>
  </w:footnote>
  <w:footnote w:type="continuationSeparator" w:id="0">
    <w:p w14:paraId="09D07DA6" w14:textId="77777777" w:rsidR="00C0588C" w:rsidRDefault="00C0588C" w:rsidP="000A62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BE5E933A"/>
    <w:lvl w:ilvl="0">
      <w:start w:val="1"/>
      <w:numFmt w:val="decimal"/>
      <w:lvlText w:val="%1."/>
      <w:lvlJc w:val="left"/>
      <w:pPr>
        <w:tabs>
          <w:tab w:val="num" w:pos="1209"/>
        </w:tabs>
        <w:ind w:left="1209" w:hanging="360"/>
      </w:pPr>
    </w:lvl>
  </w:abstractNum>
  <w:abstractNum w:abstractNumId="1" w15:restartNumberingAfterBreak="0">
    <w:nsid w:val="FFFFFF7E"/>
    <w:multiLevelType w:val="singleLevel"/>
    <w:tmpl w:val="A25075CE"/>
    <w:lvl w:ilvl="0">
      <w:start w:val="1"/>
      <w:numFmt w:val="decimal"/>
      <w:lvlText w:val="%1."/>
      <w:lvlJc w:val="left"/>
      <w:pPr>
        <w:tabs>
          <w:tab w:val="num" w:pos="926"/>
        </w:tabs>
        <w:ind w:left="926" w:hanging="360"/>
      </w:pPr>
    </w:lvl>
  </w:abstractNum>
  <w:abstractNum w:abstractNumId="2" w15:restartNumberingAfterBreak="0">
    <w:nsid w:val="FFFFFF7F"/>
    <w:multiLevelType w:val="singleLevel"/>
    <w:tmpl w:val="7AD01FBA"/>
    <w:lvl w:ilvl="0">
      <w:start w:val="1"/>
      <w:numFmt w:val="decimal"/>
      <w:lvlText w:val="%1."/>
      <w:lvlJc w:val="left"/>
      <w:pPr>
        <w:ind w:left="644" w:hanging="360"/>
      </w:pPr>
    </w:lvl>
  </w:abstractNum>
  <w:abstractNum w:abstractNumId="3" w15:restartNumberingAfterBreak="0">
    <w:nsid w:val="FFFFFF81"/>
    <w:multiLevelType w:val="singleLevel"/>
    <w:tmpl w:val="48485D64"/>
    <w:lvl w:ilvl="0">
      <w:start w:val="1"/>
      <w:numFmt w:val="bullet"/>
      <w:lvlText w:val=""/>
      <w:lvlJc w:val="left"/>
      <w:pPr>
        <w:ind w:left="1211" w:hanging="360"/>
      </w:pPr>
      <w:rPr>
        <w:rFonts w:ascii="Wingdings" w:hAnsi="Wingdings" w:hint="default"/>
      </w:rPr>
    </w:lvl>
  </w:abstractNum>
  <w:abstractNum w:abstractNumId="4" w15:restartNumberingAfterBreak="0">
    <w:nsid w:val="FFFFFF82"/>
    <w:multiLevelType w:val="singleLevel"/>
    <w:tmpl w:val="381281B4"/>
    <w:lvl w:ilvl="0">
      <w:start w:val="1"/>
      <w:numFmt w:val="bullet"/>
      <w:lvlText w:val="o"/>
      <w:lvlJc w:val="left"/>
      <w:pPr>
        <w:ind w:left="927" w:hanging="360"/>
      </w:pPr>
      <w:rPr>
        <w:rFonts w:ascii="Courier New" w:hAnsi="Courier New" w:cs="Courier New" w:hint="default"/>
      </w:rPr>
    </w:lvl>
  </w:abstractNum>
  <w:abstractNum w:abstractNumId="5" w15:restartNumberingAfterBreak="0">
    <w:nsid w:val="FFFFFF83"/>
    <w:multiLevelType w:val="singleLevel"/>
    <w:tmpl w:val="D1D69E74"/>
    <w:lvl w:ilvl="0">
      <w:start w:val="1"/>
      <w:numFmt w:val="bullet"/>
      <w:lvlText w:val=""/>
      <w:lvlJc w:val="left"/>
      <w:pPr>
        <w:ind w:left="644" w:hanging="360"/>
      </w:pPr>
      <w:rPr>
        <w:rFonts w:ascii="Symbol" w:hAnsi="Symbol" w:hint="default"/>
      </w:rPr>
    </w:lvl>
  </w:abstractNum>
  <w:abstractNum w:abstractNumId="6" w15:restartNumberingAfterBreak="0">
    <w:nsid w:val="FFFFFF89"/>
    <w:multiLevelType w:val="singleLevel"/>
    <w:tmpl w:val="3186659A"/>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5CA532E"/>
    <w:multiLevelType w:val="hybridMultilevel"/>
    <w:tmpl w:val="3328CEDC"/>
    <w:lvl w:ilvl="0" w:tplc="5F72EC8A">
      <w:start w:val="1"/>
      <w:numFmt w:val="lowerLetter"/>
      <w:lvlText w:val="%1."/>
      <w:lvlJc w:val="left"/>
      <w:pPr>
        <w:ind w:left="1004" w:hanging="360"/>
      </w:pPr>
    </w:lvl>
    <w:lvl w:ilvl="1" w:tplc="20DAB87E" w:tentative="1">
      <w:start w:val="1"/>
      <w:numFmt w:val="lowerLetter"/>
      <w:lvlText w:val="%2."/>
      <w:lvlJc w:val="left"/>
      <w:pPr>
        <w:ind w:left="1724" w:hanging="360"/>
      </w:pPr>
    </w:lvl>
    <w:lvl w:ilvl="2" w:tplc="37AC11BC" w:tentative="1">
      <w:start w:val="1"/>
      <w:numFmt w:val="lowerRoman"/>
      <w:lvlText w:val="%3."/>
      <w:lvlJc w:val="right"/>
      <w:pPr>
        <w:ind w:left="2444" w:hanging="180"/>
      </w:pPr>
    </w:lvl>
    <w:lvl w:ilvl="3" w:tplc="A2C630B0" w:tentative="1">
      <w:start w:val="1"/>
      <w:numFmt w:val="decimal"/>
      <w:lvlText w:val="%4."/>
      <w:lvlJc w:val="left"/>
      <w:pPr>
        <w:ind w:left="3164" w:hanging="360"/>
      </w:pPr>
    </w:lvl>
    <w:lvl w:ilvl="4" w:tplc="245C2FCE" w:tentative="1">
      <w:start w:val="1"/>
      <w:numFmt w:val="lowerLetter"/>
      <w:lvlText w:val="%5."/>
      <w:lvlJc w:val="left"/>
      <w:pPr>
        <w:ind w:left="3884" w:hanging="360"/>
      </w:pPr>
    </w:lvl>
    <w:lvl w:ilvl="5" w:tplc="75B6245C" w:tentative="1">
      <w:start w:val="1"/>
      <w:numFmt w:val="lowerRoman"/>
      <w:lvlText w:val="%6."/>
      <w:lvlJc w:val="right"/>
      <w:pPr>
        <w:ind w:left="4604" w:hanging="180"/>
      </w:pPr>
    </w:lvl>
    <w:lvl w:ilvl="6" w:tplc="52BC4F40" w:tentative="1">
      <w:start w:val="1"/>
      <w:numFmt w:val="decimal"/>
      <w:lvlText w:val="%7."/>
      <w:lvlJc w:val="left"/>
      <w:pPr>
        <w:ind w:left="5324" w:hanging="360"/>
      </w:pPr>
    </w:lvl>
    <w:lvl w:ilvl="7" w:tplc="C75CC54A" w:tentative="1">
      <w:start w:val="1"/>
      <w:numFmt w:val="lowerLetter"/>
      <w:lvlText w:val="%8."/>
      <w:lvlJc w:val="left"/>
      <w:pPr>
        <w:ind w:left="6044" w:hanging="360"/>
      </w:pPr>
    </w:lvl>
    <w:lvl w:ilvl="8" w:tplc="3692CE6C" w:tentative="1">
      <w:start w:val="1"/>
      <w:numFmt w:val="lowerRoman"/>
      <w:lvlText w:val="%9."/>
      <w:lvlJc w:val="right"/>
      <w:pPr>
        <w:ind w:left="6764" w:hanging="180"/>
      </w:pPr>
    </w:lvl>
  </w:abstractNum>
  <w:abstractNum w:abstractNumId="8"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CEC77A0"/>
    <w:multiLevelType w:val="hybridMultilevel"/>
    <w:tmpl w:val="E99A4094"/>
    <w:name w:val="EDU - Bullet List2"/>
    <w:lvl w:ilvl="0" w:tplc="034CB666">
      <w:start w:val="1"/>
      <w:numFmt w:val="bullet"/>
      <w:pStyle w:val="ListBullet4"/>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0" w15:restartNumberingAfterBreak="0">
    <w:nsid w:val="0EB97EBD"/>
    <w:multiLevelType w:val="multilevel"/>
    <w:tmpl w:val="F5AC79A2"/>
    <w:lvl w:ilvl="0">
      <w:start w:val="1"/>
      <w:numFmt w:val="bullet"/>
      <w:lvlText w:val=""/>
      <w:lvlJc w:val="left"/>
      <w:pPr>
        <w:tabs>
          <w:tab w:val="num" w:pos="360"/>
        </w:tabs>
        <w:ind w:left="360" w:hanging="360"/>
      </w:pPr>
      <w:rPr>
        <w:rFonts w:ascii="Symbol" w:hAnsi="Symbol" w:hint="default"/>
        <w:color w:val="008599" w:themeColor="accent1"/>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 w15:restartNumberingAfterBreak="0">
    <w:nsid w:val="185F22C0"/>
    <w:multiLevelType w:val="hybridMultilevel"/>
    <w:tmpl w:val="F9A859DC"/>
    <w:lvl w:ilvl="0" w:tplc="2272C362">
      <w:start w:val="1"/>
      <w:numFmt w:val="bullet"/>
      <w:lvlText w:val=""/>
      <w:lvlJc w:val="left"/>
      <w:pPr>
        <w:ind w:left="1571" w:hanging="360"/>
      </w:pPr>
      <w:rPr>
        <w:rFonts w:ascii="Symbol" w:hAnsi="Symbol" w:hint="default"/>
      </w:rPr>
    </w:lvl>
    <w:lvl w:ilvl="1" w:tplc="3D1E20AA">
      <w:start w:val="1"/>
      <w:numFmt w:val="bullet"/>
      <w:lvlText w:val="o"/>
      <w:lvlJc w:val="left"/>
      <w:pPr>
        <w:ind w:left="2291" w:hanging="360"/>
      </w:pPr>
      <w:rPr>
        <w:rFonts w:ascii="Courier New" w:hAnsi="Courier New" w:cs="Courier New" w:hint="default"/>
      </w:rPr>
    </w:lvl>
    <w:lvl w:ilvl="2" w:tplc="83E2F034">
      <w:start w:val="1"/>
      <w:numFmt w:val="bullet"/>
      <w:lvlText w:val=""/>
      <w:lvlJc w:val="left"/>
      <w:pPr>
        <w:ind w:left="3011" w:hanging="360"/>
      </w:pPr>
      <w:rPr>
        <w:rFonts w:ascii="Wingdings" w:hAnsi="Wingdings" w:hint="default"/>
      </w:rPr>
    </w:lvl>
    <w:lvl w:ilvl="3" w:tplc="89D06022" w:tentative="1">
      <w:start w:val="1"/>
      <w:numFmt w:val="bullet"/>
      <w:lvlText w:val=""/>
      <w:lvlJc w:val="left"/>
      <w:pPr>
        <w:ind w:left="3731" w:hanging="360"/>
      </w:pPr>
      <w:rPr>
        <w:rFonts w:ascii="Symbol" w:hAnsi="Symbol" w:hint="default"/>
      </w:rPr>
    </w:lvl>
    <w:lvl w:ilvl="4" w:tplc="666CA7AC" w:tentative="1">
      <w:start w:val="1"/>
      <w:numFmt w:val="bullet"/>
      <w:lvlText w:val="o"/>
      <w:lvlJc w:val="left"/>
      <w:pPr>
        <w:ind w:left="4451" w:hanging="360"/>
      </w:pPr>
      <w:rPr>
        <w:rFonts w:ascii="Courier New" w:hAnsi="Courier New" w:cs="Courier New" w:hint="default"/>
      </w:rPr>
    </w:lvl>
    <w:lvl w:ilvl="5" w:tplc="E36C41EA" w:tentative="1">
      <w:start w:val="1"/>
      <w:numFmt w:val="bullet"/>
      <w:lvlText w:val=""/>
      <w:lvlJc w:val="left"/>
      <w:pPr>
        <w:ind w:left="5171" w:hanging="360"/>
      </w:pPr>
      <w:rPr>
        <w:rFonts w:ascii="Wingdings" w:hAnsi="Wingdings" w:hint="default"/>
      </w:rPr>
    </w:lvl>
    <w:lvl w:ilvl="6" w:tplc="35044292" w:tentative="1">
      <w:start w:val="1"/>
      <w:numFmt w:val="bullet"/>
      <w:lvlText w:val=""/>
      <w:lvlJc w:val="left"/>
      <w:pPr>
        <w:ind w:left="5891" w:hanging="360"/>
      </w:pPr>
      <w:rPr>
        <w:rFonts w:ascii="Symbol" w:hAnsi="Symbol" w:hint="default"/>
      </w:rPr>
    </w:lvl>
    <w:lvl w:ilvl="7" w:tplc="50D4435C" w:tentative="1">
      <w:start w:val="1"/>
      <w:numFmt w:val="bullet"/>
      <w:lvlText w:val="o"/>
      <w:lvlJc w:val="left"/>
      <w:pPr>
        <w:ind w:left="6611" w:hanging="360"/>
      </w:pPr>
      <w:rPr>
        <w:rFonts w:ascii="Courier New" w:hAnsi="Courier New" w:cs="Courier New" w:hint="default"/>
      </w:rPr>
    </w:lvl>
    <w:lvl w:ilvl="8" w:tplc="7F78BE48" w:tentative="1">
      <w:start w:val="1"/>
      <w:numFmt w:val="bullet"/>
      <w:lvlText w:val=""/>
      <w:lvlJc w:val="left"/>
      <w:pPr>
        <w:ind w:left="7331" w:hanging="360"/>
      </w:pPr>
      <w:rPr>
        <w:rFonts w:ascii="Wingdings" w:hAnsi="Wingdings" w:hint="default"/>
      </w:rPr>
    </w:lvl>
  </w:abstractNum>
  <w:abstractNum w:abstractNumId="12" w15:restartNumberingAfterBreak="0">
    <w:nsid w:val="18FF1AB7"/>
    <w:multiLevelType w:val="multilevel"/>
    <w:tmpl w:val="05AA94E8"/>
    <w:name w:val="EDU - Bullet List"/>
    <w:lvl w:ilvl="0">
      <w:start w:val="1"/>
      <w:numFmt w:val="bullet"/>
      <w:pStyle w:val="ListBullet"/>
      <w:lvlText w:val=""/>
      <w:lvlJc w:val="left"/>
      <w:pPr>
        <w:ind w:left="360" w:hanging="360"/>
      </w:pPr>
      <w:rPr>
        <w:rFonts w:ascii="Symbol" w:hAnsi="Symbol" w:hint="default"/>
        <w:color w:val="14133B"/>
      </w:rPr>
    </w:lvl>
    <w:lvl w:ilvl="1">
      <w:start w:val="1"/>
      <w:numFmt w:val="bullet"/>
      <w:pStyle w:val="ListBullet2"/>
      <w:lvlText w:val="o"/>
      <w:lvlJc w:val="left"/>
      <w:pPr>
        <w:ind w:left="927" w:hanging="360"/>
      </w:pPr>
      <w:rPr>
        <w:rFonts w:ascii="Courier New" w:hAnsi="Courier New" w:cs="Courier New" w:hint="default"/>
      </w:rPr>
    </w:lvl>
    <w:lvl w:ilvl="2">
      <w:start w:val="1"/>
      <w:numFmt w:val="none"/>
      <w:lvlText w:val="%3o"/>
      <w:lvlJc w:val="right"/>
      <w:pPr>
        <w:ind w:left="567" w:firstLine="284"/>
      </w:pPr>
      <w:rPr>
        <w:rFonts w:hint="default"/>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3774E2A"/>
    <w:multiLevelType w:val="multilevel"/>
    <w:tmpl w:val="51300C10"/>
    <w:lvl w:ilvl="0">
      <w:start w:val="1"/>
      <w:numFmt w:val="bullet"/>
      <w:lvlText w:val=""/>
      <w:lvlJc w:val="left"/>
      <w:pPr>
        <w:tabs>
          <w:tab w:val="num" w:pos="360"/>
        </w:tabs>
        <w:ind w:left="360" w:hanging="360"/>
      </w:pPr>
      <w:rPr>
        <w:rFonts w:ascii="Symbol" w:hAnsi="Symbol" w:hint="default"/>
        <w:color w:val="008599" w:themeColor="accent1"/>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4" w15:restartNumberingAfterBreak="0">
    <w:nsid w:val="25C10A7D"/>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176387"/>
    <w:multiLevelType w:val="hybridMultilevel"/>
    <w:tmpl w:val="67D834B8"/>
    <w:lvl w:ilvl="0" w:tplc="AF109C9E">
      <w:start w:val="1"/>
      <w:numFmt w:val="lowerRoman"/>
      <w:lvlText w:val="%1."/>
      <w:lvlJc w:val="right"/>
      <w:pPr>
        <w:ind w:left="1287" w:hanging="360"/>
      </w:pPr>
    </w:lvl>
    <w:lvl w:ilvl="1" w:tplc="DFB2596A" w:tentative="1">
      <w:start w:val="1"/>
      <w:numFmt w:val="lowerLetter"/>
      <w:lvlText w:val="%2."/>
      <w:lvlJc w:val="left"/>
      <w:pPr>
        <w:ind w:left="2007" w:hanging="360"/>
      </w:pPr>
    </w:lvl>
    <w:lvl w:ilvl="2" w:tplc="B422FE9A" w:tentative="1">
      <w:start w:val="1"/>
      <w:numFmt w:val="lowerRoman"/>
      <w:lvlText w:val="%3."/>
      <w:lvlJc w:val="right"/>
      <w:pPr>
        <w:ind w:left="2727" w:hanging="180"/>
      </w:pPr>
    </w:lvl>
    <w:lvl w:ilvl="3" w:tplc="F6D87112" w:tentative="1">
      <w:start w:val="1"/>
      <w:numFmt w:val="decimal"/>
      <w:lvlText w:val="%4."/>
      <w:lvlJc w:val="left"/>
      <w:pPr>
        <w:ind w:left="3447" w:hanging="360"/>
      </w:pPr>
    </w:lvl>
    <w:lvl w:ilvl="4" w:tplc="38768D0A" w:tentative="1">
      <w:start w:val="1"/>
      <w:numFmt w:val="lowerLetter"/>
      <w:lvlText w:val="%5."/>
      <w:lvlJc w:val="left"/>
      <w:pPr>
        <w:ind w:left="4167" w:hanging="360"/>
      </w:pPr>
    </w:lvl>
    <w:lvl w:ilvl="5" w:tplc="44F0FA08" w:tentative="1">
      <w:start w:val="1"/>
      <w:numFmt w:val="lowerRoman"/>
      <w:lvlText w:val="%6."/>
      <w:lvlJc w:val="right"/>
      <w:pPr>
        <w:ind w:left="4887" w:hanging="180"/>
      </w:pPr>
    </w:lvl>
    <w:lvl w:ilvl="6" w:tplc="CE982EA8" w:tentative="1">
      <w:start w:val="1"/>
      <w:numFmt w:val="decimal"/>
      <w:lvlText w:val="%7."/>
      <w:lvlJc w:val="left"/>
      <w:pPr>
        <w:ind w:left="5607" w:hanging="360"/>
      </w:pPr>
    </w:lvl>
    <w:lvl w:ilvl="7" w:tplc="6838AD0C" w:tentative="1">
      <w:start w:val="1"/>
      <w:numFmt w:val="lowerLetter"/>
      <w:lvlText w:val="%8."/>
      <w:lvlJc w:val="left"/>
      <w:pPr>
        <w:ind w:left="6327" w:hanging="360"/>
      </w:pPr>
    </w:lvl>
    <w:lvl w:ilvl="8" w:tplc="2CB4657C" w:tentative="1">
      <w:start w:val="1"/>
      <w:numFmt w:val="lowerRoman"/>
      <w:lvlText w:val="%9."/>
      <w:lvlJc w:val="right"/>
      <w:pPr>
        <w:ind w:left="7047" w:hanging="180"/>
      </w:pPr>
    </w:lvl>
  </w:abstractNum>
  <w:abstractNum w:abstractNumId="16" w15:restartNumberingAfterBreak="0">
    <w:nsid w:val="2E646829"/>
    <w:multiLevelType w:val="multilevel"/>
    <w:tmpl w:val="74B00926"/>
    <w:name w:val="EDU - List Number"/>
    <w:lvl w:ilvl="0">
      <w:start w:val="1"/>
      <w:numFmt w:val="decimal"/>
      <w:pStyle w:val="ListNumber"/>
      <w:lvlText w:val="%1."/>
      <w:lvlJc w:val="left"/>
      <w:pPr>
        <w:ind w:left="397" w:hanging="397"/>
      </w:pPr>
      <w:rPr>
        <w:rFonts w:hint="default"/>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A9B0F99"/>
    <w:multiLevelType w:val="multilevel"/>
    <w:tmpl w:val="32288E72"/>
    <w:lvl w:ilvl="0">
      <w:start w:val="1"/>
      <w:numFmt w:val="bullet"/>
      <w:lvlText w:val=""/>
      <w:lvlJc w:val="left"/>
      <w:pPr>
        <w:tabs>
          <w:tab w:val="num" w:pos="360"/>
        </w:tabs>
        <w:ind w:left="360" w:hanging="360"/>
      </w:pPr>
      <w:rPr>
        <w:rFonts w:ascii="Symbol" w:hAnsi="Symbol" w:hint="default"/>
        <w:color w:val="008599" w:themeColor="accent1"/>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9" w15:restartNumberingAfterBreak="0">
    <w:nsid w:val="3AEF3018"/>
    <w:multiLevelType w:val="multilevel"/>
    <w:tmpl w:val="EA265790"/>
    <w:lvl w:ilvl="0">
      <w:start w:val="1"/>
      <w:numFmt w:val="bullet"/>
      <w:lvlText w:val=""/>
      <w:lvlJc w:val="left"/>
      <w:pPr>
        <w:tabs>
          <w:tab w:val="num" w:pos="360"/>
        </w:tabs>
        <w:ind w:left="360" w:hanging="360"/>
      </w:pPr>
      <w:rPr>
        <w:rFonts w:ascii="Symbol" w:hAnsi="Symbol" w:hint="default"/>
        <w:color w:val="008599" w:themeColor="accent1"/>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0" w15:restartNumberingAfterBreak="0">
    <w:nsid w:val="3AFA55C7"/>
    <w:multiLevelType w:val="multilevel"/>
    <w:tmpl w:val="4CA847C4"/>
    <w:lvl w:ilvl="0">
      <w:start w:val="1"/>
      <w:numFmt w:val="bullet"/>
      <w:lvlText w:val=""/>
      <w:lvlJc w:val="left"/>
      <w:pPr>
        <w:tabs>
          <w:tab w:val="num" w:pos="360"/>
        </w:tabs>
        <w:ind w:left="360" w:hanging="360"/>
      </w:pPr>
      <w:rPr>
        <w:rFonts w:ascii="Symbol" w:hAnsi="Symbol" w:hint="default"/>
        <w:color w:val="008599" w:themeColor="accent1"/>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15:restartNumberingAfterBreak="0">
    <w:nsid w:val="5940304D"/>
    <w:multiLevelType w:val="multilevel"/>
    <w:tmpl w:val="7C96F07C"/>
    <w:lvl w:ilvl="0">
      <w:start w:val="1"/>
      <w:numFmt w:val="decimal"/>
      <w:pStyle w:val="Heading1"/>
      <w:lvlText w:val="%1"/>
      <w:lvlJc w:val="left"/>
      <w:pPr>
        <w:ind w:left="432" w:hanging="432"/>
      </w:pPr>
      <w:rPr>
        <w:rFonts w:asciiTheme="minorHAnsi" w:hAnsiTheme="minorHAnsi" w:cstheme="minorHAnsi" w:hint="default"/>
      </w:rPr>
    </w:lvl>
    <w:lvl w:ilvl="1">
      <w:start w:val="1"/>
      <w:numFmt w:val="decimal"/>
      <w:pStyle w:val="Heading2"/>
      <w:lvlText w:val="%1.%2"/>
      <w:lvlJc w:val="left"/>
      <w:pPr>
        <w:ind w:left="2136" w:hanging="576"/>
      </w:pPr>
      <w:rPr>
        <w:rFonts w:asciiTheme="minorHAnsi" w:hAnsiTheme="minorHAnsi" w:cstheme="minorHAnsi" w:hint="default"/>
      </w:rPr>
    </w:lvl>
    <w:lvl w:ilvl="2">
      <w:start w:val="1"/>
      <w:numFmt w:val="decimal"/>
      <w:pStyle w:val="Heading3"/>
      <w:lvlText w:val="%1.%2.%3"/>
      <w:lvlJc w:val="left"/>
      <w:pPr>
        <w:ind w:left="720" w:hanging="720"/>
      </w:pPr>
      <w:rPr>
        <w:rFonts w:asciiTheme="minorHAnsi" w:hAnsiTheme="minorHAnsi" w:cstheme="minorHAnsi" w:hint="default"/>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15:restartNumberingAfterBreak="0">
    <w:nsid w:val="5B371FF6"/>
    <w:multiLevelType w:val="multilevel"/>
    <w:tmpl w:val="D50A6CB8"/>
    <w:name w:val="EDU - Alpha List"/>
    <w:lvl w:ilvl="0">
      <w:start w:val="1"/>
      <w:numFmt w:val="decimal"/>
      <w:pStyle w:val="List"/>
      <w:lvlText w:val="%1."/>
      <w:lvlJc w:val="left"/>
      <w:pPr>
        <w:tabs>
          <w:tab w:val="num" w:pos="397"/>
        </w:tabs>
        <w:ind w:left="397" w:hanging="397"/>
      </w:pPr>
      <w:rPr>
        <w:rFonts w:hint="default"/>
      </w:r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669F40BF"/>
    <w:multiLevelType w:val="hybridMultilevel"/>
    <w:tmpl w:val="6FD6E102"/>
    <w:lvl w:ilvl="0" w:tplc="C8EA6B02">
      <w:start w:val="1"/>
      <w:numFmt w:val="bullet"/>
      <w:lvlText w:val="·"/>
      <w:lvlJc w:val="left"/>
      <w:pPr>
        <w:ind w:left="360" w:hanging="360"/>
      </w:pPr>
      <w:rPr>
        <w:rFonts w:ascii="Symbol" w:hAnsi="Symbol" w:hint="default"/>
        <w:color w:val="14133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A54687B"/>
    <w:multiLevelType w:val="hybridMultilevel"/>
    <w:tmpl w:val="0D8E7626"/>
    <w:lvl w:ilvl="0" w:tplc="80108536">
      <w:start w:val="1"/>
      <w:numFmt w:val="bullet"/>
      <w:lvlText w:val=""/>
      <w:lvlJc w:val="left"/>
      <w:pPr>
        <w:ind w:left="360" w:hanging="360"/>
      </w:pPr>
      <w:rPr>
        <w:rFonts w:ascii="Symbol" w:hAnsi="Symbol" w:hint="default"/>
        <w:color w:val="008599" w:themeColor="accent1"/>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5" w15:restartNumberingAfterBreak="0">
    <w:nsid w:val="6F124EC4"/>
    <w:multiLevelType w:val="hybridMultilevel"/>
    <w:tmpl w:val="3482D790"/>
    <w:lvl w:ilvl="0" w:tplc="2CC6FEA4">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3A3173E"/>
    <w:multiLevelType w:val="hybridMultilevel"/>
    <w:tmpl w:val="A5E4CC6E"/>
    <w:name w:val="EDU - Bullet List22"/>
    <w:lvl w:ilvl="0" w:tplc="F260E872">
      <w:start w:val="1"/>
      <w:numFmt w:val="bullet"/>
      <w:pStyle w:val="ListBullet3"/>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7" w15:restartNumberingAfterBreak="0">
    <w:nsid w:val="7D767087"/>
    <w:multiLevelType w:val="hybridMultilevel"/>
    <w:tmpl w:val="7B1EAE60"/>
    <w:lvl w:ilvl="0" w:tplc="67DAA8C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60524279">
    <w:abstractNumId w:val="12"/>
  </w:num>
  <w:num w:numId="2" w16cid:durableId="436947581">
    <w:abstractNumId w:val="5"/>
  </w:num>
  <w:num w:numId="3" w16cid:durableId="75826877">
    <w:abstractNumId w:val="4"/>
  </w:num>
  <w:num w:numId="4" w16cid:durableId="306322255">
    <w:abstractNumId w:val="3"/>
  </w:num>
  <w:num w:numId="5" w16cid:durableId="75978829">
    <w:abstractNumId w:val="16"/>
  </w:num>
  <w:num w:numId="6" w16cid:durableId="932514008">
    <w:abstractNumId w:val="2"/>
  </w:num>
  <w:num w:numId="7" w16cid:durableId="1936595011">
    <w:abstractNumId w:val="1"/>
  </w:num>
  <w:num w:numId="8" w16cid:durableId="499849793">
    <w:abstractNumId w:val="0"/>
  </w:num>
  <w:num w:numId="9" w16cid:durableId="1493595375">
    <w:abstractNumId w:val="15"/>
  </w:num>
  <w:num w:numId="10" w16cid:durableId="1807892893">
    <w:abstractNumId w:val="7"/>
  </w:num>
  <w:num w:numId="11" w16cid:durableId="1829053031">
    <w:abstractNumId w:val="25"/>
  </w:num>
  <w:num w:numId="12" w16cid:durableId="1117526806">
    <w:abstractNumId w:val="11"/>
  </w:num>
  <w:num w:numId="13" w16cid:durableId="2129464386">
    <w:abstractNumId w:val="12"/>
  </w:num>
  <w:num w:numId="14" w16cid:durableId="486242624">
    <w:abstractNumId w:val="9"/>
  </w:num>
  <w:num w:numId="15" w16cid:durableId="158424565">
    <w:abstractNumId w:val="6"/>
  </w:num>
  <w:num w:numId="16" w16cid:durableId="807010820">
    <w:abstractNumId w:val="26"/>
  </w:num>
  <w:num w:numId="17" w16cid:durableId="801265162">
    <w:abstractNumId w:val="17"/>
  </w:num>
  <w:num w:numId="18" w16cid:durableId="1928150622">
    <w:abstractNumId w:val="8"/>
  </w:num>
  <w:num w:numId="19" w16cid:durableId="476995438">
    <w:abstractNumId w:val="22"/>
  </w:num>
  <w:num w:numId="20" w16cid:durableId="1613128551">
    <w:abstractNumId w:val="23"/>
  </w:num>
  <w:num w:numId="21" w16cid:durableId="948465520">
    <w:abstractNumId w:val="27"/>
  </w:num>
  <w:num w:numId="22" w16cid:durableId="1225142822">
    <w:abstractNumId w:val="10"/>
  </w:num>
  <w:num w:numId="23" w16cid:durableId="1616057943">
    <w:abstractNumId w:val="19"/>
  </w:num>
  <w:num w:numId="24" w16cid:durableId="491871983">
    <w:abstractNumId w:val="18"/>
  </w:num>
  <w:num w:numId="25" w16cid:durableId="1252543206">
    <w:abstractNumId w:val="13"/>
  </w:num>
  <w:num w:numId="26" w16cid:durableId="997880101">
    <w:abstractNumId w:val="24"/>
  </w:num>
  <w:num w:numId="27" w16cid:durableId="3098318">
    <w:abstractNumId w:val="20"/>
  </w:num>
  <w:num w:numId="28" w16cid:durableId="1285230560">
    <w:abstractNumId w:val="14"/>
  </w:num>
  <w:num w:numId="29" w16cid:durableId="1017925068">
    <w:abstractNumId w:val="21"/>
  </w:num>
  <w:num w:numId="30" w16cid:durableId="100901664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efaultTableStyle w:val="EDU-Basic"/>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228"/>
    <w:rsid w:val="00003EC7"/>
    <w:rsid w:val="000073ED"/>
    <w:rsid w:val="00012366"/>
    <w:rsid w:val="00012DAD"/>
    <w:rsid w:val="00021FBE"/>
    <w:rsid w:val="00022B16"/>
    <w:rsid w:val="00023DFE"/>
    <w:rsid w:val="000245C7"/>
    <w:rsid w:val="00033368"/>
    <w:rsid w:val="00037679"/>
    <w:rsid w:val="00042092"/>
    <w:rsid w:val="00045BD8"/>
    <w:rsid w:val="0005038D"/>
    <w:rsid w:val="000521D7"/>
    <w:rsid w:val="0009582A"/>
    <w:rsid w:val="000A0B58"/>
    <w:rsid w:val="000A1E64"/>
    <w:rsid w:val="000A6228"/>
    <w:rsid w:val="000B5D40"/>
    <w:rsid w:val="000B709A"/>
    <w:rsid w:val="000B7EC6"/>
    <w:rsid w:val="000D2F78"/>
    <w:rsid w:val="000E734B"/>
    <w:rsid w:val="00105DD8"/>
    <w:rsid w:val="00107D87"/>
    <w:rsid w:val="00107DD5"/>
    <w:rsid w:val="00110056"/>
    <w:rsid w:val="001115E2"/>
    <w:rsid w:val="00113412"/>
    <w:rsid w:val="00121E80"/>
    <w:rsid w:val="0012343A"/>
    <w:rsid w:val="0013283F"/>
    <w:rsid w:val="00133B8D"/>
    <w:rsid w:val="0013611E"/>
    <w:rsid w:val="00136153"/>
    <w:rsid w:val="001515BF"/>
    <w:rsid w:val="001604E2"/>
    <w:rsid w:val="0017134D"/>
    <w:rsid w:val="00192C11"/>
    <w:rsid w:val="00197917"/>
    <w:rsid w:val="001A11DF"/>
    <w:rsid w:val="001A31C5"/>
    <w:rsid w:val="001A35F7"/>
    <w:rsid w:val="001B396B"/>
    <w:rsid w:val="001C1523"/>
    <w:rsid w:val="001C6189"/>
    <w:rsid w:val="001D6638"/>
    <w:rsid w:val="001E0F6B"/>
    <w:rsid w:val="00212449"/>
    <w:rsid w:val="00221D8F"/>
    <w:rsid w:val="002272DB"/>
    <w:rsid w:val="002310F3"/>
    <w:rsid w:val="002323AF"/>
    <w:rsid w:val="0024390B"/>
    <w:rsid w:val="00257A93"/>
    <w:rsid w:val="00276047"/>
    <w:rsid w:val="00281A4C"/>
    <w:rsid w:val="002A4458"/>
    <w:rsid w:val="002C1017"/>
    <w:rsid w:val="002D46A9"/>
    <w:rsid w:val="002D589A"/>
    <w:rsid w:val="002E14DE"/>
    <w:rsid w:val="002F132C"/>
    <w:rsid w:val="002F3BF0"/>
    <w:rsid w:val="003015B0"/>
    <w:rsid w:val="0030193B"/>
    <w:rsid w:val="003042A7"/>
    <w:rsid w:val="00310B27"/>
    <w:rsid w:val="0032010D"/>
    <w:rsid w:val="003366A6"/>
    <w:rsid w:val="00336CFD"/>
    <w:rsid w:val="003370AA"/>
    <w:rsid w:val="00365425"/>
    <w:rsid w:val="00376CB9"/>
    <w:rsid w:val="003902C7"/>
    <w:rsid w:val="00390E3C"/>
    <w:rsid w:val="003A1A4B"/>
    <w:rsid w:val="003A239B"/>
    <w:rsid w:val="003A2CCE"/>
    <w:rsid w:val="003B1802"/>
    <w:rsid w:val="003B5C4F"/>
    <w:rsid w:val="003C7F54"/>
    <w:rsid w:val="0040155D"/>
    <w:rsid w:val="0041297C"/>
    <w:rsid w:val="0041663A"/>
    <w:rsid w:val="0041713E"/>
    <w:rsid w:val="00421D3F"/>
    <w:rsid w:val="00423785"/>
    <w:rsid w:val="004276B3"/>
    <w:rsid w:val="004276F6"/>
    <w:rsid w:val="00433613"/>
    <w:rsid w:val="004338C1"/>
    <w:rsid w:val="00446B41"/>
    <w:rsid w:val="0045046A"/>
    <w:rsid w:val="00452D26"/>
    <w:rsid w:val="00467278"/>
    <w:rsid w:val="0047047C"/>
    <w:rsid w:val="004A06CD"/>
    <w:rsid w:val="004A4B6F"/>
    <w:rsid w:val="004A4CF0"/>
    <w:rsid w:val="004A4CF9"/>
    <w:rsid w:val="004B00FC"/>
    <w:rsid w:val="004C7706"/>
    <w:rsid w:val="004D2965"/>
    <w:rsid w:val="004D3B9A"/>
    <w:rsid w:val="004D5AFF"/>
    <w:rsid w:val="004F0006"/>
    <w:rsid w:val="00504F45"/>
    <w:rsid w:val="0050620E"/>
    <w:rsid w:val="00515E4B"/>
    <w:rsid w:val="00526181"/>
    <w:rsid w:val="0053018A"/>
    <w:rsid w:val="00545FE6"/>
    <w:rsid w:val="00556850"/>
    <w:rsid w:val="00556FA1"/>
    <w:rsid w:val="0057776E"/>
    <w:rsid w:val="0058683A"/>
    <w:rsid w:val="005A75C9"/>
    <w:rsid w:val="005B187D"/>
    <w:rsid w:val="005B52F3"/>
    <w:rsid w:val="005D435F"/>
    <w:rsid w:val="005D55AD"/>
    <w:rsid w:val="005F2FBE"/>
    <w:rsid w:val="00607457"/>
    <w:rsid w:val="006232DC"/>
    <w:rsid w:val="0062581A"/>
    <w:rsid w:val="0062619B"/>
    <w:rsid w:val="0062782C"/>
    <w:rsid w:val="0063094F"/>
    <w:rsid w:val="00637445"/>
    <w:rsid w:val="006731F7"/>
    <w:rsid w:val="0069103A"/>
    <w:rsid w:val="006A3727"/>
    <w:rsid w:val="006B22F1"/>
    <w:rsid w:val="006B4E8B"/>
    <w:rsid w:val="006D63BD"/>
    <w:rsid w:val="006D67F3"/>
    <w:rsid w:val="006E5978"/>
    <w:rsid w:val="006F1FFF"/>
    <w:rsid w:val="006F6D10"/>
    <w:rsid w:val="00712B94"/>
    <w:rsid w:val="007201E0"/>
    <w:rsid w:val="007305A5"/>
    <w:rsid w:val="00754C60"/>
    <w:rsid w:val="00757EAF"/>
    <w:rsid w:val="007A0FDA"/>
    <w:rsid w:val="007B0233"/>
    <w:rsid w:val="007B2ACA"/>
    <w:rsid w:val="007B2CA1"/>
    <w:rsid w:val="007C6B08"/>
    <w:rsid w:val="007D0ABC"/>
    <w:rsid w:val="007D3528"/>
    <w:rsid w:val="007D3ED3"/>
    <w:rsid w:val="008042F5"/>
    <w:rsid w:val="008062B3"/>
    <w:rsid w:val="00813C0E"/>
    <w:rsid w:val="00842102"/>
    <w:rsid w:val="00850B4D"/>
    <w:rsid w:val="00852205"/>
    <w:rsid w:val="00874748"/>
    <w:rsid w:val="00875041"/>
    <w:rsid w:val="00882F43"/>
    <w:rsid w:val="00885E08"/>
    <w:rsid w:val="00886959"/>
    <w:rsid w:val="00894187"/>
    <w:rsid w:val="008971A5"/>
    <w:rsid w:val="008977B7"/>
    <w:rsid w:val="008A36E1"/>
    <w:rsid w:val="008A37A7"/>
    <w:rsid w:val="008B0736"/>
    <w:rsid w:val="008B400D"/>
    <w:rsid w:val="008C60B0"/>
    <w:rsid w:val="008C6C40"/>
    <w:rsid w:val="008D351C"/>
    <w:rsid w:val="008E7D8F"/>
    <w:rsid w:val="008F0F31"/>
    <w:rsid w:val="008F1B55"/>
    <w:rsid w:val="008F473B"/>
    <w:rsid w:val="0090436F"/>
    <w:rsid w:val="00910ADD"/>
    <w:rsid w:val="0092770E"/>
    <w:rsid w:val="0094300E"/>
    <w:rsid w:val="00950B06"/>
    <w:rsid w:val="00970069"/>
    <w:rsid w:val="009721EB"/>
    <w:rsid w:val="00990398"/>
    <w:rsid w:val="009917FC"/>
    <w:rsid w:val="00992BE5"/>
    <w:rsid w:val="00996A37"/>
    <w:rsid w:val="009B706E"/>
    <w:rsid w:val="009C423A"/>
    <w:rsid w:val="009D096C"/>
    <w:rsid w:val="009E5672"/>
    <w:rsid w:val="009E79ED"/>
    <w:rsid w:val="009F6FA9"/>
    <w:rsid w:val="00A009E8"/>
    <w:rsid w:val="00A011FE"/>
    <w:rsid w:val="00A07596"/>
    <w:rsid w:val="00A11824"/>
    <w:rsid w:val="00A17A08"/>
    <w:rsid w:val="00A31619"/>
    <w:rsid w:val="00A47646"/>
    <w:rsid w:val="00A60673"/>
    <w:rsid w:val="00A7318F"/>
    <w:rsid w:val="00A84244"/>
    <w:rsid w:val="00AA1AEC"/>
    <w:rsid w:val="00AC1872"/>
    <w:rsid w:val="00AD3B62"/>
    <w:rsid w:val="00AD631F"/>
    <w:rsid w:val="00AD70F5"/>
    <w:rsid w:val="00AE21FF"/>
    <w:rsid w:val="00AE43CA"/>
    <w:rsid w:val="00AF06F8"/>
    <w:rsid w:val="00AF1F18"/>
    <w:rsid w:val="00AF53CB"/>
    <w:rsid w:val="00B0726E"/>
    <w:rsid w:val="00B11E74"/>
    <w:rsid w:val="00B219D1"/>
    <w:rsid w:val="00B33D85"/>
    <w:rsid w:val="00B40136"/>
    <w:rsid w:val="00B409AE"/>
    <w:rsid w:val="00B4444E"/>
    <w:rsid w:val="00B533DF"/>
    <w:rsid w:val="00B71506"/>
    <w:rsid w:val="00B720E1"/>
    <w:rsid w:val="00B74364"/>
    <w:rsid w:val="00B81FA4"/>
    <w:rsid w:val="00B8786D"/>
    <w:rsid w:val="00B8794C"/>
    <w:rsid w:val="00B91589"/>
    <w:rsid w:val="00B95EF4"/>
    <w:rsid w:val="00BA4B25"/>
    <w:rsid w:val="00BA69EF"/>
    <w:rsid w:val="00BB6509"/>
    <w:rsid w:val="00BB6EAC"/>
    <w:rsid w:val="00BB7469"/>
    <w:rsid w:val="00BC248C"/>
    <w:rsid w:val="00BD4A4B"/>
    <w:rsid w:val="00BE166D"/>
    <w:rsid w:val="00BE7490"/>
    <w:rsid w:val="00BF1F20"/>
    <w:rsid w:val="00BF2E24"/>
    <w:rsid w:val="00C01EC0"/>
    <w:rsid w:val="00C02452"/>
    <w:rsid w:val="00C0588C"/>
    <w:rsid w:val="00C07DCF"/>
    <w:rsid w:val="00C17A28"/>
    <w:rsid w:val="00C244EE"/>
    <w:rsid w:val="00C33703"/>
    <w:rsid w:val="00C34F6D"/>
    <w:rsid w:val="00C43674"/>
    <w:rsid w:val="00C63725"/>
    <w:rsid w:val="00C65C06"/>
    <w:rsid w:val="00C72224"/>
    <w:rsid w:val="00C75706"/>
    <w:rsid w:val="00C806B0"/>
    <w:rsid w:val="00C93BD4"/>
    <w:rsid w:val="00C96A38"/>
    <w:rsid w:val="00C97B31"/>
    <w:rsid w:val="00CA1AF2"/>
    <w:rsid w:val="00CA3C95"/>
    <w:rsid w:val="00CA4815"/>
    <w:rsid w:val="00CB158B"/>
    <w:rsid w:val="00CB3558"/>
    <w:rsid w:val="00CC1F73"/>
    <w:rsid w:val="00CF00F1"/>
    <w:rsid w:val="00CF6562"/>
    <w:rsid w:val="00D01AC2"/>
    <w:rsid w:val="00D159E2"/>
    <w:rsid w:val="00D2732C"/>
    <w:rsid w:val="00D30DC1"/>
    <w:rsid w:val="00D3222A"/>
    <w:rsid w:val="00D367EF"/>
    <w:rsid w:val="00D40E75"/>
    <w:rsid w:val="00D4517E"/>
    <w:rsid w:val="00D47DBA"/>
    <w:rsid w:val="00D51D44"/>
    <w:rsid w:val="00D5688A"/>
    <w:rsid w:val="00D73EF0"/>
    <w:rsid w:val="00D773A1"/>
    <w:rsid w:val="00D921F7"/>
    <w:rsid w:val="00D945E2"/>
    <w:rsid w:val="00DA279F"/>
    <w:rsid w:val="00DA6CD4"/>
    <w:rsid w:val="00DB189F"/>
    <w:rsid w:val="00DB68C4"/>
    <w:rsid w:val="00DB76A2"/>
    <w:rsid w:val="00DC5980"/>
    <w:rsid w:val="00DD2B46"/>
    <w:rsid w:val="00DD3020"/>
    <w:rsid w:val="00DE0E42"/>
    <w:rsid w:val="00DE77C7"/>
    <w:rsid w:val="00E07A24"/>
    <w:rsid w:val="00E13B33"/>
    <w:rsid w:val="00E14B01"/>
    <w:rsid w:val="00E179F4"/>
    <w:rsid w:val="00E347A8"/>
    <w:rsid w:val="00E529E5"/>
    <w:rsid w:val="00E70ADD"/>
    <w:rsid w:val="00E9606B"/>
    <w:rsid w:val="00EA24E1"/>
    <w:rsid w:val="00EB01D7"/>
    <w:rsid w:val="00EB19D0"/>
    <w:rsid w:val="00EB4C2F"/>
    <w:rsid w:val="00ED0DDF"/>
    <w:rsid w:val="00ED59AE"/>
    <w:rsid w:val="00EE1919"/>
    <w:rsid w:val="00EF67F4"/>
    <w:rsid w:val="00F008E2"/>
    <w:rsid w:val="00F01615"/>
    <w:rsid w:val="00F1000D"/>
    <w:rsid w:val="00F105A9"/>
    <w:rsid w:val="00F25951"/>
    <w:rsid w:val="00F311A4"/>
    <w:rsid w:val="00F3240B"/>
    <w:rsid w:val="00F328FC"/>
    <w:rsid w:val="00F53D65"/>
    <w:rsid w:val="00F606F1"/>
    <w:rsid w:val="00F61CF0"/>
    <w:rsid w:val="00F82C2C"/>
    <w:rsid w:val="00F84BDD"/>
    <w:rsid w:val="00F8537E"/>
    <w:rsid w:val="00F85913"/>
    <w:rsid w:val="00FA1EDE"/>
    <w:rsid w:val="00FA69C9"/>
    <w:rsid w:val="00FA77BD"/>
    <w:rsid w:val="00FC42CF"/>
    <w:rsid w:val="00FD4D6E"/>
    <w:rsid w:val="00FD68E8"/>
    <w:rsid w:val="00FD6934"/>
    <w:rsid w:val="00FF2F80"/>
    <w:rsid w:val="00FF5BC8"/>
    <w:rsid w:val="00FF5E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6D7DB"/>
  <w15:chartTrackingRefBased/>
  <w15:docId w15:val="{A2F3F839-2238-4B41-9D48-D39F3DAAA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45E2"/>
    <w:pPr>
      <w:spacing w:after="240"/>
    </w:pPr>
    <w:rPr>
      <w:rFonts w:ascii="HelveticaNeueLT Pro 55 Roman" w:hAnsi="HelveticaNeueLT Pro 55 Roman"/>
      <w:sz w:val="21"/>
    </w:rPr>
  </w:style>
  <w:style w:type="paragraph" w:styleId="Heading1">
    <w:name w:val="heading 1"/>
    <w:basedOn w:val="Normal"/>
    <w:next w:val="Normal"/>
    <w:link w:val="Heading1Char"/>
    <w:uiPriority w:val="9"/>
    <w:qFormat/>
    <w:rsid w:val="00FA77BD"/>
    <w:pPr>
      <w:keepNext/>
      <w:keepLines/>
      <w:numPr>
        <w:numId w:val="29"/>
      </w:numPr>
      <w:spacing w:before="1320" w:after="0" w:line="600" w:lineRule="exact"/>
      <w:outlineLvl w:val="0"/>
    </w:pPr>
    <w:rPr>
      <w:rFonts w:ascii="Calibri" w:eastAsiaTheme="majorEastAsia" w:hAnsi="Calibri" w:cstheme="majorBidi"/>
      <w:b/>
      <w:color w:val="FFFFFF" w:themeColor="background1"/>
      <w:sz w:val="52"/>
      <w:szCs w:val="32"/>
    </w:rPr>
  </w:style>
  <w:style w:type="paragraph" w:styleId="Heading2">
    <w:name w:val="heading 2"/>
    <w:basedOn w:val="Normal"/>
    <w:next w:val="Normal"/>
    <w:link w:val="Heading2Char"/>
    <w:autoRedefine/>
    <w:uiPriority w:val="9"/>
    <w:unhideWhenUsed/>
    <w:qFormat/>
    <w:rsid w:val="006E5978"/>
    <w:pPr>
      <w:keepNext/>
      <w:keepLines/>
      <w:numPr>
        <w:ilvl w:val="1"/>
        <w:numId w:val="29"/>
      </w:numPr>
      <w:spacing w:line="240" w:lineRule="auto"/>
      <w:ind w:left="578" w:hanging="578"/>
      <w:outlineLvl w:val="1"/>
    </w:pPr>
    <w:rPr>
      <w:rFonts w:asciiTheme="minorHAnsi" w:eastAsiaTheme="majorEastAsia" w:hAnsiTheme="minorHAnsi" w:cstheme="minorHAnsi"/>
      <w:b/>
      <w:color w:val="49255F"/>
      <w:sz w:val="32"/>
      <w:szCs w:val="32"/>
    </w:rPr>
  </w:style>
  <w:style w:type="paragraph" w:styleId="Heading3">
    <w:name w:val="heading 3"/>
    <w:basedOn w:val="Normal"/>
    <w:next w:val="Normal"/>
    <w:link w:val="Heading3Char"/>
    <w:uiPriority w:val="9"/>
    <w:unhideWhenUsed/>
    <w:qFormat/>
    <w:rsid w:val="00433613"/>
    <w:pPr>
      <w:keepNext/>
      <w:keepLines/>
      <w:numPr>
        <w:ilvl w:val="2"/>
        <w:numId w:val="29"/>
      </w:numPr>
      <w:spacing w:before="320" w:after="60"/>
      <w:outlineLvl w:val="2"/>
    </w:pPr>
    <w:rPr>
      <w:rFonts w:ascii="Titillium Web" w:eastAsiaTheme="majorEastAsia" w:hAnsi="Titillium Web" w:cstheme="minorHAnsi"/>
      <w:b/>
      <w:color w:val="D53D00"/>
      <w:sz w:val="24"/>
      <w:szCs w:val="24"/>
    </w:rPr>
  </w:style>
  <w:style w:type="paragraph" w:styleId="Heading4">
    <w:name w:val="heading 4"/>
    <w:basedOn w:val="Normal"/>
    <w:next w:val="Normal"/>
    <w:link w:val="Heading4Char"/>
    <w:uiPriority w:val="9"/>
    <w:unhideWhenUsed/>
    <w:qFormat/>
    <w:rsid w:val="005D435F"/>
    <w:pPr>
      <w:keepNext/>
      <w:keepLines/>
      <w:numPr>
        <w:ilvl w:val="3"/>
        <w:numId w:val="29"/>
      </w:numPr>
      <w:spacing w:before="360" w:after="0"/>
      <w:outlineLvl w:val="3"/>
    </w:pPr>
    <w:rPr>
      <w:rFonts w:asciiTheme="majorHAnsi" w:eastAsiaTheme="majorEastAsia" w:hAnsiTheme="majorHAnsi" w:cstheme="majorBidi"/>
      <w:b/>
      <w:iCs/>
      <w:color w:val="49255F"/>
      <w:sz w:val="28"/>
    </w:rPr>
  </w:style>
  <w:style w:type="paragraph" w:styleId="Heading5">
    <w:name w:val="heading 5"/>
    <w:basedOn w:val="Normal"/>
    <w:next w:val="Normal"/>
    <w:link w:val="Heading5Char"/>
    <w:uiPriority w:val="9"/>
    <w:unhideWhenUsed/>
    <w:qFormat/>
    <w:rsid w:val="005B52F3"/>
    <w:pPr>
      <w:keepNext/>
      <w:keepLines/>
      <w:numPr>
        <w:ilvl w:val="4"/>
        <w:numId w:val="29"/>
      </w:numPr>
      <w:spacing w:before="40" w:after="0"/>
      <w:outlineLvl w:val="4"/>
    </w:pPr>
    <w:rPr>
      <w:rFonts w:asciiTheme="majorHAnsi" w:eastAsiaTheme="majorEastAsia" w:hAnsiTheme="majorHAnsi" w:cstheme="majorBidi"/>
      <w:b/>
      <w:color w:val="49255F"/>
      <w:sz w:val="26"/>
    </w:rPr>
  </w:style>
  <w:style w:type="paragraph" w:styleId="Heading6">
    <w:name w:val="heading 6"/>
    <w:basedOn w:val="Normal"/>
    <w:next w:val="Normal"/>
    <w:link w:val="Heading6Char"/>
    <w:uiPriority w:val="9"/>
    <w:unhideWhenUsed/>
    <w:qFormat/>
    <w:rsid w:val="00AD631F"/>
    <w:pPr>
      <w:keepNext/>
      <w:keepLines/>
      <w:numPr>
        <w:ilvl w:val="5"/>
        <w:numId w:val="29"/>
      </w:numPr>
      <w:spacing w:before="40" w:after="0"/>
      <w:outlineLvl w:val="5"/>
    </w:pPr>
    <w:rPr>
      <w:rFonts w:asciiTheme="majorHAnsi" w:eastAsiaTheme="majorEastAsia" w:hAnsiTheme="majorHAnsi" w:cstheme="majorBidi"/>
      <w:b/>
      <w:color w:val="5F636A"/>
    </w:rPr>
  </w:style>
  <w:style w:type="paragraph" w:styleId="Heading7">
    <w:name w:val="heading 7"/>
    <w:basedOn w:val="Normal"/>
    <w:next w:val="Normal"/>
    <w:link w:val="Heading7Char"/>
    <w:uiPriority w:val="9"/>
    <w:semiHidden/>
    <w:qFormat/>
    <w:rsid w:val="00AD631F"/>
    <w:pPr>
      <w:keepNext/>
      <w:keepLines/>
      <w:numPr>
        <w:ilvl w:val="6"/>
        <w:numId w:val="29"/>
      </w:numPr>
      <w:spacing w:before="40" w:after="0"/>
      <w:outlineLvl w:val="6"/>
    </w:pPr>
    <w:rPr>
      <w:rFonts w:eastAsiaTheme="majorEastAsia" w:cstheme="majorBidi"/>
      <w:i/>
      <w:iCs/>
      <w:color w:val="55437E" w:themeColor="accent2"/>
    </w:rPr>
  </w:style>
  <w:style w:type="paragraph" w:styleId="Heading8">
    <w:name w:val="heading 8"/>
    <w:basedOn w:val="Normal"/>
    <w:next w:val="Normal"/>
    <w:link w:val="Heading8Char"/>
    <w:uiPriority w:val="9"/>
    <w:semiHidden/>
    <w:qFormat/>
    <w:rsid w:val="001D6638"/>
    <w:pPr>
      <w:keepNext/>
      <w:keepLines/>
      <w:numPr>
        <w:ilvl w:val="7"/>
        <w:numId w:val="29"/>
      </w:numPr>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qFormat/>
    <w:rsid w:val="001D6638"/>
    <w:pPr>
      <w:keepNext/>
      <w:keepLines/>
      <w:numPr>
        <w:ilvl w:val="8"/>
        <w:numId w:val="29"/>
      </w:numPr>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7D87"/>
    <w:rPr>
      <w:b/>
      <w:bCs/>
    </w:rPr>
  </w:style>
  <w:style w:type="character" w:styleId="Hyperlink">
    <w:name w:val="Hyperlink"/>
    <w:basedOn w:val="DefaultParagraphFont"/>
    <w:uiPriority w:val="99"/>
    <w:unhideWhenUsed/>
    <w:qFormat/>
    <w:rsid w:val="00107D87"/>
    <w:rPr>
      <w:color w:val="7F4594" w:themeColor="hyperlink"/>
      <w:u w:val="single"/>
    </w:rPr>
  </w:style>
  <w:style w:type="character" w:styleId="UnresolvedMention">
    <w:name w:val="Unresolved Mention"/>
    <w:basedOn w:val="DefaultParagraphFont"/>
    <w:uiPriority w:val="99"/>
    <w:semiHidden/>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AF1F18"/>
    <w:pPr>
      <w:tabs>
        <w:tab w:val="center" w:pos="4513"/>
        <w:tab w:val="right" w:pos="9026"/>
      </w:tabs>
      <w:spacing w:after="0" w:line="240" w:lineRule="auto"/>
      <w:jc w:val="right"/>
    </w:pPr>
    <w:rPr>
      <w:color w:val="5F636A"/>
    </w:rPr>
  </w:style>
  <w:style w:type="character" w:customStyle="1" w:styleId="FooterChar">
    <w:name w:val="Footer Char"/>
    <w:basedOn w:val="DefaultParagraphFont"/>
    <w:link w:val="Footer"/>
    <w:uiPriority w:val="99"/>
    <w:rsid w:val="00AF1F18"/>
    <w:rPr>
      <w:color w:val="5F636A"/>
    </w:rPr>
  </w:style>
  <w:style w:type="table" w:styleId="TableGrid">
    <w:name w:val="Table Grid"/>
    <w:basedOn w:val="TableNormal"/>
    <w:uiPriority w:val="39"/>
    <w:rsid w:val="007B2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A77BD"/>
    <w:rPr>
      <w:rFonts w:ascii="Calibri" w:eastAsiaTheme="majorEastAsia" w:hAnsi="Calibri" w:cstheme="majorBidi"/>
      <w:b/>
      <w:color w:val="FFFFFF" w:themeColor="background1"/>
      <w:sz w:val="52"/>
      <w:szCs w:val="32"/>
    </w:rPr>
  </w:style>
  <w:style w:type="character" w:customStyle="1" w:styleId="Heading2Char">
    <w:name w:val="Heading 2 Char"/>
    <w:basedOn w:val="DefaultParagraphFont"/>
    <w:link w:val="Heading2"/>
    <w:uiPriority w:val="9"/>
    <w:rsid w:val="006E5978"/>
    <w:rPr>
      <w:rFonts w:eastAsiaTheme="majorEastAsia" w:cstheme="minorHAnsi"/>
      <w:b/>
      <w:color w:val="49255F"/>
      <w:sz w:val="32"/>
      <w:szCs w:val="32"/>
    </w:rPr>
  </w:style>
  <w:style w:type="character" w:customStyle="1" w:styleId="Heading3Char">
    <w:name w:val="Heading 3 Char"/>
    <w:basedOn w:val="DefaultParagraphFont"/>
    <w:link w:val="Heading3"/>
    <w:uiPriority w:val="9"/>
    <w:rsid w:val="00433613"/>
    <w:rPr>
      <w:rFonts w:ascii="Titillium Web" w:eastAsiaTheme="majorEastAsia" w:hAnsi="Titillium Web" w:cstheme="minorHAnsi"/>
      <w:b/>
      <w:color w:val="D53D00"/>
      <w:sz w:val="24"/>
      <w:szCs w:val="24"/>
    </w:rPr>
  </w:style>
  <w:style w:type="character" w:customStyle="1" w:styleId="Heading4Char">
    <w:name w:val="Heading 4 Char"/>
    <w:basedOn w:val="DefaultParagraphFont"/>
    <w:link w:val="Heading4"/>
    <w:uiPriority w:val="9"/>
    <w:rsid w:val="005D435F"/>
    <w:rPr>
      <w:rFonts w:asciiTheme="majorHAnsi" w:eastAsiaTheme="majorEastAsia" w:hAnsiTheme="majorHAnsi" w:cstheme="majorBidi"/>
      <w:b/>
      <w:iCs/>
      <w:color w:val="49255F"/>
      <w:sz w:val="28"/>
    </w:rPr>
  </w:style>
  <w:style w:type="character" w:customStyle="1" w:styleId="Heading5Char">
    <w:name w:val="Heading 5 Char"/>
    <w:basedOn w:val="DefaultParagraphFont"/>
    <w:link w:val="Heading5"/>
    <w:uiPriority w:val="9"/>
    <w:rsid w:val="005B52F3"/>
    <w:rPr>
      <w:rFonts w:asciiTheme="majorHAnsi" w:eastAsiaTheme="majorEastAsia" w:hAnsiTheme="majorHAnsi" w:cstheme="majorBidi"/>
      <w:b/>
      <w:color w:val="49255F"/>
      <w:sz w:val="26"/>
    </w:rPr>
  </w:style>
  <w:style w:type="character" w:customStyle="1" w:styleId="Heading6Char">
    <w:name w:val="Heading 6 Char"/>
    <w:basedOn w:val="DefaultParagraphFont"/>
    <w:link w:val="Heading6"/>
    <w:uiPriority w:val="9"/>
    <w:rsid w:val="00AD631F"/>
    <w:rPr>
      <w:rFonts w:asciiTheme="majorHAnsi" w:eastAsiaTheme="majorEastAsia" w:hAnsiTheme="majorHAnsi" w:cstheme="majorBidi"/>
      <w:b/>
      <w:color w:val="5F636A"/>
    </w:rPr>
  </w:style>
  <w:style w:type="paragraph" w:styleId="Caption">
    <w:name w:val="caption"/>
    <w:basedOn w:val="Normal"/>
    <w:next w:val="Normal"/>
    <w:uiPriority w:val="35"/>
    <w:qFormat/>
    <w:rsid w:val="005D435F"/>
    <w:pPr>
      <w:spacing w:after="120" w:line="240" w:lineRule="auto"/>
    </w:pPr>
    <w:rPr>
      <w:b/>
      <w:iCs/>
      <w:color w:val="49255F"/>
      <w:szCs w:val="18"/>
    </w:rPr>
  </w:style>
  <w:style w:type="paragraph" w:customStyle="1" w:styleId="Source">
    <w:name w:val="Source"/>
    <w:basedOn w:val="Normal"/>
    <w:uiPriority w:val="97"/>
    <w:qFormat/>
    <w:rsid w:val="00EB4C2F"/>
    <w:pPr>
      <w:spacing w:before="120"/>
    </w:pPr>
    <w:rPr>
      <w:sz w:val="18"/>
    </w:rPr>
  </w:style>
  <w:style w:type="character" w:customStyle="1" w:styleId="Heading7Char">
    <w:name w:val="Heading 7 Char"/>
    <w:basedOn w:val="DefaultParagraphFont"/>
    <w:link w:val="Heading7"/>
    <w:uiPriority w:val="9"/>
    <w:semiHidden/>
    <w:rsid w:val="006F6D10"/>
    <w:rPr>
      <w:rFonts w:eastAsiaTheme="majorEastAsia" w:cstheme="majorBidi"/>
      <w:i/>
      <w:iCs/>
      <w:color w:val="55437E" w:themeColor="accent2"/>
    </w:rPr>
  </w:style>
  <w:style w:type="paragraph" w:styleId="Subtitle">
    <w:name w:val="Subtitle"/>
    <w:basedOn w:val="Normal"/>
    <w:next w:val="Normal"/>
    <w:link w:val="SubtitleChar"/>
    <w:uiPriority w:val="11"/>
    <w:qFormat/>
    <w:rsid w:val="00FA77BD"/>
    <w:pPr>
      <w:numPr>
        <w:ilvl w:val="1"/>
      </w:numPr>
      <w:spacing w:before="160" w:after="140"/>
    </w:pPr>
    <w:rPr>
      <w:rFonts w:eastAsiaTheme="minorEastAsia"/>
      <w:color w:val="F15D31"/>
      <w:spacing w:val="15"/>
      <w:sz w:val="40"/>
    </w:rPr>
  </w:style>
  <w:style w:type="character" w:customStyle="1" w:styleId="SubtitleChar">
    <w:name w:val="Subtitle Char"/>
    <w:basedOn w:val="DefaultParagraphFont"/>
    <w:link w:val="Subtitle"/>
    <w:uiPriority w:val="11"/>
    <w:rsid w:val="00FA77BD"/>
    <w:rPr>
      <w:rFonts w:eastAsiaTheme="minorEastAsia"/>
      <w:color w:val="F15D31"/>
      <w:spacing w:val="15"/>
      <w:sz w:val="40"/>
    </w:rPr>
  </w:style>
  <w:style w:type="paragraph" w:styleId="List">
    <w:name w:val="List"/>
    <w:basedOn w:val="Normal"/>
    <w:uiPriority w:val="98"/>
    <w:qFormat/>
    <w:rsid w:val="00886959"/>
    <w:pPr>
      <w:numPr>
        <w:numId w:val="19"/>
      </w:numPr>
      <w:spacing w:after="200"/>
      <w:contextualSpacing/>
    </w:pPr>
  </w:style>
  <w:style w:type="paragraph" w:styleId="List2">
    <w:name w:val="List 2"/>
    <w:basedOn w:val="Normal"/>
    <w:uiPriority w:val="98"/>
    <w:qFormat/>
    <w:rsid w:val="00F85913"/>
    <w:pPr>
      <w:numPr>
        <w:ilvl w:val="1"/>
        <w:numId w:val="19"/>
      </w:numPr>
      <w:spacing w:after="200"/>
      <w:contextualSpacing/>
    </w:pPr>
  </w:style>
  <w:style w:type="paragraph" w:styleId="List3">
    <w:name w:val="List 3"/>
    <w:basedOn w:val="Normal"/>
    <w:uiPriority w:val="98"/>
    <w:qFormat/>
    <w:rsid w:val="00BC248C"/>
    <w:pPr>
      <w:numPr>
        <w:ilvl w:val="2"/>
        <w:numId w:val="19"/>
      </w:numPr>
      <w:spacing w:after="200"/>
      <w:contextualSpacing/>
    </w:pPr>
  </w:style>
  <w:style w:type="paragraph" w:styleId="List4">
    <w:name w:val="List 4"/>
    <w:basedOn w:val="Normal"/>
    <w:uiPriority w:val="98"/>
    <w:qFormat/>
    <w:rsid w:val="00BC248C"/>
    <w:pPr>
      <w:numPr>
        <w:ilvl w:val="3"/>
        <w:numId w:val="19"/>
      </w:numPr>
      <w:spacing w:after="200"/>
      <w:contextualSpacing/>
    </w:pPr>
  </w:style>
  <w:style w:type="paragraph" w:styleId="ListNumber">
    <w:name w:val="List Number"/>
    <w:basedOn w:val="Normal"/>
    <w:uiPriority w:val="98"/>
    <w:qFormat/>
    <w:rsid w:val="00276047"/>
    <w:pPr>
      <w:numPr>
        <w:numId w:val="5"/>
      </w:numPr>
      <w:spacing w:after="200"/>
      <w:contextualSpacing/>
    </w:pPr>
  </w:style>
  <w:style w:type="paragraph" w:styleId="ListNumber2">
    <w:name w:val="List Number 2"/>
    <w:basedOn w:val="Normal"/>
    <w:uiPriority w:val="98"/>
    <w:qFormat/>
    <w:rsid w:val="00276047"/>
    <w:pPr>
      <w:numPr>
        <w:ilvl w:val="1"/>
        <w:numId w:val="5"/>
      </w:numPr>
      <w:spacing w:after="200"/>
      <w:contextualSpacing/>
    </w:pPr>
  </w:style>
  <w:style w:type="paragraph" w:styleId="ListBullet3">
    <w:name w:val="List Bullet 3"/>
    <w:basedOn w:val="Normal"/>
    <w:uiPriority w:val="98"/>
    <w:qFormat/>
    <w:rsid w:val="008A36E1"/>
    <w:pPr>
      <w:numPr>
        <w:numId w:val="16"/>
      </w:numPr>
      <w:spacing w:after="200"/>
      <w:ind w:left="851" w:hanging="284"/>
      <w:contextualSpacing/>
    </w:pPr>
  </w:style>
  <w:style w:type="paragraph" w:styleId="ListNumber3">
    <w:name w:val="List Number 3"/>
    <w:basedOn w:val="Normal"/>
    <w:uiPriority w:val="98"/>
    <w:qFormat/>
    <w:rsid w:val="00950B06"/>
    <w:pPr>
      <w:numPr>
        <w:ilvl w:val="2"/>
        <w:numId w:val="5"/>
      </w:numPr>
      <w:spacing w:after="200"/>
      <w:contextualSpacing/>
    </w:pPr>
  </w:style>
  <w:style w:type="paragraph" w:styleId="ListNumber4">
    <w:name w:val="List Number 4"/>
    <w:basedOn w:val="Normal"/>
    <w:uiPriority w:val="98"/>
    <w:qFormat/>
    <w:rsid w:val="0012343A"/>
    <w:pPr>
      <w:numPr>
        <w:ilvl w:val="3"/>
        <w:numId w:val="5"/>
      </w:numPr>
      <w:spacing w:after="200"/>
      <w:contextualSpacing/>
    </w:pPr>
  </w:style>
  <w:style w:type="paragraph" w:styleId="ListBullet">
    <w:name w:val="List Bullet"/>
    <w:basedOn w:val="Normal"/>
    <w:uiPriority w:val="98"/>
    <w:qFormat/>
    <w:rsid w:val="008A36E1"/>
    <w:pPr>
      <w:numPr>
        <w:numId w:val="13"/>
      </w:numPr>
      <w:spacing w:after="200"/>
      <w:contextualSpacing/>
    </w:pPr>
  </w:style>
  <w:style w:type="paragraph" w:styleId="ListBullet2">
    <w:name w:val="List Bullet 2"/>
    <w:basedOn w:val="Normal"/>
    <w:uiPriority w:val="98"/>
    <w:qFormat/>
    <w:rsid w:val="00C75706"/>
    <w:pPr>
      <w:numPr>
        <w:ilvl w:val="1"/>
        <w:numId w:val="13"/>
      </w:numPr>
      <w:spacing w:after="200"/>
      <w:contextualSpacing/>
    </w:pPr>
  </w:style>
  <w:style w:type="paragraph" w:styleId="ListBullet4">
    <w:name w:val="List Bullet 4"/>
    <w:basedOn w:val="Normal"/>
    <w:uiPriority w:val="98"/>
    <w:qFormat/>
    <w:rsid w:val="00C75706"/>
    <w:pPr>
      <w:numPr>
        <w:numId w:val="14"/>
      </w:numPr>
      <w:spacing w:after="200"/>
      <w:ind w:left="1135" w:hanging="284"/>
      <w:contextualSpacing/>
    </w:pPr>
  </w:style>
  <w:style w:type="paragraph" w:styleId="Quote">
    <w:name w:val="Quote"/>
    <w:basedOn w:val="Normal"/>
    <w:next w:val="Normal"/>
    <w:link w:val="QuoteChar"/>
    <w:uiPriority w:val="29"/>
    <w:qFormat/>
    <w:rsid w:val="00950B06"/>
    <w:pPr>
      <w:spacing w:before="200"/>
      <w:ind w:left="864" w:right="864"/>
      <w:jc w:val="center"/>
    </w:pPr>
    <w:rPr>
      <w:iCs/>
      <w:color w:val="5F6369"/>
    </w:rPr>
  </w:style>
  <w:style w:type="character" w:customStyle="1" w:styleId="QuoteChar">
    <w:name w:val="Quote Char"/>
    <w:basedOn w:val="DefaultParagraphFont"/>
    <w:link w:val="Quote"/>
    <w:uiPriority w:val="29"/>
    <w:rsid w:val="00950B06"/>
    <w:rPr>
      <w:iCs/>
      <w:color w:val="5F6369"/>
    </w:rPr>
  </w:style>
  <w:style w:type="table" w:customStyle="1" w:styleId="EDU-Basic">
    <w:name w:val="EDU - Basic"/>
    <w:basedOn w:val="TableNormal"/>
    <w:uiPriority w:val="99"/>
    <w:rsid w:val="005D435F"/>
    <w:pPr>
      <w:spacing w:before="100" w:beforeAutospacing="1" w:after="100" w:afterAutospacing="1" w:line="240" w:lineRule="auto"/>
    </w:pPr>
    <w:tblPr>
      <w:tblStyleRowBandSize w:val="1"/>
    </w:tblPr>
    <w:tcPr>
      <w:vAlign w:val="center"/>
    </w:tcPr>
    <w:tblStylePr w:type="firstRow">
      <w:pPr>
        <w:jc w:val="left"/>
      </w:pPr>
      <w:tblPr/>
      <w:tcPr>
        <w:shd w:val="clear" w:color="auto" w:fill="49255F"/>
      </w:tcPr>
    </w:tblStylePr>
    <w:tblStylePr w:type="firstCol">
      <w:rPr>
        <w:b w:val="0"/>
      </w:rPr>
    </w:tblStylePr>
    <w:tblStylePr w:type="band1Horz">
      <w:tblPr/>
      <w:tcPr>
        <w:tcBorders>
          <w:bottom w:val="single" w:sz="4" w:space="0" w:color="F15D31"/>
        </w:tcBorders>
      </w:tcPr>
    </w:tblStylePr>
    <w:tblStylePr w:type="band2Horz">
      <w:tblPr/>
      <w:tcPr>
        <w:tcBorders>
          <w:bottom w:val="single" w:sz="4" w:space="0" w:color="F15D31"/>
        </w:tcBorders>
      </w:tc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39"/>
    <w:unhideWhenUsed/>
    <w:rsid w:val="00AF1F18"/>
    <w:pPr>
      <w:tabs>
        <w:tab w:val="right" w:leader="dot" w:pos="9016"/>
      </w:tabs>
      <w:spacing w:after="100"/>
    </w:pPr>
  </w:style>
  <w:style w:type="paragraph" w:styleId="TOC2">
    <w:name w:val="toc 2"/>
    <w:basedOn w:val="Normal"/>
    <w:next w:val="Normal"/>
    <w:autoRedefine/>
    <w:uiPriority w:val="39"/>
    <w:unhideWhenUsed/>
    <w:rsid w:val="00AF1F18"/>
    <w:pPr>
      <w:spacing w:after="100"/>
      <w:ind w:left="220"/>
    </w:pPr>
  </w:style>
  <w:style w:type="paragraph" w:styleId="TOC3">
    <w:name w:val="toc 3"/>
    <w:basedOn w:val="Normal"/>
    <w:next w:val="Normal"/>
    <w:autoRedefine/>
    <w:uiPriority w:val="39"/>
    <w:unhideWhenUsed/>
    <w:rsid w:val="00AF1F18"/>
    <w:pPr>
      <w:spacing w:after="100"/>
      <w:ind w:left="440"/>
    </w:pPr>
  </w:style>
  <w:style w:type="paragraph" w:styleId="TOCHeading">
    <w:name w:val="TOC Heading"/>
    <w:basedOn w:val="Heading1"/>
    <w:next w:val="Normal"/>
    <w:uiPriority w:val="39"/>
    <w:unhideWhenUsed/>
    <w:qFormat/>
    <w:rsid w:val="00AF1F18"/>
    <w:pPr>
      <w:spacing w:before="0" w:after="240" w:line="259" w:lineRule="auto"/>
      <w:outlineLvl w:val="9"/>
    </w:pPr>
    <w:rPr>
      <w:rFonts w:asciiTheme="majorHAnsi" w:hAnsiTheme="majorHAnsi"/>
      <w:color w:val="55437E" w:themeColor="accent2"/>
      <w:sz w:val="44"/>
      <w:lang w:val="en-US"/>
    </w:rPr>
  </w:style>
  <w:style w:type="character" w:customStyle="1" w:styleId="Heading8Char">
    <w:name w:val="Heading 8 Char"/>
    <w:basedOn w:val="DefaultParagraphFont"/>
    <w:link w:val="Heading8"/>
    <w:uiPriority w:val="9"/>
    <w:semiHidden/>
    <w:rsid w:val="001D663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D6638"/>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semiHidden/>
    <w:qFormat/>
    <w:rsid w:val="004276F6"/>
    <w:pPr>
      <w:ind w:left="720"/>
      <w:contextualSpacing/>
    </w:pPr>
  </w:style>
  <w:style w:type="table" w:styleId="TableGridLight">
    <w:name w:val="Grid Table Light"/>
    <w:basedOn w:val="TableNormal"/>
    <w:uiPriority w:val="40"/>
    <w:rsid w:val="0019791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creativecommons.org/licenses/by/4.0/" TargetMode="External"/><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customXml" Target="../customXml/item4.xml"/><Relationship Id="rId5" Type="http://schemas.openxmlformats.org/officeDocument/2006/relationships/styles" Target="styles.xml"/><Relationship Id="rId15" Type="http://schemas.openxmlformats.org/officeDocument/2006/relationships/image" Target="media/image4.jpg"/><Relationship Id="rId23"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image" Target="media/image8.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creativecommons.org/licenses/by/4.0/legalcode" TargetMode="Externa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26D9A923AB949B48FD45161E4265184"/>
        <w:category>
          <w:name w:val="General"/>
          <w:gallery w:val="placeholder"/>
        </w:category>
        <w:types>
          <w:type w:val="bbPlcHdr"/>
        </w:types>
        <w:behaviors>
          <w:behavior w:val="content"/>
        </w:behaviors>
        <w:guid w:val="{2308DD34-E889-4D23-B675-EF04BAE904DA}"/>
      </w:docPartPr>
      <w:docPartBody>
        <w:p w:rsidR="002B3ACA" w:rsidRDefault="00785B1E">
          <w:r w:rsidRPr="001C304D">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NeueLT Pro 55 Roman">
    <w:altName w:val="Arial"/>
    <w:panose1 w:val="00000000000000000000"/>
    <w:charset w:val="00"/>
    <w:family w:val="swiss"/>
    <w:notTrueType/>
    <w:pitch w:val="variable"/>
    <w:sig w:usb0="800000AF" w:usb1="5000205B" w:usb2="00000000" w:usb3="00000000" w:csb0="0000009B" w:csb1="00000000"/>
  </w:font>
  <w:font w:name="Titillium Web">
    <w:charset w:val="00"/>
    <w:family w:val="auto"/>
    <w:pitch w:val="variable"/>
    <w:sig w:usb0="00000007" w:usb1="00000001"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B1E"/>
    <w:rsid w:val="001115E2"/>
    <w:rsid w:val="002B3ACA"/>
    <w:rsid w:val="003E7496"/>
    <w:rsid w:val="004D3B9A"/>
    <w:rsid w:val="00504F45"/>
    <w:rsid w:val="005D1963"/>
    <w:rsid w:val="0069103A"/>
    <w:rsid w:val="006D2CC1"/>
    <w:rsid w:val="00785B1E"/>
    <w:rsid w:val="007D3ED3"/>
    <w:rsid w:val="007F0315"/>
    <w:rsid w:val="008A2234"/>
    <w:rsid w:val="008A7684"/>
    <w:rsid w:val="008F473B"/>
    <w:rsid w:val="0093209A"/>
    <w:rsid w:val="00C74F61"/>
    <w:rsid w:val="00C96A38"/>
    <w:rsid w:val="00ED605C"/>
    <w:rsid w:val="00F367B4"/>
    <w:rsid w:val="00FF2F8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A7684"/>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Department of Education">
      <a:dk1>
        <a:sysClr val="windowText" lastClr="000000"/>
      </a:dk1>
      <a:lt1>
        <a:sysClr val="window" lastClr="FFFFFF"/>
      </a:lt1>
      <a:dk2>
        <a:srgbClr val="00254A"/>
      </a:dk2>
      <a:lt2>
        <a:srgbClr val="004C6C"/>
      </a:lt2>
      <a:accent1>
        <a:srgbClr val="008599"/>
      </a:accent1>
      <a:accent2>
        <a:srgbClr val="55437E"/>
      </a:accent2>
      <a:accent3>
        <a:srgbClr val="15BEF0"/>
      </a:accent3>
      <a:accent4>
        <a:srgbClr val="47BFAF"/>
      </a:accent4>
      <a:accent5>
        <a:srgbClr val="F16464"/>
      </a:accent5>
      <a:accent6>
        <a:srgbClr val="F99D2A"/>
      </a:accent6>
      <a:hlink>
        <a:srgbClr val="7F4594"/>
      </a:hlink>
      <a:folHlink>
        <a:srgbClr val="CE37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3162BA753748F4BB53721499FC70481" ma:contentTypeVersion="15" ma:contentTypeDescription="Create a new document." ma:contentTypeScope="" ma:versionID="6e66040f5fd6fb03dbb406829e3cd0f9">
  <xsd:schema xmlns:xsd="http://www.w3.org/2001/XMLSchema" xmlns:xs="http://www.w3.org/2001/XMLSchema" xmlns:p="http://schemas.microsoft.com/office/2006/metadata/properties" xmlns:ns2="da72cac6-940c-4742-b333-53bc562b4053" xmlns:ns3="c35adfce-f9b0-4566-a0fa-e4f70df87b41" targetNamespace="http://schemas.microsoft.com/office/2006/metadata/properties" ma:root="true" ma:fieldsID="3619ab7a3b33cbc823c875c393bfad1b" ns2:_="" ns3:_="">
    <xsd:import namespace="da72cac6-940c-4742-b333-53bc562b4053"/>
    <xsd:import namespace="c35adfce-f9b0-4566-a0fa-e4f70df87b41"/>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72cac6-940c-4742-b333-53bc562b40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35adfce-f9b0-4566-a0fa-e4f70df87b41"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71e8d9d-fbc5-4c5f-be92-0def1f9d0b2d}" ma:internalName="TaxCatchAll" ma:showField="CatchAllData" ma:web="c35adfce-f9b0-4566-a0fa-e4f70df87b41">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35adfce-f9b0-4566-a0fa-e4f70df87b41" xsi:nil="true"/>
    <lcf76f155ced4ddcb4097134ff3c332f xmlns="da72cac6-940c-4742-b333-53bc562b405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customXml/itemProps2.xml><?xml version="1.0" encoding="utf-8"?>
<ds:datastoreItem xmlns:ds="http://schemas.openxmlformats.org/officeDocument/2006/customXml" ds:itemID="{1E5B2F9F-48A0-4B99-94B6-9274390FCD09}"/>
</file>

<file path=customXml/itemProps3.xml><?xml version="1.0" encoding="utf-8"?>
<ds:datastoreItem xmlns:ds="http://schemas.openxmlformats.org/officeDocument/2006/customXml" ds:itemID="{5DDD9539-D5FE-49BD-9D1C-FBD51B6BA827}">
  <ds:schemaRefs>
    <ds:schemaRef ds:uri="http://schemas.microsoft.com/sharepoint/v3/contenttype/forms"/>
  </ds:schemaRefs>
</ds:datastoreItem>
</file>

<file path=customXml/itemProps4.xml><?xml version="1.0" encoding="utf-8"?>
<ds:datastoreItem xmlns:ds="http://schemas.openxmlformats.org/officeDocument/2006/customXml" ds:itemID="{6FEAFE9D-F484-4C38-B422-F0CF8CF616A4}"/>
</file>

<file path=docProps/app.xml><?xml version="1.0" encoding="utf-8"?>
<Properties xmlns="http://schemas.openxmlformats.org/officeDocument/2006/extended-properties" xmlns:vt="http://schemas.openxmlformats.org/officeDocument/2006/docPropsVTypes">
  <Template>Normal.dotm</Template>
  <TotalTime>91</TotalTime>
  <Pages>22</Pages>
  <Words>6905</Words>
  <Characters>40122</Characters>
  <Application>Microsoft Office Word</Application>
  <DocSecurity>0</DocSecurity>
  <Lines>978</Lines>
  <Paragraphs>505</Paragraphs>
  <ScaleCrop>false</ScaleCrop>
  <HeadingPairs>
    <vt:vector size="2" baseType="variant">
      <vt:variant>
        <vt:lpstr>Title</vt:lpstr>
      </vt:variant>
      <vt:variant>
        <vt:i4>1</vt:i4>
      </vt:variant>
    </vt:vector>
  </HeadingPairs>
  <TitlesOfParts>
    <vt:vector size="1" baseType="lpstr">
      <vt:lpstr>Compliance and Enforcement Policy</vt:lpstr>
    </vt:vector>
  </TitlesOfParts>
  <Company/>
  <LinksUpToDate>false</LinksUpToDate>
  <CharactersWithSpaces>46522</CharactersWithSpaces>
  <SharedDoc>false</SharedDoc>
  <HLinks>
    <vt:vector size="204" baseType="variant">
      <vt:variant>
        <vt:i4>1441847</vt:i4>
      </vt:variant>
      <vt:variant>
        <vt:i4>194</vt:i4>
      </vt:variant>
      <vt:variant>
        <vt:i4>0</vt:i4>
      </vt:variant>
      <vt:variant>
        <vt:i4>5</vt:i4>
      </vt:variant>
      <vt:variant>
        <vt:lpwstr/>
      </vt:variant>
      <vt:variant>
        <vt:lpwstr>_Toc215493972</vt:lpwstr>
      </vt:variant>
      <vt:variant>
        <vt:i4>1441847</vt:i4>
      </vt:variant>
      <vt:variant>
        <vt:i4>188</vt:i4>
      </vt:variant>
      <vt:variant>
        <vt:i4>0</vt:i4>
      </vt:variant>
      <vt:variant>
        <vt:i4>5</vt:i4>
      </vt:variant>
      <vt:variant>
        <vt:lpwstr/>
      </vt:variant>
      <vt:variant>
        <vt:lpwstr>_Toc215493971</vt:lpwstr>
      </vt:variant>
      <vt:variant>
        <vt:i4>1507383</vt:i4>
      </vt:variant>
      <vt:variant>
        <vt:i4>182</vt:i4>
      </vt:variant>
      <vt:variant>
        <vt:i4>0</vt:i4>
      </vt:variant>
      <vt:variant>
        <vt:i4>5</vt:i4>
      </vt:variant>
      <vt:variant>
        <vt:lpwstr/>
      </vt:variant>
      <vt:variant>
        <vt:lpwstr>_Toc215493969</vt:lpwstr>
      </vt:variant>
      <vt:variant>
        <vt:i4>1507383</vt:i4>
      </vt:variant>
      <vt:variant>
        <vt:i4>176</vt:i4>
      </vt:variant>
      <vt:variant>
        <vt:i4>0</vt:i4>
      </vt:variant>
      <vt:variant>
        <vt:i4>5</vt:i4>
      </vt:variant>
      <vt:variant>
        <vt:lpwstr/>
      </vt:variant>
      <vt:variant>
        <vt:lpwstr>_Toc215493968</vt:lpwstr>
      </vt:variant>
      <vt:variant>
        <vt:i4>1507383</vt:i4>
      </vt:variant>
      <vt:variant>
        <vt:i4>170</vt:i4>
      </vt:variant>
      <vt:variant>
        <vt:i4>0</vt:i4>
      </vt:variant>
      <vt:variant>
        <vt:i4>5</vt:i4>
      </vt:variant>
      <vt:variant>
        <vt:lpwstr/>
      </vt:variant>
      <vt:variant>
        <vt:lpwstr>_Toc215493967</vt:lpwstr>
      </vt:variant>
      <vt:variant>
        <vt:i4>1507383</vt:i4>
      </vt:variant>
      <vt:variant>
        <vt:i4>164</vt:i4>
      </vt:variant>
      <vt:variant>
        <vt:i4>0</vt:i4>
      </vt:variant>
      <vt:variant>
        <vt:i4>5</vt:i4>
      </vt:variant>
      <vt:variant>
        <vt:lpwstr/>
      </vt:variant>
      <vt:variant>
        <vt:lpwstr>_Toc215493966</vt:lpwstr>
      </vt:variant>
      <vt:variant>
        <vt:i4>1507383</vt:i4>
      </vt:variant>
      <vt:variant>
        <vt:i4>158</vt:i4>
      </vt:variant>
      <vt:variant>
        <vt:i4>0</vt:i4>
      </vt:variant>
      <vt:variant>
        <vt:i4>5</vt:i4>
      </vt:variant>
      <vt:variant>
        <vt:lpwstr/>
      </vt:variant>
      <vt:variant>
        <vt:lpwstr>_Toc215493965</vt:lpwstr>
      </vt:variant>
      <vt:variant>
        <vt:i4>1507383</vt:i4>
      </vt:variant>
      <vt:variant>
        <vt:i4>152</vt:i4>
      </vt:variant>
      <vt:variant>
        <vt:i4>0</vt:i4>
      </vt:variant>
      <vt:variant>
        <vt:i4>5</vt:i4>
      </vt:variant>
      <vt:variant>
        <vt:lpwstr/>
      </vt:variant>
      <vt:variant>
        <vt:lpwstr>_Toc215493964</vt:lpwstr>
      </vt:variant>
      <vt:variant>
        <vt:i4>1507383</vt:i4>
      </vt:variant>
      <vt:variant>
        <vt:i4>146</vt:i4>
      </vt:variant>
      <vt:variant>
        <vt:i4>0</vt:i4>
      </vt:variant>
      <vt:variant>
        <vt:i4>5</vt:i4>
      </vt:variant>
      <vt:variant>
        <vt:lpwstr/>
      </vt:variant>
      <vt:variant>
        <vt:lpwstr>_Toc215493963</vt:lpwstr>
      </vt:variant>
      <vt:variant>
        <vt:i4>1507383</vt:i4>
      </vt:variant>
      <vt:variant>
        <vt:i4>140</vt:i4>
      </vt:variant>
      <vt:variant>
        <vt:i4>0</vt:i4>
      </vt:variant>
      <vt:variant>
        <vt:i4>5</vt:i4>
      </vt:variant>
      <vt:variant>
        <vt:lpwstr/>
      </vt:variant>
      <vt:variant>
        <vt:lpwstr>_Toc215493962</vt:lpwstr>
      </vt:variant>
      <vt:variant>
        <vt:i4>1507383</vt:i4>
      </vt:variant>
      <vt:variant>
        <vt:i4>134</vt:i4>
      </vt:variant>
      <vt:variant>
        <vt:i4>0</vt:i4>
      </vt:variant>
      <vt:variant>
        <vt:i4>5</vt:i4>
      </vt:variant>
      <vt:variant>
        <vt:lpwstr/>
      </vt:variant>
      <vt:variant>
        <vt:lpwstr>_Toc215493961</vt:lpwstr>
      </vt:variant>
      <vt:variant>
        <vt:i4>1507383</vt:i4>
      </vt:variant>
      <vt:variant>
        <vt:i4>128</vt:i4>
      </vt:variant>
      <vt:variant>
        <vt:i4>0</vt:i4>
      </vt:variant>
      <vt:variant>
        <vt:i4>5</vt:i4>
      </vt:variant>
      <vt:variant>
        <vt:lpwstr/>
      </vt:variant>
      <vt:variant>
        <vt:lpwstr>_Toc215493960</vt:lpwstr>
      </vt:variant>
      <vt:variant>
        <vt:i4>1310775</vt:i4>
      </vt:variant>
      <vt:variant>
        <vt:i4>122</vt:i4>
      </vt:variant>
      <vt:variant>
        <vt:i4>0</vt:i4>
      </vt:variant>
      <vt:variant>
        <vt:i4>5</vt:i4>
      </vt:variant>
      <vt:variant>
        <vt:lpwstr/>
      </vt:variant>
      <vt:variant>
        <vt:lpwstr>_Toc215493959</vt:lpwstr>
      </vt:variant>
      <vt:variant>
        <vt:i4>1310775</vt:i4>
      </vt:variant>
      <vt:variant>
        <vt:i4>116</vt:i4>
      </vt:variant>
      <vt:variant>
        <vt:i4>0</vt:i4>
      </vt:variant>
      <vt:variant>
        <vt:i4>5</vt:i4>
      </vt:variant>
      <vt:variant>
        <vt:lpwstr/>
      </vt:variant>
      <vt:variant>
        <vt:lpwstr>_Toc215493958</vt:lpwstr>
      </vt:variant>
      <vt:variant>
        <vt:i4>1310775</vt:i4>
      </vt:variant>
      <vt:variant>
        <vt:i4>110</vt:i4>
      </vt:variant>
      <vt:variant>
        <vt:i4>0</vt:i4>
      </vt:variant>
      <vt:variant>
        <vt:i4>5</vt:i4>
      </vt:variant>
      <vt:variant>
        <vt:lpwstr/>
      </vt:variant>
      <vt:variant>
        <vt:lpwstr>_Toc215493957</vt:lpwstr>
      </vt:variant>
      <vt:variant>
        <vt:i4>1310775</vt:i4>
      </vt:variant>
      <vt:variant>
        <vt:i4>104</vt:i4>
      </vt:variant>
      <vt:variant>
        <vt:i4>0</vt:i4>
      </vt:variant>
      <vt:variant>
        <vt:i4>5</vt:i4>
      </vt:variant>
      <vt:variant>
        <vt:lpwstr/>
      </vt:variant>
      <vt:variant>
        <vt:lpwstr>_Toc215493956</vt:lpwstr>
      </vt:variant>
      <vt:variant>
        <vt:i4>1310775</vt:i4>
      </vt:variant>
      <vt:variant>
        <vt:i4>98</vt:i4>
      </vt:variant>
      <vt:variant>
        <vt:i4>0</vt:i4>
      </vt:variant>
      <vt:variant>
        <vt:i4>5</vt:i4>
      </vt:variant>
      <vt:variant>
        <vt:lpwstr/>
      </vt:variant>
      <vt:variant>
        <vt:lpwstr>_Toc215493955</vt:lpwstr>
      </vt:variant>
      <vt:variant>
        <vt:i4>1310775</vt:i4>
      </vt:variant>
      <vt:variant>
        <vt:i4>92</vt:i4>
      </vt:variant>
      <vt:variant>
        <vt:i4>0</vt:i4>
      </vt:variant>
      <vt:variant>
        <vt:i4>5</vt:i4>
      </vt:variant>
      <vt:variant>
        <vt:lpwstr/>
      </vt:variant>
      <vt:variant>
        <vt:lpwstr>_Toc215493954</vt:lpwstr>
      </vt:variant>
      <vt:variant>
        <vt:i4>1310775</vt:i4>
      </vt:variant>
      <vt:variant>
        <vt:i4>86</vt:i4>
      </vt:variant>
      <vt:variant>
        <vt:i4>0</vt:i4>
      </vt:variant>
      <vt:variant>
        <vt:i4>5</vt:i4>
      </vt:variant>
      <vt:variant>
        <vt:lpwstr/>
      </vt:variant>
      <vt:variant>
        <vt:lpwstr>_Toc215493953</vt:lpwstr>
      </vt:variant>
      <vt:variant>
        <vt:i4>1310775</vt:i4>
      </vt:variant>
      <vt:variant>
        <vt:i4>80</vt:i4>
      </vt:variant>
      <vt:variant>
        <vt:i4>0</vt:i4>
      </vt:variant>
      <vt:variant>
        <vt:i4>5</vt:i4>
      </vt:variant>
      <vt:variant>
        <vt:lpwstr/>
      </vt:variant>
      <vt:variant>
        <vt:lpwstr>_Toc215493952</vt:lpwstr>
      </vt:variant>
      <vt:variant>
        <vt:i4>1310775</vt:i4>
      </vt:variant>
      <vt:variant>
        <vt:i4>74</vt:i4>
      </vt:variant>
      <vt:variant>
        <vt:i4>0</vt:i4>
      </vt:variant>
      <vt:variant>
        <vt:i4>5</vt:i4>
      </vt:variant>
      <vt:variant>
        <vt:lpwstr/>
      </vt:variant>
      <vt:variant>
        <vt:lpwstr>_Toc215493951</vt:lpwstr>
      </vt:variant>
      <vt:variant>
        <vt:i4>1310775</vt:i4>
      </vt:variant>
      <vt:variant>
        <vt:i4>68</vt:i4>
      </vt:variant>
      <vt:variant>
        <vt:i4>0</vt:i4>
      </vt:variant>
      <vt:variant>
        <vt:i4>5</vt:i4>
      </vt:variant>
      <vt:variant>
        <vt:lpwstr/>
      </vt:variant>
      <vt:variant>
        <vt:lpwstr>_Toc215493950</vt:lpwstr>
      </vt:variant>
      <vt:variant>
        <vt:i4>1376311</vt:i4>
      </vt:variant>
      <vt:variant>
        <vt:i4>62</vt:i4>
      </vt:variant>
      <vt:variant>
        <vt:i4>0</vt:i4>
      </vt:variant>
      <vt:variant>
        <vt:i4>5</vt:i4>
      </vt:variant>
      <vt:variant>
        <vt:lpwstr/>
      </vt:variant>
      <vt:variant>
        <vt:lpwstr>_Toc215493949</vt:lpwstr>
      </vt:variant>
      <vt:variant>
        <vt:i4>1376311</vt:i4>
      </vt:variant>
      <vt:variant>
        <vt:i4>56</vt:i4>
      </vt:variant>
      <vt:variant>
        <vt:i4>0</vt:i4>
      </vt:variant>
      <vt:variant>
        <vt:i4>5</vt:i4>
      </vt:variant>
      <vt:variant>
        <vt:lpwstr/>
      </vt:variant>
      <vt:variant>
        <vt:lpwstr>_Toc215493948</vt:lpwstr>
      </vt:variant>
      <vt:variant>
        <vt:i4>1376311</vt:i4>
      </vt:variant>
      <vt:variant>
        <vt:i4>50</vt:i4>
      </vt:variant>
      <vt:variant>
        <vt:i4>0</vt:i4>
      </vt:variant>
      <vt:variant>
        <vt:i4>5</vt:i4>
      </vt:variant>
      <vt:variant>
        <vt:lpwstr/>
      </vt:variant>
      <vt:variant>
        <vt:lpwstr>_Toc215493947</vt:lpwstr>
      </vt:variant>
      <vt:variant>
        <vt:i4>1376311</vt:i4>
      </vt:variant>
      <vt:variant>
        <vt:i4>44</vt:i4>
      </vt:variant>
      <vt:variant>
        <vt:i4>0</vt:i4>
      </vt:variant>
      <vt:variant>
        <vt:i4>5</vt:i4>
      </vt:variant>
      <vt:variant>
        <vt:lpwstr/>
      </vt:variant>
      <vt:variant>
        <vt:lpwstr>_Toc215493946</vt:lpwstr>
      </vt:variant>
      <vt:variant>
        <vt:i4>1376311</vt:i4>
      </vt:variant>
      <vt:variant>
        <vt:i4>38</vt:i4>
      </vt:variant>
      <vt:variant>
        <vt:i4>0</vt:i4>
      </vt:variant>
      <vt:variant>
        <vt:i4>5</vt:i4>
      </vt:variant>
      <vt:variant>
        <vt:lpwstr/>
      </vt:variant>
      <vt:variant>
        <vt:lpwstr>_Toc215493943</vt:lpwstr>
      </vt:variant>
      <vt:variant>
        <vt:i4>1376311</vt:i4>
      </vt:variant>
      <vt:variant>
        <vt:i4>32</vt:i4>
      </vt:variant>
      <vt:variant>
        <vt:i4>0</vt:i4>
      </vt:variant>
      <vt:variant>
        <vt:i4>5</vt:i4>
      </vt:variant>
      <vt:variant>
        <vt:lpwstr/>
      </vt:variant>
      <vt:variant>
        <vt:lpwstr>_Toc215493942</vt:lpwstr>
      </vt:variant>
      <vt:variant>
        <vt:i4>1179703</vt:i4>
      </vt:variant>
      <vt:variant>
        <vt:i4>26</vt:i4>
      </vt:variant>
      <vt:variant>
        <vt:i4>0</vt:i4>
      </vt:variant>
      <vt:variant>
        <vt:i4>5</vt:i4>
      </vt:variant>
      <vt:variant>
        <vt:lpwstr/>
      </vt:variant>
      <vt:variant>
        <vt:lpwstr>_Toc215493939</vt:lpwstr>
      </vt:variant>
      <vt:variant>
        <vt:i4>1179703</vt:i4>
      </vt:variant>
      <vt:variant>
        <vt:i4>20</vt:i4>
      </vt:variant>
      <vt:variant>
        <vt:i4>0</vt:i4>
      </vt:variant>
      <vt:variant>
        <vt:i4>5</vt:i4>
      </vt:variant>
      <vt:variant>
        <vt:lpwstr/>
      </vt:variant>
      <vt:variant>
        <vt:lpwstr>_Toc215493938</vt:lpwstr>
      </vt:variant>
      <vt:variant>
        <vt:i4>1179703</vt:i4>
      </vt:variant>
      <vt:variant>
        <vt:i4>14</vt:i4>
      </vt:variant>
      <vt:variant>
        <vt:i4>0</vt:i4>
      </vt:variant>
      <vt:variant>
        <vt:i4>5</vt:i4>
      </vt:variant>
      <vt:variant>
        <vt:lpwstr/>
      </vt:variant>
      <vt:variant>
        <vt:lpwstr>_Toc215493937</vt:lpwstr>
      </vt:variant>
      <vt:variant>
        <vt:i4>1179703</vt:i4>
      </vt:variant>
      <vt:variant>
        <vt:i4>8</vt:i4>
      </vt:variant>
      <vt:variant>
        <vt:i4>0</vt:i4>
      </vt:variant>
      <vt:variant>
        <vt:i4>5</vt:i4>
      </vt:variant>
      <vt:variant>
        <vt:lpwstr/>
      </vt:variant>
      <vt:variant>
        <vt:lpwstr>_Toc215493936</vt:lpwstr>
      </vt:variant>
      <vt:variant>
        <vt:i4>5373952</vt:i4>
      </vt:variant>
      <vt:variant>
        <vt:i4>3</vt:i4>
      </vt:variant>
      <vt:variant>
        <vt:i4>0</vt:i4>
      </vt:variant>
      <vt:variant>
        <vt:i4>5</vt:i4>
      </vt:variant>
      <vt:variant>
        <vt:lpwstr>https://creativecommons.org/licenses/by/4.0/legalcode</vt:lpwstr>
      </vt:variant>
      <vt:variant>
        <vt:lpwstr/>
      </vt:variant>
      <vt:variant>
        <vt:i4>5308424</vt:i4>
      </vt:variant>
      <vt:variant>
        <vt:i4>0</vt:i4>
      </vt:variant>
      <vt:variant>
        <vt:i4>0</vt:i4>
      </vt:variant>
      <vt:variant>
        <vt:i4>5</vt:i4>
      </vt:variant>
      <vt:variant>
        <vt:lpwstr>https://creativecommons.org/licenses/by/4.0/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Compliance and Enforcement Policy</dc:title>
  <dc:subject/>
  <dc:creator>PACEY,Robert</dc:creator>
  <cp:keywords/>
  <dc:description/>
  <cp:lastModifiedBy>BEATTIE,Libby</cp:lastModifiedBy>
  <cp:revision>30</cp:revision>
  <cp:lastPrinted>2025-12-19T01:17:00Z</cp:lastPrinted>
  <dcterms:created xsi:type="dcterms:W3CDTF">2025-12-18T04:52:00Z</dcterms:created>
  <dcterms:modified xsi:type="dcterms:W3CDTF">2025-12-19T04:19:00Z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2023-02-06T02:33:08Z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0196b020-ca67-4808-9ba4-9cbe3d5bd324</vt:lpwstr>
  </property>
  <property fmtid="{D5CDD505-2E9C-101B-9397-08002B2CF9AE}" pid="8" name="MSIP_Label_79d889eb-932f-4752-8739-64d25806ef64_ContentBits">
    <vt:lpwstr>0</vt:lpwstr>
  </property>
  <property fmtid="{D5CDD505-2E9C-101B-9397-08002B2CF9AE}" pid="9" name="ContentTypeId">
    <vt:lpwstr>0x01010093162BA753748F4BB53721499FC70481</vt:lpwstr>
  </property>
</Properties>
</file>