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107" w:type="pct"/>
        <w:tblInd w:w="-289" w:type="dxa"/>
        <w:tblLook w:val="01E0" w:firstRow="1" w:lastRow="1" w:firstColumn="1" w:lastColumn="1" w:noHBand="0" w:noVBand="0"/>
      </w:tblPr>
      <w:tblGrid>
        <w:gridCol w:w="9209"/>
      </w:tblGrid>
      <w:tr w:rsidR="001B109C" w:rsidRPr="00E41388" w14:paraId="3BCD4E03" w14:textId="77777777" w:rsidTr="267A135F">
        <w:tc>
          <w:tcPr>
            <w:tcW w:w="5000" w:type="pct"/>
            <w:tcBorders>
              <w:bottom w:val="single" w:sz="4" w:space="0" w:color="auto"/>
            </w:tcBorders>
          </w:tcPr>
          <w:p w14:paraId="26FC6577" w14:textId="17C2ABC6" w:rsidR="001B109C" w:rsidRPr="00B50165" w:rsidRDefault="001B109C" w:rsidP="00B50165">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4E3C78">
              <w:t>WESTERN SYDNEY UNIVERSITY</w:t>
            </w:r>
          </w:p>
        </w:tc>
      </w:tr>
      <w:tr w:rsidR="001B109C" w:rsidRPr="00E41388" w14:paraId="2126955C" w14:textId="77777777" w:rsidTr="267A135F">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267A135F">
        <w:trPr>
          <w:trHeight w:val="1682"/>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w:t>
            </w:r>
            <w:proofErr w:type="gramStart"/>
            <w:r w:rsidRPr="6DCF43EC">
              <w:rPr>
                <w:rFonts w:asciiTheme="minorHAnsi" w:hAnsiTheme="minorHAnsi" w:cstheme="minorBidi"/>
              </w:rPr>
              <w:t>Entering into</w:t>
            </w:r>
            <w:proofErr w:type="gramEnd"/>
            <w:r w:rsidRPr="6DCF43EC">
              <w:rPr>
                <w:rFonts w:asciiTheme="minorHAnsi" w:hAnsiTheme="minorHAnsi" w:cstheme="minorBidi"/>
              </w:rPr>
              <w:t xml:space="preserve">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w:t>
            </w:r>
            <w:proofErr w:type="gramStart"/>
            <w:r w:rsidRPr="6DCF43EC">
              <w:rPr>
                <w:rFonts w:asciiTheme="minorHAnsi" w:hAnsiTheme="minorHAnsi" w:cstheme="minorBidi"/>
              </w:rPr>
              <w:t>enter into</w:t>
            </w:r>
            <w:proofErr w:type="gramEnd"/>
            <w:r w:rsidRPr="6DCF43EC">
              <w:rPr>
                <w:rFonts w:asciiTheme="minorHAnsi" w:hAnsiTheme="minorHAnsi" w:cstheme="minorBidi"/>
              </w:rPr>
              <w:t xml:space="preserve">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rsidP="00E734FF">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267A135F">
        <w:tc>
          <w:tcPr>
            <w:tcW w:w="5000" w:type="pct"/>
          </w:tcPr>
          <w:p w14:paraId="43C124C8" w14:textId="55208677" w:rsidR="001B109C" w:rsidRPr="00E169EE" w:rsidRDefault="00F30BFA" w:rsidP="00B50165">
            <w:pPr>
              <w:pStyle w:val="Heading4"/>
              <w:keepLines w:val="0"/>
              <w:spacing w:before="180" w:after="60"/>
            </w:pPr>
            <w:r w:rsidRPr="00F30BFA">
              <w:t>M</w:t>
            </w:r>
            <w:r w:rsidR="001B109C" w:rsidRPr="00F30BFA">
              <w:t xml:space="preserve">ission </w:t>
            </w:r>
            <w:r w:rsidR="0049333E">
              <w:t>and</w:t>
            </w:r>
            <w:r w:rsidR="001B109C" w:rsidRPr="00F30BFA">
              <w:t xml:space="preserve"> </w:t>
            </w:r>
            <w:r>
              <w:t>Strategic Planning</w:t>
            </w:r>
          </w:p>
        </w:tc>
      </w:tr>
      <w:tr w:rsidR="001B109C" w:rsidRPr="00E41388" w14:paraId="6AF93BFD" w14:textId="77777777" w:rsidTr="267A135F">
        <w:trPr>
          <w:trHeight w:val="1123"/>
        </w:trPr>
        <w:tc>
          <w:tcPr>
            <w:tcW w:w="5000" w:type="pct"/>
            <w:tcBorders>
              <w:bottom w:val="single" w:sz="4" w:space="0" w:color="auto"/>
            </w:tcBorders>
          </w:tcPr>
          <w:p w14:paraId="2D636C6F" w14:textId="441CEE5B" w:rsidR="00B50165" w:rsidRDefault="00B50165" w:rsidP="00B50165">
            <w:pPr>
              <w:spacing w:after="0"/>
            </w:pPr>
            <w:r>
              <w:t>In July 2025, Western Sydney University launched its</w:t>
            </w:r>
            <w:r w:rsidRPr="00E8784E">
              <w:t xml:space="preserve"> </w:t>
            </w:r>
            <w:r w:rsidRPr="00AE7E13">
              <w:t>Strategic Plan</w:t>
            </w:r>
            <w:r>
              <w:t xml:space="preserve">, </w:t>
            </w:r>
            <w:hyperlink r:id="rId14">
              <w:r w:rsidRPr="71DBB767">
                <w:rPr>
                  <w:rStyle w:val="Hyperlink"/>
                  <w:b/>
                  <w:bCs/>
                </w:rPr>
                <w:t>WESTERN 2030</w:t>
              </w:r>
            </w:hyperlink>
            <w:r>
              <w:t xml:space="preserve">, outlining our mission to transform communities in Western Sydney through student success and impactful research over the next five years. The plan is structured around </w:t>
            </w:r>
            <w:r w:rsidRPr="71DBB767">
              <w:rPr>
                <w:b/>
                <w:bCs/>
              </w:rPr>
              <w:t>seven strategic priorities</w:t>
            </w:r>
            <w:r>
              <w:t>, each with performance metrics and the following initiatives for 2026:</w:t>
            </w:r>
          </w:p>
          <w:p w14:paraId="5A43BB4F" w14:textId="77777777" w:rsidR="00B50165" w:rsidRPr="00667DA7" w:rsidRDefault="00B50165" w:rsidP="00B50165">
            <w:pPr>
              <w:spacing w:after="0"/>
            </w:pPr>
          </w:p>
          <w:p w14:paraId="7375AF7F" w14:textId="77777777" w:rsidR="00B50165" w:rsidRDefault="00B50165" w:rsidP="00B50165">
            <w:pPr>
              <w:spacing w:after="0"/>
            </w:pPr>
            <w:r w:rsidRPr="71DBB767">
              <w:rPr>
                <w:b/>
                <w:bCs/>
              </w:rPr>
              <w:t>1. Strengthening Student Success</w:t>
            </w:r>
            <w:r>
              <w:br/>
              <w:t xml:space="preserve">Western will introduce the </w:t>
            </w:r>
            <w:r w:rsidRPr="71DBB767">
              <w:rPr>
                <w:b/>
                <w:bCs/>
              </w:rPr>
              <w:t>‘Western How’</w:t>
            </w:r>
            <w:r>
              <w:t xml:space="preserve"> app initiative to support students during their first 100 days, reshape academic offerings through a </w:t>
            </w:r>
            <w:r w:rsidRPr="71DBB767">
              <w:rPr>
                <w:b/>
                <w:bCs/>
              </w:rPr>
              <w:t>Product Strategy</w:t>
            </w:r>
            <w:r>
              <w:t xml:space="preserve">, and implement a </w:t>
            </w:r>
            <w:r w:rsidRPr="71DBB767">
              <w:rPr>
                <w:b/>
                <w:bCs/>
              </w:rPr>
              <w:t>Teaching Quality Framework</w:t>
            </w:r>
            <w:r>
              <w:t xml:space="preserve"> and new surveys. Success will be measured by improved student retention, admis increased undergraduate commencements, enhanced student experience, and higher full-time graduation rates.</w:t>
            </w:r>
          </w:p>
          <w:p w14:paraId="04DA8743" w14:textId="77777777" w:rsidR="00B50165" w:rsidRPr="00667DA7" w:rsidRDefault="00B50165" w:rsidP="00B50165">
            <w:pPr>
              <w:pStyle w:val="ListParagraph"/>
              <w:spacing w:after="0"/>
            </w:pPr>
          </w:p>
          <w:p w14:paraId="4E83CD03" w14:textId="77777777" w:rsidR="00B50165" w:rsidRDefault="00B50165" w:rsidP="00B50165">
            <w:pPr>
              <w:spacing w:after="0"/>
            </w:pPr>
            <w:r w:rsidRPr="71DBB767">
              <w:rPr>
                <w:b/>
                <w:bCs/>
              </w:rPr>
              <w:t>2. Putting People First</w:t>
            </w:r>
            <w:r>
              <w:br/>
              <w:t xml:space="preserve">The University will roll out our new </w:t>
            </w:r>
            <w:r w:rsidRPr="71DBB767">
              <w:rPr>
                <w:b/>
                <w:bCs/>
              </w:rPr>
              <w:t>operating model</w:t>
            </w:r>
            <w:r>
              <w:t xml:space="preserve">, launch a </w:t>
            </w:r>
            <w:r w:rsidRPr="71DBB767">
              <w:rPr>
                <w:b/>
                <w:bCs/>
              </w:rPr>
              <w:t>performance excellence framework</w:t>
            </w:r>
            <w:r>
              <w:t xml:space="preserve">, and develop a </w:t>
            </w:r>
            <w:r w:rsidRPr="71DBB767">
              <w:rPr>
                <w:b/>
                <w:bCs/>
              </w:rPr>
              <w:t>leadership program</w:t>
            </w:r>
            <w:r>
              <w:t>. Staff engagement will be improved based on insights from the 2025 Staff Culture and Engagement Survey. Key metrics include improved engagement and leadership scores, increased investment in professional development, and growth in academic staff.</w:t>
            </w:r>
          </w:p>
          <w:p w14:paraId="315CC45B" w14:textId="77777777" w:rsidR="00B50165" w:rsidRPr="00667DA7" w:rsidRDefault="00B50165" w:rsidP="00B50165">
            <w:pPr>
              <w:spacing w:after="0"/>
            </w:pPr>
          </w:p>
          <w:p w14:paraId="4EE5AFD9" w14:textId="77777777" w:rsidR="00B50165" w:rsidRDefault="00B50165" w:rsidP="00B50165">
            <w:pPr>
              <w:spacing w:after="0"/>
            </w:pPr>
            <w:r w:rsidRPr="71DBB767">
              <w:rPr>
                <w:b/>
                <w:bCs/>
              </w:rPr>
              <w:t>3. Leading Indigenous Acceleration</w:t>
            </w:r>
            <w:r>
              <w:br/>
              <w:t xml:space="preserve">Western will advance the construction of an </w:t>
            </w:r>
            <w:r w:rsidRPr="71DBB767">
              <w:rPr>
                <w:b/>
                <w:bCs/>
              </w:rPr>
              <w:t>Indigenous Centre of Excellence</w:t>
            </w:r>
            <w:r>
              <w:t xml:space="preserve"> and implement the </w:t>
            </w:r>
            <w:r w:rsidRPr="71DBB767">
              <w:rPr>
                <w:b/>
                <w:bCs/>
              </w:rPr>
              <w:t>2026–2030 Indigenous Strategy</w:t>
            </w:r>
            <w:r>
              <w:t>. Performance indicators include increased numbers of Indigenous academic staff with doctorates, improved Indigenous student retention, and higher representation in domestic and HDR programs.</w:t>
            </w:r>
          </w:p>
          <w:p w14:paraId="5C97FB09" w14:textId="77777777" w:rsidR="00B50165" w:rsidRPr="00667DA7" w:rsidRDefault="00B50165" w:rsidP="00B50165">
            <w:pPr>
              <w:spacing w:after="0"/>
            </w:pPr>
          </w:p>
          <w:p w14:paraId="4D8674FD" w14:textId="77777777" w:rsidR="00B50165" w:rsidRDefault="00B50165" w:rsidP="00B50165">
            <w:pPr>
              <w:spacing w:after="0"/>
            </w:pPr>
            <w:r w:rsidRPr="71DBB767">
              <w:rPr>
                <w:b/>
                <w:bCs/>
              </w:rPr>
              <w:t>4. Unlocking Global Impact</w:t>
            </w:r>
            <w:r>
              <w:br/>
              <w:t xml:space="preserve">To strengthen transnational education (TNE), Western will develop a </w:t>
            </w:r>
            <w:r w:rsidRPr="71DBB767">
              <w:rPr>
                <w:b/>
                <w:bCs/>
              </w:rPr>
              <w:t>financial and governance framework</w:t>
            </w:r>
            <w:r>
              <w:t xml:space="preserve">, pursue </w:t>
            </w:r>
            <w:r w:rsidRPr="71DBB767">
              <w:rPr>
                <w:b/>
                <w:bCs/>
              </w:rPr>
              <w:t>market diversification</w:t>
            </w:r>
            <w:r>
              <w:t xml:space="preserve"> (including expansion into India), and enhance </w:t>
            </w:r>
            <w:r w:rsidRPr="71DBB767">
              <w:rPr>
                <w:b/>
                <w:bCs/>
              </w:rPr>
              <w:t xml:space="preserve">mobility </w:t>
            </w:r>
            <w:r w:rsidRPr="71DBB767">
              <w:rPr>
                <w:b/>
                <w:bCs/>
              </w:rPr>
              <w:lastRenderedPageBreak/>
              <w:t>experiences</w:t>
            </w:r>
            <w:r>
              <w:t xml:space="preserve"> for staff and students. Success will be tracked through new international partnerships, increased global student participation and improved risk ratings.</w:t>
            </w:r>
          </w:p>
          <w:p w14:paraId="3A42FD41" w14:textId="77777777" w:rsidR="00B50165" w:rsidRPr="00667DA7" w:rsidRDefault="00B50165" w:rsidP="00B50165">
            <w:pPr>
              <w:spacing w:after="0"/>
            </w:pPr>
          </w:p>
          <w:p w14:paraId="36FA7D4E" w14:textId="77777777" w:rsidR="00B50165" w:rsidRDefault="00B50165" w:rsidP="00B50165">
            <w:pPr>
              <w:spacing w:after="0"/>
            </w:pPr>
            <w:r w:rsidRPr="71DBB767">
              <w:rPr>
                <w:b/>
                <w:bCs/>
              </w:rPr>
              <w:t>5. Driving Research and Innovation</w:t>
            </w:r>
            <w:r>
              <w:br/>
              <w:t xml:space="preserve">A new </w:t>
            </w:r>
            <w:r w:rsidRPr="71DBB767">
              <w:rPr>
                <w:b/>
                <w:bCs/>
              </w:rPr>
              <w:t>Research Strategy</w:t>
            </w:r>
            <w:r>
              <w:t xml:space="preserve"> will be implemented to boost research income, output, and global rankings. Performance will be measured by increased research funding, improved international rankings, commercialisation outcomes, and higher rates of on-time PhD completions.</w:t>
            </w:r>
          </w:p>
          <w:p w14:paraId="42A5F93F" w14:textId="77777777" w:rsidR="00B50165" w:rsidRPr="00667DA7" w:rsidRDefault="00B50165" w:rsidP="00B50165">
            <w:pPr>
              <w:spacing w:after="0"/>
            </w:pPr>
          </w:p>
          <w:p w14:paraId="7457AC8B" w14:textId="05024BA7" w:rsidR="00B50165" w:rsidRDefault="00B50165" w:rsidP="00B50165">
            <w:pPr>
              <w:spacing w:after="0"/>
            </w:pPr>
            <w:r w:rsidRPr="71DBB767">
              <w:rPr>
                <w:b/>
                <w:bCs/>
              </w:rPr>
              <w:t>6. Western Sydney</w:t>
            </w:r>
            <w:r>
              <w:br/>
              <w:t xml:space="preserve">The University will adopt a </w:t>
            </w:r>
            <w:r w:rsidRPr="71DBB767">
              <w:rPr>
                <w:b/>
                <w:bCs/>
              </w:rPr>
              <w:t>full-scope partnership approach</w:t>
            </w:r>
            <w:r>
              <w:t xml:space="preserve"> to benefit students, communities, alumni and </w:t>
            </w:r>
            <w:r w:rsidR="0028553F">
              <w:t>industry, positioning</w:t>
            </w:r>
            <w:r>
              <w:t xml:space="preserve"> Western as a first-choice university. Metrics include the number of partnerships offering work and research opportunities, contributions to regional issues, and increased alumni engagement.</w:t>
            </w:r>
          </w:p>
          <w:p w14:paraId="62833559" w14:textId="77777777" w:rsidR="00B50165" w:rsidRPr="00667DA7" w:rsidRDefault="00B50165" w:rsidP="00B50165">
            <w:pPr>
              <w:spacing w:after="0"/>
            </w:pPr>
          </w:p>
          <w:p w14:paraId="5EA2840D" w14:textId="77777777" w:rsidR="00B50165" w:rsidRDefault="00B50165" w:rsidP="00B50165">
            <w:pPr>
              <w:spacing w:after="0"/>
            </w:pPr>
            <w:r w:rsidRPr="71DBB767">
              <w:rPr>
                <w:b/>
                <w:bCs/>
              </w:rPr>
              <w:t>7. Securing Sustainability</w:t>
            </w:r>
            <w:r>
              <w:br/>
              <w:t xml:space="preserve">Western aims to be Australia’s first </w:t>
            </w:r>
            <w:r w:rsidRPr="71DBB767">
              <w:rPr>
                <w:b/>
                <w:bCs/>
              </w:rPr>
              <w:t>climate and nature positive university</w:t>
            </w:r>
            <w:r>
              <w:t xml:space="preserve">. Key initiatives include sustainability-focused research, partnerships, and community engagement. Performance will be assessed through commitment to the </w:t>
            </w:r>
            <w:r w:rsidRPr="71DBB767">
              <w:rPr>
                <w:b/>
                <w:bCs/>
              </w:rPr>
              <w:t>Race to Zero</w:t>
            </w:r>
            <w:r>
              <w:t xml:space="preserve">, achieving nature positivity by 2029, strong performance in the </w:t>
            </w:r>
            <w:r w:rsidRPr="71DBB767">
              <w:rPr>
                <w:b/>
                <w:bCs/>
              </w:rPr>
              <w:t>Times Higher Education Impact Rankings</w:t>
            </w:r>
            <w:r>
              <w:t>, and improved student understanding of sustainability.</w:t>
            </w:r>
          </w:p>
          <w:p w14:paraId="1BB0D612" w14:textId="77777777" w:rsidR="00B50165" w:rsidRPr="00667DA7" w:rsidRDefault="00B50165" w:rsidP="00B50165">
            <w:pPr>
              <w:spacing w:after="0" w:line="278" w:lineRule="auto"/>
            </w:pPr>
          </w:p>
          <w:p w14:paraId="6A1120DE" w14:textId="77777777" w:rsidR="00B50165" w:rsidRDefault="00B50165" w:rsidP="00B50165">
            <w:pPr>
              <w:spacing w:after="0"/>
            </w:pPr>
            <w:r>
              <w:t xml:space="preserve">To support delivery, Western has established an </w:t>
            </w:r>
            <w:r w:rsidRPr="71DBB767">
              <w:rPr>
                <w:b/>
                <w:bCs/>
              </w:rPr>
              <w:t>Office of Strategy and Transformation</w:t>
            </w:r>
            <w:r>
              <w:t xml:space="preserve">, which will report progress to the </w:t>
            </w:r>
            <w:r w:rsidRPr="71DBB767">
              <w:rPr>
                <w:b/>
                <w:bCs/>
              </w:rPr>
              <w:t>Board of Trustees</w:t>
            </w:r>
            <w:r>
              <w:t>.</w:t>
            </w:r>
          </w:p>
          <w:p w14:paraId="2E26C48F" w14:textId="77777777" w:rsidR="00B50165" w:rsidRDefault="00B50165" w:rsidP="00B50165">
            <w:pPr>
              <w:spacing w:after="0"/>
            </w:pPr>
          </w:p>
          <w:p w14:paraId="204F689C" w14:textId="77777777" w:rsidR="00B50165" w:rsidRPr="002B3035" w:rsidRDefault="00B50165" w:rsidP="00B50165">
            <w:pPr>
              <w:spacing w:after="0"/>
              <w:rPr>
                <w:rFonts w:eastAsiaTheme="minorEastAsia" w:cstheme="minorHAnsi"/>
              </w:rPr>
            </w:pPr>
            <w:r w:rsidRPr="002B3035">
              <w:rPr>
                <w:rFonts w:eastAsiaTheme="minorEastAsia" w:cstheme="minorHAnsi"/>
              </w:rPr>
              <w:t xml:space="preserve">Additional 2026 initiatives include implementing a Board-approved </w:t>
            </w:r>
            <w:r w:rsidRPr="002B3035">
              <w:rPr>
                <w:rFonts w:eastAsiaTheme="minorEastAsia" w:cstheme="minorHAnsi"/>
                <w:b/>
                <w:bCs/>
              </w:rPr>
              <w:t>Cybersecurity Strategy</w:t>
            </w:r>
            <w:r w:rsidRPr="002B3035">
              <w:rPr>
                <w:rFonts w:eastAsiaTheme="minorEastAsia" w:cstheme="minorHAnsi"/>
              </w:rPr>
              <w:t xml:space="preserve"> and an updated </w:t>
            </w:r>
            <w:hyperlink r:id="rId15" w:history="1">
              <w:r w:rsidRPr="002B3035">
                <w:rPr>
                  <w:rStyle w:val="Hyperlink"/>
                  <w:rFonts w:eastAsia="Aptos" w:cstheme="minorHAnsi"/>
                  <w:b/>
                  <w:bCs/>
                </w:rPr>
                <w:t>Freedom of Speech and Academic Freedom Policy</w:t>
              </w:r>
            </w:hyperlink>
            <w:r w:rsidRPr="002B3035">
              <w:rPr>
                <w:rFonts w:eastAsiaTheme="minorEastAsia" w:cstheme="minorHAnsi"/>
              </w:rPr>
              <w:t xml:space="preserve">, which now includes </w:t>
            </w:r>
            <w:hyperlink r:id="rId16" w:history="1">
              <w:r w:rsidRPr="002B3035">
                <w:rPr>
                  <w:rStyle w:val="Hyperlink"/>
                  <w:rFonts w:eastAsia="Aptos" w:cstheme="minorHAnsi"/>
                </w:rPr>
                <w:t>guidelines</w:t>
              </w:r>
            </w:hyperlink>
            <w:r w:rsidRPr="002B3035">
              <w:rPr>
                <w:rFonts w:eastAsiaTheme="minorEastAsia" w:cstheme="minorHAnsi"/>
              </w:rPr>
              <w:t xml:space="preserve"> for behaviour during protests.</w:t>
            </w:r>
          </w:p>
          <w:p w14:paraId="216CE72A" w14:textId="77777777" w:rsidR="00B50165" w:rsidRPr="00B875FB" w:rsidRDefault="00B50165" w:rsidP="00B50165">
            <w:pPr>
              <w:spacing w:after="0"/>
              <w:rPr>
                <w:rFonts w:eastAsiaTheme="minorEastAsia" w:cstheme="minorHAnsi"/>
              </w:rPr>
            </w:pPr>
          </w:p>
          <w:p w14:paraId="69ECFC77" w14:textId="77777777" w:rsidR="00B50165" w:rsidRDefault="00B50165" w:rsidP="00B50165">
            <w:pPr>
              <w:spacing w:after="0"/>
              <w:rPr>
                <w:rFonts w:eastAsiaTheme="minorEastAsia" w:cstheme="minorHAnsi"/>
              </w:rPr>
            </w:pPr>
            <w:r w:rsidRPr="00B875FB">
              <w:rPr>
                <w:rFonts w:eastAsiaTheme="minorEastAsia" w:cstheme="minorHAnsi"/>
              </w:rPr>
              <w:t xml:space="preserve">Western conducts </w:t>
            </w:r>
            <w:r w:rsidRPr="00B875FB">
              <w:rPr>
                <w:rFonts w:eastAsiaTheme="minorEastAsia" w:cstheme="minorHAnsi"/>
                <w:b/>
              </w:rPr>
              <w:t>Foreign Interference checks</w:t>
            </w:r>
            <w:r w:rsidRPr="00B875FB">
              <w:rPr>
                <w:rFonts w:eastAsiaTheme="minorEastAsia" w:cstheme="minorHAnsi"/>
              </w:rPr>
              <w:t xml:space="preserve"> in line with Commonwealth legislation, as part of a broader ethical research framework that upholds research integrity, Indigenous knowledge, inclusion, and sustainability.</w:t>
            </w:r>
          </w:p>
          <w:p w14:paraId="439E42A3" w14:textId="77777777" w:rsidR="00B50165" w:rsidRPr="00B875FB" w:rsidRDefault="00B50165" w:rsidP="00B50165">
            <w:pPr>
              <w:spacing w:after="0"/>
              <w:rPr>
                <w:rFonts w:eastAsiaTheme="minorEastAsia" w:cstheme="minorHAnsi"/>
              </w:rPr>
            </w:pPr>
          </w:p>
          <w:p w14:paraId="296F4627" w14:textId="77777777" w:rsidR="00B50165" w:rsidRPr="00B875FB" w:rsidRDefault="00B50165" w:rsidP="00B50165">
            <w:pPr>
              <w:spacing w:after="0"/>
              <w:rPr>
                <w:rFonts w:eastAsiaTheme="minorEastAsia" w:cstheme="minorHAnsi"/>
              </w:rPr>
            </w:pPr>
            <w:r w:rsidRPr="00B875FB">
              <w:rPr>
                <w:rFonts w:eastAsiaTheme="minorEastAsia" w:cstheme="minorHAnsi"/>
              </w:rPr>
              <w:t xml:space="preserve">The University remains committed to fostering inclusive, safe, and respectful environments for all students and staff, while advancing infrastructure, sustainability, and student experience initiatives—including purpose-built accommodation and Indigenous leadership. </w:t>
            </w:r>
          </w:p>
          <w:p w14:paraId="2C91A87B" w14:textId="77777777" w:rsidR="001B109C" w:rsidRPr="005774F2" w:rsidRDefault="001B109C" w:rsidP="003D11BF">
            <w:pPr>
              <w:pStyle w:val="NormalIndent"/>
              <w:spacing w:before="0" w:after="0"/>
              <w:ind w:left="0"/>
              <w:rPr>
                <w:rFonts w:asciiTheme="minorHAnsi" w:hAnsiTheme="minorHAnsi" w:cstheme="minorHAnsi"/>
                <w:i/>
                <w:iCs/>
                <w:szCs w:val="22"/>
              </w:rPr>
            </w:pPr>
          </w:p>
        </w:tc>
      </w:tr>
      <w:tr w:rsidR="001B109C" w:rsidRPr="00E41388" w14:paraId="0EA45E0C" w14:textId="77777777" w:rsidTr="267A135F">
        <w:tc>
          <w:tcPr>
            <w:tcW w:w="5000" w:type="pct"/>
          </w:tcPr>
          <w:p w14:paraId="767F59C9" w14:textId="6521BCE0" w:rsidR="001B109C" w:rsidRDefault="00462848" w:rsidP="00F30BFA">
            <w:pPr>
              <w:pStyle w:val="Heading4"/>
              <w:keepLines w:val="0"/>
              <w:spacing w:before="180" w:after="60"/>
            </w:pPr>
            <w:r>
              <w:lastRenderedPageBreak/>
              <w:t>S</w:t>
            </w:r>
            <w:r w:rsidR="001B109C" w:rsidRPr="00F30BFA">
              <w:t xml:space="preserve">trategies for Improving </w:t>
            </w:r>
            <w:r w:rsidR="00F30BFA">
              <w:t>E</w:t>
            </w:r>
            <w:r w:rsidR="001B109C" w:rsidRPr="00F30BFA">
              <w:t xml:space="preserve">quality of </w:t>
            </w:r>
            <w:r w:rsidR="00F30BFA">
              <w:t>O</w:t>
            </w:r>
            <w:r w:rsidR="001B109C" w:rsidRPr="00F30BFA">
              <w:t xml:space="preserve">pportunity in </w:t>
            </w:r>
            <w:r w:rsidR="00F30BFA">
              <w:t>H</w:t>
            </w:r>
            <w:r w:rsidR="001B109C" w:rsidRPr="00F30BFA">
              <w:t xml:space="preserve">igher </w:t>
            </w:r>
            <w:r w:rsidR="00F30BFA">
              <w:t>E</w:t>
            </w:r>
            <w:r w:rsidR="001B109C" w:rsidRPr="00F30BFA">
              <w:t>ducation</w:t>
            </w:r>
          </w:p>
        </w:tc>
      </w:tr>
      <w:tr w:rsidR="001B109C" w:rsidRPr="00E41388" w14:paraId="1A37823C" w14:textId="77777777" w:rsidTr="267A135F">
        <w:tc>
          <w:tcPr>
            <w:tcW w:w="5000" w:type="pct"/>
          </w:tcPr>
          <w:p w14:paraId="6B59CCAF" w14:textId="57274254" w:rsidR="00395C6C" w:rsidRDefault="00395C6C" w:rsidP="003244F9">
            <w:pPr>
              <w:spacing w:before="120"/>
              <w:rPr>
                <w:rFonts w:ascii="Calibri" w:eastAsia="Calibri" w:hAnsi="Calibri" w:cs="Calibri"/>
                <w:color w:val="000000" w:themeColor="text1"/>
              </w:rPr>
            </w:pPr>
            <w:bookmarkStart w:id="0" w:name="_Hlk150338733"/>
            <w:bookmarkStart w:id="1" w:name="_Hlk150338471"/>
            <w:r w:rsidRPr="00766B6C">
              <w:rPr>
                <w:rFonts w:ascii="Calibri" w:eastAsia="Calibri" w:hAnsi="Calibri" w:cs="Calibri"/>
                <w:color w:val="000000" w:themeColor="text1"/>
              </w:rPr>
              <w:t xml:space="preserve">Western Sydney University is deeply committed to widening participation and ensuring that students from under-represented backgrounds can thrive. </w:t>
            </w:r>
            <w:r>
              <w:rPr>
                <w:rFonts w:ascii="Calibri" w:eastAsia="Calibri" w:hAnsi="Calibri" w:cs="Calibri"/>
                <w:color w:val="000000" w:themeColor="text1"/>
              </w:rPr>
              <w:t xml:space="preserve">Two thirds of our students are the first in their family, one in two speaks a language other than English at home, and we </w:t>
            </w:r>
            <w:r w:rsidRPr="1F650500">
              <w:rPr>
                <w:rFonts w:ascii="Calibri" w:eastAsia="Calibri" w:hAnsi="Calibri" w:cs="Calibri"/>
                <w:color w:val="000000" w:themeColor="text1"/>
              </w:rPr>
              <w:t>have the</w:t>
            </w:r>
            <w:r>
              <w:rPr>
                <w:rFonts w:ascii="Calibri" w:eastAsia="Calibri" w:hAnsi="Calibri" w:cs="Calibri"/>
                <w:color w:val="000000" w:themeColor="text1"/>
              </w:rPr>
              <w:t xml:space="preserve"> highest number of low </w:t>
            </w:r>
            <w:r w:rsidRPr="12769EA2">
              <w:rPr>
                <w:rFonts w:ascii="Calibri" w:eastAsia="Calibri" w:hAnsi="Calibri" w:cs="Calibri"/>
                <w:color w:val="000000" w:themeColor="text1"/>
              </w:rPr>
              <w:t>socio-</w:t>
            </w:r>
            <w:r w:rsidRPr="48655FF6">
              <w:rPr>
                <w:rFonts w:ascii="Calibri" w:eastAsia="Calibri" w:hAnsi="Calibri" w:cs="Calibri"/>
                <w:color w:val="000000" w:themeColor="text1"/>
              </w:rPr>
              <w:t xml:space="preserve">economic </w:t>
            </w:r>
            <w:r>
              <w:rPr>
                <w:rFonts w:ascii="Calibri" w:eastAsia="Calibri" w:hAnsi="Calibri" w:cs="Calibri"/>
                <w:color w:val="000000" w:themeColor="text1"/>
              </w:rPr>
              <w:t xml:space="preserve">students </w:t>
            </w:r>
            <w:r w:rsidRPr="211FE1CD">
              <w:rPr>
                <w:rFonts w:ascii="Calibri" w:eastAsia="Calibri" w:hAnsi="Calibri" w:cs="Calibri"/>
                <w:color w:val="000000" w:themeColor="text1"/>
              </w:rPr>
              <w:t xml:space="preserve">in </w:t>
            </w:r>
            <w:r w:rsidRPr="17DCCA6D">
              <w:rPr>
                <w:rFonts w:ascii="Calibri" w:eastAsia="Calibri" w:hAnsi="Calibri" w:cs="Calibri"/>
                <w:color w:val="000000" w:themeColor="text1"/>
              </w:rPr>
              <w:t xml:space="preserve">the </w:t>
            </w:r>
            <w:r w:rsidRPr="7BE8A72A">
              <w:rPr>
                <w:rFonts w:ascii="Calibri" w:eastAsia="Calibri" w:hAnsi="Calibri" w:cs="Calibri"/>
                <w:color w:val="000000" w:themeColor="text1"/>
              </w:rPr>
              <w:t>nation</w:t>
            </w:r>
            <w:r>
              <w:rPr>
                <w:rFonts w:ascii="Calibri" w:eastAsia="Calibri" w:hAnsi="Calibri" w:cs="Calibri"/>
                <w:color w:val="000000" w:themeColor="text1"/>
              </w:rPr>
              <w:t>.</w:t>
            </w:r>
          </w:p>
          <w:p w14:paraId="6F0E4E95" w14:textId="77777777" w:rsidR="00395C6C" w:rsidRPr="00766B6C" w:rsidRDefault="00395C6C" w:rsidP="00395C6C">
            <w:pPr>
              <w:spacing w:before="240"/>
              <w:rPr>
                <w:rFonts w:ascii="Calibri" w:eastAsia="Calibri" w:hAnsi="Calibri" w:cs="Calibri"/>
                <w:color w:val="000000" w:themeColor="text1"/>
              </w:rPr>
            </w:pPr>
            <w:r w:rsidRPr="00766B6C">
              <w:rPr>
                <w:rFonts w:ascii="Calibri" w:eastAsia="Calibri" w:hAnsi="Calibri" w:cs="Calibri"/>
                <w:color w:val="000000" w:themeColor="text1"/>
              </w:rPr>
              <w:t>Our mission is to reflect and serve the diverse communities of Greater Western Sydney, creating genuine pathways to higher education and lifelong learning. This is realised through coordinated initiatives spanning outreach, Indigenous education, student support, and equity-focused services.</w:t>
            </w:r>
          </w:p>
          <w:p w14:paraId="12E99175" w14:textId="77777777" w:rsidR="00395C6C" w:rsidRPr="00766B6C" w:rsidRDefault="00395C6C" w:rsidP="00395C6C">
            <w:pPr>
              <w:spacing w:before="240"/>
            </w:pPr>
            <w:r w:rsidRPr="1BB18198">
              <w:rPr>
                <w:rFonts w:ascii="Calibri" w:eastAsia="Calibri" w:hAnsi="Calibri" w:cs="Calibri"/>
                <w:color w:val="000000" w:themeColor="text1"/>
              </w:rPr>
              <w:lastRenderedPageBreak/>
              <w:t>Western provides multiple entry points into higher education beyond the ATAR. Targeted outreach engages low socio-economic students, First Nations students, Pasifika communities, and refugee and migrant families.</w:t>
            </w:r>
          </w:p>
          <w:p w14:paraId="257DFB90" w14:textId="77777777" w:rsidR="00395C6C" w:rsidRPr="00766B6C" w:rsidRDefault="00395C6C" w:rsidP="00395C6C">
            <w:pPr>
              <w:pStyle w:val="ListParagraph"/>
              <w:numPr>
                <w:ilvl w:val="0"/>
                <w:numId w:val="21"/>
              </w:numPr>
              <w:spacing w:after="0"/>
              <w:rPr>
                <w:rFonts w:ascii="Calibri" w:eastAsia="Calibri" w:hAnsi="Calibri" w:cs="Calibri"/>
                <w:color w:val="000000" w:themeColor="text1"/>
              </w:rPr>
            </w:pPr>
            <w:hyperlink r:id="rId17">
              <w:r w:rsidRPr="006C3495">
                <w:rPr>
                  <w:rStyle w:val="Hyperlink"/>
                  <w:rFonts w:ascii="Calibri" w:eastAsia="Calibri" w:hAnsi="Calibri" w:cs="Calibri"/>
                  <w:b/>
                  <w:bCs/>
                  <w:i/>
                  <w:iCs/>
                </w:rPr>
                <w:t>Pathways to Dreaming</w:t>
              </w:r>
            </w:hyperlink>
            <w:r w:rsidRPr="00766B6C">
              <w:rPr>
                <w:rFonts w:ascii="Calibri" w:eastAsia="Calibri" w:hAnsi="Calibri" w:cs="Calibri"/>
                <w:color w:val="000000" w:themeColor="text1"/>
              </w:rPr>
              <w:t xml:space="preserve"> supports Aboriginal and Torres Strait Islander high school students to strengthen cultural pride, raise aspirations, and university</w:t>
            </w:r>
            <w:r w:rsidRPr="4B129B9D">
              <w:rPr>
                <w:rFonts w:ascii="Calibri" w:eastAsia="Calibri" w:hAnsi="Calibri" w:cs="Calibri"/>
                <w:color w:val="000000" w:themeColor="text1"/>
              </w:rPr>
              <w:t xml:space="preserve"> </w:t>
            </w:r>
            <w:r w:rsidRPr="600CB541">
              <w:rPr>
                <w:rFonts w:ascii="Calibri" w:eastAsia="Calibri" w:hAnsi="Calibri" w:cs="Calibri"/>
                <w:color w:val="000000" w:themeColor="text1"/>
              </w:rPr>
              <w:t>preparation</w:t>
            </w:r>
            <w:r w:rsidRPr="00766B6C">
              <w:rPr>
                <w:rFonts w:ascii="Calibri" w:eastAsia="Calibri" w:hAnsi="Calibri" w:cs="Calibri"/>
                <w:color w:val="000000" w:themeColor="text1"/>
              </w:rPr>
              <w:t>.</w:t>
            </w:r>
          </w:p>
          <w:p w14:paraId="6D2896C8" w14:textId="77777777" w:rsidR="00395C6C" w:rsidRPr="00766B6C" w:rsidRDefault="00395C6C" w:rsidP="00395C6C">
            <w:pPr>
              <w:pStyle w:val="ListParagraph"/>
              <w:numPr>
                <w:ilvl w:val="0"/>
                <w:numId w:val="21"/>
              </w:numPr>
              <w:spacing w:after="0"/>
              <w:rPr>
                <w:rFonts w:ascii="Calibri" w:eastAsia="Calibri" w:hAnsi="Calibri" w:cs="Calibri"/>
                <w:color w:val="000000" w:themeColor="text1"/>
              </w:rPr>
            </w:pPr>
            <w:hyperlink r:id="rId18" w:history="1">
              <w:r w:rsidRPr="006C3495">
                <w:rPr>
                  <w:rStyle w:val="Hyperlink"/>
                  <w:rFonts w:ascii="Calibri" w:eastAsia="Calibri" w:hAnsi="Calibri" w:cs="Calibri"/>
                  <w:b/>
                  <w:bCs/>
                  <w:i/>
                  <w:iCs/>
                </w:rPr>
                <w:t>PATHE</w:t>
              </w:r>
            </w:hyperlink>
            <w:r w:rsidRPr="1BB18198">
              <w:rPr>
                <w:rFonts w:ascii="Calibri" w:eastAsia="Calibri" w:hAnsi="Calibri" w:cs="Calibri"/>
                <w:i/>
                <w:iCs/>
                <w:color w:val="000000" w:themeColor="text1"/>
              </w:rPr>
              <w:t xml:space="preserve"> (Pasifika Achievement to Higher Education)</w:t>
            </w:r>
            <w:r w:rsidRPr="1BB18198">
              <w:rPr>
                <w:rFonts w:ascii="Calibri" w:eastAsia="Calibri" w:hAnsi="Calibri" w:cs="Calibri"/>
                <w:color w:val="000000" w:themeColor="text1"/>
              </w:rPr>
              <w:t xml:space="preserve"> provides mentoring, academic support, and family engagement to lift Pasifika participation.</w:t>
            </w:r>
          </w:p>
          <w:p w14:paraId="492D5DD5" w14:textId="77777777" w:rsidR="00395C6C" w:rsidRDefault="00395C6C" w:rsidP="00395C6C">
            <w:pPr>
              <w:pStyle w:val="ListParagraph"/>
              <w:numPr>
                <w:ilvl w:val="0"/>
                <w:numId w:val="21"/>
              </w:numPr>
              <w:spacing w:after="0"/>
              <w:rPr>
                <w:rFonts w:ascii="Calibri" w:eastAsia="Calibri" w:hAnsi="Calibri" w:cs="Calibri"/>
                <w:color w:val="000000" w:themeColor="text1"/>
              </w:rPr>
            </w:pPr>
            <w:hyperlink r:id="rId19" w:history="1">
              <w:r w:rsidRPr="006C3495">
                <w:rPr>
                  <w:rStyle w:val="Hyperlink"/>
                  <w:rFonts w:ascii="Calibri" w:eastAsia="Calibri" w:hAnsi="Calibri" w:cs="Calibri"/>
                  <w:b/>
                  <w:bCs/>
                  <w:i/>
                  <w:iCs/>
                </w:rPr>
                <w:t>Fast Forward</w:t>
              </w:r>
            </w:hyperlink>
            <w:r w:rsidRPr="1BB18198">
              <w:rPr>
                <w:rFonts w:ascii="Calibri" w:eastAsia="Calibri" w:hAnsi="Calibri" w:cs="Calibri"/>
                <w:i/>
                <w:iCs/>
                <w:color w:val="000000" w:themeColor="text1"/>
              </w:rPr>
              <w:t xml:space="preserve"> </w:t>
            </w:r>
            <w:r w:rsidRPr="1BB18198">
              <w:rPr>
                <w:rFonts w:ascii="Calibri" w:eastAsia="Calibri" w:hAnsi="Calibri" w:cs="Calibri"/>
                <w:color w:val="000000" w:themeColor="text1"/>
              </w:rPr>
              <w:t xml:space="preserve">provides low socio-economic high school students with campus experiences, academic workshops and 1-1 guidance to assist students in choosing the right </w:t>
            </w:r>
            <w:r>
              <w:rPr>
                <w:rFonts w:ascii="Calibri" w:eastAsia="Calibri" w:hAnsi="Calibri" w:cs="Calibri"/>
                <w:color w:val="000000" w:themeColor="text1"/>
              </w:rPr>
              <w:t xml:space="preserve">future </w:t>
            </w:r>
            <w:r w:rsidRPr="1BB18198">
              <w:rPr>
                <w:rFonts w:ascii="Calibri" w:eastAsia="Calibri" w:hAnsi="Calibri" w:cs="Calibri"/>
                <w:color w:val="000000" w:themeColor="text1"/>
              </w:rPr>
              <w:t>path</w:t>
            </w:r>
            <w:r>
              <w:rPr>
                <w:rFonts w:ascii="Calibri" w:eastAsia="Calibri" w:hAnsi="Calibri" w:cs="Calibri"/>
                <w:color w:val="000000" w:themeColor="text1"/>
              </w:rPr>
              <w:t>.</w:t>
            </w:r>
          </w:p>
          <w:p w14:paraId="6C7592DC" w14:textId="77777777" w:rsidR="00395C6C" w:rsidRPr="00766B6C" w:rsidRDefault="00395C6C" w:rsidP="00395C6C">
            <w:pPr>
              <w:pStyle w:val="ListParagraph"/>
              <w:numPr>
                <w:ilvl w:val="0"/>
                <w:numId w:val="21"/>
              </w:numPr>
              <w:spacing w:after="0"/>
              <w:rPr>
                <w:rFonts w:ascii="Calibri" w:eastAsia="Calibri" w:hAnsi="Calibri" w:cs="Calibri"/>
                <w:color w:val="000000" w:themeColor="text1"/>
              </w:rPr>
            </w:pPr>
            <w:r w:rsidRPr="00766B6C">
              <w:rPr>
                <w:rFonts w:ascii="Calibri" w:eastAsia="Calibri" w:hAnsi="Calibri" w:cs="Calibri"/>
                <w:color w:val="000000" w:themeColor="text1"/>
              </w:rPr>
              <w:t>Tailored programs for</w:t>
            </w:r>
            <w:r w:rsidRPr="006C3495">
              <w:rPr>
                <w:rFonts w:ascii="Calibri" w:eastAsia="Calibri" w:hAnsi="Calibri" w:cs="Calibri"/>
                <w:b/>
                <w:bCs/>
                <w:color w:val="000000" w:themeColor="text1"/>
              </w:rPr>
              <w:t xml:space="preserve"> </w:t>
            </w:r>
            <w:hyperlink r:id="rId20" w:history="1">
              <w:r w:rsidRPr="006C3495">
                <w:rPr>
                  <w:rStyle w:val="Hyperlink"/>
                  <w:rFonts w:ascii="Calibri" w:eastAsia="Calibri" w:hAnsi="Calibri" w:cs="Calibri"/>
                  <w:b/>
                  <w:bCs/>
                </w:rPr>
                <w:t>refugee and recently arrived migrant communities</w:t>
              </w:r>
            </w:hyperlink>
            <w:r w:rsidRPr="00766B6C">
              <w:rPr>
                <w:rFonts w:ascii="Calibri" w:eastAsia="Calibri" w:hAnsi="Calibri" w:cs="Calibri"/>
                <w:color w:val="000000" w:themeColor="text1"/>
              </w:rPr>
              <w:t xml:space="preserve"> provide information, mentoring, and early transition support.</w:t>
            </w:r>
          </w:p>
          <w:p w14:paraId="759003FF" w14:textId="77777777" w:rsidR="00395C6C" w:rsidRPr="00766B6C" w:rsidRDefault="00395C6C" w:rsidP="00395C6C">
            <w:pPr>
              <w:spacing w:before="240"/>
            </w:pPr>
            <w:r w:rsidRPr="00766B6C">
              <w:rPr>
                <w:rFonts w:ascii="Calibri" w:eastAsia="Calibri" w:hAnsi="Calibri" w:cs="Calibri"/>
                <w:color w:val="000000" w:themeColor="text1"/>
              </w:rPr>
              <w:t xml:space="preserve">By 2030, Western aims to lift undergraduate participation from the region to 30% of domestic enrolments (currently 27%) and increase participation of regional and remote students. Progress </w:t>
            </w:r>
            <w:r>
              <w:rPr>
                <w:rFonts w:ascii="Calibri" w:eastAsia="Calibri" w:hAnsi="Calibri" w:cs="Calibri"/>
                <w:color w:val="000000" w:themeColor="text1"/>
              </w:rPr>
              <w:t>will be</w:t>
            </w:r>
            <w:r w:rsidRPr="00766B6C">
              <w:rPr>
                <w:rFonts w:ascii="Calibri" w:eastAsia="Calibri" w:hAnsi="Calibri" w:cs="Calibri"/>
                <w:color w:val="000000" w:themeColor="text1"/>
              </w:rPr>
              <w:t xml:space="preserve"> measured through enrolment, participation, retention and completion data across equity cohorts. </w:t>
            </w:r>
          </w:p>
          <w:p w14:paraId="30F63411" w14:textId="77777777" w:rsidR="00395C6C" w:rsidRPr="00766B6C" w:rsidRDefault="00395C6C" w:rsidP="00395C6C">
            <w:pPr>
              <w:spacing w:before="240"/>
            </w:pPr>
            <w:hyperlink r:id="rId21">
              <w:r w:rsidRPr="006C3495">
                <w:rPr>
                  <w:rStyle w:val="Hyperlink"/>
                  <w:rFonts w:ascii="Calibri" w:eastAsia="Calibri" w:hAnsi="Calibri" w:cs="Calibri"/>
                  <w:b/>
                  <w:bCs/>
                </w:rPr>
                <w:t xml:space="preserve">The </w:t>
              </w:r>
              <w:proofErr w:type="spellStart"/>
              <w:r w:rsidRPr="006C3495">
                <w:rPr>
                  <w:rStyle w:val="Hyperlink"/>
                  <w:rFonts w:ascii="Calibri" w:eastAsia="Calibri" w:hAnsi="Calibri" w:cs="Calibri"/>
                  <w:b/>
                  <w:bCs/>
                </w:rPr>
                <w:t>Badanami</w:t>
              </w:r>
              <w:proofErr w:type="spellEnd"/>
              <w:r w:rsidRPr="006C3495">
                <w:rPr>
                  <w:rStyle w:val="Hyperlink"/>
                  <w:rFonts w:ascii="Calibri" w:eastAsia="Calibri" w:hAnsi="Calibri" w:cs="Calibri"/>
                  <w:b/>
                  <w:bCs/>
                </w:rPr>
                <w:t xml:space="preserve"> Centre for Indigenous Education</w:t>
              </w:r>
            </w:hyperlink>
            <w:r w:rsidRPr="00766B6C">
              <w:rPr>
                <w:rFonts w:ascii="Calibri" w:eastAsia="Calibri" w:hAnsi="Calibri" w:cs="Calibri"/>
                <w:color w:val="000000" w:themeColor="text1"/>
              </w:rPr>
              <w:t xml:space="preserve"> provides culturally safe spaces and tailored support</w:t>
            </w:r>
            <w:r w:rsidRPr="26700ACD">
              <w:rPr>
                <w:rFonts w:ascii="Calibri" w:eastAsia="Calibri" w:hAnsi="Calibri" w:cs="Calibri"/>
                <w:color w:val="000000" w:themeColor="text1"/>
              </w:rPr>
              <w:t xml:space="preserve"> </w:t>
            </w:r>
            <w:r w:rsidRPr="63296798">
              <w:rPr>
                <w:rFonts w:ascii="Calibri" w:eastAsia="Calibri" w:hAnsi="Calibri" w:cs="Calibri"/>
                <w:color w:val="000000" w:themeColor="text1"/>
              </w:rPr>
              <w:t xml:space="preserve">working with </w:t>
            </w:r>
            <w:r w:rsidRPr="00766B6C">
              <w:rPr>
                <w:rFonts w:ascii="Calibri" w:eastAsia="Calibri" w:hAnsi="Calibri" w:cs="Calibri"/>
                <w:color w:val="000000" w:themeColor="text1"/>
              </w:rPr>
              <w:t>the Indigenous Future Students team to deliver</w:t>
            </w:r>
            <w:r>
              <w:rPr>
                <w:rFonts w:ascii="Calibri" w:eastAsia="Calibri" w:hAnsi="Calibri" w:cs="Calibri"/>
                <w:color w:val="000000" w:themeColor="text1"/>
              </w:rPr>
              <w:t xml:space="preserve"> </w:t>
            </w:r>
            <w:r w:rsidRPr="00766B6C">
              <w:rPr>
                <w:rFonts w:ascii="Calibri" w:eastAsia="Calibri" w:hAnsi="Calibri" w:cs="Calibri"/>
                <w:color w:val="000000" w:themeColor="text1"/>
              </w:rPr>
              <w:t xml:space="preserve">outreach </w:t>
            </w:r>
            <w:r w:rsidRPr="1534F56F">
              <w:rPr>
                <w:rFonts w:ascii="Calibri" w:eastAsia="Calibri" w:hAnsi="Calibri" w:cs="Calibri"/>
                <w:color w:val="000000" w:themeColor="text1"/>
              </w:rPr>
              <w:t>and</w:t>
            </w:r>
            <w:r w:rsidRPr="4321F842">
              <w:rPr>
                <w:rFonts w:ascii="Calibri" w:eastAsia="Calibri" w:hAnsi="Calibri" w:cs="Calibri"/>
                <w:color w:val="000000" w:themeColor="text1"/>
              </w:rPr>
              <w:t xml:space="preserve"> </w:t>
            </w:r>
            <w:r w:rsidRPr="00766B6C">
              <w:rPr>
                <w:rFonts w:ascii="Calibri" w:eastAsia="Calibri" w:hAnsi="Calibri" w:cs="Calibri"/>
                <w:color w:val="000000" w:themeColor="text1"/>
              </w:rPr>
              <w:t>transition programs. W</w:t>
            </w:r>
            <w:r>
              <w:rPr>
                <w:rFonts w:ascii="Calibri" w:eastAsia="Calibri" w:hAnsi="Calibri" w:cs="Calibri"/>
                <w:color w:val="000000" w:themeColor="text1"/>
              </w:rPr>
              <w:t xml:space="preserve">estern </w:t>
            </w:r>
            <w:r w:rsidRPr="00766B6C">
              <w:rPr>
                <w:rFonts w:ascii="Calibri" w:eastAsia="Calibri" w:hAnsi="Calibri" w:cs="Calibri"/>
                <w:color w:val="000000" w:themeColor="text1"/>
              </w:rPr>
              <w:t xml:space="preserve">commits to increasing the proportion of students who are Indigenous by 2030 (target: 3.2% of UG enrolments; 3.8% of Higher Degree Research Student – currently sitting at 2.5% across both areas) and </w:t>
            </w:r>
            <w:r w:rsidRPr="7B931F97">
              <w:rPr>
                <w:rFonts w:ascii="Calibri" w:eastAsia="Calibri" w:hAnsi="Calibri" w:cs="Calibri"/>
                <w:color w:val="000000" w:themeColor="text1"/>
              </w:rPr>
              <w:t>increase</w:t>
            </w:r>
            <w:r w:rsidRPr="00766B6C">
              <w:rPr>
                <w:rFonts w:ascii="Calibri" w:eastAsia="Calibri" w:hAnsi="Calibri" w:cs="Calibri"/>
                <w:color w:val="000000" w:themeColor="text1"/>
              </w:rPr>
              <w:t xml:space="preserve"> Indigenous student retention rates to 78%. </w:t>
            </w:r>
          </w:p>
          <w:p w14:paraId="70382F56" w14:textId="77777777" w:rsidR="00395C6C" w:rsidRPr="00766B6C" w:rsidRDefault="00395C6C" w:rsidP="00395C6C">
            <w:pPr>
              <w:spacing w:before="240"/>
              <w:rPr>
                <w:rFonts w:ascii="Calibri" w:eastAsia="Calibri" w:hAnsi="Calibri" w:cs="Calibri"/>
                <w:color w:val="000000" w:themeColor="text1"/>
              </w:rPr>
            </w:pPr>
            <w:r w:rsidRPr="00766B6C">
              <w:rPr>
                <w:rFonts w:ascii="Calibri" w:eastAsia="Calibri" w:hAnsi="Calibri" w:cs="Calibri"/>
                <w:color w:val="000000" w:themeColor="text1"/>
              </w:rPr>
              <w:t xml:space="preserve">Once </w:t>
            </w:r>
            <w:r w:rsidRPr="29362BD9">
              <w:rPr>
                <w:rFonts w:ascii="Calibri" w:eastAsia="Calibri" w:hAnsi="Calibri" w:cs="Calibri"/>
                <w:color w:val="000000" w:themeColor="text1"/>
              </w:rPr>
              <w:t>enrolled, students</w:t>
            </w:r>
            <w:r w:rsidRPr="00766B6C">
              <w:rPr>
                <w:rFonts w:ascii="Calibri" w:eastAsia="Calibri" w:hAnsi="Calibri" w:cs="Calibri"/>
                <w:color w:val="000000" w:themeColor="text1"/>
              </w:rPr>
              <w:t xml:space="preserve"> are supported through:</w:t>
            </w:r>
          </w:p>
          <w:p w14:paraId="367CFB2A" w14:textId="77777777" w:rsidR="00395C6C" w:rsidRPr="00766B6C" w:rsidRDefault="00395C6C" w:rsidP="00395C6C">
            <w:pPr>
              <w:pStyle w:val="ListParagraph"/>
              <w:numPr>
                <w:ilvl w:val="0"/>
                <w:numId w:val="20"/>
              </w:numPr>
              <w:spacing w:after="0"/>
              <w:rPr>
                <w:rFonts w:ascii="Calibri" w:eastAsia="Calibri" w:hAnsi="Calibri" w:cs="Calibri"/>
                <w:color w:val="000000" w:themeColor="text1"/>
              </w:rPr>
            </w:pPr>
            <w:r w:rsidRPr="00766B6C">
              <w:rPr>
                <w:rFonts w:ascii="Calibri" w:eastAsia="Calibri" w:hAnsi="Calibri" w:cs="Calibri"/>
                <w:i/>
                <w:iCs/>
                <w:color w:val="000000" w:themeColor="text1"/>
              </w:rPr>
              <w:t>Western Success Coaches</w:t>
            </w:r>
            <w:r w:rsidRPr="00766B6C">
              <w:rPr>
                <w:rFonts w:ascii="Calibri" w:eastAsia="Calibri" w:hAnsi="Calibri" w:cs="Calibri"/>
                <w:color w:val="000000" w:themeColor="text1"/>
              </w:rPr>
              <w:t xml:space="preserve"> provid</w:t>
            </w:r>
            <w:r>
              <w:rPr>
                <w:rFonts w:ascii="Calibri" w:eastAsia="Calibri" w:hAnsi="Calibri" w:cs="Calibri"/>
                <w:color w:val="000000" w:themeColor="text1"/>
              </w:rPr>
              <w:t>ing</w:t>
            </w:r>
            <w:r w:rsidRPr="00766B6C">
              <w:rPr>
                <w:rFonts w:ascii="Calibri" w:eastAsia="Calibri" w:hAnsi="Calibri" w:cs="Calibri"/>
                <w:color w:val="000000" w:themeColor="text1"/>
              </w:rPr>
              <w:t xml:space="preserve"> holistic, proactive support, linking students with wellbeing, financial, and academic services.</w:t>
            </w:r>
          </w:p>
          <w:p w14:paraId="73BC5D16" w14:textId="77777777" w:rsidR="00395C6C" w:rsidRPr="00766B6C" w:rsidRDefault="00395C6C" w:rsidP="00395C6C">
            <w:pPr>
              <w:pStyle w:val="ListParagraph"/>
              <w:numPr>
                <w:ilvl w:val="0"/>
                <w:numId w:val="20"/>
              </w:numPr>
              <w:spacing w:after="0"/>
              <w:rPr>
                <w:rFonts w:ascii="Calibri" w:eastAsia="Calibri" w:hAnsi="Calibri" w:cs="Calibri"/>
                <w:color w:val="000000" w:themeColor="text1"/>
              </w:rPr>
            </w:pPr>
            <w:r w:rsidRPr="00766B6C">
              <w:rPr>
                <w:rFonts w:ascii="Calibri" w:eastAsia="Calibri" w:hAnsi="Calibri" w:cs="Calibri"/>
                <w:i/>
                <w:iCs/>
                <w:color w:val="000000" w:themeColor="text1"/>
              </w:rPr>
              <w:t>Peer Programs</w:t>
            </w:r>
            <w:r w:rsidRPr="00766B6C">
              <w:rPr>
                <w:rFonts w:ascii="Calibri" w:eastAsia="Calibri" w:hAnsi="Calibri" w:cs="Calibri"/>
                <w:color w:val="000000" w:themeColor="text1"/>
              </w:rPr>
              <w:t xml:space="preserve"> strengthen belonging, build confidence, and support transition.</w:t>
            </w:r>
          </w:p>
          <w:p w14:paraId="1C4C053D" w14:textId="77777777" w:rsidR="00395C6C" w:rsidRPr="00766B6C" w:rsidRDefault="00395C6C" w:rsidP="00395C6C">
            <w:pPr>
              <w:pStyle w:val="ListParagraph"/>
              <w:numPr>
                <w:ilvl w:val="0"/>
                <w:numId w:val="20"/>
              </w:numPr>
              <w:spacing w:after="0"/>
              <w:rPr>
                <w:rFonts w:ascii="Calibri" w:eastAsia="Calibri" w:hAnsi="Calibri" w:cs="Calibri"/>
                <w:color w:val="000000" w:themeColor="text1"/>
              </w:rPr>
            </w:pPr>
            <w:r w:rsidRPr="00766B6C">
              <w:rPr>
                <w:rFonts w:ascii="Calibri" w:eastAsia="Calibri" w:hAnsi="Calibri" w:cs="Calibri"/>
                <w:i/>
                <w:iCs/>
                <w:color w:val="000000" w:themeColor="text1"/>
              </w:rPr>
              <w:t>Disability Services</w:t>
            </w:r>
            <w:r w:rsidRPr="00766B6C">
              <w:rPr>
                <w:rFonts w:ascii="Calibri" w:eastAsia="Calibri" w:hAnsi="Calibri" w:cs="Calibri"/>
                <w:color w:val="000000" w:themeColor="text1"/>
              </w:rPr>
              <w:t xml:space="preserve"> deliver individual learning adjustments, assistive technologies, accessible course design, and staff training to embed inclusive practice. </w:t>
            </w:r>
            <w:r>
              <w:rPr>
                <w:rFonts w:ascii="Calibri" w:eastAsia="Calibri" w:hAnsi="Calibri" w:cs="Calibri"/>
                <w:color w:val="000000" w:themeColor="text1"/>
              </w:rPr>
              <w:t>By 2030</w:t>
            </w:r>
            <w:r w:rsidRPr="00766B6C">
              <w:rPr>
                <w:rFonts w:ascii="Calibri" w:eastAsia="Calibri" w:hAnsi="Calibri" w:cs="Calibri"/>
                <w:color w:val="000000" w:themeColor="text1"/>
              </w:rPr>
              <w:t xml:space="preserve">, we aim to increase participation of students with disability </w:t>
            </w:r>
            <w:r w:rsidRPr="7B931F97">
              <w:rPr>
                <w:rFonts w:ascii="Calibri" w:eastAsia="Calibri" w:hAnsi="Calibri" w:cs="Calibri"/>
                <w:color w:val="000000" w:themeColor="text1"/>
              </w:rPr>
              <w:t xml:space="preserve">with </w:t>
            </w:r>
            <w:r w:rsidRPr="00766B6C">
              <w:rPr>
                <w:rFonts w:ascii="Calibri" w:eastAsia="Calibri" w:hAnsi="Calibri" w:cs="Calibri"/>
                <w:color w:val="000000" w:themeColor="text1"/>
              </w:rPr>
              <w:t xml:space="preserve">at least 85% </w:t>
            </w:r>
            <w:r w:rsidRPr="7B931F97">
              <w:rPr>
                <w:rFonts w:ascii="Calibri" w:eastAsia="Calibri" w:hAnsi="Calibri" w:cs="Calibri"/>
                <w:color w:val="000000" w:themeColor="text1"/>
              </w:rPr>
              <w:t>reporting</w:t>
            </w:r>
            <w:r w:rsidRPr="00766B6C">
              <w:rPr>
                <w:rFonts w:ascii="Calibri" w:eastAsia="Calibri" w:hAnsi="Calibri" w:cs="Calibri"/>
                <w:color w:val="000000" w:themeColor="text1"/>
              </w:rPr>
              <w:t xml:space="preserve"> satisfaction with learning support.</w:t>
            </w:r>
          </w:p>
          <w:p w14:paraId="2B71AC89" w14:textId="77777777" w:rsidR="00395C6C" w:rsidRPr="00766B6C" w:rsidRDefault="00395C6C" w:rsidP="00395C6C">
            <w:pPr>
              <w:pStyle w:val="ListParagraph"/>
              <w:numPr>
                <w:ilvl w:val="0"/>
                <w:numId w:val="20"/>
              </w:numPr>
              <w:spacing w:after="0"/>
              <w:rPr>
                <w:rFonts w:ascii="Calibri" w:eastAsia="Calibri" w:hAnsi="Calibri" w:cs="Calibri"/>
                <w:color w:val="000000" w:themeColor="text1"/>
              </w:rPr>
            </w:pPr>
            <w:r w:rsidRPr="00766B6C">
              <w:rPr>
                <w:rFonts w:ascii="Calibri" w:eastAsia="Calibri" w:hAnsi="Calibri" w:cs="Calibri"/>
                <w:i/>
                <w:iCs/>
                <w:color w:val="000000" w:themeColor="text1"/>
              </w:rPr>
              <w:t>Targeted interventions</w:t>
            </w:r>
            <w:r w:rsidRPr="00766B6C">
              <w:rPr>
                <w:rFonts w:ascii="Calibri" w:eastAsia="Calibri" w:hAnsi="Calibri" w:cs="Calibri"/>
                <w:color w:val="000000" w:themeColor="text1"/>
              </w:rPr>
              <w:t xml:space="preserve"> address barriers such as digital access, food insecurity, placement poverty, wellbeing and the balance of study, work, and caring responsibilities.</w:t>
            </w:r>
          </w:p>
          <w:p w14:paraId="42F4C029" w14:textId="77777777" w:rsidR="00395C6C" w:rsidRPr="00766B6C" w:rsidRDefault="00395C6C" w:rsidP="00395C6C">
            <w:pPr>
              <w:spacing w:before="240"/>
              <w:rPr>
                <w:rFonts w:ascii="Calibri" w:eastAsia="Calibri" w:hAnsi="Calibri" w:cs="Calibri"/>
                <w:color w:val="000000" w:themeColor="text1"/>
              </w:rPr>
            </w:pPr>
            <w:r w:rsidRPr="5E550003">
              <w:rPr>
                <w:rFonts w:ascii="Calibri" w:eastAsia="Calibri" w:hAnsi="Calibri" w:cs="Calibri"/>
                <w:color w:val="000000" w:themeColor="text1"/>
              </w:rPr>
              <w:t>Western commits to improving overall student retention to 83% by 2030, increasing progression rates for low SES and Indigenous students, and ensuring more students feel a strong sense of belonging (measured by pulse surveys).</w:t>
            </w:r>
          </w:p>
          <w:p w14:paraId="427CCE2B" w14:textId="77777777" w:rsidR="00395C6C" w:rsidRPr="00766B6C" w:rsidRDefault="00395C6C" w:rsidP="00395C6C">
            <w:pPr>
              <w:spacing w:before="240"/>
            </w:pPr>
            <w:r w:rsidRPr="00766B6C">
              <w:rPr>
                <w:rFonts w:ascii="Calibri" w:eastAsia="Calibri" w:hAnsi="Calibri" w:cs="Calibri"/>
                <w:color w:val="000000" w:themeColor="text1"/>
              </w:rPr>
              <w:t xml:space="preserve">Western invests in career development and leadership pathways </w:t>
            </w:r>
            <w:r w:rsidRPr="111640F5">
              <w:rPr>
                <w:rFonts w:ascii="Calibri" w:eastAsia="Calibri" w:hAnsi="Calibri" w:cs="Calibri"/>
                <w:color w:val="000000" w:themeColor="text1"/>
              </w:rPr>
              <w:t>with</w:t>
            </w:r>
            <w:r w:rsidRPr="00766B6C">
              <w:rPr>
                <w:rFonts w:ascii="Calibri" w:eastAsia="Calibri" w:hAnsi="Calibri" w:cs="Calibri"/>
                <w:color w:val="000000" w:themeColor="text1"/>
              </w:rPr>
              <w:t xml:space="preserve"> </w:t>
            </w:r>
            <w:r w:rsidRPr="6062F03A">
              <w:rPr>
                <w:rFonts w:ascii="Calibri" w:eastAsia="Calibri" w:hAnsi="Calibri" w:cs="Calibri"/>
                <w:color w:val="000000" w:themeColor="text1"/>
              </w:rPr>
              <w:t>initiatives</w:t>
            </w:r>
            <w:r w:rsidRPr="00766B6C">
              <w:rPr>
                <w:rFonts w:ascii="Calibri" w:eastAsia="Calibri" w:hAnsi="Calibri" w:cs="Calibri"/>
                <w:color w:val="000000" w:themeColor="text1"/>
              </w:rPr>
              <w:t xml:space="preserve"> such as </w:t>
            </w:r>
            <w:r w:rsidRPr="00766B6C">
              <w:rPr>
                <w:rFonts w:ascii="Calibri" w:eastAsia="Calibri" w:hAnsi="Calibri" w:cs="Calibri"/>
                <w:i/>
                <w:iCs/>
                <w:color w:val="000000" w:themeColor="text1"/>
              </w:rPr>
              <w:t>Earn While You Learn</w:t>
            </w:r>
            <w:r w:rsidRPr="00766B6C">
              <w:rPr>
                <w:rFonts w:ascii="Calibri" w:eastAsia="Calibri" w:hAnsi="Calibri" w:cs="Calibri"/>
                <w:color w:val="000000" w:themeColor="text1"/>
              </w:rPr>
              <w:t xml:space="preserve"> and the </w:t>
            </w:r>
            <w:r w:rsidRPr="00766B6C">
              <w:rPr>
                <w:rFonts w:ascii="Calibri" w:eastAsia="Calibri" w:hAnsi="Calibri" w:cs="Calibri"/>
                <w:i/>
                <w:iCs/>
                <w:color w:val="000000" w:themeColor="text1"/>
              </w:rPr>
              <w:t>Citizen Scholar Employability Accelerator with Adobe</w:t>
            </w:r>
            <w:r w:rsidRPr="00766B6C">
              <w:rPr>
                <w:rFonts w:ascii="Calibri" w:eastAsia="Calibri" w:hAnsi="Calibri" w:cs="Calibri"/>
                <w:color w:val="000000" w:themeColor="text1"/>
              </w:rPr>
              <w:t xml:space="preserve"> create inclusive opportunities to gain paid experience and industry-recognised skills. </w:t>
            </w:r>
          </w:p>
          <w:bookmarkEnd w:id="0"/>
          <w:bookmarkEnd w:id="1"/>
          <w:p w14:paraId="22B87A46" w14:textId="00091711" w:rsidR="001B109C" w:rsidRDefault="00395C6C" w:rsidP="267A135F">
            <w:pPr>
              <w:pStyle w:val="NormalIndent"/>
              <w:spacing w:before="0" w:after="0"/>
              <w:ind w:left="0"/>
              <w:rPr>
                <w:rFonts w:asciiTheme="minorHAnsi" w:hAnsiTheme="minorHAnsi" w:cstheme="minorBidi"/>
                <w:i/>
                <w:iCs/>
                <w:color w:val="FF0000"/>
              </w:rPr>
            </w:pPr>
            <w:r w:rsidRPr="267A135F">
              <w:rPr>
                <w:rFonts w:eastAsia="Calibri" w:cs="Calibri"/>
                <w:color w:val="000000" w:themeColor="text1"/>
              </w:rPr>
              <w:t>With HECG funding, Western will expand its Student Success ecosystem to proactively identify and support students at risk—academically, financially, or in wellbeing. This includes enhanced data analytics, expanded coaching and mentoring, and targeted financial and wellbeing interventions.</w:t>
            </w:r>
          </w:p>
        </w:tc>
      </w:tr>
      <w:tr w:rsidR="001B109C" w:rsidRPr="00E41388" w14:paraId="39ADE404" w14:textId="77777777" w:rsidTr="267A135F">
        <w:tc>
          <w:tcPr>
            <w:tcW w:w="5000" w:type="pct"/>
          </w:tcPr>
          <w:p w14:paraId="5E8BF11E" w14:textId="0E120B78" w:rsidR="001B109C" w:rsidRPr="002A58A5" w:rsidRDefault="001B109C" w:rsidP="00F30BFA">
            <w:pPr>
              <w:pStyle w:val="Heading4"/>
              <w:keepLines w:val="0"/>
              <w:spacing w:before="180" w:after="60"/>
              <w:rPr>
                <w:iCs w:val="0"/>
              </w:rPr>
            </w:pPr>
            <w:r>
              <w:lastRenderedPageBreak/>
              <w:t xml:space="preserve">Strategies for </w:t>
            </w:r>
            <w:r w:rsidR="00F30BFA">
              <w:t>Improving T</w:t>
            </w:r>
            <w:r w:rsidRPr="00E169EE">
              <w:t xml:space="preserve">eaching and </w:t>
            </w:r>
            <w:r w:rsidR="00F30BFA">
              <w:t>L</w:t>
            </w:r>
            <w:r w:rsidRPr="00E169EE">
              <w:t>earning</w:t>
            </w:r>
          </w:p>
        </w:tc>
      </w:tr>
      <w:tr w:rsidR="001B109C" w:rsidRPr="00E41388" w14:paraId="3701A312" w14:textId="77777777" w:rsidTr="267A135F">
        <w:trPr>
          <w:trHeight w:val="977"/>
        </w:trPr>
        <w:tc>
          <w:tcPr>
            <w:tcW w:w="5000" w:type="pct"/>
            <w:tcBorders>
              <w:bottom w:val="single" w:sz="4" w:space="0" w:color="auto"/>
            </w:tcBorders>
          </w:tcPr>
          <w:p w14:paraId="7902A4C7" w14:textId="24F0E4BD" w:rsidR="00A900F2" w:rsidRPr="001A5C54" w:rsidRDefault="00A900F2" w:rsidP="00A900F2">
            <w:pPr>
              <w:spacing w:after="0"/>
              <w:rPr>
                <w:rFonts w:ascii="Calibri" w:eastAsia="Calibri" w:hAnsi="Calibri" w:cs="Calibri"/>
                <w:bCs/>
                <w:color w:val="000000" w:themeColor="text1"/>
                <w:lang w:val="en-GB"/>
              </w:rPr>
            </w:pPr>
            <w:r w:rsidRPr="001A5C54">
              <w:rPr>
                <w:bCs/>
              </w:rPr>
              <w:t>Western is advancing a student-centred approach to learning and teaching, with a strong emphasis on enhancing quality and outcomes</w:t>
            </w:r>
            <w:r>
              <w:rPr>
                <w:bCs/>
              </w:rPr>
              <w:t xml:space="preserve"> for our students</w:t>
            </w:r>
            <w:r w:rsidRPr="001A5C54">
              <w:rPr>
                <w:bCs/>
              </w:rPr>
              <w:t xml:space="preserve"> via initiatives outlined in WESTERN 2030</w:t>
            </w:r>
            <w:r>
              <w:rPr>
                <w:bCs/>
              </w:rPr>
              <w:t xml:space="preserve"> including:</w:t>
            </w:r>
            <w:r w:rsidRPr="001A5C54">
              <w:rPr>
                <w:bCs/>
              </w:rPr>
              <w:t xml:space="preserve"> </w:t>
            </w:r>
          </w:p>
          <w:p w14:paraId="75786A8A" w14:textId="77777777" w:rsidR="00A900F2" w:rsidRDefault="00A900F2" w:rsidP="00A900F2">
            <w:pPr>
              <w:spacing w:after="0"/>
              <w:rPr>
                <w:rFonts w:ascii="Calibri" w:eastAsia="Calibri" w:hAnsi="Calibri" w:cs="Calibri"/>
                <w:bCs/>
                <w:color w:val="252122"/>
                <w:lang w:val="en-GB"/>
              </w:rPr>
            </w:pPr>
          </w:p>
          <w:p w14:paraId="279C2C71" w14:textId="77777777" w:rsidR="00A900F2" w:rsidRDefault="00A900F2" w:rsidP="00A900F2">
            <w:pPr>
              <w:pStyle w:val="ListParagraph"/>
              <w:numPr>
                <w:ilvl w:val="0"/>
                <w:numId w:val="24"/>
              </w:numPr>
              <w:spacing w:after="0"/>
              <w:rPr>
                <w:rFonts w:ascii="Calibri" w:eastAsia="Calibri" w:hAnsi="Calibri" w:cs="Calibri"/>
                <w:bCs/>
                <w:color w:val="000000" w:themeColor="text1"/>
                <w:lang w:val="en-GB"/>
              </w:rPr>
            </w:pPr>
            <w:r w:rsidRPr="00AF1381">
              <w:rPr>
                <w:rFonts w:ascii="Calibri" w:eastAsia="Calibri" w:hAnsi="Calibri" w:cs="Calibri"/>
                <w:bCs/>
                <w:color w:val="000000" w:themeColor="text1"/>
                <w:lang w:val="en-GB"/>
              </w:rPr>
              <w:t xml:space="preserve">Through our </w:t>
            </w:r>
            <w:hyperlink r:id="rId22">
              <w:r w:rsidRPr="00AF1381">
                <w:rPr>
                  <w:rStyle w:val="Hyperlink"/>
                  <w:rFonts w:ascii="Calibri" w:eastAsia="Calibri" w:hAnsi="Calibri" w:cs="Calibri"/>
                  <w:b/>
                  <w:color w:val="467886"/>
                  <w:lang w:val="en-GB"/>
                </w:rPr>
                <w:t>Engaged Teaching Project</w:t>
              </w:r>
            </w:hyperlink>
            <w:r w:rsidRPr="00AF1381">
              <w:rPr>
                <w:rFonts w:ascii="Calibri" w:eastAsia="Calibri" w:hAnsi="Calibri" w:cs="Calibri"/>
                <w:bCs/>
                <w:color w:val="000000" w:themeColor="text1"/>
                <w:lang w:val="en-GB"/>
              </w:rPr>
              <w:t xml:space="preserve">, we are redesigning the classroom experience to improve learner engagement and overall student satisfaction,  focusing on large first year subjects with lower satisfaction and retention. Detailed analysis of SES qualitative responses shaped more collaborative delivery models, creating more engaged learning experiences. </w:t>
            </w:r>
          </w:p>
          <w:p w14:paraId="2D61ABB7" w14:textId="77777777" w:rsidR="00A900F2" w:rsidRDefault="00A900F2" w:rsidP="00A900F2">
            <w:pPr>
              <w:pStyle w:val="ListParagraph"/>
              <w:spacing w:after="0"/>
              <w:rPr>
                <w:rFonts w:ascii="Calibri" w:eastAsia="Calibri" w:hAnsi="Calibri" w:cs="Calibri"/>
                <w:bCs/>
                <w:color w:val="000000" w:themeColor="text1"/>
                <w:lang w:val="en-GB"/>
              </w:rPr>
            </w:pPr>
          </w:p>
          <w:p w14:paraId="17055BF5" w14:textId="77777777" w:rsidR="00A900F2" w:rsidRPr="00AF1381" w:rsidRDefault="00A900F2" w:rsidP="00A900F2">
            <w:pPr>
              <w:pStyle w:val="ListParagraph"/>
              <w:spacing w:after="0"/>
              <w:rPr>
                <w:rFonts w:ascii="Calibri" w:eastAsia="Calibri" w:hAnsi="Calibri" w:cs="Calibri"/>
                <w:bCs/>
                <w:color w:val="000000" w:themeColor="text1"/>
                <w:lang w:val="en-GB"/>
              </w:rPr>
            </w:pPr>
            <w:r w:rsidRPr="00AF1381">
              <w:rPr>
                <w:rFonts w:ascii="Calibri" w:eastAsia="Calibri" w:hAnsi="Calibri" w:cs="Calibri"/>
                <w:bCs/>
                <w:color w:val="000000" w:themeColor="text1"/>
                <w:lang w:val="en-GB"/>
              </w:rPr>
              <w:t>Western’s effectiveness is measured through evaluation and analysis of student feedback data. In the 2024 SES results, Teaching Quality and Engagement increased to 80.1%, up +1.7 from 2023, and continuing a three-year upward trend. The work of the ETP is now being scaled up for broader institutional rollout, with targeted attention in 2026 to large first year subjects and subjects with high fail rates.</w:t>
            </w:r>
          </w:p>
          <w:p w14:paraId="43A57CA0" w14:textId="77777777" w:rsidR="00A900F2" w:rsidRPr="001A5C54" w:rsidRDefault="00A900F2" w:rsidP="00A900F2">
            <w:pPr>
              <w:spacing w:after="0"/>
              <w:rPr>
                <w:rFonts w:ascii="Aptos" w:eastAsia="Aptos" w:hAnsi="Aptos" w:cs="Aptos"/>
                <w:bCs/>
                <w:i/>
                <w:iCs/>
                <w:color w:val="FF0000"/>
              </w:rPr>
            </w:pPr>
            <w:r w:rsidRPr="001A5C54">
              <w:rPr>
                <w:rFonts w:ascii="Calibri" w:eastAsia="Calibri" w:hAnsi="Calibri" w:cs="Calibri"/>
                <w:bCs/>
                <w:color w:val="000000" w:themeColor="text1"/>
                <w:lang w:val="en-GB"/>
              </w:rPr>
              <w:t xml:space="preserve"> </w:t>
            </w:r>
          </w:p>
          <w:p w14:paraId="3EAAEFED" w14:textId="77777777" w:rsidR="00A900F2" w:rsidRPr="001A5C54" w:rsidRDefault="00A900F2" w:rsidP="00A900F2">
            <w:pPr>
              <w:pStyle w:val="ListParagraph"/>
              <w:numPr>
                <w:ilvl w:val="0"/>
                <w:numId w:val="22"/>
              </w:numPr>
              <w:spacing w:after="0"/>
              <w:rPr>
                <w:rFonts w:ascii="Calibri" w:eastAsia="Calibri" w:hAnsi="Calibri" w:cs="Calibri"/>
                <w:bCs/>
                <w:color w:val="000000" w:themeColor="text1"/>
                <w:lang w:val="en-GB"/>
              </w:rPr>
            </w:pPr>
            <w:r w:rsidRPr="001A5C54">
              <w:rPr>
                <w:rFonts w:ascii="Calibri" w:eastAsia="Calibri" w:hAnsi="Calibri" w:cs="Calibri"/>
                <w:bCs/>
                <w:color w:val="000000" w:themeColor="text1"/>
                <w:lang w:val="en-GB"/>
              </w:rPr>
              <w:t xml:space="preserve">The development and implementation across 2025-26 of a new </w:t>
            </w:r>
            <w:hyperlink r:id="rId23">
              <w:r w:rsidRPr="00401CB5">
                <w:rPr>
                  <w:rStyle w:val="Hyperlink"/>
                  <w:rFonts w:ascii="Calibri" w:eastAsia="Calibri" w:hAnsi="Calibri" w:cs="Calibri"/>
                  <w:b/>
                  <w:color w:val="467886"/>
                  <w:lang w:val="en-GB"/>
                </w:rPr>
                <w:t>Teaching Quality Framework</w:t>
              </w:r>
            </w:hyperlink>
            <w:r w:rsidRPr="00B875FB">
              <w:rPr>
                <w:rFonts w:ascii="Calibri" w:eastAsia="Calibri" w:hAnsi="Calibri" w:cs="Calibri"/>
                <w:bCs/>
                <w:color w:val="000000" w:themeColor="text1"/>
                <w:lang w:val="en-GB"/>
              </w:rPr>
              <w:t xml:space="preserve"> </w:t>
            </w:r>
            <w:r w:rsidRPr="001A5C54">
              <w:rPr>
                <w:rFonts w:ascii="Calibri" w:eastAsia="Calibri" w:hAnsi="Calibri" w:cs="Calibri"/>
                <w:bCs/>
                <w:color w:val="000000" w:themeColor="text1"/>
                <w:lang w:val="en-GB"/>
              </w:rPr>
              <w:t xml:space="preserve">(TQF) that provides the University with a practical guide to clarify what constitutes quality teaching and how it can be measured. The WSU TQF will be benchmarked, both nationally and internationally, but will also have distinctively WSU content. Importantly, it will establish clear and consistent institution-wide expectations around teaching quality, will align with recruitment, probation, performance, and promotion criteria, and will enable our best teachers to be acknowledged and rewarded. </w:t>
            </w:r>
          </w:p>
          <w:p w14:paraId="3EC31CDB" w14:textId="77777777" w:rsidR="00A900F2" w:rsidRPr="001A5C54" w:rsidRDefault="00A900F2" w:rsidP="00A900F2">
            <w:pPr>
              <w:spacing w:after="0"/>
              <w:rPr>
                <w:rFonts w:ascii="Calibri" w:eastAsia="Calibri" w:hAnsi="Calibri" w:cs="Calibri"/>
                <w:bCs/>
                <w:color w:val="000000" w:themeColor="text1"/>
                <w:lang w:val="en-GB"/>
              </w:rPr>
            </w:pPr>
            <w:r w:rsidRPr="001A5C54">
              <w:rPr>
                <w:rFonts w:ascii="Calibri" w:eastAsia="Calibri" w:hAnsi="Calibri" w:cs="Calibri"/>
                <w:bCs/>
                <w:color w:val="000000" w:themeColor="text1"/>
                <w:lang w:val="en-GB"/>
              </w:rPr>
              <w:t xml:space="preserve"> </w:t>
            </w:r>
          </w:p>
          <w:p w14:paraId="5E36DB84" w14:textId="77777777" w:rsidR="00A900F2" w:rsidRDefault="00A900F2" w:rsidP="00A900F2">
            <w:pPr>
              <w:pStyle w:val="ListParagraph"/>
              <w:numPr>
                <w:ilvl w:val="0"/>
                <w:numId w:val="22"/>
              </w:numPr>
              <w:spacing w:after="0"/>
              <w:rPr>
                <w:rFonts w:ascii="Calibri" w:eastAsia="Calibri" w:hAnsi="Calibri" w:cs="Calibri"/>
                <w:bCs/>
                <w:color w:val="000000" w:themeColor="text1"/>
                <w:lang w:val="en-GB"/>
              </w:rPr>
            </w:pPr>
            <w:r w:rsidRPr="00B875FB">
              <w:rPr>
                <w:rFonts w:ascii="Calibri" w:eastAsia="Calibri" w:hAnsi="Calibri" w:cs="Calibri"/>
                <w:b/>
                <w:color w:val="000000" w:themeColor="text1"/>
                <w:lang w:val="en-GB"/>
              </w:rPr>
              <w:t xml:space="preserve">Redesigned </w:t>
            </w:r>
            <w:r w:rsidRPr="00401CB5">
              <w:rPr>
                <w:rFonts w:ascii="Calibri" w:eastAsia="Calibri" w:hAnsi="Calibri" w:cs="Calibri"/>
                <w:b/>
                <w:color w:val="000000" w:themeColor="text1"/>
                <w:lang w:val="en-GB"/>
              </w:rPr>
              <w:t>professional development in learning and teaching</w:t>
            </w:r>
            <w:r w:rsidRPr="001A5C54">
              <w:rPr>
                <w:rFonts w:ascii="Calibri" w:eastAsia="Calibri" w:hAnsi="Calibri" w:cs="Calibri"/>
                <w:bCs/>
                <w:color w:val="000000" w:themeColor="text1"/>
                <w:lang w:val="en-GB"/>
              </w:rPr>
              <w:t xml:space="preserve"> aligned with the TQF, underpinned by an expanded team from 2026, building on the strong foundational work already carr</w:t>
            </w:r>
            <w:r>
              <w:rPr>
                <w:rFonts w:ascii="Calibri" w:eastAsia="Calibri" w:hAnsi="Calibri" w:cs="Calibri"/>
                <w:bCs/>
                <w:color w:val="000000" w:themeColor="text1"/>
                <w:lang w:val="en-GB"/>
              </w:rPr>
              <w:t>i</w:t>
            </w:r>
            <w:r w:rsidRPr="001A5C54">
              <w:rPr>
                <w:rFonts w:ascii="Calibri" w:eastAsia="Calibri" w:hAnsi="Calibri" w:cs="Calibri"/>
                <w:bCs/>
                <w:color w:val="000000" w:themeColor="text1"/>
                <w:lang w:val="en-GB"/>
              </w:rPr>
              <w:t>ed out with new and early career colleagues to prioritise whole-of-career development activities.</w:t>
            </w:r>
          </w:p>
          <w:p w14:paraId="79904E9C" w14:textId="77777777" w:rsidR="00A900F2" w:rsidRPr="002C5F57" w:rsidRDefault="00A900F2" w:rsidP="00A900F2">
            <w:pPr>
              <w:spacing w:after="0"/>
              <w:rPr>
                <w:rFonts w:ascii="Calibri" w:eastAsia="Calibri" w:hAnsi="Calibri" w:cs="Calibri"/>
                <w:bCs/>
                <w:color w:val="000000" w:themeColor="text1"/>
                <w:lang w:val="en-GB"/>
              </w:rPr>
            </w:pPr>
          </w:p>
          <w:p w14:paraId="3024B9F3" w14:textId="77777777" w:rsidR="00A900F2" w:rsidRPr="001A5C54" w:rsidRDefault="00A900F2" w:rsidP="00A900F2">
            <w:pPr>
              <w:pStyle w:val="ListParagraph"/>
              <w:numPr>
                <w:ilvl w:val="0"/>
                <w:numId w:val="23"/>
              </w:numPr>
              <w:spacing w:after="0"/>
              <w:rPr>
                <w:bCs/>
              </w:rPr>
            </w:pPr>
            <w:r w:rsidRPr="001A5C54">
              <w:rPr>
                <w:bCs/>
              </w:rPr>
              <w:t xml:space="preserve">In 2026, </w:t>
            </w:r>
            <w:r w:rsidRPr="00B875FB">
              <w:rPr>
                <w:b/>
              </w:rPr>
              <w:t xml:space="preserve">streamlining our </w:t>
            </w:r>
            <w:r w:rsidRPr="00401CB5">
              <w:rPr>
                <w:b/>
              </w:rPr>
              <w:t>student feedback mechanisms</w:t>
            </w:r>
            <w:r w:rsidRPr="001A5C54">
              <w:rPr>
                <w:bCs/>
              </w:rPr>
              <w:t xml:space="preserve"> by reviewing and redesigning teaching surveys to increase participation and improve the accuracy of teaching quality evaluations.</w:t>
            </w:r>
          </w:p>
          <w:p w14:paraId="0BFE5BBF" w14:textId="77777777" w:rsidR="00A900F2" w:rsidRPr="001A5C54" w:rsidRDefault="00A900F2" w:rsidP="00A900F2">
            <w:pPr>
              <w:spacing w:after="0"/>
              <w:ind w:left="720"/>
              <w:rPr>
                <w:rFonts w:ascii="Calibri" w:eastAsia="Calibri" w:hAnsi="Calibri" w:cs="Calibri"/>
                <w:bCs/>
                <w:color w:val="000000" w:themeColor="text1"/>
                <w:lang w:val="en-GB"/>
              </w:rPr>
            </w:pPr>
            <w:r w:rsidRPr="001A5C54">
              <w:rPr>
                <w:rFonts w:ascii="Calibri" w:eastAsia="Calibri" w:hAnsi="Calibri" w:cs="Calibri"/>
                <w:bCs/>
                <w:color w:val="000000" w:themeColor="text1"/>
                <w:lang w:val="en-GB"/>
              </w:rPr>
              <w:t xml:space="preserve"> </w:t>
            </w:r>
          </w:p>
          <w:p w14:paraId="38127844" w14:textId="77777777" w:rsidR="00A900F2" w:rsidRPr="001A5C54" w:rsidRDefault="00A900F2" w:rsidP="00A900F2">
            <w:pPr>
              <w:pStyle w:val="ListParagraph"/>
              <w:numPr>
                <w:ilvl w:val="0"/>
                <w:numId w:val="22"/>
              </w:numPr>
              <w:spacing w:after="0"/>
              <w:rPr>
                <w:rFonts w:ascii="Calibri" w:eastAsia="Calibri" w:hAnsi="Calibri" w:cs="Calibri"/>
                <w:bCs/>
                <w:color w:val="000000" w:themeColor="text1"/>
                <w:lang w:val="en-GB"/>
              </w:rPr>
            </w:pPr>
            <w:r w:rsidRPr="001A5C54">
              <w:rPr>
                <w:rFonts w:ascii="Calibri" w:eastAsia="Calibri" w:hAnsi="Calibri" w:cs="Calibri"/>
                <w:bCs/>
                <w:color w:val="000000" w:themeColor="text1"/>
                <w:lang w:val="en-GB"/>
              </w:rPr>
              <w:t xml:space="preserve">An </w:t>
            </w:r>
            <w:r w:rsidRPr="00B875FB">
              <w:rPr>
                <w:rFonts w:ascii="Calibri" w:eastAsia="Calibri" w:hAnsi="Calibri" w:cs="Calibri"/>
                <w:b/>
                <w:color w:val="000000" w:themeColor="text1"/>
                <w:lang w:val="en-GB"/>
              </w:rPr>
              <w:t xml:space="preserve">improved </w:t>
            </w:r>
            <w:r w:rsidRPr="00401CB5">
              <w:rPr>
                <w:rFonts w:ascii="Calibri" w:eastAsia="Calibri" w:hAnsi="Calibri" w:cs="Calibri"/>
                <w:b/>
                <w:color w:val="000000" w:themeColor="text1"/>
                <w:lang w:val="en-GB"/>
              </w:rPr>
              <w:t>digital learning experience</w:t>
            </w:r>
            <w:r w:rsidRPr="001A5C54">
              <w:rPr>
                <w:rFonts w:ascii="Calibri" w:eastAsia="Calibri" w:hAnsi="Calibri" w:cs="Calibri"/>
                <w:bCs/>
                <w:color w:val="000000" w:themeColor="text1"/>
                <w:lang w:val="en-GB"/>
              </w:rPr>
              <w:t xml:space="preserve"> through the uplift across 2025-26 of our Learning Management System (LMS) to mirror the insights of ETP and offer greater levels of interaction and collaboration. The LMS will also provide an enhanced student experience, with GenAI improving accessibility and interactivity for students. LMS analytics will be used to track student performance and target early interventions for struggling or disengaged students.</w:t>
            </w:r>
          </w:p>
          <w:p w14:paraId="379CA64A" w14:textId="77777777" w:rsidR="00A900F2" w:rsidRPr="001A5C54" w:rsidRDefault="00A900F2" w:rsidP="00A900F2">
            <w:pPr>
              <w:pStyle w:val="ListParagraph"/>
              <w:spacing w:after="0"/>
              <w:rPr>
                <w:rFonts w:ascii="Calibri" w:eastAsia="Calibri" w:hAnsi="Calibri" w:cs="Calibri"/>
                <w:bCs/>
                <w:color w:val="000000" w:themeColor="text1"/>
                <w:lang w:val="en-GB"/>
              </w:rPr>
            </w:pPr>
          </w:p>
          <w:p w14:paraId="0FA439B4" w14:textId="1A260E49" w:rsidR="00A900F2" w:rsidRPr="00B875FB" w:rsidRDefault="00A900F2" w:rsidP="00A900F2">
            <w:pPr>
              <w:pStyle w:val="ListParagraph"/>
              <w:numPr>
                <w:ilvl w:val="0"/>
                <w:numId w:val="22"/>
              </w:numPr>
              <w:spacing w:after="0"/>
              <w:rPr>
                <w:rFonts w:ascii="Calibri" w:eastAsia="Calibri" w:hAnsi="Calibri" w:cs="Calibri"/>
                <w:bCs/>
                <w:color w:val="000000" w:themeColor="text1"/>
                <w:lang w:val="en-GB"/>
              </w:rPr>
            </w:pPr>
            <w:r w:rsidRPr="00B875FB">
              <w:rPr>
                <w:rFonts w:ascii="Calibri" w:eastAsia="Calibri" w:hAnsi="Calibri" w:cs="Calibri"/>
                <w:b/>
                <w:color w:val="000000" w:themeColor="text1"/>
                <w:lang w:val="en-GB"/>
              </w:rPr>
              <w:t>Developing leading digital and AI literacy, skills, and capabilities</w:t>
            </w:r>
            <w:r w:rsidRPr="001A5C54">
              <w:rPr>
                <w:rFonts w:ascii="Calibri" w:eastAsia="Calibri" w:hAnsi="Calibri" w:cs="Calibri"/>
                <w:bCs/>
                <w:color w:val="000000" w:themeColor="text1"/>
                <w:lang w:val="en-GB"/>
              </w:rPr>
              <w:t xml:space="preserve"> for students</w:t>
            </w:r>
            <w:r w:rsidRPr="00B875FB">
              <w:rPr>
                <w:rFonts w:ascii="Calibri" w:eastAsia="Calibri" w:hAnsi="Calibri" w:cs="Calibri"/>
                <w:bCs/>
                <w:color w:val="000000" w:themeColor="text1"/>
                <w:lang w:val="en-GB"/>
              </w:rPr>
              <w:t xml:space="preserve"> with </w:t>
            </w:r>
            <w:r w:rsidRPr="001A5C54">
              <w:rPr>
                <w:rFonts w:ascii="Calibri" w:eastAsia="Calibri" w:hAnsi="Calibri" w:cs="Calibri"/>
                <w:bCs/>
                <w:color w:val="000000" w:themeColor="text1"/>
                <w:lang w:val="en-GB"/>
              </w:rPr>
              <w:t xml:space="preserve">all students and staff having access to AI literacy training from the start of 2026, establishing and scaling partnerships with digital leaders such as </w:t>
            </w:r>
            <w:hyperlink r:id="rId24" w:history="1">
              <w:r w:rsidRPr="001A5C54">
                <w:rPr>
                  <w:rStyle w:val="Hyperlink"/>
                  <w:rFonts w:ascii="Calibri" w:eastAsia="Calibri" w:hAnsi="Calibri" w:cs="Calibri"/>
                  <w:bCs/>
                  <w:lang w:val="en-GB"/>
                </w:rPr>
                <w:t>Adobe</w:t>
              </w:r>
            </w:hyperlink>
            <w:r w:rsidRPr="001A5C54">
              <w:rPr>
                <w:rFonts w:ascii="Calibri" w:eastAsia="Calibri" w:hAnsi="Calibri" w:cs="Calibri"/>
                <w:bCs/>
                <w:color w:val="000000" w:themeColor="text1"/>
                <w:lang w:val="en-GB"/>
              </w:rPr>
              <w:t xml:space="preserve">, </w:t>
            </w:r>
            <w:hyperlink r:id="rId25" w:history="1">
              <w:r w:rsidRPr="001A5C54">
                <w:rPr>
                  <w:rStyle w:val="Hyperlink"/>
                  <w:rFonts w:ascii="Calibri" w:eastAsia="Calibri" w:hAnsi="Calibri" w:cs="Calibri"/>
                  <w:bCs/>
                  <w:lang w:val="en-GB"/>
                </w:rPr>
                <w:t>Microsoft</w:t>
              </w:r>
            </w:hyperlink>
            <w:r w:rsidRPr="001A5C54">
              <w:rPr>
                <w:rFonts w:ascii="Calibri" w:eastAsia="Calibri" w:hAnsi="Calibri" w:cs="Calibri"/>
                <w:bCs/>
                <w:color w:val="000000" w:themeColor="text1"/>
                <w:lang w:val="en-GB"/>
              </w:rPr>
              <w:t xml:space="preserve"> and </w:t>
            </w:r>
            <w:r w:rsidRPr="00286727">
              <w:rPr>
                <w:rFonts w:ascii="Calibri" w:eastAsia="Calibri" w:hAnsi="Calibri" w:cs="Calibri"/>
                <w:bCs/>
                <w:lang w:val="en-GB"/>
              </w:rPr>
              <w:t>AWS</w:t>
            </w:r>
            <w:r w:rsidRPr="001A5C54">
              <w:rPr>
                <w:rFonts w:ascii="Calibri" w:eastAsia="Calibri" w:hAnsi="Calibri" w:cs="Calibri"/>
                <w:bCs/>
                <w:color w:val="000000" w:themeColor="text1"/>
                <w:lang w:val="en-GB"/>
              </w:rPr>
              <w:t xml:space="preserve"> </w:t>
            </w:r>
            <w:r w:rsidRPr="001A5C54">
              <w:rPr>
                <w:bCs/>
              </w:rPr>
              <w:t>to embed certifications and co-design assessments that reflect real-world skills.</w:t>
            </w:r>
          </w:p>
          <w:p w14:paraId="2A46798C" w14:textId="77777777" w:rsidR="00A900F2" w:rsidRPr="001A5C54" w:rsidRDefault="00A900F2" w:rsidP="00A900F2">
            <w:pPr>
              <w:spacing w:after="0"/>
              <w:ind w:left="720"/>
              <w:rPr>
                <w:rFonts w:ascii="Calibri" w:eastAsia="Calibri" w:hAnsi="Calibri" w:cs="Calibri"/>
                <w:bCs/>
                <w:color w:val="000000" w:themeColor="text1"/>
                <w:lang w:val="en-GB"/>
              </w:rPr>
            </w:pPr>
            <w:r w:rsidRPr="001A5C54">
              <w:rPr>
                <w:rFonts w:ascii="Calibri" w:eastAsia="Calibri" w:hAnsi="Calibri" w:cs="Calibri"/>
                <w:bCs/>
                <w:color w:val="000000" w:themeColor="text1"/>
                <w:lang w:val="en-GB"/>
              </w:rPr>
              <w:t xml:space="preserve"> </w:t>
            </w:r>
          </w:p>
          <w:p w14:paraId="6CB1AA73" w14:textId="77777777" w:rsidR="00A900F2" w:rsidRPr="001A5C54" w:rsidRDefault="00A900F2" w:rsidP="00A900F2">
            <w:pPr>
              <w:pStyle w:val="ListParagraph"/>
              <w:numPr>
                <w:ilvl w:val="0"/>
                <w:numId w:val="22"/>
              </w:numPr>
              <w:spacing w:after="0"/>
              <w:rPr>
                <w:rFonts w:ascii="Calibri" w:eastAsia="Calibri" w:hAnsi="Calibri" w:cs="Calibri"/>
                <w:bCs/>
                <w:color w:val="000000" w:themeColor="text1"/>
                <w:lang w:val="en-GB"/>
              </w:rPr>
            </w:pPr>
            <w:r w:rsidRPr="001A5C54">
              <w:rPr>
                <w:rFonts w:ascii="Calibri" w:eastAsia="Calibri" w:hAnsi="Calibri" w:cs="Calibri"/>
                <w:bCs/>
                <w:color w:val="000000" w:themeColor="text1"/>
                <w:lang w:val="en-GB"/>
              </w:rPr>
              <w:t xml:space="preserve">The roll-out across 2026-27 of </w:t>
            </w:r>
            <w:r w:rsidRPr="00401CB5">
              <w:rPr>
                <w:rFonts w:ascii="Calibri" w:eastAsia="Calibri" w:hAnsi="Calibri" w:cs="Calibri"/>
                <w:b/>
                <w:color w:val="000000" w:themeColor="text1"/>
                <w:lang w:val="en-GB"/>
              </w:rPr>
              <w:t>comprehensive reset of assessment and feedback</w:t>
            </w:r>
            <w:r w:rsidRPr="00B875FB">
              <w:rPr>
                <w:rFonts w:ascii="Calibri" w:eastAsia="Calibri" w:hAnsi="Calibri" w:cs="Calibri"/>
                <w:b/>
                <w:color w:val="000000" w:themeColor="text1"/>
                <w:lang w:val="en-GB"/>
              </w:rPr>
              <w:t xml:space="preserve"> strategies</w:t>
            </w:r>
            <w:r w:rsidRPr="001A5C54">
              <w:rPr>
                <w:rFonts w:ascii="Calibri" w:eastAsia="Calibri" w:hAnsi="Calibri" w:cs="Calibri"/>
                <w:bCs/>
                <w:color w:val="000000" w:themeColor="text1"/>
                <w:lang w:val="en-GB"/>
              </w:rPr>
              <w:t>, including how student performance is tracked. ‘</w:t>
            </w:r>
            <w:r w:rsidRPr="00B875FB">
              <w:rPr>
                <w:rFonts w:ascii="Calibri" w:eastAsia="Calibri" w:hAnsi="Calibri" w:cs="Calibri"/>
                <w:b/>
                <w:color w:val="000000" w:themeColor="text1"/>
                <w:lang w:val="en-GB"/>
              </w:rPr>
              <w:t>Assessment that Inspires and Assures Student Learning for Award Integrity’</w:t>
            </w:r>
            <w:r w:rsidRPr="001A5C54">
              <w:rPr>
                <w:rFonts w:ascii="Calibri" w:eastAsia="Calibri" w:hAnsi="Calibri" w:cs="Calibri"/>
                <w:bCs/>
                <w:color w:val="000000" w:themeColor="text1"/>
                <w:lang w:val="en-GB"/>
              </w:rPr>
              <w:t xml:space="preserve">, or the ‘IA Approach’ will deliver security of assessment and assurance of learning in the context of GenAI. </w:t>
            </w:r>
          </w:p>
          <w:p w14:paraId="76E4FFA0" w14:textId="77777777" w:rsidR="00A900F2" w:rsidRPr="001A5C54" w:rsidRDefault="00A900F2" w:rsidP="00A900F2">
            <w:pPr>
              <w:spacing w:after="0"/>
              <w:rPr>
                <w:rFonts w:ascii="Calibri" w:eastAsia="Calibri" w:hAnsi="Calibri" w:cs="Calibri"/>
                <w:bCs/>
                <w:color w:val="000000" w:themeColor="text1"/>
                <w:lang w:val="en-GB"/>
              </w:rPr>
            </w:pPr>
            <w:r w:rsidRPr="001A5C54">
              <w:rPr>
                <w:rFonts w:ascii="Calibri" w:eastAsia="Calibri" w:hAnsi="Calibri" w:cs="Calibri"/>
                <w:bCs/>
                <w:color w:val="000000" w:themeColor="text1"/>
                <w:lang w:val="en-GB"/>
              </w:rPr>
              <w:lastRenderedPageBreak/>
              <w:t xml:space="preserve"> </w:t>
            </w:r>
          </w:p>
          <w:p w14:paraId="4A2F9516" w14:textId="77777777" w:rsidR="00A900F2" w:rsidRPr="001A5C54" w:rsidRDefault="00A900F2" w:rsidP="00A900F2">
            <w:pPr>
              <w:pStyle w:val="ListParagraph"/>
              <w:numPr>
                <w:ilvl w:val="0"/>
                <w:numId w:val="22"/>
              </w:numPr>
              <w:spacing w:after="0" w:line="257" w:lineRule="auto"/>
              <w:rPr>
                <w:rFonts w:ascii="Calibri" w:eastAsia="Calibri" w:hAnsi="Calibri" w:cs="Calibri"/>
                <w:bCs/>
                <w:color w:val="000000" w:themeColor="text1"/>
                <w:lang w:val="en-GB"/>
              </w:rPr>
            </w:pPr>
            <w:r w:rsidRPr="001A5C54">
              <w:rPr>
                <w:rFonts w:ascii="Calibri" w:eastAsia="Calibri" w:hAnsi="Calibri" w:cs="Calibri"/>
                <w:bCs/>
                <w:color w:val="000000" w:themeColor="text1"/>
                <w:lang w:val="en-GB"/>
              </w:rPr>
              <w:t xml:space="preserve">The introduction in 2026 of a </w:t>
            </w:r>
            <w:r w:rsidRPr="00401CB5">
              <w:rPr>
                <w:rFonts w:ascii="Calibri" w:eastAsia="Calibri" w:hAnsi="Calibri" w:cs="Calibri"/>
                <w:b/>
                <w:color w:val="000000" w:themeColor="text1"/>
                <w:lang w:val="en-GB"/>
              </w:rPr>
              <w:t>dynamic, app-based on-boarding and engagement program</w:t>
            </w:r>
            <w:r w:rsidRPr="00B875FB">
              <w:rPr>
                <w:rFonts w:ascii="Calibri" w:eastAsia="Calibri" w:hAnsi="Calibri" w:cs="Calibri"/>
                <w:bCs/>
                <w:color w:val="000000" w:themeColor="text1"/>
                <w:lang w:val="en-GB"/>
              </w:rPr>
              <w:t xml:space="preserve"> (Western 100) </w:t>
            </w:r>
            <w:r w:rsidRPr="001A5C54">
              <w:rPr>
                <w:rFonts w:ascii="Calibri" w:eastAsia="Calibri" w:hAnsi="Calibri" w:cs="Calibri"/>
                <w:bCs/>
                <w:color w:val="000000" w:themeColor="text1"/>
                <w:lang w:val="en-GB"/>
              </w:rPr>
              <w:t>designed to enhance overall support for new and continuing students that is timely and personalised. It is core to the University’s new approach to lifting retention from 70.6% (2023) to 83% by 2030.</w:t>
            </w:r>
          </w:p>
          <w:p w14:paraId="74D1FDC7" w14:textId="77777777" w:rsidR="001B109C" w:rsidRPr="007E3E37" w:rsidRDefault="001B109C" w:rsidP="00E734FF">
            <w:pPr>
              <w:pStyle w:val="NormalIndent"/>
              <w:spacing w:before="0" w:after="0"/>
              <w:ind w:left="0"/>
              <w:rPr>
                <w:rFonts w:asciiTheme="minorHAnsi" w:hAnsiTheme="minorHAnsi" w:cstheme="minorHAnsi"/>
                <w:i/>
                <w:color w:val="FF0000"/>
                <w:szCs w:val="22"/>
              </w:rPr>
            </w:pPr>
          </w:p>
        </w:tc>
      </w:tr>
      <w:tr w:rsidR="001B109C" w:rsidRPr="00E41388" w14:paraId="3EB68E1B" w14:textId="77777777" w:rsidTr="267A135F">
        <w:tc>
          <w:tcPr>
            <w:tcW w:w="5000" w:type="pct"/>
          </w:tcPr>
          <w:p w14:paraId="54D9B30B" w14:textId="09B691CB" w:rsidR="001B109C" w:rsidRPr="00E169EE" w:rsidRDefault="001B109C" w:rsidP="00F30BFA">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267A135F">
        <w:tc>
          <w:tcPr>
            <w:tcW w:w="5000" w:type="pct"/>
          </w:tcPr>
          <w:p w14:paraId="31E3EC6C" w14:textId="3E721155" w:rsidR="00990F9A" w:rsidRPr="00AF1381" w:rsidRDefault="00990F9A" w:rsidP="00990F9A">
            <w:pPr>
              <w:pStyle w:val="BodyText"/>
              <w:spacing w:line="240" w:lineRule="auto"/>
              <w:ind w:right="104"/>
              <w:rPr>
                <w:rFonts w:asciiTheme="minorHAnsi" w:hAnsiTheme="minorHAnsi" w:cstheme="minorHAnsi"/>
                <w:sz w:val="22"/>
                <w:lang w:val="en-US"/>
              </w:rPr>
            </w:pPr>
            <w:r>
              <w:rPr>
                <w:rFonts w:asciiTheme="minorHAnsi" w:hAnsiTheme="minorHAnsi" w:cstheme="minorHAnsi"/>
                <w:sz w:val="22"/>
                <w:lang w:val="en-US"/>
              </w:rPr>
              <w:t>I</w:t>
            </w:r>
            <w:r w:rsidRPr="00AF1381">
              <w:rPr>
                <w:rFonts w:asciiTheme="minorHAnsi" w:hAnsiTheme="minorHAnsi" w:cstheme="minorHAnsi"/>
                <w:sz w:val="22"/>
                <w:lang w:val="en-US"/>
              </w:rPr>
              <w:t>n WESTERN 2030, Western</w:t>
            </w:r>
            <w:r>
              <w:rPr>
                <w:rFonts w:asciiTheme="minorHAnsi" w:hAnsiTheme="minorHAnsi" w:cstheme="minorHAnsi"/>
                <w:sz w:val="22"/>
                <w:lang w:val="en-US"/>
              </w:rPr>
              <w:t>’s</w:t>
            </w:r>
            <w:r w:rsidRPr="00AF1381">
              <w:rPr>
                <w:rFonts w:asciiTheme="minorHAnsi" w:hAnsiTheme="minorHAnsi" w:cstheme="minorHAnsi"/>
                <w:sz w:val="22"/>
                <w:lang w:val="en-US"/>
              </w:rPr>
              <w:t xml:space="preserve"> research priorities include:</w:t>
            </w:r>
          </w:p>
          <w:p w14:paraId="0FF1BE1C" w14:textId="77777777" w:rsidR="00990F9A" w:rsidRPr="00AF1381" w:rsidRDefault="00990F9A" w:rsidP="00990F9A">
            <w:pPr>
              <w:pStyle w:val="BodyText"/>
              <w:numPr>
                <w:ilvl w:val="0"/>
                <w:numId w:val="26"/>
              </w:numPr>
              <w:spacing w:after="0" w:line="240" w:lineRule="auto"/>
              <w:ind w:right="102"/>
              <w:rPr>
                <w:rFonts w:asciiTheme="minorHAnsi" w:hAnsiTheme="minorHAnsi" w:cstheme="minorHAnsi"/>
                <w:sz w:val="22"/>
                <w:lang w:val="en-US"/>
              </w:rPr>
            </w:pPr>
            <w:r w:rsidRPr="00AF1381">
              <w:rPr>
                <w:rFonts w:asciiTheme="minorHAnsi" w:hAnsiTheme="minorHAnsi" w:cstheme="minorHAnsi"/>
                <w:b/>
                <w:bCs/>
                <w:sz w:val="22"/>
                <w:lang w:val="en-US"/>
              </w:rPr>
              <w:t>Produce research excellence and drive innovation</w:t>
            </w:r>
            <w:r w:rsidRPr="00AF1381">
              <w:rPr>
                <w:rFonts w:asciiTheme="minorHAnsi" w:hAnsiTheme="minorHAnsi" w:cstheme="minorHAnsi"/>
                <w:sz w:val="22"/>
                <w:lang w:val="en-US"/>
              </w:rPr>
              <w:t xml:space="preserve"> across the University, accelerating our global reputation.</w:t>
            </w:r>
          </w:p>
          <w:p w14:paraId="4816E79A" w14:textId="77777777" w:rsidR="00990F9A" w:rsidRPr="00AF1381" w:rsidRDefault="00990F9A" w:rsidP="00990F9A">
            <w:pPr>
              <w:pStyle w:val="BodyText"/>
              <w:numPr>
                <w:ilvl w:val="0"/>
                <w:numId w:val="26"/>
              </w:numPr>
              <w:spacing w:after="0" w:line="240" w:lineRule="auto"/>
              <w:ind w:right="102"/>
              <w:rPr>
                <w:rFonts w:asciiTheme="minorHAnsi" w:hAnsiTheme="minorHAnsi" w:cstheme="minorHAnsi"/>
                <w:sz w:val="22"/>
                <w:lang w:val="en-US"/>
              </w:rPr>
            </w:pPr>
            <w:r w:rsidRPr="00AF1381">
              <w:rPr>
                <w:rFonts w:asciiTheme="minorHAnsi" w:hAnsiTheme="minorHAnsi" w:cstheme="minorHAnsi"/>
                <w:sz w:val="22"/>
                <w:lang w:val="en-US"/>
              </w:rPr>
              <w:t xml:space="preserve">Deliver </w:t>
            </w:r>
            <w:r w:rsidRPr="00AF1381">
              <w:rPr>
                <w:rFonts w:asciiTheme="minorHAnsi" w:hAnsiTheme="minorHAnsi" w:cstheme="minorHAnsi"/>
                <w:b/>
                <w:bCs/>
                <w:sz w:val="22"/>
                <w:lang w:val="en-US"/>
              </w:rPr>
              <w:t>locally and globally significant research and innovation</w:t>
            </w:r>
            <w:r w:rsidRPr="00AF1381">
              <w:rPr>
                <w:rFonts w:asciiTheme="minorHAnsi" w:hAnsiTheme="minorHAnsi" w:cstheme="minorHAnsi"/>
                <w:sz w:val="22"/>
                <w:lang w:val="en-US"/>
              </w:rPr>
              <w:t>.</w:t>
            </w:r>
          </w:p>
          <w:p w14:paraId="31BFD7F6" w14:textId="77777777" w:rsidR="00990F9A" w:rsidRPr="00AF1381" w:rsidRDefault="00990F9A" w:rsidP="00990F9A">
            <w:pPr>
              <w:pStyle w:val="BodyText"/>
              <w:numPr>
                <w:ilvl w:val="0"/>
                <w:numId w:val="26"/>
              </w:numPr>
              <w:spacing w:after="0" w:line="240" w:lineRule="auto"/>
              <w:ind w:right="102"/>
              <w:rPr>
                <w:rFonts w:asciiTheme="minorHAnsi" w:hAnsiTheme="minorHAnsi" w:cstheme="minorHAnsi"/>
                <w:sz w:val="22"/>
                <w:lang w:val="en-US"/>
              </w:rPr>
            </w:pPr>
            <w:r w:rsidRPr="00AF1381">
              <w:rPr>
                <w:rFonts w:asciiTheme="minorHAnsi" w:hAnsiTheme="minorHAnsi" w:cstheme="minorHAnsi"/>
                <w:sz w:val="22"/>
                <w:lang w:val="en-US"/>
              </w:rPr>
              <w:t xml:space="preserve">Place </w:t>
            </w:r>
            <w:r w:rsidRPr="00AF1381">
              <w:rPr>
                <w:rFonts w:asciiTheme="minorHAnsi" w:hAnsiTheme="minorHAnsi" w:cstheme="minorHAnsi"/>
                <w:b/>
                <w:bCs/>
                <w:sz w:val="22"/>
                <w:lang w:val="en-US"/>
              </w:rPr>
              <w:t xml:space="preserve">research at the heart of our </w:t>
            </w:r>
            <w:proofErr w:type="spellStart"/>
            <w:r w:rsidRPr="00AF1381">
              <w:rPr>
                <w:rFonts w:asciiTheme="minorHAnsi" w:hAnsiTheme="minorHAnsi" w:cstheme="minorHAnsi"/>
                <w:b/>
                <w:bCs/>
                <w:sz w:val="22"/>
                <w:lang w:val="en-US"/>
              </w:rPr>
              <w:t>organisational</w:t>
            </w:r>
            <w:proofErr w:type="spellEnd"/>
            <w:r w:rsidRPr="00AF1381">
              <w:rPr>
                <w:rFonts w:asciiTheme="minorHAnsi" w:hAnsiTheme="minorHAnsi" w:cstheme="minorHAnsi"/>
                <w:b/>
                <w:bCs/>
                <w:sz w:val="22"/>
                <w:lang w:val="en-US"/>
              </w:rPr>
              <w:t xml:space="preserve"> workload</w:t>
            </w:r>
            <w:r w:rsidRPr="00AF1381">
              <w:rPr>
                <w:rFonts w:asciiTheme="minorHAnsi" w:hAnsiTheme="minorHAnsi" w:cstheme="minorHAnsi"/>
                <w:sz w:val="22"/>
                <w:lang w:val="en-US"/>
              </w:rPr>
              <w:t xml:space="preserve"> model to produce research leaders.</w:t>
            </w:r>
          </w:p>
          <w:p w14:paraId="27CCCA1E" w14:textId="77777777" w:rsidR="00990F9A" w:rsidRPr="00AF1381" w:rsidRDefault="00990F9A" w:rsidP="00990F9A">
            <w:pPr>
              <w:pStyle w:val="BodyText"/>
              <w:numPr>
                <w:ilvl w:val="0"/>
                <w:numId w:val="26"/>
              </w:numPr>
              <w:spacing w:after="0" w:line="240" w:lineRule="auto"/>
              <w:ind w:right="102"/>
              <w:rPr>
                <w:rFonts w:asciiTheme="minorHAnsi" w:hAnsiTheme="minorHAnsi" w:cstheme="minorHAnsi"/>
                <w:sz w:val="22"/>
                <w:lang w:val="en-US"/>
              </w:rPr>
            </w:pPr>
            <w:r w:rsidRPr="00AF1381">
              <w:rPr>
                <w:rFonts w:asciiTheme="minorHAnsi" w:hAnsiTheme="minorHAnsi" w:cstheme="minorHAnsi"/>
                <w:sz w:val="22"/>
                <w:lang w:val="en-US"/>
              </w:rPr>
              <w:t xml:space="preserve">Provide </w:t>
            </w:r>
            <w:proofErr w:type="gramStart"/>
            <w:r w:rsidRPr="00AF1381">
              <w:rPr>
                <w:rFonts w:asciiTheme="minorHAnsi" w:hAnsiTheme="minorHAnsi" w:cstheme="minorHAnsi"/>
                <w:b/>
                <w:bCs/>
                <w:sz w:val="22"/>
                <w:lang w:val="en-US"/>
              </w:rPr>
              <w:t>state of the art</w:t>
            </w:r>
            <w:proofErr w:type="gramEnd"/>
            <w:r w:rsidRPr="00AF1381">
              <w:rPr>
                <w:rFonts w:asciiTheme="minorHAnsi" w:hAnsiTheme="minorHAnsi" w:cstheme="minorHAnsi"/>
                <w:b/>
                <w:bCs/>
                <w:sz w:val="22"/>
                <w:lang w:val="en-US"/>
              </w:rPr>
              <w:t xml:space="preserve"> research infrastructure</w:t>
            </w:r>
            <w:r w:rsidRPr="00AF1381">
              <w:rPr>
                <w:rFonts w:asciiTheme="minorHAnsi" w:hAnsiTheme="minorHAnsi" w:cstheme="minorHAnsi"/>
                <w:sz w:val="22"/>
                <w:lang w:val="en-US"/>
              </w:rPr>
              <w:t>, attracting stellar researchers and government and industry partners.</w:t>
            </w:r>
          </w:p>
          <w:p w14:paraId="76729AE4" w14:textId="77777777" w:rsidR="00990F9A" w:rsidRPr="00AF1381" w:rsidRDefault="00990F9A" w:rsidP="00990F9A">
            <w:pPr>
              <w:pStyle w:val="BodyText"/>
              <w:numPr>
                <w:ilvl w:val="0"/>
                <w:numId w:val="26"/>
              </w:numPr>
              <w:spacing w:after="0" w:line="240" w:lineRule="auto"/>
              <w:ind w:right="102"/>
              <w:rPr>
                <w:rFonts w:asciiTheme="minorHAnsi" w:hAnsiTheme="minorHAnsi" w:cstheme="minorHAnsi"/>
                <w:sz w:val="22"/>
                <w:lang w:val="en-US"/>
              </w:rPr>
            </w:pPr>
            <w:r w:rsidRPr="00AF1381">
              <w:rPr>
                <w:rFonts w:asciiTheme="minorHAnsi" w:hAnsiTheme="minorHAnsi" w:cstheme="minorHAnsi"/>
                <w:b/>
                <w:bCs/>
                <w:sz w:val="22"/>
                <w:lang w:val="en-US"/>
              </w:rPr>
              <w:t>Drive entrepreneurship and the startup economy</w:t>
            </w:r>
            <w:r w:rsidRPr="00AF1381">
              <w:rPr>
                <w:rFonts w:asciiTheme="minorHAnsi" w:hAnsiTheme="minorHAnsi" w:cstheme="minorHAnsi"/>
                <w:sz w:val="22"/>
                <w:lang w:val="en-US"/>
              </w:rPr>
              <w:t xml:space="preserve"> to grow the regional innovation ecosystem.</w:t>
            </w:r>
          </w:p>
          <w:p w14:paraId="25AD0D4C" w14:textId="77777777" w:rsidR="00990F9A" w:rsidRPr="00AF1381" w:rsidRDefault="00990F9A" w:rsidP="00990F9A">
            <w:pPr>
              <w:pStyle w:val="BodyText"/>
              <w:numPr>
                <w:ilvl w:val="0"/>
                <w:numId w:val="26"/>
              </w:numPr>
              <w:spacing w:after="0" w:line="240" w:lineRule="auto"/>
              <w:ind w:right="102"/>
              <w:rPr>
                <w:rFonts w:asciiTheme="minorHAnsi" w:hAnsiTheme="minorHAnsi" w:cstheme="minorHAnsi"/>
                <w:sz w:val="22"/>
                <w:lang w:val="en-US"/>
              </w:rPr>
            </w:pPr>
            <w:r w:rsidRPr="00AF1381">
              <w:rPr>
                <w:rFonts w:asciiTheme="minorHAnsi" w:hAnsiTheme="minorHAnsi" w:cstheme="minorHAnsi"/>
                <w:sz w:val="22"/>
                <w:lang w:val="en-US"/>
              </w:rPr>
              <w:t xml:space="preserve">Be a </w:t>
            </w:r>
            <w:r w:rsidRPr="00AF1381">
              <w:rPr>
                <w:rFonts w:asciiTheme="minorHAnsi" w:hAnsiTheme="minorHAnsi" w:cstheme="minorHAnsi"/>
                <w:b/>
                <w:bCs/>
                <w:sz w:val="22"/>
                <w:lang w:val="en-US"/>
              </w:rPr>
              <w:t>research partner of choice</w:t>
            </w:r>
            <w:r w:rsidRPr="00AF1381">
              <w:rPr>
                <w:rFonts w:asciiTheme="minorHAnsi" w:hAnsiTheme="minorHAnsi" w:cstheme="minorHAnsi"/>
                <w:sz w:val="22"/>
                <w:lang w:val="en-US"/>
              </w:rPr>
              <w:t xml:space="preserve"> for government, industry and end users.</w:t>
            </w:r>
          </w:p>
          <w:p w14:paraId="7AE3E8CF" w14:textId="77777777" w:rsidR="00990F9A" w:rsidRPr="00AF1381" w:rsidRDefault="00990F9A" w:rsidP="00990F9A">
            <w:pPr>
              <w:pStyle w:val="BodyText"/>
              <w:spacing w:after="0" w:line="240" w:lineRule="auto"/>
              <w:ind w:right="102"/>
              <w:rPr>
                <w:rFonts w:asciiTheme="minorHAnsi" w:hAnsiTheme="minorHAnsi" w:cstheme="minorHAnsi"/>
                <w:sz w:val="22"/>
                <w:lang w:val="en-US"/>
              </w:rPr>
            </w:pPr>
          </w:p>
          <w:p w14:paraId="146742FD" w14:textId="77777777" w:rsidR="00990F9A" w:rsidRPr="00AF1381" w:rsidRDefault="00990F9A" w:rsidP="00990F9A">
            <w:pPr>
              <w:pStyle w:val="BodyText"/>
              <w:spacing w:after="0" w:line="240" w:lineRule="auto"/>
              <w:ind w:right="102"/>
              <w:rPr>
                <w:rFonts w:asciiTheme="minorHAnsi" w:hAnsiTheme="minorHAnsi" w:cstheme="minorHAnsi"/>
                <w:sz w:val="22"/>
                <w:lang w:val="en-US"/>
              </w:rPr>
            </w:pPr>
            <w:r w:rsidRPr="00AF1381">
              <w:rPr>
                <w:rFonts w:asciiTheme="minorHAnsi" w:hAnsiTheme="minorHAnsi" w:cstheme="minorHAnsi"/>
                <w:sz w:val="22"/>
                <w:lang w:val="en-US"/>
              </w:rPr>
              <w:t xml:space="preserve">Progress against these priorities is measured through progress against research income, HDR completions, world university rankings, and </w:t>
            </w:r>
            <w:proofErr w:type="spellStart"/>
            <w:r w:rsidRPr="00AF1381">
              <w:rPr>
                <w:rFonts w:asciiTheme="minorHAnsi" w:hAnsiTheme="minorHAnsi" w:cstheme="minorHAnsi"/>
                <w:sz w:val="22"/>
                <w:lang w:val="en-US"/>
              </w:rPr>
              <w:t>commercialisation</w:t>
            </w:r>
            <w:proofErr w:type="spellEnd"/>
            <w:r w:rsidRPr="00AF1381">
              <w:rPr>
                <w:rFonts w:asciiTheme="minorHAnsi" w:hAnsiTheme="minorHAnsi" w:cstheme="minorHAnsi"/>
                <w:sz w:val="22"/>
                <w:lang w:val="en-US"/>
              </w:rPr>
              <w:t xml:space="preserve"> targets.  </w:t>
            </w:r>
          </w:p>
          <w:p w14:paraId="5881AC11" w14:textId="77777777" w:rsidR="00990F9A" w:rsidRPr="00AF1381" w:rsidRDefault="00990F9A" w:rsidP="00990F9A">
            <w:pPr>
              <w:pStyle w:val="BodyText"/>
              <w:spacing w:after="0" w:line="240" w:lineRule="auto"/>
              <w:ind w:right="102"/>
              <w:rPr>
                <w:rFonts w:asciiTheme="minorHAnsi" w:hAnsiTheme="minorHAnsi" w:cstheme="minorHAnsi"/>
                <w:sz w:val="22"/>
                <w:lang w:val="en-US"/>
              </w:rPr>
            </w:pPr>
          </w:p>
          <w:p w14:paraId="01B2DEF2" w14:textId="77777777" w:rsidR="00990F9A" w:rsidRDefault="00990F9A" w:rsidP="00990F9A">
            <w:pPr>
              <w:pStyle w:val="BodyText"/>
              <w:spacing w:after="0" w:line="240" w:lineRule="auto"/>
              <w:ind w:right="102"/>
              <w:rPr>
                <w:rFonts w:asciiTheme="minorHAnsi" w:hAnsiTheme="minorHAnsi" w:cstheme="minorHAnsi"/>
                <w:sz w:val="22"/>
                <w:lang w:val="en-US"/>
              </w:rPr>
            </w:pPr>
            <w:r w:rsidRPr="00AF1381">
              <w:rPr>
                <w:rFonts w:asciiTheme="minorHAnsi" w:hAnsiTheme="minorHAnsi" w:cstheme="minorHAnsi"/>
                <w:sz w:val="22"/>
                <w:lang w:val="en-US"/>
              </w:rPr>
              <w:t xml:space="preserve">Our priorities are ambitious, both for our community of researchers and for our communities in industry, government, Western Sydney – and for our growing international partnerships. </w:t>
            </w:r>
          </w:p>
          <w:p w14:paraId="461FAA6D" w14:textId="77777777" w:rsidR="00990F9A" w:rsidRDefault="00990F9A" w:rsidP="00990F9A">
            <w:pPr>
              <w:pStyle w:val="BodyText"/>
              <w:spacing w:after="0" w:line="240" w:lineRule="auto"/>
              <w:ind w:right="102"/>
              <w:rPr>
                <w:rFonts w:asciiTheme="minorHAnsi" w:hAnsiTheme="minorHAnsi" w:cstheme="minorHAnsi"/>
                <w:sz w:val="22"/>
                <w:lang w:val="en-US"/>
              </w:rPr>
            </w:pPr>
          </w:p>
          <w:p w14:paraId="47DA0080" w14:textId="77777777" w:rsidR="00990F9A" w:rsidRPr="00AF1381" w:rsidRDefault="00990F9A" w:rsidP="00990F9A">
            <w:pPr>
              <w:pStyle w:val="BodyText"/>
              <w:spacing w:after="0" w:line="240" w:lineRule="auto"/>
              <w:ind w:right="102"/>
              <w:rPr>
                <w:rFonts w:asciiTheme="minorHAnsi" w:hAnsiTheme="minorHAnsi" w:cstheme="minorHAnsi"/>
                <w:sz w:val="22"/>
                <w:lang w:val="en-US"/>
              </w:rPr>
            </w:pPr>
            <w:r w:rsidRPr="00AF1381">
              <w:rPr>
                <w:rFonts w:asciiTheme="minorHAnsi" w:hAnsiTheme="minorHAnsi" w:cstheme="minorHAnsi"/>
                <w:sz w:val="22"/>
                <w:lang w:val="en-US"/>
              </w:rPr>
              <w:t>Western will meet these priorities through rigorous and bold research that brings researchers and their communities together to solve local and global challenges</w:t>
            </w:r>
            <w:r>
              <w:rPr>
                <w:rFonts w:asciiTheme="minorHAnsi" w:hAnsiTheme="minorHAnsi" w:cstheme="minorHAnsi"/>
                <w:sz w:val="22"/>
                <w:lang w:val="en-US"/>
              </w:rPr>
              <w:t xml:space="preserve"> and currently supports these priorities via:</w:t>
            </w:r>
          </w:p>
          <w:p w14:paraId="1152045F" w14:textId="77777777" w:rsidR="00990F9A" w:rsidRPr="00AF1381" w:rsidRDefault="00990F9A" w:rsidP="00990F9A">
            <w:pPr>
              <w:pStyle w:val="BodyText"/>
              <w:spacing w:after="0" w:line="240" w:lineRule="auto"/>
              <w:ind w:right="102"/>
              <w:rPr>
                <w:rFonts w:asciiTheme="minorHAnsi" w:hAnsiTheme="minorHAnsi" w:cstheme="minorHAnsi"/>
                <w:sz w:val="22"/>
                <w:lang w:val="en-US"/>
              </w:rPr>
            </w:pPr>
          </w:p>
          <w:p w14:paraId="127E6A22" w14:textId="77777777" w:rsidR="00990F9A" w:rsidRPr="00AF1381" w:rsidRDefault="00990F9A" w:rsidP="00990F9A">
            <w:pPr>
              <w:pStyle w:val="BodyText"/>
              <w:numPr>
                <w:ilvl w:val="0"/>
                <w:numId w:val="23"/>
              </w:numPr>
              <w:spacing w:after="0" w:line="240" w:lineRule="auto"/>
              <w:ind w:right="102"/>
              <w:rPr>
                <w:rFonts w:asciiTheme="minorHAnsi" w:hAnsiTheme="minorHAnsi" w:cstheme="minorHAnsi"/>
                <w:sz w:val="22"/>
                <w:lang w:val="en-US"/>
              </w:rPr>
            </w:pPr>
            <w:r>
              <w:rPr>
                <w:rFonts w:asciiTheme="minorHAnsi" w:hAnsiTheme="minorHAnsi" w:cstheme="minorHAnsi"/>
                <w:b/>
                <w:bCs/>
                <w:sz w:val="22"/>
                <w:lang w:val="en-US"/>
              </w:rPr>
              <w:t>S</w:t>
            </w:r>
            <w:r w:rsidRPr="006A2D9E">
              <w:rPr>
                <w:rFonts w:asciiTheme="minorHAnsi" w:hAnsiTheme="minorHAnsi" w:cstheme="minorHAnsi"/>
                <w:b/>
                <w:bCs/>
                <w:sz w:val="22"/>
                <w:lang w:val="en-US"/>
              </w:rPr>
              <w:t>eed</w:t>
            </w:r>
            <w:r>
              <w:rPr>
                <w:rFonts w:asciiTheme="minorHAnsi" w:hAnsiTheme="minorHAnsi" w:cstheme="minorHAnsi"/>
                <w:b/>
                <w:bCs/>
                <w:sz w:val="22"/>
                <w:lang w:val="en-US"/>
              </w:rPr>
              <w:t>ing</w:t>
            </w:r>
            <w:r w:rsidRPr="006A2D9E">
              <w:rPr>
                <w:rFonts w:asciiTheme="minorHAnsi" w:hAnsiTheme="minorHAnsi" w:cstheme="minorHAnsi"/>
                <w:b/>
                <w:bCs/>
                <w:sz w:val="22"/>
                <w:lang w:val="en-US"/>
              </w:rPr>
              <w:t xml:space="preserve"> and support</w:t>
            </w:r>
            <w:r>
              <w:rPr>
                <w:rFonts w:asciiTheme="minorHAnsi" w:hAnsiTheme="minorHAnsi" w:cstheme="minorHAnsi"/>
                <w:b/>
                <w:bCs/>
                <w:sz w:val="22"/>
                <w:lang w:val="en-US"/>
              </w:rPr>
              <w:t>ing</w:t>
            </w:r>
            <w:r w:rsidRPr="006A2D9E">
              <w:rPr>
                <w:rFonts w:asciiTheme="minorHAnsi" w:hAnsiTheme="minorHAnsi" w:cstheme="minorHAnsi"/>
                <w:b/>
                <w:bCs/>
                <w:sz w:val="22"/>
                <w:lang w:val="en-US"/>
              </w:rPr>
              <w:t xml:space="preserve"> innovation networks</w:t>
            </w:r>
            <w:r w:rsidRPr="00AF1381">
              <w:rPr>
                <w:rFonts w:asciiTheme="minorHAnsi" w:hAnsiTheme="minorHAnsi" w:cstheme="minorHAnsi"/>
                <w:sz w:val="22"/>
                <w:lang w:val="en-US"/>
              </w:rPr>
              <w:t xml:space="preserve"> that accelerate industry in the region as a trusted partner. Alongside industry acceleration, Western researchers examine the environment, places and cultures that sustain our people’s health and wellbeing. Our researchers pursue research encompassing both our economic and social futures.</w:t>
            </w:r>
          </w:p>
          <w:p w14:paraId="16BA67FB" w14:textId="77777777" w:rsidR="00990F9A" w:rsidRPr="00AF1381" w:rsidRDefault="00990F9A" w:rsidP="00990F9A">
            <w:pPr>
              <w:pStyle w:val="BodyText"/>
              <w:spacing w:after="0" w:line="240" w:lineRule="auto"/>
              <w:ind w:right="102"/>
              <w:rPr>
                <w:rFonts w:asciiTheme="minorHAnsi" w:hAnsiTheme="minorHAnsi" w:cstheme="minorHAnsi"/>
                <w:sz w:val="22"/>
                <w:lang w:val="en-US"/>
              </w:rPr>
            </w:pPr>
          </w:p>
          <w:p w14:paraId="0833C28E" w14:textId="77777777" w:rsidR="00990F9A" w:rsidRPr="00AF1381" w:rsidRDefault="00990F9A" w:rsidP="00990F9A">
            <w:pPr>
              <w:pStyle w:val="BodyText"/>
              <w:numPr>
                <w:ilvl w:val="0"/>
                <w:numId w:val="23"/>
              </w:numPr>
              <w:spacing w:after="0" w:line="240" w:lineRule="auto"/>
              <w:ind w:right="102"/>
              <w:rPr>
                <w:rFonts w:asciiTheme="minorHAnsi" w:hAnsiTheme="minorHAnsi" w:cstheme="minorHAnsi"/>
                <w:sz w:val="22"/>
                <w:lang w:val="en-US"/>
              </w:rPr>
            </w:pPr>
            <w:r w:rsidRPr="006A2D9E">
              <w:rPr>
                <w:rFonts w:asciiTheme="minorHAnsi" w:hAnsiTheme="minorHAnsi" w:cstheme="minorHAnsi"/>
                <w:b/>
                <w:bCs/>
                <w:sz w:val="22"/>
                <w:lang w:val="en-US"/>
              </w:rPr>
              <w:t>Research training</w:t>
            </w:r>
            <w:r w:rsidRPr="00AF1381">
              <w:rPr>
                <w:rFonts w:asciiTheme="minorHAnsi" w:hAnsiTheme="minorHAnsi" w:cstheme="minorHAnsi"/>
                <w:sz w:val="22"/>
                <w:lang w:val="en-US"/>
              </w:rPr>
              <w:t xml:space="preserve"> at Western acknowledges the trade-offs between earnings in the job market and PhD </w:t>
            </w:r>
            <w:proofErr w:type="gramStart"/>
            <w:r w:rsidRPr="00AF1381">
              <w:rPr>
                <w:rFonts w:asciiTheme="minorHAnsi" w:hAnsiTheme="minorHAnsi" w:cstheme="minorHAnsi"/>
                <w:sz w:val="22"/>
                <w:lang w:val="en-US"/>
              </w:rPr>
              <w:t>study, and</w:t>
            </w:r>
            <w:proofErr w:type="gramEnd"/>
            <w:r w:rsidRPr="00AF1381">
              <w:rPr>
                <w:rFonts w:asciiTheme="minorHAnsi" w:hAnsiTheme="minorHAnsi" w:cstheme="minorHAnsi"/>
                <w:sz w:val="22"/>
                <w:lang w:val="en-US"/>
              </w:rPr>
              <w:t xml:space="preserve"> is increasingly industry engaged and collaborative. More of our PhD students will work together in large research projects to ensure advanced career readiness, whether in the academy or industry.</w:t>
            </w:r>
          </w:p>
          <w:p w14:paraId="44BB882B" w14:textId="77777777" w:rsidR="00990F9A" w:rsidRPr="00AF1381" w:rsidRDefault="00990F9A" w:rsidP="00990F9A">
            <w:pPr>
              <w:pStyle w:val="BodyText"/>
              <w:spacing w:after="0" w:line="240" w:lineRule="auto"/>
              <w:ind w:right="102"/>
              <w:rPr>
                <w:rFonts w:asciiTheme="minorHAnsi" w:hAnsiTheme="minorHAnsi" w:cstheme="minorHAnsi"/>
                <w:sz w:val="22"/>
                <w:lang w:val="en-US"/>
              </w:rPr>
            </w:pPr>
          </w:p>
          <w:p w14:paraId="6963B781" w14:textId="120731EF" w:rsidR="00990F9A" w:rsidRPr="00AF1381" w:rsidRDefault="00990F9A" w:rsidP="00990F9A">
            <w:pPr>
              <w:pStyle w:val="BodyText"/>
              <w:numPr>
                <w:ilvl w:val="0"/>
                <w:numId w:val="23"/>
              </w:numPr>
              <w:spacing w:after="0" w:line="240" w:lineRule="auto"/>
              <w:ind w:right="102"/>
              <w:rPr>
                <w:rFonts w:asciiTheme="minorHAnsi" w:hAnsiTheme="minorHAnsi" w:cstheme="minorHAnsi"/>
                <w:sz w:val="22"/>
                <w:lang w:val="en-US"/>
              </w:rPr>
            </w:pPr>
            <w:r w:rsidRPr="00AF1381">
              <w:rPr>
                <w:rFonts w:asciiTheme="minorHAnsi" w:hAnsiTheme="minorHAnsi" w:cstheme="minorHAnsi"/>
                <w:sz w:val="22"/>
                <w:lang w:val="en-US"/>
              </w:rPr>
              <w:t xml:space="preserve">Beyond our commitment to HDR training, Western supports the development of researchers at all career stages through a comprehensive </w:t>
            </w:r>
            <w:hyperlink r:id="rId26" w:history="1">
              <w:r w:rsidRPr="0047561E">
                <w:rPr>
                  <w:rStyle w:val="Hyperlink"/>
                  <w:rFonts w:asciiTheme="minorHAnsi" w:hAnsiTheme="minorHAnsi" w:cstheme="minorHAnsi"/>
                  <w:sz w:val="22"/>
                  <w:lang w:val="en-US"/>
                </w:rPr>
                <w:t>Researcher Development Framework</w:t>
              </w:r>
            </w:hyperlink>
            <w:r w:rsidRPr="00AF1381">
              <w:rPr>
                <w:rFonts w:asciiTheme="minorHAnsi" w:hAnsiTheme="minorHAnsi" w:cstheme="minorHAnsi"/>
                <w:sz w:val="22"/>
                <w:lang w:val="en-US"/>
              </w:rPr>
              <w:t>, ensuring they are equipped to be high-quality, impactful research leaders.</w:t>
            </w:r>
          </w:p>
          <w:p w14:paraId="3183C08E" w14:textId="77777777" w:rsidR="00990F9A" w:rsidRPr="00AF1381" w:rsidRDefault="00990F9A" w:rsidP="00990F9A">
            <w:pPr>
              <w:pStyle w:val="BodyText"/>
              <w:spacing w:after="0" w:line="240" w:lineRule="auto"/>
              <w:ind w:right="102"/>
              <w:rPr>
                <w:rFonts w:asciiTheme="minorHAnsi" w:hAnsiTheme="minorHAnsi" w:cstheme="minorHAnsi"/>
                <w:sz w:val="22"/>
                <w:lang w:val="en-US"/>
              </w:rPr>
            </w:pPr>
          </w:p>
          <w:p w14:paraId="267EE89F" w14:textId="77777777" w:rsidR="00990F9A" w:rsidRPr="00AF1381" w:rsidRDefault="00990F9A" w:rsidP="00990F9A">
            <w:pPr>
              <w:pStyle w:val="BodyText"/>
              <w:spacing w:after="0" w:line="240" w:lineRule="auto"/>
              <w:ind w:right="102"/>
              <w:rPr>
                <w:rFonts w:asciiTheme="minorHAnsi" w:hAnsiTheme="minorHAnsi" w:cstheme="minorHAnsi"/>
                <w:sz w:val="22"/>
                <w:lang w:val="en-US"/>
              </w:rPr>
            </w:pPr>
            <w:r w:rsidRPr="00AF1381">
              <w:rPr>
                <w:rFonts w:asciiTheme="minorHAnsi" w:hAnsiTheme="minorHAnsi" w:cstheme="minorHAnsi"/>
                <w:sz w:val="22"/>
                <w:lang w:val="en-US"/>
              </w:rPr>
              <w:t xml:space="preserve">A </w:t>
            </w:r>
            <w:r w:rsidRPr="00AF1381">
              <w:rPr>
                <w:rFonts w:asciiTheme="minorHAnsi" w:hAnsiTheme="minorHAnsi" w:cstheme="minorHAnsi"/>
                <w:b/>
                <w:bCs/>
                <w:sz w:val="22"/>
                <w:lang w:val="en-US"/>
              </w:rPr>
              <w:t>Research Strategy</w:t>
            </w:r>
            <w:r w:rsidRPr="00AF1381">
              <w:rPr>
                <w:rFonts w:asciiTheme="minorHAnsi" w:hAnsiTheme="minorHAnsi" w:cstheme="minorHAnsi"/>
                <w:sz w:val="22"/>
                <w:lang w:val="en-US"/>
              </w:rPr>
              <w:t xml:space="preserve"> that translates our institutional priorities into action is in development for release and implementation in 2025-26. The Strategy will enable more of Western’s </w:t>
            </w:r>
            <w:r w:rsidRPr="00AF1381">
              <w:rPr>
                <w:rFonts w:asciiTheme="minorHAnsi" w:hAnsiTheme="minorHAnsi" w:cstheme="minorHAnsi"/>
                <w:b/>
                <w:bCs/>
                <w:sz w:val="22"/>
                <w:lang w:val="en-US"/>
              </w:rPr>
              <w:t>researchers to harness opportunities for income, impact and esteem</w:t>
            </w:r>
            <w:r w:rsidRPr="00AF1381">
              <w:rPr>
                <w:rFonts w:asciiTheme="minorHAnsi" w:hAnsiTheme="minorHAnsi" w:cstheme="minorHAnsi"/>
                <w:sz w:val="22"/>
                <w:lang w:val="en-US"/>
              </w:rPr>
              <w:t xml:space="preserve">, </w:t>
            </w:r>
            <w:proofErr w:type="spellStart"/>
            <w:r w:rsidRPr="00AF1381">
              <w:rPr>
                <w:rFonts w:asciiTheme="minorHAnsi" w:hAnsiTheme="minorHAnsi" w:cstheme="minorHAnsi"/>
                <w:sz w:val="22"/>
                <w:lang w:val="en-US"/>
              </w:rPr>
              <w:t>maximising</w:t>
            </w:r>
            <w:proofErr w:type="spellEnd"/>
            <w:r w:rsidRPr="00AF1381">
              <w:rPr>
                <w:rFonts w:asciiTheme="minorHAnsi" w:hAnsiTheme="minorHAnsi" w:cstheme="minorHAnsi"/>
                <w:sz w:val="22"/>
                <w:lang w:val="en-US"/>
              </w:rPr>
              <w:t xml:space="preserve"> their research time and productivity. </w:t>
            </w:r>
          </w:p>
          <w:p w14:paraId="0DDA33FB" w14:textId="77777777" w:rsidR="00700A8C" w:rsidRDefault="00700A8C" w:rsidP="00990F9A">
            <w:pPr>
              <w:pStyle w:val="BodyText"/>
              <w:ind w:right="102"/>
              <w:rPr>
                <w:rFonts w:asciiTheme="minorHAnsi" w:hAnsiTheme="minorHAnsi" w:cstheme="minorHAnsi"/>
                <w:sz w:val="22"/>
              </w:rPr>
            </w:pPr>
          </w:p>
          <w:p w14:paraId="679BB9F5" w14:textId="6F6B9904" w:rsidR="00990F9A" w:rsidRPr="00AF1381" w:rsidRDefault="00990F9A" w:rsidP="00990F9A">
            <w:pPr>
              <w:pStyle w:val="BodyText"/>
              <w:ind w:right="102"/>
              <w:rPr>
                <w:rFonts w:asciiTheme="minorHAnsi" w:hAnsiTheme="minorHAnsi" w:cstheme="minorHAnsi"/>
                <w:sz w:val="22"/>
              </w:rPr>
            </w:pPr>
            <w:r w:rsidRPr="00AF1381">
              <w:rPr>
                <w:rFonts w:asciiTheme="minorHAnsi" w:hAnsiTheme="minorHAnsi" w:cstheme="minorHAnsi"/>
                <w:sz w:val="22"/>
              </w:rPr>
              <w:lastRenderedPageBreak/>
              <w:t>Key strategic initiatives arising under the Research Strategy include:</w:t>
            </w:r>
          </w:p>
          <w:p w14:paraId="5C39DE45" w14:textId="77777777" w:rsidR="00990F9A" w:rsidRPr="00AF1381" w:rsidRDefault="00990F9A" w:rsidP="00990F9A">
            <w:pPr>
              <w:pStyle w:val="BodyText"/>
              <w:numPr>
                <w:ilvl w:val="0"/>
                <w:numId w:val="25"/>
              </w:numPr>
              <w:spacing w:line="240" w:lineRule="auto"/>
              <w:ind w:left="714" w:right="102" w:hanging="357"/>
              <w:rPr>
                <w:rFonts w:asciiTheme="minorHAnsi" w:hAnsiTheme="minorHAnsi" w:cstheme="minorHAnsi"/>
                <w:sz w:val="22"/>
              </w:rPr>
            </w:pPr>
            <w:r w:rsidRPr="00AF1381">
              <w:rPr>
                <w:rFonts w:asciiTheme="minorHAnsi" w:hAnsiTheme="minorHAnsi" w:cstheme="minorHAnsi"/>
                <w:b/>
                <w:bCs/>
                <w:sz w:val="22"/>
              </w:rPr>
              <w:t>Research Performance Metrics</w:t>
            </w:r>
            <w:r w:rsidRPr="00AF1381">
              <w:rPr>
                <w:rFonts w:asciiTheme="minorHAnsi" w:hAnsiTheme="minorHAnsi" w:cstheme="minorHAnsi"/>
                <w:sz w:val="22"/>
              </w:rPr>
              <w:t xml:space="preserve"> – simple, relevant, peer comparison performance metrics for researchers will inform our staff how their research activity compares to colleagues within their discipline relative to opportunity. </w:t>
            </w:r>
          </w:p>
          <w:p w14:paraId="3310D6FB" w14:textId="77777777" w:rsidR="00990F9A" w:rsidRPr="00AF1381" w:rsidRDefault="00990F9A" w:rsidP="00990F9A">
            <w:pPr>
              <w:pStyle w:val="BodyText"/>
              <w:numPr>
                <w:ilvl w:val="0"/>
                <w:numId w:val="25"/>
              </w:numPr>
              <w:spacing w:line="240" w:lineRule="auto"/>
              <w:ind w:left="714" w:right="102" w:hanging="357"/>
              <w:rPr>
                <w:rFonts w:asciiTheme="minorHAnsi" w:hAnsiTheme="minorHAnsi" w:cstheme="minorHAnsi"/>
                <w:sz w:val="22"/>
              </w:rPr>
            </w:pPr>
            <w:r w:rsidRPr="00AF1381">
              <w:rPr>
                <w:rFonts w:asciiTheme="minorHAnsi" w:hAnsiTheme="minorHAnsi" w:cstheme="minorHAnsi"/>
                <w:b/>
                <w:bCs/>
                <w:sz w:val="22"/>
              </w:rPr>
              <w:t xml:space="preserve">HDR Support </w:t>
            </w:r>
            <w:r w:rsidRPr="00AF1381">
              <w:rPr>
                <w:rFonts w:asciiTheme="minorHAnsi" w:hAnsiTheme="minorHAnsi" w:cstheme="minorHAnsi"/>
                <w:sz w:val="22"/>
              </w:rPr>
              <w:t xml:space="preserve">– more HDR candidates will complete their programs on time, experiencing stronger connection to their peers, supervisors and industry across their candidature, through strengthened researcher and supervisor training and earlier off-track detection. </w:t>
            </w:r>
          </w:p>
          <w:p w14:paraId="281433D3" w14:textId="77777777" w:rsidR="00990F9A" w:rsidRPr="00AF1381" w:rsidRDefault="00990F9A" w:rsidP="00990F9A">
            <w:pPr>
              <w:pStyle w:val="BodyText"/>
              <w:numPr>
                <w:ilvl w:val="0"/>
                <w:numId w:val="25"/>
              </w:numPr>
              <w:spacing w:line="240" w:lineRule="auto"/>
              <w:ind w:left="714" w:right="102" w:hanging="357"/>
              <w:rPr>
                <w:rFonts w:asciiTheme="minorHAnsi" w:hAnsiTheme="minorHAnsi" w:cstheme="minorHAnsi"/>
                <w:sz w:val="22"/>
              </w:rPr>
            </w:pPr>
            <w:r w:rsidRPr="00AF1381">
              <w:rPr>
                <w:rFonts w:asciiTheme="minorHAnsi" w:hAnsiTheme="minorHAnsi" w:cstheme="minorHAnsi"/>
                <w:b/>
                <w:bCs/>
                <w:sz w:val="22"/>
              </w:rPr>
              <w:t>Opportunity</w:t>
            </w:r>
            <w:r w:rsidRPr="00AF1381">
              <w:rPr>
                <w:rFonts w:asciiTheme="minorHAnsi" w:hAnsiTheme="minorHAnsi" w:cstheme="minorHAnsi"/>
                <w:sz w:val="22"/>
              </w:rPr>
              <w:t xml:space="preserve"> – more of our researchers will have the opportunity to develop productive research careers through reduced administrative ‘barriers to entry’;’ increased incentives to collaborate with established researchers across disciplines; and more effective matching of competitive and non-competitive research income opportunities with researchers. </w:t>
            </w:r>
          </w:p>
          <w:p w14:paraId="40DA31C2" w14:textId="4E749B67" w:rsidR="00990F9A" w:rsidRPr="00A2290A" w:rsidRDefault="00990F9A" w:rsidP="00A2290A">
            <w:pPr>
              <w:pStyle w:val="BodyText"/>
              <w:numPr>
                <w:ilvl w:val="0"/>
                <w:numId w:val="25"/>
              </w:numPr>
              <w:spacing w:line="240" w:lineRule="auto"/>
              <w:ind w:left="714" w:right="102" w:hanging="357"/>
              <w:rPr>
                <w:rFonts w:asciiTheme="minorHAnsi" w:hAnsiTheme="minorHAnsi" w:cstheme="minorHAnsi"/>
                <w:sz w:val="22"/>
              </w:rPr>
            </w:pPr>
            <w:r w:rsidRPr="00AF1381">
              <w:rPr>
                <w:rFonts w:asciiTheme="minorHAnsi" w:hAnsiTheme="minorHAnsi" w:cstheme="minorHAnsi"/>
                <w:b/>
                <w:bCs/>
                <w:sz w:val="22"/>
              </w:rPr>
              <w:t xml:space="preserve">Rankings – </w:t>
            </w:r>
            <w:r w:rsidRPr="00AF1381">
              <w:rPr>
                <w:rFonts w:asciiTheme="minorHAnsi" w:hAnsiTheme="minorHAnsi" w:cstheme="minorHAnsi"/>
                <w:sz w:val="22"/>
              </w:rPr>
              <w:t>our excellent citation metrics and extensive industry and institutional engagement will be better reflected in our rankings results through targeted dissemination of the University’s research achievements to peer networks and developing deeper international collaborations</w:t>
            </w:r>
            <w:r>
              <w:rPr>
                <w:rFonts w:asciiTheme="minorHAnsi" w:hAnsiTheme="minorHAnsi" w:cstheme="minorHAnsi"/>
                <w:sz w:val="22"/>
              </w:rPr>
              <w:t>.</w:t>
            </w:r>
          </w:p>
        </w:tc>
      </w:tr>
      <w:tr w:rsidR="001B109C" w:rsidRPr="00E41388" w14:paraId="23C06863" w14:textId="77777777" w:rsidTr="267A135F">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267A135F">
        <w:trPr>
          <w:trHeight w:val="1033"/>
        </w:trPr>
        <w:tc>
          <w:tcPr>
            <w:tcW w:w="5000" w:type="pct"/>
          </w:tcPr>
          <w:p w14:paraId="5CE6852A" w14:textId="77777777" w:rsidR="00834FDB" w:rsidRPr="00D8438A" w:rsidRDefault="00834FDB" w:rsidP="00834FDB">
            <w:pPr>
              <w:pStyle w:val="BodyText"/>
              <w:spacing w:after="0" w:line="240" w:lineRule="auto"/>
              <w:ind w:right="102"/>
              <w:rPr>
                <w:rFonts w:asciiTheme="minorHAnsi" w:hAnsiTheme="minorHAnsi" w:cstheme="minorHAnsi"/>
                <w:sz w:val="22"/>
                <w:lang w:val="en-US"/>
              </w:rPr>
            </w:pPr>
            <w:r w:rsidRPr="00D8438A">
              <w:rPr>
                <w:rFonts w:asciiTheme="minorHAnsi" w:hAnsiTheme="minorHAnsi" w:cstheme="minorHAnsi"/>
                <w:sz w:val="22"/>
                <w:lang w:val="en-US"/>
              </w:rPr>
              <w:t>The University’s vision for Western Sydney’s innovation-driven future is underpinned by deep engagement with industry, locally and globally with the aim to attract and unite students, researchers and industry to drive economic, social, cultural and environmental transformation.</w:t>
            </w:r>
          </w:p>
          <w:p w14:paraId="128F72A7" w14:textId="77777777" w:rsidR="00834FDB" w:rsidRPr="00D8438A" w:rsidRDefault="00834FDB" w:rsidP="00834FDB">
            <w:pPr>
              <w:pStyle w:val="BodyText"/>
              <w:spacing w:after="0" w:line="240" w:lineRule="auto"/>
              <w:ind w:right="102"/>
              <w:rPr>
                <w:rFonts w:asciiTheme="minorHAnsi" w:hAnsiTheme="minorHAnsi" w:cstheme="minorHAnsi"/>
                <w:sz w:val="22"/>
                <w:lang w:val="en-US"/>
              </w:rPr>
            </w:pPr>
          </w:p>
          <w:p w14:paraId="242E34B4" w14:textId="21198921" w:rsidR="00834FDB" w:rsidRPr="00D8438A" w:rsidRDefault="00834FDB" w:rsidP="00834FDB">
            <w:pPr>
              <w:pStyle w:val="BodyText"/>
              <w:spacing w:after="0" w:line="240" w:lineRule="auto"/>
              <w:ind w:right="102"/>
              <w:rPr>
                <w:rFonts w:asciiTheme="minorHAnsi" w:hAnsiTheme="minorHAnsi" w:cstheme="minorHAnsi"/>
                <w:sz w:val="22"/>
                <w:lang w:val="en-US"/>
              </w:rPr>
            </w:pPr>
            <w:proofErr w:type="gramStart"/>
            <w:r w:rsidRPr="00D8438A">
              <w:rPr>
                <w:rFonts w:asciiTheme="minorHAnsi" w:hAnsiTheme="minorHAnsi" w:cstheme="minorHAnsi"/>
                <w:sz w:val="22"/>
                <w:lang w:val="en-US"/>
              </w:rPr>
              <w:t>Western</w:t>
            </w:r>
            <w:r w:rsidR="0028553F">
              <w:rPr>
                <w:rFonts w:asciiTheme="minorHAnsi" w:hAnsiTheme="minorHAnsi" w:cstheme="minorHAnsi"/>
                <w:sz w:val="22"/>
                <w:lang w:val="en-US"/>
              </w:rPr>
              <w:t>’s</w:t>
            </w:r>
            <w:proofErr w:type="gramEnd"/>
            <w:r w:rsidR="0028553F">
              <w:rPr>
                <w:rFonts w:asciiTheme="minorHAnsi" w:hAnsiTheme="minorHAnsi" w:cstheme="minorHAnsi"/>
                <w:sz w:val="22"/>
                <w:lang w:val="en-US"/>
              </w:rPr>
              <w:t xml:space="preserve"> </w:t>
            </w:r>
            <w:r w:rsidRPr="00D8438A">
              <w:rPr>
                <w:rFonts w:asciiTheme="minorHAnsi" w:hAnsiTheme="minorHAnsi" w:cstheme="minorHAnsi"/>
                <w:sz w:val="22"/>
                <w:lang w:val="en-US"/>
              </w:rPr>
              <w:t>industry engagement priorities in WESTERN 2030 include:</w:t>
            </w:r>
          </w:p>
          <w:p w14:paraId="1BA8B489" w14:textId="77777777" w:rsidR="00834FDB" w:rsidRPr="00D8438A" w:rsidRDefault="00834FDB" w:rsidP="00834FDB">
            <w:pPr>
              <w:pStyle w:val="BodyText"/>
              <w:spacing w:after="0" w:line="240" w:lineRule="auto"/>
              <w:ind w:right="102"/>
              <w:rPr>
                <w:rFonts w:asciiTheme="minorHAnsi" w:hAnsiTheme="minorHAnsi" w:cstheme="minorHAnsi"/>
                <w:sz w:val="22"/>
                <w:lang w:val="en-US"/>
              </w:rPr>
            </w:pPr>
          </w:p>
          <w:p w14:paraId="3222A8C3" w14:textId="77777777" w:rsidR="00834FDB" w:rsidRPr="00D8438A" w:rsidRDefault="00834FDB" w:rsidP="00834FDB">
            <w:pPr>
              <w:pStyle w:val="BodyText"/>
              <w:numPr>
                <w:ilvl w:val="0"/>
                <w:numId w:val="27"/>
              </w:numPr>
              <w:spacing w:after="0" w:line="240" w:lineRule="auto"/>
              <w:ind w:right="102"/>
              <w:rPr>
                <w:rFonts w:asciiTheme="minorHAnsi" w:hAnsiTheme="minorHAnsi" w:cstheme="minorHAnsi"/>
                <w:sz w:val="22"/>
                <w:lang w:val="en-US"/>
              </w:rPr>
            </w:pPr>
            <w:r w:rsidRPr="00D8438A">
              <w:rPr>
                <w:rFonts w:asciiTheme="minorHAnsi" w:hAnsiTheme="minorHAnsi" w:cstheme="minorHAnsi"/>
                <w:sz w:val="22"/>
                <w:lang w:val="en-US"/>
              </w:rPr>
              <w:t xml:space="preserve">Provide </w:t>
            </w:r>
            <w:proofErr w:type="gramStart"/>
            <w:r w:rsidRPr="00D8438A">
              <w:rPr>
                <w:rFonts w:asciiTheme="minorHAnsi" w:hAnsiTheme="minorHAnsi" w:cstheme="minorHAnsi"/>
                <w:b/>
                <w:bCs/>
                <w:sz w:val="22"/>
                <w:lang w:val="en-US"/>
              </w:rPr>
              <w:t>state of the art</w:t>
            </w:r>
            <w:proofErr w:type="gramEnd"/>
            <w:r w:rsidRPr="00D8438A">
              <w:rPr>
                <w:rFonts w:asciiTheme="minorHAnsi" w:hAnsiTheme="minorHAnsi" w:cstheme="minorHAnsi"/>
                <w:b/>
                <w:bCs/>
                <w:sz w:val="22"/>
                <w:lang w:val="en-US"/>
              </w:rPr>
              <w:t xml:space="preserve"> research infrastructure</w:t>
            </w:r>
            <w:r w:rsidRPr="00D8438A">
              <w:rPr>
                <w:rFonts w:asciiTheme="minorHAnsi" w:hAnsiTheme="minorHAnsi" w:cstheme="minorHAnsi"/>
                <w:sz w:val="22"/>
                <w:lang w:val="en-US"/>
              </w:rPr>
              <w:t>, attracting stellar researchers and government and industry partners.</w:t>
            </w:r>
          </w:p>
          <w:p w14:paraId="76B11522" w14:textId="77777777" w:rsidR="00834FDB" w:rsidRPr="00D8438A" w:rsidRDefault="00834FDB" w:rsidP="00834FDB">
            <w:pPr>
              <w:pStyle w:val="BodyText"/>
              <w:numPr>
                <w:ilvl w:val="0"/>
                <w:numId w:val="27"/>
              </w:numPr>
              <w:spacing w:after="0" w:line="240" w:lineRule="auto"/>
              <w:ind w:right="102"/>
              <w:rPr>
                <w:rFonts w:asciiTheme="minorHAnsi" w:hAnsiTheme="minorHAnsi" w:cstheme="minorHAnsi"/>
                <w:sz w:val="22"/>
                <w:lang w:val="en-US"/>
              </w:rPr>
            </w:pPr>
            <w:r w:rsidRPr="00D8438A">
              <w:rPr>
                <w:rFonts w:asciiTheme="minorHAnsi" w:hAnsiTheme="minorHAnsi" w:cstheme="minorHAnsi"/>
                <w:sz w:val="22"/>
                <w:lang w:val="en-US"/>
              </w:rPr>
              <w:t xml:space="preserve">Drive </w:t>
            </w:r>
            <w:r w:rsidRPr="00D8438A">
              <w:rPr>
                <w:rFonts w:asciiTheme="minorHAnsi" w:hAnsiTheme="minorHAnsi" w:cstheme="minorHAnsi"/>
                <w:b/>
                <w:bCs/>
                <w:sz w:val="22"/>
                <w:lang w:val="en-US"/>
              </w:rPr>
              <w:t>entrepreneurship and the startup economy</w:t>
            </w:r>
            <w:r w:rsidRPr="00D8438A">
              <w:rPr>
                <w:rFonts w:asciiTheme="minorHAnsi" w:hAnsiTheme="minorHAnsi" w:cstheme="minorHAnsi"/>
                <w:sz w:val="22"/>
                <w:lang w:val="en-US"/>
              </w:rPr>
              <w:t xml:space="preserve"> to grow the regional innovation ecosystem.</w:t>
            </w:r>
          </w:p>
          <w:p w14:paraId="0284A075" w14:textId="77777777" w:rsidR="00834FDB" w:rsidRPr="00D8438A" w:rsidRDefault="00834FDB" w:rsidP="00834FDB">
            <w:pPr>
              <w:pStyle w:val="BodyText"/>
              <w:numPr>
                <w:ilvl w:val="0"/>
                <w:numId w:val="27"/>
              </w:numPr>
              <w:spacing w:after="0" w:line="240" w:lineRule="auto"/>
              <w:ind w:right="102"/>
              <w:rPr>
                <w:rFonts w:asciiTheme="minorHAnsi" w:hAnsiTheme="minorHAnsi" w:cstheme="minorHAnsi"/>
                <w:sz w:val="22"/>
                <w:lang w:val="en-US"/>
              </w:rPr>
            </w:pPr>
            <w:r w:rsidRPr="00D8438A">
              <w:rPr>
                <w:rFonts w:asciiTheme="minorHAnsi" w:hAnsiTheme="minorHAnsi" w:cstheme="minorHAnsi"/>
                <w:sz w:val="22"/>
                <w:lang w:val="en-US"/>
              </w:rPr>
              <w:t xml:space="preserve">Be a </w:t>
            </w:r>
            <w:r w:rsidRPr="00D8438A">
              <w:rPr>
                <w:rFonts w:asciiTheme="minorHAnsi" w:hAnsiTheme="minorHAnsi" w:cstheme="minorHAnsi"/>
                <w:b/>
                <w:bCs/>
                <w:sz w:val="22"/>
                <w:lang w:val="en-US"/>
              </w:rPr>
              <w:t xml:space="preserve">research partner of choice for </w:t>
            </w:r>
            <w:r w:rsidRPr="00D8438A">
              <w:rPr>
                <w:rFonts w:asciiTheme="minorHAnsi" w:hAnsiTheme="minorHAnsi" w:cstheme="minorHAnsi"/>
                <w:sz w:val="22"/>
                <w:lang w:val="en-US"/>
              </w:rPr>
              <w:t>government, industry and end users.</w:t>
            </w:r>
          </w:p>
          <w:p w14:paraId="350C5995" w14:textId="77777777" w:rsidR="00834FDB" w:rsidRPr="00D8438A" w:rsidRDefault="00834FDB" w:rsidP="00834FDB">
            <w:pPr>
              <w:pStyle w:val="BodyText"/>
              <w:numPr>
                <w:ilvl w:val="0"/>
                <w:numId w:val="27"/>
              </w:numPr>
              <w:spacing w:after="0" w:line="240" w:lineRule="auto"/>
              <w:ind w:right="102"/>
              <w:rPr>
                <w:rFonts w:asciiTheme="minorHAnsi" w:hAnsiTheme="minorHAnsi" w:cstheme="minorHAnsi"/>
                <w:sz w:val="22"/>
                <w:lang w:val="en-US"/>
              </w:rPr>
            </w:pPr>
            <w:r w:rsidRPr="00D8438A">
              <w:rPr>
                <w:rFonts w:asciiTheme="minorHAnsi" w:hAnsiTheme="minorHAnsi" w:cstheme="minorHAnsi"/>
                <w:sz w:val="22"/>
                <w:lang w:val="en-US"/>
              </w:rPr>
              <w:t xml:space="preserve">Forge partnerships that </w:t>
            </w:r>
            <w:r w:rsidRPr="00D8438A">
              <w:rPr>
                <w:rFonts w:asciiTheme="minorHAnsi" w:hAnsiTheme="minorHAnsi" w:cstheme="minorHAnsi"/>
                <w:b/>
                <w:bCs/>
                <w:sz w:val="22"/>
                <w:lang w:val="en-US"/>
              </w:rPr>
              <w:t>address industry-specific talent demand challenges</w:t>
            </w:r>
            <w:r w:rsidRPr="00D8438A">
              <w:rPr>
                <w:rFonts w:asciiTheme="minorHAnsi" w:hAnsiTheme="minorHAnsi" w:cstheme="minorHAnsi"/>
                <w:sz w:val="22"/>
                <w:lang w:val="en-US"/>
              </w:rPr>
              <w:t xml:space="preserve"> and contribute to Western Sydney’s growth.</w:t>
            </w:r>
          </w:p>
          <w:p w14:paraId="35D581FF" w14:textId="77777777" w:rsidR="00834FDB" w:rsidRPr="00D8438A" w:rsidRDefault="00834FDB" w:rsidP="00834FDB">
            <w:pPr>
              <w:pStyle w:val="BodyText"/>
              <w:numPr>
                <w:ilvl w:val="0"/>
                <w:numId w:val="27"/>
              </w:numPr>
              <w:spacing w:after="0" w:line="240" w:lineRule="auto"/>
              <w:ind w:right="102"/>
              <w:rPr>
                <w:rFonts w:asciiTheme="minorHAnsi" w:hAnsiTheme="minorHAnsi" w:cstheme="minorHAnsi"/>
                <w:sz w:val="22"/>
                <w:lang w:val="en-US"/>
              </w:rPr>
            </w:pPr>
            <w:r w:rsidRPr="00D8438A">
              <w:rPr>
                <w:rFonts w:asciiTheme="minorHAnsi" w:hAnsiTheme="minorHAnsi" w:cstheme="minorHAnsi"/>
                <w:sz w:val="22"/>
                <w:lang w:val="en-US"/>
              </w:rPr>
              <w:t xml:space="preserve">Partner with </w:t>
            </w:r>
            <w:r w:rsidRPr="00D8438A">
              <w:rPr>
                <w:rFonts w:asciiTheme="minorHAnsi" w:hAnsiTheme="minorHAnsi" w:cstheme="minorHAnsi"/>
                <w:b/>
                <w:bCs/>
                <w:sz w:val="22"/>
                <w:lang w:val="en-US"/>
              </w:rPr>
              <w:t>industry to co-create immersive and rewarding opportunities</w:t>
            </w:r>
            <w:r w:rsidRPr="00D8438A">
              <w:rPr>
                <w:rFonts w:asciiTheme="minorHAnsi" w:hAnsiTheme="minorHAnsi" w:cstheme="minorHAnsi"/>
                <w:sz w:val="22"/>
                <w:lang w:val="en-US"/>
              </w:rPr>
              <w:t xml:space="preserve"> for students. </w:t>
            </w:r>
          </w:p>
          <w:p w14:paraId="5AE8EE73" w14:textId="77777777" w:rsidR="00834FDB" w:rsidRPr="00D8438A" w:rsidRDefault="00834FDB" w:rsidP="00834FDB">
            <w:pPr>
              <w:spacing w:after="0"/>
              <w:ind w:right="102"/>
              <w:rPr>
                <w:rFonts w:eastAsia="Calibri" w:cstheme="minorHAnsi"/>
                <w:lang w:val="en-US"/>
              </w:rPr>
            </w:pPr>
          </w:p>
          <w:p w14:paraId="35109150" w14:textId="77777777" w:rsidR="00834FDB" w:rsidRPr="00D8438A" w:rsidRDefault="00834FDB" w:rsidP="00834FDB">
            <w:pPr>
              <w:spacing w:after="0"/>
              <w:ind w:right="102"/>
              <w:rPr>
                <w:rFonts w:eastAsia="Calibri" w:cstheme="minorHAnsi"/>
                <w:lang w:val="en-US"/>
              </w:rPr>
            </w:pPr>
            <w:r w:rsidRPr="00D8438A">
              <w:rPr>
                <w:rFonts w:eastAsia="Calibri" w:cstheme="minorHAnsi"/>
                <w:lang w:val="en-US"/>
              </w:rPr>
              <w:t xml:space="preserve">Our engagement with industry, as well as government and the community, are underpinned by </w:t>
            </w:r>
            <w:hyperlink r:id="rId27" w:history="1">
              <w:r w:rsidRPr="00D8438A">
                <w:rPr>
                  <w:rStyle w:val="Hyperlink"/>
                  <w:rFonts w:cstheme="minorHAnsi"/>
                </w:rPr>
                <w:t>Unlimited Potential</w:t>
              </w:r>
            </w:hyperlink>
            <w:r w:rsidRPr="00D8438A">
              <w:rPr>
                <w:rFonts w:eastAsia="Calibri" w:cstheme="minorHAnsi"/>
                <w:lang w:val="en-US"/>
              </w:rPr>
              <w:t>, Western’s economic strategy for Western Sydney to drive the region’s transformation, guided by the following pillars:</w:t>
            </w:r>
          </w:p>
          <w:p w14:paraId="57A3743E" w14:textId="77777777" w:rsidR="00834FDB" w:rsidRPr="00D8438A" w:rsidRDefault="00834FDB" w:rsidP="00834FDB">
            <w:pPr>
              <w:numPr>
                <w:ilvl w:val="0"/>
                <w:numId w:val="28"/>
              </w:numPr>
              <w:spacing w:after="160"/>
              <w:ind w:left="714" w:hanging="357"/>
              <w:rPr>
                <w:rFonts w:cstheme="minorHAnsi"/>
              </w:rPr>
            </w:pPr>
            <w:r w:rsidRPr="00D8438A">
              <w:rPr>
                <w:rFonts w:cstheme="minorHAnsi"/>
                <w:b/>
                <w:bCs/>
              </w:rPr>
              <w:t>Future Industries</w:t>
            </w:r>
            <w:r w:rsidRPr="00D8438A">
              <w:rPr>
                <w:rFonts w:cstheme="minorHAnsi"/>
              </w:rPr>
              <w:t>: Targeting global markets in advanced manufacturing, space, defence, aerospace, medical technologies, renewable energy, and semiconductors.</w:t>
            </w:r>
          </w:p>
          <w:p w14:paraId="34AF419F" w14:textId="77777777" w:rsidR="00834FDB" w:rsidRPr="00D8438A" w:rsidRDefault="00834FDB" w:rsidP="00834FDB">
            <w:pPr>
              <w:numPr>
                <w:ilvl w:val="0"/>
                <w:numId w:val="28"/>
              </w:numPr>
              <w:spacing w:after="160"/>
              <w:ind w:left="714" w:hanging="357"/>
              <w:rPr>
                <w:rFonts w:cstheme="minorHAnsi"/>
              </w:rPr>
            </w:pPr>
            <w:r w:rsidRPr="00D8438A">
              <w:rPr>
                <w:rFonts w:cstheme="minorHAnsi"/>
                <w:b/>
                <w:bCs/>
              </w:rPr>
              <w:t>Future Skills</w:t>
            </w:r>
            <w:r w:rsidRPr="00D8438A">
              <w:rPr>
                <w:rFonts w:cstheme="minorHAnsi"/>
              </w:rPr>
              <w:t>: Ensuring access to education, reskilling, and training for high-demand, high-paying jobs.</w:t>
            </w:r>
          </w:p>
          <w:p w14:paraId="42753519" w14:textId="77777777" w:rsidR="00834FDB" w:rsidRPr="00D8438A" w:rsidRDefault="00834FDB" w:rsidP="00834FDB">
            <w:pPr>
              <w:numPr>
                <w:ilvl w:val="0"/>
                <w:numId w:val="28"/>
              </w:numPr>
              <w:spacing w:after="160"/>
              <w:ind w:left="714" w:hanging="357"/>
              <w:rPr>
                <w:rFonts w:cstheme="minorHAnsi"/>
              </w:rPr>
            </w:pPr>
            <w:r w:rsidRPr="00D8438A">
              <w:rPr>
                <w:rFonts w:cstheme="minorHAnsi"/>
                <w:b/>
                <w:bCs/>
              </w:rPr>
              <w:t>Future Communities</w:t>
            </w:r>
            <w:r w:rsidRPr="00D8438A">
              <w:rPr>
                <w:rFonts w:cstheme="minorHAnsi"/>
              </w:rPr>
              <w:t>: Promoting equity and aligning community aspirations with economic development.</w:t>
            </w:r>
          </w:p>
          <w:p w14:paraId="2582CCBC" w14:textId="77777777" w:rsidR="00834FDB" w:rsidRDefault="00834FDB" w:rsidP="00834FDB">
            <w:pPr>
              <w:pStyle w:val="BodyText"/>
              <w:spacing w:after="0" w:line="240" w:lineRule="auto"/>
              <w:ind w:right="102"/>
              <w:rPr>
                <w:rFonts w:cstheme="minorHAnsi"/>
                <w:sz w:val="22"/>
              </w:rPr>
            </w:pPr>
            <w:r w:rsidRPr="00BB3019">
              <w:rPr>
                <w:rFonts w:asciiTheme="minorHAnsi" w:hAnsiTheme="minorHAnsi" w:cstheme="minorHAnsi"/>
                <w:sz w:val="22"/>
              </w:rPr>
              <w:t xml:space="preserve">The University partners with industry to deliver </w:t>
            </w:r>
            <w:r w:rsidRPr="00BB3019">
              <w:rPr>
                <w:rFonts w:asciiTheme="minorHAnsi" w:hAnsiTheme="minorHAnsi" w:cstheme="minorHAnsi"/>
                <w:b/>
                <w:bCs/>
                <w:sz w:val="22"/>
              </w:rPr>
              <w:t>micro-credentials</w:t>
            </w:r>
            <w:r w:rsidRPr="00BB3019">
              <w:rPr>
                <w:rFonts w:asciiTheme="minorHAnsi" w:hAnsiTheme="minorHAnsi" w:cstheme="minorHAnsi"/>
                <w:sz w:val="22"/>
              </w:rPr>
              <w:t xml:space="preserve">, professional training, and reskilling programs, creating an </w:t>
            </w:r>
            <w:r w:rsidRPr="00BB3019">
              <w:rPr>
                <w:rFonts w:asciiTheme="minorHAnsi" w:hAnsiTheme="minorHAnsi" w:cstheme="minorHAnsi"/>
                <w:b/>
                <w:bCs/>
                <w:sz w:val="22"/>
              </w:rPr>
              <w:t>innovation-ready workforce</w:t>
            </w:r>
            <w:r w:rsidRPr="00BB3019">
              <w:rPr>
                <w:rFonts w:asciiTheme="minorHAnsi" w:hAnsiTheme="minorHAnsi" w:cstheme="minorHAnsi"/>
                <w:sz w:val="22"/>
              </w:rPr>
              <w:t xml:space="preserve">. Students benefit from </w:t>
            </w:r>
            <w:r w:rsidRPr="00BB3019">
              <w:rPr>
                <w:rFonts w:asciiTheme="minorHAnsi" w:hAnsiTheme="minorHAnsi" w:cstheme="minorHAnsi"/>
                <w:b/>
                <w:bCs/>
                <w:sz w:val="22"/>
              </w:rPr>
              <w:t>entrepreneurship programs, internships</w:t>
            </w:r>
            <w:r w:rsidRPr="00BB3019">
              <w:rPr>
                <w:rFonts w:asciiTheme="minorHAnsi" w:hAnsiTheme="minorHAnsi" w:cstheme="minorHAnsi"/>
                <w:sz w:val="22"/>
              </w:rPr>
              <w:t xml:space="preserve">, and </w:t>
            </w:r>
            <w:r w:rsidRPr="00BB3019">
              <w:rPr>
                <w:rFonts w:asciiTheme="minorHAnsi" w:hAnsiTheme="minorHAnsi" w:cstheme="minorHAnsi"/>
                <w:b/>
                <w:bCs/>
                <w:sz w:val="22"/>
              </w:rPr>
              <w:t>co-created curricula</w:t>
            </w:r>
            <w:r w:rsidRPr="00BB3019">
              <w:rPr>
                <w:rFonts w:asciiTheme="minorHAnsi" w:hAnsiTheme="minorHAnsi" w:cstheme="minorHAnsi"/>
                <w:sz w:val="22"/>
              </w:rPr>
              <w:t xml:space="preserve">, ensuring their education is directly applicable to industry needs. </w:t>
            </w:r>
            <w:r w:rsidRPr="00BB3019">
              <w:rPr>
                <w:rFonts w:cstheme="minorHAnsi"/>
                <w:sz w:val="22"/>
              </w:rPr>
              <w:t xml:space="preserve">This includes the </w:t>
            </w:r>
            <w:r w:rsidRPr="00BB3019">
              <w:rPr>
                <w:rFonts w:asciiTheme="minorHAnsi" w:hAnsiTheme="minorHAnsi" w:cstheme="minorHAnsi"/>
                <w:b/>
                <w:bCs/>
                <w:sz w:val="22"/>
              </w:rPr>
              <w:t xml:space="preserve">harmonisation of Higher Education (HE) </w:t>
            </w:r>
            <w:r w:rsidRPr="00BB3019">
              <w:rPr>
                <w:rFonts w:asciiTheme="minorHAnsi" w:hAnsiTheme="minorHAnsi" w:cstheme="minorHAnsi"/>
                <w:b/>
                <w:bCs/>
                <w:sz w:val="22"/>
              </w:rPr>
              <w:lastRenderedPageBreak/>
              <w:t>and Vocational Education and Training (VET)</w:t>
            </w:r>
            <w:r w:rsidRPr="00BB3019">
              <w:rPr>
                <w:rFonts w:cstheme="minorHAnsi"/>
                <w:b/>
                <w:bCs/>
                <w:sz w:val="22"/>
              </w:rPr>
              <w:t xml:space="preserve">, </w:t>
            </w:r>
            <w:r w:rsidRPr="00BB3019">
              <w:rPr>
                <w:rFonts w:asciiTheme="minorHAnsi" w:hAnsiTheme="minorHAnsi" w:cstheme="minorHAnsi"/>
                <w:b/>
                <w:bCs/>
                <w:sz w:val="22"/>
              </w:rPr>
              <w:t>partnering with TAFE</w:t>
            </w:r>
            <w:r w:rsidRPr="00BB3019">
              <w:rPr>
                <w:rFonts w:asciiTheme="minorHAnsi" w:hAnsiTheme="minorHAnsi" w:cstheme="minorHAnsi"/>
                <w:sz w:val="22"/>
              </w:rPr>
              <w:t xml:space="preserve"> to support lifelong learning and workforce development</w:t>
            </w:r>
            <w:r w:rsidRPr="00BB3019">
              <w:rPr>
                <w:rFonts w:cstheme="minorHAnsi"/>
                <w:sz w:val="22"/>
              </w:rPr>
              <w:t>.</w:t>
            </w:r>
          </w:p>
          <w:p w14:paraId="25F51B2B" w14:textId="77777777" w:rsidR="00834FDB" w:rsidRPr="00BB3019" w:rsidRDefault="00834FDB" w:rsidP="00834FDB">
            <w:pPr>
              <w:pStyle w:val="BodyText"/>
              <w:spacing w:after="0" w:line="240" w:lineRule="auto"/>
              <w:ind w:right="102"/>
              <w:rPr>
                <w:rFonts w:eastAsia="Calibri"/>
                <w:sz w:val="22"/>
                <w:highlight w:val="yellow"/>
                <w:lang w:val="en-US"/>
              </w:rPr>
            </w:pPr>
          </w:p>
          <w:p w14:paraId="4720166A" w14:textId="77777777" w:rsidR="00834FDB" w:rsidRDefault="00834FDB" w:rsidP="00834FDB">
            <w:pPr>
              <w:pStyle w:val="BodyText"/>
              <w:spacing w:after="0" w:line="240" w:lineRule="auto"/>
              <w:ind w:right="102"/>
              <w:rPr>
                <w:rFonts w:asciiTheme="minorHAnsi" w:hAnsiTheme="minorHAnsi" w:cstheme="minorHAnsi"/>
                <w:sz w:val="22"/>
                <w:lang w:val="en-US"/>
              </w:rPr>
            </w:pPr>
            <w:r w:rsidRPr="00D8438A">
              <w:rPr>
                <w:rFonts w:asciiTheme="minorHAnsi" w:hAnsiTheme="minorHAnsi" w:cstheme="minorHAnsi"/>
                <w:sz w:val="22"/>
              </w:rPr>
              <w:t>Western’s support for industry extends to investment in infrastructure and support for innovation networks.</w:t>
            </w:r>
            <w:r w:rsidRPr="00D8438A">
              <w:rPr>
                <w:rFonts w:asciiTheme="minorHAnsi" w:hAnsiTheme="minorHAnsi" w:cstheme="minorHAnsi"/>
                <w:sz w:val="22"/>
                <w:lang w:val="en-US"/>
              </w:rPr>
              <w:t xml:space="preserve">Western’s </w:t>
            </w:r>
            <w:hyperlink r:id="rId28">
              <w:r w:rsidRPr="00D8438A">
                <w:rPr>
                  <w:rStyle w:val="Hyperlink"/>
                  <w:rFonts w:asciiTheme="minorHAnsi" w:hAnsiTheme="minorHAnsi" w:cstheme="minorHAnsi"/>
                  <w:sz w:val="22"/>
                  <w:lang w:val="en-US"/>
                </w:rPr>
                <w:t>Launchpad</w:t>
              </w:r>
            </w:hyperlink>
            <w:r w:rsidRPr="00D8438A">
              <w:rPr>
                <w:rFonts w:asciiTheme="minorHAnsi" w:hAnsiTheme="minorHAnsi" w:cstheme="minorHAnsi"/>
                <w:sz w:val="22"/>
                <w:lang w:val="en-US"/>
              </w:rPr>
              <w:t xml:space="preserve"> and </w:t>
            </w:r>
            <w:hyperlink r:id="rId29">
              <w:r w:rsidRPr="00D8438A">
                <w:rPr>
                  <w:rStyle w:val="Hyperlink"/>
                  <w:rFonts w:asciiTheme="minorHAnsi" w:hAnsiTheme="minorHAnsi" w:cstheme="minorHAnsi"/>
                  <w:sz w:val="22"/>
                  <w:lang w:val="en-US"/>
                </w:rPr>
                <w:t>Factory of the Future</w:t>
              </w:r>
            </w:hyperlink>
            <w:r w:rsidRPr="00D8438A">
              <w:rPr>
                <w:rFonts w:asciiTheme="minorHAnsi" w:hAnsiTheme="minorHAnsi" w:cstheme="minorHAnsi"/>
                <w:sz w:val="22"/>
                <w:lang w:val="en-US"/>
              </w:rPr>
              <w:t xml:space="preserve"> provide start-up/scale-up support for entrepreneurs and founders at the beginning of their innovation careers, and access to rapid prototyping and design kit to help established industry leaders take the next step to Industry 4.0. Our close working relationship with the </w:t>
            </w:r>
            <w:r w:rsidRPr="00D8438A">
              <w:rPr>
                <w:rFonts w:asciiTheme="minorHAnsi" w:hAnsiTheme="minorHAnsi" w:cstheme="minorHAnsi"/>
                <w:b/>
                <w:bCs/>
                <w:sz w:val="22"/>
                <w:lang w:val="en-US"/>
              </w:rPr>
              <w:t>Advanced Manufacturing Research Facility</w:t>
            </w:r>
            <w:r w:rsidRPr="00D8438A">
              <w:rPr>
                <w:rFonts w:asciiTheme="minorHAnsi" w:hAnsiTheme="minorHAnsi" w:cstheme="minorHAnsi"/>
                <w:sz w:val="22"/>
                <w:lang w:val="en-US"/>
              </w:rPr>
              <w:t xml:space="preserve"> and access to </w:t>
            </w:r>
            <w:r w:rsidRPr="00D8438A">
              <w:rPr>
                <w:rFonts w:asciiTheme="minorHAnsi" w:hAnsiTheme="minorHAnsi" w:cstheme="minorHAnsi"/>
                <w:b/>
                <w:bCs/>
                <w:sz w:val="22"/>
                <w:lang w:val="en-US"/>
              </w:rPr>
              <w:t xml:space="preserve">Western Sydney Airport </w:t>
            </w:r>
            <w:r w:rsidRPr="00D8438A">
              <w:rPr>
                <w:rFonts w:asciiTheme="minorHAnsi" w:hAnsiTheme="minorHAnsi" w:cstheme="minorHAnsi"/>
                <w:sz w:val="22"/>
                <w:lang w:val="en-US"/>
              </w:rPr>
              <w:t xml:space="preserve">enables Western to nurture relationships in areas such as aerospace and </w:t>
            </w:r>
            <w:proofErr w:type="spellStart"/>
            <w:r w:rsidRPr="00D8438A">
              <w:rPr>
                <w:rFonts w:asciiTheme="minorHAnsi" w:hAnsiTheme="minorHAnsi" w:cstheme="minorHAnsi"/>
                <w:sz w:val="22"/>
                <w:lang w:val="en-US"/>
              </w:rPr>
              <w:t>defence</w:t>
            </w:r>
            <w:proofErr w:type="spellEnd"/>
            <w:r w:rsidRPr="00D8438A">
              <w:rPr>
                <w:rFonts w:asciiTheme="minorHAnsi" w:hAnsiTheme="minorHAnsi" w:cstheme="minorHAnsi"/>
                <w:sz w:val="22"/>
                <w:lang w:val="en-US"/>
              </w:rPr>
              <w:t xml:space="preserve">. We work in </w:t>
            </w:r>
            <w:proofErr w:type="gramStart"/>
            <w:r w:rsidRPr="00D8438A">
              <w:rPr>
                <w:rFonts w:asciiTheme="minorHAnsi" w:hAnsiTheme="minorHAnsi" w:cstheme="minorHAnsi"/>
                <w:sz w:val="22"/>
                <w:lang w:val="en-US"/>
              </w:rPr>
              <w:t>partnership</w:t>
            </w:r>
            <w:proofErr w:type="gramEnd"/>
            <w:r w:rsidRPr="00D8438A">
              <w:rPr>
                <w:rFonts w:asciiTheme="minorHAnsi" w:hAnsiTheme="minorHAnsi" w:cstheme="minorHAnsi"/>
                <w:sz w:val="22"/>
                <w:lang w:val="en-US"/>
              </w:rPr>
              <w:t xml:space="preserve"> with primes and SMEs to </w:t>
            </w:r>
            <w:proofErr w:type="spellStart"/>
            <w:r w:rsidRPr="00D8438A">
              <w:rPr>
                <w:rFonts w:asciiTheme="minorHAnsi" w:hAnsiTheme="minorHAnsi" w:cstheme="minorHAnsi"/>
                <w:sz w:val="22"/>
                <w:lang w:val="en-US"/>
              </w:rPr>
              <w:t>maximise</w:t>
            </w:r>
            <w:proofErr w:type="spellEnd"/>
            <w:r w:rsidRPr="00D8438A">
              <w:rPr>
                <w:rFonts w:asciiTheme="minorHAnsi" w:hAnsiTheme="minorHAnsi" w:cstheme="minorHAnsi"/>
                <w:sz w:val="22"/>
                <w:lang w:val="en-US"/>
              </w:rPr>
              <w:t xml:space="preserve"> opportunities for Research &amp; Development in the ARC’s Industrial Transformation Research and CRC programs</w:t>
            </w:r>
            <w:r>
              <w:rPr>
                <w:rFonts w:asciiTheme="minorHAnsi" w:hAnsiTheme="minorHAnsi" w:cstheme="minorHAnsi"/>
                <w:sz w:val="22"/>
                <w:lang w:val="en-US"/>
              </w:rPr>
              <w:t xml:space="preserve">. </w:t>
            </w:r>
          </w:p>
          <w:p w14:paraId="3508B986" w14:textId="77777777" w:rsidR="00834FDB" w:rsidRDefault="00834FDB" w:rsidP="00834FDB">
            <w:pPr>
              <w:pStyle w:val="BodyText"/>
              <w:spacing w:after="0" w:line="240" w:lineRule="auto"/>
              <w:ind w:right="102"/>
              <w:rPr>
                <w:rFonts w:asciiTheme="minorHAnsi" w:hAnsiTheme="minorHAnsi" w:cstheme="minorHAnsi"/>
                <w:sz w:val="22"/>
              </w:rPr>
            </w:pPr>
          </w:p>
          <w:p w14:paraId="2AC21B6E" w14:textId="77777777" w:rsidR="00834FDB" w:rsidRPr="00D8438A" w:rsidRDefault="00834FDB" w:rsidP="00834FDB">
            <w:pPr>
              <w:pStyle w:val="BodyText"/>
              <w:spacing w:after="0" w:line="240" w:lineRule="auto"/>
              <w:ind w:right="102"/>
              <w:rPr>
                <w:rFonts w:asciiTheme="minorHAnsi" w:hAnsiTheme="minorHAnsi" w:cstheme="minorHAnsi"/>
                <w:sz w:val="22"/>
                <w:lang w:val="en-US"/>
              </w:rPr>
            </w:pPr>
            <w:r w:rsidRPr="00D8438A">
              <w:rPr>
                <w:rFonts w:asciiTheme="minorHAnsi" w:hAnsiTheme="minorHAnsi" w:cstheme="minorHAnsi"/>
                <w:sz w:val="22"/>
              </w:rPr>
              <w:t xml:space="preserve">Western remains focused on </w:t>
            </w:r>
            <w:r w:rsidRPr="00D8438A">
              <w:rPr>
                <w:rFonts w:asciiTheme="minorHAnsi" w:hAnsiTheme="minorHAnsi" w:cstheme="minorHAnsi"/>
                <w:b/>
                <w:bCs/>
                <w:sz w:val="22"/>
              </w:rPr>
              <w:t>equity and inclusion</w:t>
            </w:r>
            <w:r w:rsidRPr="00D8438A">
              <w:rPr>
                <w:rFonts w:asciiTheme="minorHAnsi" w:hAnsiTheme="minorHAnsi" w:cstheme="minorHAnsi"/>
                <w:sz w:val="22"/>
              </w:rPr>
              <w:t>, supporting industry of all sizes to ensure their workforces reflect the diversity of our community in Western Sydney.</w:t>
            </w:r>
            <w:r w:rsidRPr="00BB3019">
              <w:rPr>
                <w:rFonts w:asciiTheme="minorHAnsi" w:hAnsiTheme="minorHAnsi" w:cstheme="minorHAnsi"/>
                <w:sz w:val="22"/>
              </w:rPr>
              <w:t xml:space="preserve"> </w:t>
            </w:r>
          </w:p>
          <w:p w14:paraId="73A304F4" w14:textId="77777777" w:rsidR="00834FDB" w:rsidRPr="00D8438A" w:rsidRDefault="00834FDB" w:rsidP="00834FDB">
            <w:pPr>
              <w:pStyle w:val="BodyText"/>
              <w:spacing w:after="0" w:line="240" w:lineRule="auto"/>
              <w:ind w:right="102"/>
              <w:rPr>
                <w:rFonts w:asciiTheme="minorHAnsi" w:hAnsiTheme="minorHAnsi" w:cstheme="minorHAnsi"/>
                <w:sz w:val="22"/>
                <w:lang w:val="en-US"/>
              </w:rPr>
            </w:pPr>
          </w:p>
          <w:p w14:paraId="5001F51B" w14:textId="77777777" w:rsidR="00834FDB" w:rsidRPr="00D8438A" w:rsidRDefault="00834FDB" w:rsidP="00834FDB">
            <w:pPr>
              <w:pStyle w:val="BodyText"/>
              <w:spacing w:line="240" w:lineRule="auto"/>
              <w:rPr>
                <w:rFonts w:cstheme="minorHAnsi"/>
                <w:sz w:val="22"/>
                <w:lang w:val="en-US"/>
              </w:rPr>
            </w:pPr>
            <w:r w:rsidRPr="00D8438A">
              <w:rPr>
                <w:rFonts w:cstheme="minorHAnsi"/>
                <w:sz w:val="22"/>
                <w:lang w:val="en-US"/>
              </w:rPr>
              <w:t xml:space="preserve">To deliver on our vision, Western has established the </w:t>
            </w:r>
            <w:r w:rsidRPr="00D8438A">
              <w:rPr>
                <w:rFonts w:cstheme="minorHAnsi"/>
                <w:b/>
                <w:bCs/>
                <w:sz w:val="22"/>
                <w:lang w:val="en-US"/>
              </w:rPr>
              <w:t xml:space="preserve">Division of Western Sydney and External Engagement </w:t>
            </w:r>
            <w:r w:rsidRPr="00D8438A">
              <w:rPr>
                <w:rFonts w:cstheme="minorHAnsi"/>
                <w:sz w:val="22"/>
                <w:lang w:val="en-US"/>
              </w:rPr>
              <w:t xml:space="preserve">as its outward-facing hub, responsible for building and sustaining partnerships that underpin the University’s impact. Western has adopted a full-scope approach to partnerships, creating a single point-of-entry for our partners via the Division. </w:t>
            </w:r>
          </w:p>
          <w:p w14:paraId="7624FF5F" w14:textId="77777777" w:rsidR="00834FDB" w:rsidRPr="00D8438A" w:rsidRDefault="00834FDB" w:rsidP="00834FDB">
            <w:pPr>
              <w:pStyle w:val="BodyText"/>
              <w:spacing w:after="0" w:line="240" w:lineRule="auto"/>
              <w:ind w:right="102"/>
              <w:rPr>
                <w:rFonts w:asciiTheme="minorHAnsi" w:hAnsiTheme="minorHAnsi" w:cstheme="minorHAnsi"/>
                <w:sz w:val="22"/>
                <w:lang w:val="en-US"/>
              </w:rPr>
            </w:pPr>
          </w:p>
          <w:p w14:paraId="4BBCD284" w14:textId="055B49E9" w:rsidR="001B109C" w:rsidRDefault="00834FDB" w:rsidP="00834FDB">
            <w:pPr>
              <w:pStyle w:val="NormalIndent"/>
              <w:spacing w:before="0" w:after="0"/>
              <w:ind w:left="0"/>
              <w:rPr>
                <w:rFonts w:asciiTheme="minorHAnsi" w:hAnsiTheme="minorHAnsi" w:cstheme="minorHAnsi"/>
                <w:i/>
                <w:color w:val="FF0000"/>
                <w:szCs w:val="22"/>
              </w:rPr>
            </w:pPr>
            <w:r w:rsidRPr="00D8438A">
              <w:rPr>
                <w:rFonts w:asciiTheme="minorHAnsi" w:hAnsiTheme="minorHAnsi"/>
                <w:lang w:val="en-US"/>
              </w:rPr>
              <w:t xml:space="preserve">Our </w:t>
            </w:r>
            <w:r w:rsidRPr="00D8438A">
              <w:rPr>
                <w:rFonts w:asciiTheme="minorHAnsi" w:hAnsiTheme="minorHAnsi"/>
                <w:b/>
                <w:lang w:val="en-US"/>
              </w:rPr>
              <w:t>Strategic Partnerships Strategy</w:t>
            </w:r>
            <w:r w:rsidRPr="00D8438A">
              <w:rPr>
                <w:rFonts w:asciiTheme="minorHAnsi" w:hAnsiTheme="minorHAnsi"/>
                <w:lang w:val="en-US"/>
              </w:rPr>
              <w:t xml:space="preserve"> fosters purposeful collaboration with industry, government, and community to drive innovation, research translation, and workforce development across identified future industries. Supported by the University’s </w:t>
            </w:r>
            <w:r w:rsidRPr="00D8438A">
              <w:rPr>
                <w:rFonts w:asciiTheme="minorHAnsi" w:hAnsiTheme="minorHAnsi"/>
                <w:b/>
                <w:lang w:val="en-US"/>
              </w:rPr>
              <w:t>Government Relations Strategy</w:t>
            </w:r>
            <w:r w:rsidRPr="00D8438A">
              <w:rPr>
                <w:rFonts w:asciiTheme="minorHAnsi" w:hAnsiTheme="minorHAnsi"/>
                <w:lang w:val="en-US"/>
              </w:rPr>
              <w:t xml:space="preserve">, our partnerships </w:t>
            </w:r>
            <w:proofErr w:type="gramStart"/>
            <w:r w:rsidRPr="00D8438A">
              <w:rPr>
                <w:rFonts w:asciiTheme="minorHAnsi" w:hAnsiTheme="minorHAnsi"/>
                <w:lang w:val="en-US"/>
              </w:rPr>
              <w:t>align with</w:t>
            </w:r>
            <w:proofErr w:type="gramEnd"/>
            <w:r w:rsidRPr="00D8438A">
              <w:rPr>
                <w:rFonts w:asciiTheme="minorHAnsi" w:hAnsiTheme="minorHAnsi"/>
                <w:lang w:val="en-US"/>
              </w:rPr>
              <w:t xml:space="preserve"> government priorities and regional investment, including the Western Sydney Aerotropolis and Bradfield City Centre. This integrated approach ensures industry engagement is strategic, coordinated, and impactful, positioning the University as a catalyst for regional growth and a key contributor to Australia’s innovation and skills agend</w:t>
            </w:r>
            <w:r>
              <w:rPr>
                <w:rFonts w:asciiTheme="minorHAnsi" w:hAnsiTheme="minorHAnsi"/>
                <w:lang w:val="en-US"/>
              </w:rPr>
              <w:t>a.</w:t>
            </w:r>
          </w:p>
          <w:p w14:paraId="6465FC91" w14:textId="77777777" w:rsidR="001B109C" w:rsidRPr="007E3E37" w:rsidRDefault="001B109C" w:rsidP="00E734FF">
            <w:pPr>
              <w:pStyle w:val="NormalIndent"/>
              <w:spacing w:before="0" w:after="0"/>
              <w:ind w:left="0"/>
              <w:rPr>
                <w:rFonts w:asciiTheme="minorHAnsi" w:hAnsiTheme="minorHAnsi" w:cstheme="minorHAnsi"/>
                <w:i/>
                <w:color w:val="FF0000"/>
                <w:szCs w:val="22"/>
              </w:rPr>
            </w:pP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rsidTr="40A1ABEF">
        <w:tc>
          <w:tcPr>
            <w:tcW w:w="4508" w:type="dxa"/>
          </w:tcPr>
          <w:p w14:paraId="68C798FC" w14:textId="77777777" w:rsidR="001B109C" w:rsidRPr="00E114B4" w:rsidRDefault="001B109C" w:rsidP="00E734FF">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rsidP="00E734FF">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rsidP="00E734FF">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rsidP="00E734FF">
            <w:pPr>
              <w:rPr>
                <w:rFonts w:cstheme="minorHAnsi"/>
                <w:sz w:val="24"/>
                <w:szCs w:val="24"/>
              </w:rPr>
            </w:pPr>
            <w:r w:rsidRPr="00E114B4">
              <w:rPr>
                <w:rFonts w:cstheme="minorHAnsi"/>
                <w:sz w:val="24"/>
                <w:szCs w:val="24"/>
              </w:rPr>
              <w:t>In the presence of:</w:t>
            </w:r>
          </w:p>
        </w:tc>
      </w:tr>
      <w:tr w:rsidR="001B109C" w:rsidRPr="00E169EE" w14:paraId="186905E2" w14:textId="77777777" w:rsidTr="40A1ABEF">
        <w:tc>
          <w:tcPr>
            <w:tcW w:w="4508" w:type="dxa"/>
          </w:tcPr>
          <w:p w14:paraId="32153A99" w14:textId="739FA765" w:rsidR="001B109C" w:rsidRPr="00E114B4" w:rsidRDefault="00E30618" w:rsidP="00E734FF">
            <w:pPr>
              <w:pBdr>
                <w:bottom w:val="single" w:sz="12" w:space="1" w:color="auto"/>
              </w:pBdr>
              <w:rPr>
                <w:rFonts w:cstheme="minorHAnsi"/>
                <w:b/>
                <w:bCs/>
              </w:rPr>
            </w:pPr>
            <w:r w:rsidRPr="001E1D51">
              <w:rPr>
                <w:b/>
                <w:bCs/>
              </w:rPr>
              <w:t>Jessica Mohr</w:t>
            </w:r>
            <w:r w:rsidRPr="00DC5CCA">
              <w:rPr>
                <w:sz w:val="20"/>
                <w:szCs w:val="20"/>
              </w:rPr>
              <w:tab/>
            </w:r>
          </w:p>
          <w:p w14:paraId="7375CBDB" w14:textId="77777777" w:rsidR="001B109C" w:rsidRPr="00E114B4" w:rsidRDefault="001B109C" w:rsidP="00E734FF">
            <w:pPr>
              <w:rPr>
                <w:rFonts w:cstheme="minorHAnsi"/>
              </w:rPr>
            </w:pPr>
            <w:r w:rsidRPr="00E114B4">
              <w:rPr>
                <w:rFonts w:cstheme="minorHAnsi"/>
              </w:rPr>
              <w:t>Full name (please print)</w:t>
            </w:r>
          </w:p>
        </w:tc>
        <w:tc>
          <w:tcPr>
            <w:tcW w:w="4508" w:type="dxa"/>
          </w:tcPr>
          <w:p w14:paraId="091A8D51" w14:textId="33B24B9D" w:rsidR="001B109C" w:rsidRPr="00E114B4" w:rsidRDefault="0059089B" w:rsidP="00E734FF">
            <w:pPr>
              <w:pBdr>
                <w:bottom w:val="single" w:sz="12" w:space="1" w:color="auto"/>
              </w:pBdr>
              <w:rPr>
                <w:rFonts w:cstheme="minorHAnsi"/>
                <w:b/>
                <w:bCs/>
              </w:rPr>
            </w:pPr>
            <w:r w:rsidRPr="001E1D51">
              <w:rPr>
                <w:b/>
                <w:bCs/>
              </w:rPr>
              <w:t>Rachel Searl</w:t>
            </w:r>
          </w:p>
          <w:p w14:paraId="5AAC2089" w14:textId="77777777" w:rsidR="001B109C" w:rsidRPr="00E114B4" w:rsidRDefault="001B109C" w:rsidP="00E734FF">
            <w:pPr>
              <w:rPr>
                <w:rFonts w:cstheme="minorHAnsi"/>
              </w:rPr>
            </w:pPr>
            <w:r w:rsidRPr="00E114B4">
              <w:rPr>
                <w:rFonts w:cstheme="minorHAnsi"/>
              </w:rPr>
              <w:t>Witness (please print)</w:t>
            </w:r>
          </w:p>
        </w:tc>
      </w:tr>
      <w:tr w:rsidR="001B109C" w:rsidRPr="00E169EE" w14:paraId="6D0DB948" w14:textId="77777777" w:rsidTr="40A1ABEF">
        <w:tc>
          <w:tcPr>
            <w:tcW w:w="4508" w:type="dxa"/>
          </w:tcPr>
          <w:p w14:paraId="101367FA" w14:textId="5A85BE73" w:rsidR="001B109C" w:rsidRPr="00E114B4" w:rsidRDefault="006F4024" w:rsidP="00E734FF">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rsidP="00E734FF">
            <w:pPr>
              <w:rPr>
                <w:rFonts w:cstheme="minorHAnsi"/>
              </w:rPr>
            </w:pPr>
            <w:r w:rsidRPr="00E114B4">
              <w:rPr>
                <w:rFonts w:cstheme="minorHAnsi"/>
              </w:rPr>
              <w:t>Position</w:t>
            </w:r>
          </w:p>
          <w:p w14:paraId="390DFF35" w14:textId="77777777" w:rsidR="001B109C" w:rsidRPr="00E114B4" w:rsidRDefault="001B109C" w:rsidP="00E734FF">
            <w:pPr>
              <w:rPr>
                <w:rFonts w:cstheme="minorHAnsi"/>
              </w:rPr>
            </w:pPr>
            <w:r w:rsidRPr="00E114B4">
              <w:rPr>
                <w:rFonts w:cstheme="minorHAnsi"/>
              </w:rPr>
              <w:t>of the Department of Education</w:t>
            </w:r>
          </w:p>
        </w:tc>
        <w:tc>
          <w:tcPr>
            <w:tcW w:w="4508" w:type="dxa"/>
          </w:tcPr>
          <w:p w14:paraId="69045716" w14:textId="18527F3B" w:rsidR="001B109C" w:rsidRPr="00E114B4" w:rsidRDefault="00324E31" w:rsidP="00E734FF">
            <w:pPr>
              <w:pBdr>
                <w:bottom w:val="single" w:sz="12" w:space="1" w:color="auto"/>
              </w:pBdr>
              <w:rPr>
                <w:rFonts w:cstheme="minorHAnsi"/>
                <w:b/>
                <w:bCs/>
              </w:rPr>
            </w:pPr>
            <w:r w:rsidRPr="00E91A60">
              <w:rPr>
                <w:b/>
                <w:bCs/>
              </w:rPr>
              <w:t>Executive Officer</w:t>
            </w:r>
          </w:p>
          <w:p w14:paraId="668DE817" w14:textId="77777777" w:rsidR="001B109C" w:rsidRPr="00E114B4" w:rsidRDefault="001B109C" w:rsidP="00E734FF">
            <w:pPr>
              <w:rPr>
                <w:rFonts w:cstheme="minorHAnsi"/>
              </w:rPr>
            </w:pPr>
            <w:r w:rsidRPr="00E114B4">
              <w:rPr>
                <w:rFonts w:cstheme="minorHAnsi"/>
              </w:rPr>
              <w:t>Position or profession of witness (please print)</w:t>
            </w:r>
          </w:p>
        </w:tc>
      </w:tr>
      <w:tr w:rsidR="001B109C" w:rsidRPr="00E169EE" w14:paraId="38C68E43" w14:textId="77777777" w:rsidTr="40A1ABEF">
        <w:tc>
          <w:tcPr>
            <w:tcW w:w="4508" w:type="dxa"/>
          </w:tcPr>
          <w:p w14:paraId="4289F3D2" w14:textId="77777777" w:rsidR="001B109C" w:rsidRPr="00E114B4" w:rsidRDefault="001B109C" w:rsidP="00E734FF">
            <w:pPr>
              <w:pBdr>
                <w:bottom w:val="single" w:sz="12" w:space="1" w:color="auto"/>
              </w:pBdr>
              <w:rPr>
                <w:rFonts w:cstheme="minorHAnsi"/>
                <w:b/>
                <w:bCs/>
              </w:rPr>
            </w:pPr>
          </w:p>
          <w:p w14:paraId="415B9216" w14:textId="77777777" w:rsidR="001B109C" w:rsidRPr="00E114B4" w:rsidRDefault="001B109C" w:rsidP="00E734FF">
            <w:pPr>
              <w:rPr>
                <w:rFonts w:cstheme="minorHAnsi"/>
              </w:rPr>
            </w:pPr>
            <w:r w:rsidRPr="00E114B4">
              <w:rPr>
                <w:rFonts w:cstheme="minorHAnsi"/>
              </w:rPr>
              <w:t>Signature</w:t>
            </w:r>
          </w:p>
        </w:tc>
        <w:tc>
          <w:tcPr>
            <w:tcW w:w="4508" w:type="dxa"/>
          </w:tcPr>
          <w:p w14:paraId="710024D0" w14:textId="77777777" w:rsidR="001B109C" w:rsidRPr="00E114B4" w:rsidRDefault="001B109C" w:rsidP="00E734FF">
            <w:pPr>
              <w:pBdr>
                <w:bottom w:val="single" w:sz="12" w:space="1" w:color="auto"/>
              </w:pBdr>
              <w:rPr>
                <w:rFonts w:cstheme="minorHAnsi"/>
                <w:b/>
                <w:bCs/>
              </w:rPr>
            </w:pPr>
          </w:p>
          <w:p w14:paraId="2D914310" w14:textId="77777777" w:rsidR="001B109C" w:rsidRPr="00E114B4" w:rsidRDefault="001B109C" w:rsidP="00E734FF">
            <w:pPr>
              <w:rPr>
                <w:rFonts w:cstheme="minorHAnsi"/>
              </w:rPr>
            </w:pPr>
            <w:r w:rsidRPr="00E114B4">
              <w:rPr>
                <w:rFonts w:cstheme="minorHAnsi"/>
              </w:rPr>
              <w:t>Signature</w:t>
            </w:r>
          </w:p>
        </w:tc>
      </w:tr>
      <w:tr w:rsidR="001B109C" w:rsidRPr="00E169EE" w14:paraId="4B1444B6" w14:textId="77777777" w:rsidTr="40A1ABEF">
        <w:tc>
          <w:tcPr>
            <w:tcW w:w="4508" w:type="dxa"/>
          </w:tcPr>
          <w:p w14:paraId="344C64D3" w14:textId="0B8AAF7F" w:rsidR="001B109C" w:rsidRPr="005E5350" w:rsidRDefault="005E5350" w:rsidP="00E734FF">
            <w:pPr>
              <w:pBdr>
                <w:bottom w:val="single" w:sz="12" w:space="1" w:color="auto"/>
              </w:pBdr>
              <w:rPr>
                <w:rFonts w:cstheme="minorHAnsi"/>
              </w:rPr>
            </w:pPr>
            <w:r>
              <w:rPr>
                <w:rFonts w:cstheme="minorHAnsi"/>
              </w:rPr>
              <w:t>01/12/2025</w:t>
            </w:r>
          </w:p>
          <w:p w14:paraId="71C4CD3D" w14:textId="77777777" w:rsidR="001B109C" w:rsidRPr="00E169EE" w:rsidRDefault="001B109C" w:rsidP="00E734FF">
            <w:pPr>
              <w:rPr>
                <w:rFonts w:cstheme="minorHAnsi"/>
              </w:rPr>
            </w:pPr>
            <w:r w:rsidRPr="00E169EE">
              <w:rPr>
                <w:rFonts w:cstheme="minorHAnsi"/>
              </w:rPr>
              <w:t>Date</w:t>
            </w:r>
          </w:p>
        </w:tc>
        <w:tc>
          <w:tcPr>
            <w:tcW w:w="4508" w:type="dxa"/>
          </w:tcPr>
          <w:p w14:paraId="26028E27" w14:textId="77777777" w:rsidR="001B109C" w:rsidRPr="00F60B66" w:rsidRDefault="001B109C" w:rsidP="00E734FF">
            <w:pPr>
              <w:rPr>
                <w:rFonts w:cstheme="minorHAnsi"/>
                <w:b/>
                <w:bCs/>
                <w:highlight w:val="yellow"/>
              </w:rPr>
            </w:pPr>
          </w:p>
        </w:tc>
      </w:tr>
      <w:tr w:rsidR="001B109C" w:rsidRPr="00E169EE" w14:paraId="45CC96F9" w14:textId="77777777" w:rsidTr="40A1ABEF">
        <w:tc>
          <w:tcPr>
            <w:tcW w:w="4508" w:type="dxa"/>
          </w:tcPr>
          <w:p w14:paraId="639CCC16" w14:textId="77777777" w:rsidR="001B109C" w:rsidRDefault="001B109C" w:rsidP="00E734FF">
            <w:pPr>
              <w:spacing w:before="28" w:line="210" w:lineRule="exact"/>
              <w:textAlignment w:val="baseline"/>
              <w:rPr>
                <w:rFonts w:eastAsia="Calibri" w:cstheme="minorHAnsi"/>
                <w:color w:val="000000"/>
                <w:spacing w:val="-3"/>
                <w:sz w:val="24"/>
                <w:szCs w:val="24"/>
              </w:rPr>
            </w:pPr>
            <w:r w:rsidRPr="03713246">
              <w:rPr>
                <w:rFonts w:eastAsia="Calibri"/>
                <w:color w:val="000000"/>
                <w:spacing w:val="-3"/>
                <w:sz w:val="24"/>
                <w:szCs w:val="24"/>
              </w:rPr>
              <w:t>SIGNED for and on behalf of</w:t>
            </w:r>
          </w:p>
          <w:p w14:paraId="1086288C" w14:textId="7B11CF1E" w:rsidR="10069FD7" w:rsidRDefault="10069FD7" w:rsidP="03713246">
            <w:pPr>
              <w:spacing w:before="28" w:line="210" w:lineRule="exact"/>
            </w:pPr>
            <w:r w:rsidRPr="03713246">
              <w:rPr>
                <w:rFonts w:eastAsia="Calibri"/>
                <w:color w:val="000000" w:themeColor="text1"/>
                <w:sz w:val="24"/>
                <w:szCs w:val="24"/>
              </w:rPr>
              <w:t>WESTERN SYDNEY UNIVERSITY</w:t>
            </w:r>
          </w:p>
          <w:p w14:paraId="065C6AB9" w14:textId="77777777" w:rsidR="001B109C" w:rsidRPr="00E169EE" w:rsidRDefault="001B109C" w:rsidP="00E734FF">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rsidP="00E734FF">
            <w:pPr>
              <w:rPr>
                <w:rFonts w:cstheme="minorHAnsi"/>
              </w:rPr>
            </w:pPr>
            <w:r w:rsidRPr="002F4604">
              <w:rPr>
                <w:rFonts w:cstheme="minorHAnsi"/>
                <w:sz w:val="24"/>
                <w:szCs w:val="24"/>
              </w:rPr>
              <w:t>In the presence of:</w:t>
            </w:r>
          </w:p>
        </w:tc>
      </w:tr>
      <w:tr w:rsidR="001B109C" w:rsidRPr="00E169EE" w14:paraId="5AAB6D63" w14:textId="77777777" w:rsidTr="40A1ABEF">
        <w:tc>
          <w:tcPr>
            <w:tcW w:w="4508" w:type="dxa"/>
          </w:tcPr>
          <w:p w14:paraId="54C8A9A5" w14:textId="2CC46CAD" w:rsidR="001B109C" w:rsidRPr="00E169EE" w:rsidRDefault="04B1B633" w:rsidP="40A1ABEF">
            <w:pPr>
              <w:pBdr>
                <w:bottom w:val="single" w:sz="12" w:space="1" w:color="auto"/>
              </w:pBdr>
              <w:rPr>
                <w:b/>
                <w:bCs/>
              </w:rPr>
            </w:pPr>
            <w:r w:rsidRPr="40A1ABEF">
              <w:rPr>
                <w:b/>
                <w:bCs/>
              </w:rPr>
              <w:t xml:space="preserve">Distinguished </w:t>
            </w:r>
            <w:r w:rsidR="058E6D8C" w:rsidRPr="40A1ABEF">
              <w:rPr>
                <w:b/>
                <w:bCs/>
              </w:rPr>
              <w:t>Professor George Williams</w:t>
            </w:r>
            <w:r w:rsidR="738FB27E" w:rsidRPr="40A1ABEF">
              <w:rPr>
                <w:b/>
                <w:bCs/>
              </w:rPr>
              <w:t xml:space="preserve"> AO</w:t>
            </w:r>
          </w:p>
          <w:p w14:paraId="3120FAF4" w14:textId="77777777" w:rsidR="001B109C" w:rsidRPr="00E169EE" w:rsidRDefault="001B109C" w:rsidP="00E734FF">
            <w:pPr>
              <w:rPr>
                <w:rFonts w:cstheme="minorHAnsi"/>
              </w:rPr>
            </w:pPr>
            <w:r w:rsidRPr="00E169EE">
              <w:rPr>
                <w:rFonts w:cstheme="minorHAnsi"/>
              </w:rPr>
              <w:t>Full name (please print)</w:t>
            </w:r>
          </w:p>
        </w:tc>
        <w:tc>
          <w:tcPr>
            <w:tcW w:w="4508" w:type="dxa"/>
          </w:tcPr>
          <w:p w14:paraId="59483E94" w14:textId="341698E4" w:rsidR="001B109C" w:rsidRPr="002F4604" w:rsidRDefault="22E64E50" w:rsidP="40A1ABEF">
            <w:pPr>
              <w:pBdr>
                <w:bottom w:val="single" w:sz="12" w:space="1" w:color="auto"/>
              </w:pBdr>
              <w:rPr>
                <w:b/>
                <w:bCs/>
              </w:rPr>
            </w:pPr>
            <w:r w:rsidRPr="40A1ABEF">
              <w:rPr>
                <w:b/>
                <w:bCs/>
              </w:rPr>
              <w:t>Kaitlyn Maucort</w:t>
            </w:r>
          </w:p>
          <w:p w14:paraId="439588BC" w14:textId="77777777" w:rsidR="001B109C" w:rsidRPr="002F4604" w:rsidRDefault="001B109C" w:rsidP="00E734FF">
            <w:pPr>
              <w:rPr>
                <w:rFonts w:cstheme="minorHAnsi"/>
              </w:rPr>
            </w:pPr>
            <w:r w:rsidRPr="002F4604">
              <w:rPr>
                <w:rFonts w:cstheme="minorHAnsi"/>
              </w:rPr>
              <w:t>Witness (please print)</w:t>
            </w:r>
          </w:p>
        </w:tc>
      </w:tr>
      <w:tr w:rsidR="001B109C" w:rsidRPr="00E169EE" w14:paraId="20B90866" w14:textId="77777777" w:rsidTr="40A1ABEF">
        <w:tc>
          <w:tcPr>
            <w:tcW w:w="4508" w:type="dxa"/>
          </w:tcPr>
          <w:p w14:paraId="7D9047AD" w14:textId="7415EB4C" w:rsidR="001B109C" w:rsidRPr="00E169EE" w:rsidRDefault="0BCE6A65" w:rsidP="40A1ABEF">
            <w:pPr>
              <w:pBdr>
                <w:bottom w:val="single" w:sz="12" w:space="1" w:color="auto"/>
              </w:pBdr>
              <w:spacing w:after="0"/>
              <w:rPr>
                <w:b/>
                <w:bCs/>
              </w:rPr>
            </w:pPr>
            <w:r w:rsidRPr="40A1ABEF">
              <w:rPr>
                <w:b/>
                <w:bCs/>
              </w:rPr>
              <w:t xml:space="preserve">Vice-Chancellor and President </w:t>
            </w:r>
          </w:p>
          <w:p w14:paraId="231ABA73" w14:textId="77777777" w:rsidR="001B109C" w:rsidRPr="00E169EE" w:rsidRDefault="001B109C" w:rsidP="00E734FF">
            <w:pPr>
              <w:spacing w:after="0"/>
              <w:rPr>
                <w:rFonts w:cstheme="minorHAnsi"/>
              </w:rPr>
            </w:pPr>
            <w:r w:rsidRPr="00E169EE">
              <w:rPr>
                <w:rFonts w:cstheme="minorHAnsi"/>
              </w:rPr>
              <w:t>Position</w:t>
            </w:r>
          </w:p>
          <w:p w14:paraId="536F9855" w14:textId="77777777" w:rsidR="004A25BC" w:rsidRPr="00E169EE" w:rsidRDefault="004A25BC" w:rsidP="00E734FF">
            <w:pPr>
              <w:spacing w:after="0"/>
              <w:rPr>
                <w:rFonts w:cstheme="minorHAnsi"/>
              </w:rPr>
            </w:pPr>
          </w:p>
        </w:tc>
        <w:tc>
          <w:tcPr>
            <w:tcW w:w="4508" w:type="dxa"/>
          </w:tcPr>
          <w:p w14:paraId="7B33C473" w14:textId="1A89D0B0" w:rsidR="001B109C" w:rsidRPr="002F4604" w:rsidRDefault="282429F5" w:rsidP="40A1ABEF">
            <w:pPr>
              <w:pBdr>
                <w:bottom w:val="single" w:sz="12" w:space="1" w:color="auto"/>
              </w:pBdr>
              <w:spacing w:after="0"/>
              <w:rPr>
                <w:b/>
                <w:bCs/>
              </w:rPr>
            </w:pPr>
            <w:r w:rsidRPr="40A1ABEF">
              <w:rPr>
                <w:b/>
                <w:bCs/>
              </w:rPr>
              <w:t xml:space="preserve">Acting Senior Executive Assistant </w:t>
            </w:r>
          </w:p>
          <w:p w14:paraId="0C046C3D" w14:textId="110580EE" w:rsidR="001B109C" w:rsidRPr="002F4604" w:rsidRDefault="001B109C" w:rsidP="00E734FF">
            <w:pPr>
              <w:spacing w:after="0"/>
              <w:rPr>
                <w:rFonts w:cstheme="minorHAnsi"/>
              </w:rPr>
            </w:pPr>
            <w:r w:rsidRPr="002F4604">
              <w:rPr>
                <w:rFonts w:cstheme="minorHAnsi"/>
              </w:rPr>
              <w:t>Position or profession of witness (please print)</w:t>
            </w:r>
          </w:p>
        </w:tc>
      </w:tr>
      <w:tr w:rsidR="001B109C" w:rsidRPr="00E169EE" w14:paraId="51440CFB" w14:textId="77777777" w:rsidTr="40A1ABEF">
        <w:trPr>
          <w:trHeight w:val="80"/>
        </w:trPr>
        <w:tc>
          <w:tcPr>
            <w:tcW w:w="4508" w:type="dxa"/>
          </w:tcPr>
          <w:p w14:paraId="7583F948" w14:textId="1D94D2F4" w:rsidR="001B109C" w:rsidRPr="00E169EE" w:rsidRDefault="001B109C" w:rsidP="40A1ABEF">
            <w:pPr>
              <w:pBdr>
                <w:bottom w:val="single" w:sz="12" w:space="1" w:color="auto"/>
              </w:pBdr>
              <w:spacing w:after="0"/>
            </w:pPr>
          </w:p>
          <w:p w14:paraId="62FF4341" w14:textId="77777777" w:rsidR="001B109C" w:rsidRPr="00E169EE" w:rsidRDefault="001B109C" w:rsidP="00E734FF">
            <w:pPr>
              <w:spacing w:after="0"/>
              <w:rPr>
                <w:rFonts w:cstheme="minorHAnsi"/>
              </w:rPr>
            </w:pPr>
            <w:r w:rsidRPr="00E169EE">
              <w:rPr>
                <w:rFonts w:cstheme="minorHAnsi"/>
              </w:rPr>
              <w:t>Signature</w:t>
            </w:r>
          </w:p>
        </w:tc>
        <w:tc>
          <w:tcPr>
            <w:tcW w:w="4508" w:type="dxa"/>
          </w:tcPr>
          <w:p w14:paraId="75C3F771" w14:textId="716D9276" w:rsidR="001B109C" w:rsidRPr="002F4604" w:rsidRDefault="001B109C" w:rsidP="40A1ABEF">
            <w:pPr>
              <w:pBdr>
                <w:bottom w:val="single" w:sz="12" w:space="1" w:color="auto"/>
              </w:pBdr>
              <w:spacing w:after="0"/>
              <w:rPr>
                <w:b/>
                <w:bCs/>
              </w:rPr>
            </w:pPr>
          </w:p>
          <w:p w14:paraId="79F89A4A" w14:textId="77777777" w:rsidR="001B109C" w:rsidRPr="002F4604" w:rsidRDefault="001B109C" w:rsidP="00E734FF">
            <w:pPr>
              <w:spacing w:after="0"/>
              <w:rPr>
                <w:rFonts w:cstheme="minorHAnsi"/>
              </w:rPr>
            </w:pPr>
            <w:r w:rsidRPr="002F4604">
              <w:rPr>
                <w:rFonts w:cstheme="minorHAnsi"/>
              </w:rPr>
              <w:t>Signature</w:t>
            </w:r>
          </w:p>
        </w:tc>
      </w:tr>
    </w:tbl>
    <w:p w14:paraId="3AB2DC04" w14:textId="77777777" w:rsidR="001B109C" w:rsidRPr="00285733" w:rsidRDefault="001B109C" w:rsidP="001B109C"/>
    <w:p w14:paraId="7F0711AD" w14:textId="77777777" w:rsidR="001B109C" w:rsidRPr="001B109C" w:rsidRDefault="001B109C" w:rsidP="001B109C">
      <w:pPr>
        <w:pStyle w:val="NormalIndent"/>
        <w:spacing w:line="240" w:lineRule="auto"/>
        <w:ind w:left="0"/>
        <w:rPr>
          <w:rFonts w:asciiTheme="minorHAnsi" w:hAnsiTheme="minorHAnsi" w:cstheme="minorHAnsi"/>
          <w:szCs w:val="22"/>
        </w:rPr>
      </w:pPr>
    </w:p>
    <w:sectPr w:rsidR="001B109C" w:rsidRPr="001B109C" w:rsidSect="00D86284">
      <w:footerReference w:type="default" r:id="rId30"/>
      <w:footerReference w:type="first" r:id="rId31"/>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C6D74" w14:textId="77777777" w:rsidR="00FC472A" w:rsidRDefault="00FC472A" w:rsidP="000A6228">
      <w:pPr>
        <w:spacing w:after="0" w:line="240" w:lineRule="auto"/>
      </w:pPr>
      <w:r>
        <w:separator/>
      </w:r>
    </w:p>
  </w:endnote>
  <w:endnote w:type="continuationSeparator" w:id="0">
    <w:p w14:paraId="65C8401C" w14:textId="77777777" w:rsidR="00FC472A" w:rsidRDefault="00FC472A" w:rsidP="000A6228">
      <w:pPr>
        <w:spacing w:after="0" w:line="240" w:lineRule="auto"/>
      </w:pPr>
      <w:r>
        <w:continuationSeparator/>
      </w:r>
    </w:p>
  </w:endnote>
  <w:endnote w:type="continuationNotice" w:id="1">
    <w:p w14:paraId="7DED6DCE" w14:textId="77777777" w:rsidR="00FC472A" w:rsidRDefault="00FC4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p w14:paraId="53B95D11" w14:textId="77777777" w:rsidR="006C1BBB" w:rsidRDefault="006C1B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9FCB" w14:textId="77777777" w:rsidR="00FC472A" w:rsidRDefault="00FC472A" w:rsidP="000A6228">
      <w:pPr>
        <w:spacing w:after="0" w:line="240" w:lineRule="auto"/>
      </w:pPr>
      <w:r>
        <w:separator/>
      </w:r>
    </w:p>
  </w:footnote>
  <w:footnote w:type="continuationSeparator" w:id="0">
    <w:p w14:paraId="3DFBD2AF" w14:textId="77777777" w:rsidR="00FC472A" w:rsidRDefault="00FC472A" w:rsidP="000A6228">
      <w:pPr>
        <w:spacing w:after="0" w:line="240" w:lineRule="auto"/>
      </w:pPr>
      <w:r>
        <w:continuationSeparator/>
      </w:r>
    </w:p>
  </w:footnote>
  <w:footnote w:type="continuationNotice" w:id="1">
    <w:p w14:paraId="09D6A6AE" w14:textId="77777777" w:rsidR="00FC472A" w:rsidRDefault="00FC47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C89644"/>
    <w:multiLevelType w:val="hybridMultilevel"/>
    <w:tmpl w:val="62664270"/>
    <w:lvl w:ilvl="0" w:tplc="13285DA4">
      <w:start w:val="1"/>
      <w:numFmt w:val="bullet"/>
      <w:lvlText w:val="·"/>
      <w:lvlJc w:val="left"/>
      <w:pPr>
        <w:ind w:left="720" w:hanging="360"/>
      </w:pPr>
      <w:rPr>
        <w:rFonts w:ascii="Symbol" w:hAnsi="Symbol" w:hint="default"/>
      </w:rPr>
    </w:lvl>
    <w:lvl w:ilvl="1" w:tplc="BA783952">
      <w:start w:val="1"/>
      <w:numFmt w:val="bullet"/>
      <w:lvlText w:val="o"/>
      <w:lvlJc w:val="left"/>
      <w:pPr>
        <w:ind w:left="1440" w:hanging="360"/>
      </w:pPr>
      <w:rPr>
        <w:rFonts w:ascii="Courier New" w:hAnsi="Courier New" w:hint="default"/>
      </w:rPr>
    </w:lvl>
    <w:lvl w:ilvl="2" w:tplc="75EA19C8">
      <w:start w:val="1"/>
      <w:numFmt w:val="bullet"/>
      <w:lvlText w:val=""/>
      <w:lvlJc w:val="left"/>
      <w:pPr>
        <w:ind w:left="2160" w:hanging="360"/>
      </w:pPr>
      <w:rPr>
        <w:rFonts w:ascii="Wingdings" w:hAnsi="Wingdings" w:hint="default"/>
      </w:rPr>
    </w:lvl>
    <w:lvl w:ilvl="3" w:tplc="65A257D2">
      <w:start w:val="1"/>
      <w:numFmt w:val="bullet"/>
      <w:lvlText w:val=""/>
      <w:lvlJc w:val="left"/>
      <w:pPr>
        <w:ind w:left="2880" w:hanging="360"/>
      </w:pPr>
      <w:rPr>
        <w:rFonts w:ascii="Symbol" w:hAnsi="Symbol" w:hint="default"/>
      </w:rPr>
    </w:lvl>
    <w:lvl w:ilvl="4" w:tplc="79BEEA68">
      <w:start w:val="1"/>
      <w:numFmt w:val="bullet"/>
      <w:lvlText w:val="o"/>
      <w:lvlJc w:val="left"/>
      <w:pPr>
        <w:ind w:left="3600" w:hanging="360"/>
      </w:pPr>
      <w:rPr>
        <w:rFonts w:ascii="Courier New" w:hAnsi="Courier New" w:hint="default"/>
      </w:rPr>
    </w:lvl>
    <w:lvl w:ilvl="5" w:tplc="3ECA3C7C">
      <w:start w:val="1"/>
      <w:numFmt w:val="bullet"/>
      <w:lvlText w:val=""/>
      <w:lvlJc w:val="left"/>
      <w:pPr>
        <w:ind w:left="4320" w:hanging="360"/>
      </w:pPr>
      <w:rPr>
        <w:rFonts w:ascii="Wingdings" w:hAnsi="Wingdings" w:hint="default"/>
      </w:rPr>
    </w:lvl>
    <w:lvl w:ilvl="6" w:tplc="C35AF554">
      <w:start w:val="1"/>
      <w:numFmt w:val="bullet"/>
      <w:lvlText w:val=""/>
      <w:lvlJc w:val="left"/>
      <w:pPr>
        <w:ind w:left="5040" w:hanging="360"/>
      </w:pPr>
      <w:rPr>
        <w:rFonts w:ascii="Symbol" w:hAnsi="Symbol" w:hint="default"/>
      </w:rPr>
    </w:lvl>
    <w:lvl w:ilvl="7" w:tplc="4B3A47BE">
      <w:start w:val="1"/>
      <w:numFmt w:val="bullet"/>
      <w:lvlText w:val="o"/>
      <w:lvlJc w:val="left"/>
      <w:pPr>
        <w:ind w:left="5760" w:hanging="360"/>
      </w:pPr>
      <w:rPr>
        <w:rFonts w:ascii="Courier New" w:hAnsi="Courier New" w:hint="default"/>
      </w:rPr>
    </w:lvl>
    <w:lvl w:ilvl="8" w:tplc="D4A41876">
      <w:start w:val="1"/>
      <w:numFmt w:val="bullet"/>
      <w:lvlText w:val=""/>
      <w:lvlJc w:val="left"/>
      <w:pPr>
        <w:ind w:left="6480" w:hanging="360"/>
      </w:pPr>
      <w:rPr>
        <w:rFonts w:ascii="Wingdings" w:hAnsi="Wingdings" w:hint="default"/>
      </w:rPr>
    </w:lvl>
  </w:abstractNum>
  <w:abstractNum w:abstractNumId="8" w15:restartNumberingAfterBreak="0">
    <w:nsid w:val="02326A1E"/>
    <w:multiLevelType w:val="multilevel"/>
    <w:tmpl w:val="829A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AE33542"/>
    <w:multiLevelType w:val="hybridMultilevel"/>
    <w:tmpl w:val="7BCA5664"/>
    <w:lvl w:ilvl="0" w:tplc="08090001">
      <w:start w:val="1"/>
      <w:numFmt w:val="bullet"/>
      <w:lvlText w:val=""/>
      <w:lvlJc w:val="left"/>
      <w:pPr>
        <w:ind w:left="720" w:hanging="360"/>
      </w:pPr>
      <w:rPr>
        <w:rFonts w:ascii="Symbol" w:hAnsi="Symbol" w:hint="default"/>
        <w:b w:val="0"/>
        <w:bCs w:val="0"/>
        <w:i w:val="0"/>
        <w:iCs w:val="0"/>
        <w:spacing w:val="0"/>
        <w:w w:val="100"/>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966176"/>
    <w:multiLevelType w:val="hybridMultilevel"/>
    <w:tmpl w:val="088C621E"/>
    <w:lvl w:ilvl="0" w:tplc="9A1CB690">
      <w:start w:val="1"/>
      <w:numFmt w:val="bullet"/>
      <w:lvlText w:val="·"/>
      <w:lvlJc w:val="left"/>
      <w:pPr>
        <w:ind w:left="720" w:hanging="360"/>
      </w:pPr>
      <w:rPr>
        <w:rFonts w:ascii="Symbol" w:hAnsi="Symbol" w:hint="default"/>
      </w:rPr>
    </w:lvl>
    <w:lvl w:ilvl="1" w:tplc="30BC2332">
      <w:start w:val="1"/>
      <w:numFmt w:val="bullet"/>
      <w:lvlText w:val="o"/>
      <w:lvlJc w:val="left"/>
      <w:pPr>
        <w:ind w:left="1440" w:hanging="360"/>
      </w:pPr>
      <w:rPr>
        <w:rFonts w:ascii="Courier New" w:hAnsi="Courier New" w:hint="default"/>
      </w:rPr>
    </w:lvl>
    <w:lvl w:ilvl="2" w:tplc="C212CF4E">
      <w:start w:val="1"/>
      <w:numFmt w:val="bullet"/>
      <w:lvlText w:val=""/>
      <w:lvlJc w:val="left"/>
      <w:pPr>
        <w:ind w:left="2160" w:hanging="360"/>
      </w:pPr>
      <w:rPr>
        <w:rFonts w:ascii="Wingdings" w:hAnsi="Wingdings" w:hint="default"/>
      </w:rPr>
    </w:lvl>
    <w:lvl w:ilvl="3" w:tplc="7A0CB9C6">
      <w:start w:val="1"/>
      <w:numFmt w:val="bullet"/>
      <w:lvlText w:val=""/>
      <w:lvlJc w:val="left"/>
      <w:pPr>
        <w:ind w:left="2880" w:hanging="360"/>
      </w:pPr>
      <w:rPr>
        <w:rFonts w:ascii="Symbol" w:hAnsi="Symbol" w:hint="default"/>
      </w:rPr>
    </w:lvl>
    <w:lvl w:ilvl="4" w:tplc="67A21566">
      <w:start w:val="1"/>
      <w:numFmt w:val="bullet"/>
      <w:lvlText w:val="o"/>
      <w:lvlJc w:val="left"/>
      <w:pPr>
        <w:ind w:left="3600" w:hanging="360"/>
      </w:pPr>
      <w:rPr>
        <w:rFonts w:ascii="Courier New" w:hAnsi="Courier New" w:hint="default"/>
      </w:rPr>
    </w:lvl>
    <w:lvl w:ilvl="5" w:tplc="4FDC14CE">
      <w:start w:val="1"/>
      <w:numFmt w:val="bullet"/>
      <w:lvlText w:val=""/>
      <w:lvlJc w:val="left"/>
      <w:pPr>
        <w:ind w:left="4320" w:hanging="360"/>
      </w:pPr>
      <w:rPr>
        <w:rFonts w:ascii="Wingdings" w:hAnsi="Wingdings" w:hint="default"/>
      </w:rPr>
    </w:lvl>
    <w:lvl w:ilvl="6" w:tplc="77488A86">
      <w:start w:val="1"/>
      <w:numFmt w:val="bullet"/>
      <w:lvlText w:val=""/>
      <w:lvlJc w:val="left"/>
      <w:pPr>
        <w:ind w:left="5040" w:hanging="360"/>
      </w:pPr>
      <w:rPr>
        <w:rFonts w:ascii="Symbol" w:hAnsi="Symbol" w:hint="default"/>
      </w:rPr>
    </w:lvl>
    <w:lvl w:ilvl="7" w:tplc="A1A00B40">
      <w:start w:val="1"/>
      <w:numFmt w:val="bullet"/>
      <w:lvlText w:val="o"/>
      <w:lvlJc w:val="left"/>
      <w:pPr>
        <w:ind w:left="5760" w:hanging="360"/>
      </w:pPr>
      <w:rPr>
        <w:rFonts w:ascii="Courier New" w:hAnsi="Courier New" w:hint="default"/>
      </w:rPr>
    </w:lvl>
    <w:lvl w:ilvl="8" w:tplc="DECA889E">
      <w:start w:val="1"/>
      <w:numFmt w:val="bullet"/>
      <w:lvlText w:val=""/>
      <w:lvlJc w:val="left"/>
      <w:pPr>
        <w:ind w:left="6480" w:hanging="360"/>
      </w:pPr>
      <w:rPr>
        <w:rFonts w:ascii="Wingdings" w:hAnsi="Wingdings" w:hint="default"/>
      </w:rPr>
    </w:lvl>
  </w:abstractNum>
  <w:abstractNum w:abstractNumId="16" w15:restartNumberingAfterBreak="0">
    <w:nsid w:val="23F63E89"/>
    <w:multiLevelType w:val="hybridMultilevel"/>
    <w:tmpl w:val="E1CA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05CFA3"/>
    <w:multiLevelType w:val="hybridMultilevel"/>
    <w:tmpl w:val="00448206"/>
    <w:lvl w:ilvl="0" w:tplc="8B6E8194">
      <w:start w:val="1"/>
      <w:numFmt w:val="bullet"/>
      <w:lvlText w:val="·"/>
      <w:lvlJc w:val="left"/>
      <w:pPr>
        <w:ind w:left="720" w:hanging="360"/>
      </w:pPr>
      <w:rPr>
        <w:rFonts w:ascii="Symbol" w:hAnsi="Symbol" w:hint="default"/>
      </w:rPr>
    </w:lvl>
    <w:lvl w:ilvl="1" w:tplc="6A0850F8">
      <w:start w:val="1"/>
      <w:numFmt w:val="bullet"/>
      <w:lvlText w:val="o"/>
      <w:lvlJc w:val="left"/>
      <w:pPr>
        <w:ind w:left="1440" w:hanging="360"/>
      </w:pPr>
      <w:rPr>
        <w:rFonts w:ascii="Courier New" w:hAnsi="Courier New" w:hint="default"/>
      </w:rPr>
    </w:lvl>
    <w:lvl w:ilvl="2" w:tplc="90C8EB4C">
      <w:start w:val="1"/>
      <w:numFmt w:val="bullet"/>
      <w:lvlText w:val=""/>
      <w:lvlJc w:val="left"/>
      <w:pPr>
        <w:ind w:left="2160" w:hanging="360"/>
      </w:pPr>
      <w:rPr>
        <w:rFonts w:ascii="Wingdings" w:hAnsi="Wingdings" w:hint="default"/>
      </w:rPr>
    </w:lvl>
    <w:lvl w:ilvl="3" w:tplc="527242E0">
      <w:start w:val="1"/>
      <w:numFmt w:val="bullet"/>
      <w:lvlText w:val=""/>
      <w:lvlJc w:val="left"/>
      <w:pPr>
        <w:ind w:left="2880" w:hanging="360"/>
      </w:pPr>
      <w:rPr>
        <w:rFonts w:ascii="Symbol" w:hAnsi="Symbol" w:hint="default"/>
      </w:rPr>
    </w:lvl>
    <w:lvl w:ilvl="4" w:tplc="F60A7796">
      <w:start w:val="1"/>
      <w:numFmt w:val="bullet"/>
      <w:lvlText w:val="o"/>
      <w:lvlJc w:val="left"/>
      <w:pPr>
        <w:ind w:left="3600" w:hanging="360"/>
      </w:pPr>
      <w:rPr>
        <w:rFonts w:ascii="Courier New" w:hAnsi="Courier New" w:hint="default"/>
      </w:rPr>
    </w:lvl>
    <w:lvl w:ilvl="5" w:tplc="1194BC04">
      <w:start w:val="1"/>
      <w:numFmt w:val="bullet"/>
      <w:lvlText w:val=""/>
      <w:lvlJc w:val="left"/>
      <w:pPr>
        <w:ind w:left="4320" w:hanging="360"/>
      </w:pPr>
      <w:rPr>
        <w:rFonts w:ascii="Wingdings" w:hAnsi="Wingdings" w:hint="default"/>
      </w:rPr>
    </w:lvl>
    <w:lvl w:ilvl="6" w:tplc="702A775A">
      <w:start w:val="1"/>
      <w:numFmt w:val="bullet"/>
      <w:lvlText w:val=""/>
      <w:lvlJc w:val="left"/>
      <w:pPr>
        <w:ind w:left="5040" w:hanging="360"/>
      </w:pPr>
      <w:rPr>
        <w:rFonts w:ascii="Symbol" w:hAnsi="Symbol" w:hint="default"/>
      </w:rPr>
    </w:lvl>
    <w:lvl w:ilvl="7" w:tplc="14DA3220">
      <w:start w:val="1"/>
      <w:numFmt w:val="bullet"/>
      <w:lvlText w:val="o"/>
      <w:lvlJc w:val="left"/>
      <w:pPr>
        <w:ind w:left="5760" w:hanging="360"/>
      </w:pPr>
      <w:rPr>
        <w:rFonts w:ascii="Courier New" w:hAnsi="Courier New" w:hint="default"/>
      </w:rPr>
    </w:lvl>
    <w:lvl w:ilvl="8" w:tplc="6AEAEE16">
      <w:start w:val="1"/>
      <w:numFmt w:val="bullet"/>
      <w:lvlText w:val=""/>
      <w:lvlJc w:val="left"/>
      <w:pPr>
        <w:ind w:left="6480" w:hanging="360"/>
      </w:pPr>
      <w:rPr>
        <w:rFonts w:ascii="Wingdings" w:hAnsi="Wingding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FB76EB"/>
    <w:multiLevelType w:val="hybridMultilevel"/>
    <w:tmpl w:val="B8842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444673"/>
    <w:multiLevelType w:val="hybridMultilevel"/>
    <w:tmpl w:val="DA162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B43937"/>
    <w:multiLevelType w:val="hybridMultilevel"/>
    <w:tmpl w:val="55C6F1C0"/>
    <w:lvl w:ilvl="0" w:tplc="6B843240">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579560429">
    <w:abstractNumId w:val="13"/>
  </w:num>
  <w:num w:numId="2" w16cid:durableId="1141925489">
    <w:abstractNumId w:val="5"/>
  </w:num>
  <w:num w:numId="3" w16cid:durableId="1430395506">
    <w:abstractNumId w:val="4"/>
  </w:num>
  <w:num w:numId="4" w16cid:durableId="1762024761">
    <w:abstractNumId w:val="3"/>
  </w:num>
  <w:num w:numId="5" w16cid:durableId="861433996">
    <w:abstractNumId w:val="18"/>
  </w:num>
  <w:num w:numId="6" w16cid:durableId="120733662">
    <w:abstractNumId w:val="2"/>
  </w:num>
  <w:num w:numId="7" w16cid:durableId="2022584168">
    <w:abstractNumId w:val="1"/>
  </w:num>
  <w:num w:numId="8" w16cid:durableId="534267804">
    <w:abstractNumId w:val="0"/>
  </w:num>
  <w:num w:numId="9" w16cid:durableId="1265042610">
    <w:abstractNumId w:val="17"/>
  </w:num>
  <w:num w:numId="10" w16cid:durableId="1943879001">
    <w:abstractNumId w:val="9"/>
  </w:num>
  <w:num w:numId="11" w16cid:durableId="419833051">
    <w:abstractNumId w:val="25"/>
  </w:num>
  <w:num w:numId="12" w16cid:durableId="1758015391">
    <w:abstractNumId w:val="12"/>
  </w:num>
  <w:num w:numId="13" w16cid:durableId="13956604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572246">
    <w:abstractNumId w:val="11"/>
  </w:num>
  <w:num w:numId="15" w16cid:durableId="928125744">
    <w:abstractNumId w:val="6"/>
  </w:num>
  <w:num w:numId="16" w16cid:durableId="1172835113">
    <w:abstractNumId w:val="26"/>
  </w:num>
  <w:num w:numId="17" w16cid:durableId="1022434231">
    <w:abstractNumId w:val="20"/>
  </w:num>
  <w:num w:numId="18" w16cid:durableId="618417265">
    <w:abstractNumId w:val="10"/>
  </w:num>
  <w:num w:numId="19" w16cid:durableId="271010807">
    <w:abstractNumId w:val="23"/>
  </w:num>
  <w:num w:numId="20" w16cid:durableId="493648965">
    <w:abstractNumId w:val="19"/>
  </w:num>
  <w:num w:numId="21" w16cid:durableId="575742776">
    <w:abstractNumId w:val="15"/>
  </w:num>
  <w:num w:numId="22" w16cid:durableId="1092042580">
    <w:abstractNumId w:val="7"/>
  </w:num>
  <w:num w:numId="23" w16cid:durableId="1296060154">
    <w:abstractNumId w:val="16"/>
  </w:num>
  <w:num w:numId="24" w16cid:durableId="1263222115">
    <w:abstractNumId w:val="22"/>
  </w:num>
  <w:num w:numId="25" w16cid:durableId="731120367">
    <w:abstractNumId w:val="21"/>
  </w:num>
  <w:num w:numId="26" w16cid:durableId="1676493285">
    <w:abstractNumId w:val="14"/>
  </w:num>
  <w:num w:numId="27" w16cid:durableId="709383012">
    <w:abstractNumId w:val="24"/>
  </w:num>
  <w:num w:numId="28" w16cid:durableId="1006097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45D"/>
    <w:rsid w:val="00021FBE"/>
    <w:rsid w:val="00040D99"/>
    <w:rsid w:val="00045E1D"/>
    <w:rsid w:val="000521D7"/>
    <w:rsid w:val="000960CF"/>
    <w:rsid w:val="00097793"/>
    <w:rsid w:val="000A0B58"/>
    <w:rsid w:val="000A3A19"/>
    <w:rsid w:val="000A6228"/>
    <w:rsid w:val="000B5D40"/>
    <w:rsid w:val="000B7EC6"/>
    <w:rsid w:val="00107D87"/>
    <w:rsid w:val="00107DD5"/>
    <w:rsid w:val="0012343A"/>
    <w:rsid w:val="00133B8D"/>
    <w:rsid w:val="0013611E"/>
    <w:rsid w:val="001515BF"/>
    <w:rsid w:val="0015549C"/>
    <w:rsid w:val="0017134D"/>
    <w:rsid w:val="00196CDA"/>
    <w:rsid w:val="001B109C"/>
    <w:rsid w:val="001C1523"/>
    <w:rsid w:val="001E3BF1"/>
    <w:rsid w:val="001E6DBC"/>
    <w:rsid w:val="00217414"/>
    <w:rsid w:val="00221D8F"/>
    <w:rsid w:val="002272DB"/>
    <w:rsid w:val="00235752"/>
    <w:rsid w:val="00241CF3"/>
    <w:rsid w:val="00270DE9"/>
    <w:rsid w:val="00276047"/>
    <w:rsid w:val="002775F3"/>
    <w:rsid w:val="0028553F"/>
    <w:rsid w:val="00286727"/>
    <w:rsid w:val="0029618B"/>
    <w:rsid w:val="002A284F"/>
    <w:rsid w:val="002A4458"/>
    <w:rsid w:val="002C1F0F"/>
    <w:rsid w:val="002D3EFA"/>
    <w:rsid w:val="002D589A"/>
    <w:rsid w:val="002E491A"/>
    <w:rsid w:val="002F4604"/>
    <w:rsid w:val="00304890"/>
    <w:rsid w:val="003244F9"/>
    <w:rsid w:val="00324E31"/>
    <w:rsid w:val="00342352"/>
    <w:rsid w:val="00346B9B"/>
    <w:rsid w:val="00395C6C"/>
    <w:rsid w:val="003D11BF"/>
    <w:rsid w:val="0040155D"/>
    <w:rsid w:val="00413367"/>
    <w:rsid w:val="0041713E"/>
    <w:rsid w:val="00421D3F"/>
    <w:rsid w:val="00423785"/>
    <w:rsid w:val="0042692C"/>
    <w:rsid w:val="00452D26"/>
    <w:rsid w:val="00462848"/>
    <w:rsid w:val="00463568"/>
    <w:rsid w:val="004673D3"/>
    <w:rsid w:val="0049333E"/>
    <w:rsid w:val="004A06CD"/>
    <w:rsid w:val="004A25BC"/>
    <w:rsid w:val="004A4B6F"/>
    <w:rsid w:val="004A4CF9"/>
    <w:rsid w:val="004D2965"/>
    <w:rsid w:val="004D2D9D"/>
    <w:rsid w:val="004E3C78"/>
    <w:rsid w:val="004E6C1C"/>
    <w:rsid w:val="00520BA6"/>
    <w:rsid w:val="00541139"/>
    <w:rsid w:val="00547FB7"/>
    <w:rsid w:val="0057028F"/>
    <w:rsid w:val="005702FB"/>
    <w:rsid w:val="0059089B"/>
    <w:rsid w:val="00591F57"/>
    <w:rsid w:val="005A75C9"/>
    <w:rsid w:val="005B187D"/>
    <w:rsid w:val="005D44B3"/>
    <w:rsid w:val="005E5350"/>
    <w:rsid w:val="005F015E"/>
    <w:rsid w:val="005F35D6"/>
    <w:rsid w:val="00613A52"/>
    <w:rsid w:val="006224FD"/>
    <w:rsid w:val="006232DC"/>
    <w:rsid w:val="0063094F"/>
    <w:rsid w:val="00651346"/>
    <w:rsid w:val="006B2B77"/>
    <w:rsid w:val="006C1BBB"/>
    <w:rsid w:val="006C3495"/>
    <w:rsid w:val="006D67F3"/>
    <w:rsid w:val="006E6078"/>
    <w:rsid w:val="006F1FFF"/>
    <w:rsid w:val="006F2406"/>
    <w:rsid w:val="006F4024"/>
    <w:rsid w:val="006F6D10"/>
    <w:rsid w:val="00700A8C"/>
    <w:rsid w:val="00712B94"/>
    <w:rsid w:val="00717352"/>
    <w:rsid w:val="007517BA"/>
    <w:rsid w:val="00761337"/>
    <w:rsid w:val="0077782B"/>
    <w:rsid w:val="007B2CA1"/>
    <w:rsid w:val="007D0ABC"/>
    <w:rsid w:val="007E1D68"/>
    <w:rsid w:val="008034C4"/>
    <w:rsid w:val="008042F5"/>
    <w:rsid w:val="00834FDB"/>
    <w:rsid w:val="00846F1A"/>
    <w:rsid w:val="0086428D"/>
    <w:rsid w:val="00886959"/>
    <w:rsid w:val="00893A34"/>
    <w:rsid w:val="008A36E1"/>
    <w:rsid w:val="008A37A7"/>
    <w:rsid w:val="008A5895"/>
    <w:rsid w:val="008A7AB4"/>
    <w:rsid w:val="008B0736"/>
    <w:rsid w:val="008C1F5A"/>
    <w:rsid w:val="008D4FA9"/>
    <w:rsid w:val="008E36FA"/>
    <w:rsid w:val="009043BD"/>
    <w:rsid w:val="00907EBF"/>
    <w:rsid w:val="00913D0F"/>
    <w:rsid w:val="0092569B"/>
    <w:rsid w:val="00934130"/>
    <w:rsid w:val="009354D0"/>
    <w:rsid w:val="009356C3"/>
    <w:rsid w:val="00945AD2"/>
    <w:rsid w:val="00950B06"/>
    <w:rsid w:val="00970069"/>
    <w:rsid w:val="009721EB"/>
    <w:rsid w:val="009741FE"/>
    <w:rsid w:val="009769D1"/>
    <w:rsid w:val="00980B05"/>
    <w:rsid w:val="00987D19"/>
    <w:rsid w:val="00990F9A"/>
    <w:rsid w:val="0099420D"/>
    <w:rsid w:val="00994D60"/>
    <w:rsid w:val="009A08CE"/>
    <w:rsid w:val="009B706E"/>
    <w:rsid w:val="009C1E72"/>
    <w:rsid w:val="009C423A"/>
    <w:rsid w:val="009E4E6E"/>
    <w:rsid w:val="009E79ED"/>
    <w:rsid w:val="00A07596"/>
    <w:rsid w:val="00A17A08"/>
    <w:rsid w:val="00A2072C"/>
    <w:rsid w:val="00A2290A"/>
    <w:rsid w:val="00A314D3"/>
    <w:rsid w:val="00A31D4A"/>
    <w:rsid w:val="00A56AD7"/>
    <w:rsid w:val="00A60673"/>
    <w:rsid w:val="00A62FF5"/>
    <w:rsid w:val="00A818DE"/>
    <w:rsid w:val="00A838CB"/>
    <w:rsid w:val="00A900F2"/>
    <w:rsid w:val="00AA1984"/>
    <w:rsid w:val="00AB2A61"/>
    <w:rsid w:val="00AC1872"/>
    <w:rsid w:val="00AC21EE"/>
    <w:rsid w:val="00AD0400"/>
    <w:rsid w:val="00AD13D0"/>
    <w:rsid w:val="00AD631F"/>
    <w:rsid w:val="00AE21FF"/>
    <w:rsid w:val="00AF1F18"/>
    <w:rsid w:val="00B04FA8"/>
    <w:rsid w:val="00B0726E"/>
    <w:rsid w:val="00B219D1"/>
    <w:rsid w:val="00B37F99"/>
    <w:rsid w:val="00B50165"/>
    <w:rsid w:val="00B64B3D"/>
    <w:rsid w:val="00B72125"/>
    <w:rsid w:val="00B81FA4"/>
    <w:rsid w:val="00B8585E"/>
    <w:rsid w:val="00B8794C"/>
    <w:rsid w:val="00B95EF4"/>
    <w:rsid w:val="00BB6509"/>
    <w:rsid w:val="00BC248C"/>
    <w:rsid w:val="00BF2651"/>
    <w:rsid w:val="00C01EC0"/>
    <w:rsid w:val="00C212D2"/>
    <w:rsid w:val="00C2270F"/>
    <w:rsid w:val="00C244EE"/>
    <w:rsid w:val="00C319A4"/>
    <w:rsid w:val="00C32AE5"/>
    <w:rsid w:val="00C72224"/>
    <w:rsid w:val="00C75706"/>
    <w:rsid w:val="00CA4815"/>
    <w:rsid w:val="00CC1725"/>
    <w:rsid w:val="00CF6562"/>
    <w:rsid w:val="00D22F93"/>
    <w:rsid w:val="00D23ABC"/>
    <w:rsid w:val="00D241D0"/>
    <w:rsid w:val="00D5688A"/>
    <w:rsid w:val="00D65E8B"/>
    <w:rsid w:val="00D7558A"/>
    <w:rsid w:val="00D82BFE"/>
    <w:rsid w:val="00D86284"/>
    <w:rsid w:val="00DA41A2"/>
    <w:rsid w:val="00DB0B8B"/>
    <w:rsid w:val="00DB2992"/>
    <w:rsid w:val="00DC5980"/>
    <w:rsid w:val="00DD2B46"/>
    <w:rsid w:val="00DD3400"/>
    <w:rsid w:val="00DD3642"/>
    <w:rsid w:val="00DF3F63"/>
    <w:rsid w:val="00E06ED6"/>
    <w:rsid w:val="00E0752E"/>
    <w:rsid w:val="00E114B4"/>
    <w:rsid w:val="00E30618"/>
    <w:rsid w:val="00E30B4D"/>
    <w:rsid w:val="00E529E5"/>
    <w:rsid w:val="00E55C8C"/>
    <w:rsid w:val="00E734FF"/>
    <w:rsid w:val="00EB4C2F"/>
    <w:rsid w:val="00ED0DDF"/>
    <w:rsid w:val="00EE2E52"/>
    <w:rsid w:val="00EF4518"/>
    <w:rsid w:val="00EF5C61"/>
    <w:rsid w:val="00F07246"/>
    <w:rsid w:val="00F1000D"/>
    <w:rsid w:val="00F11041"/>
    <w:rsid w:val="00F30BFA"/>
    <w:rsid w:val="00F30F70"/>
    <w:rsid w:val="00F311A4"/>
    <w:rsid w:val="00F44395"/>
    <w:rsid w:val="00F60B66"/>
    <w:rsid w:val="00F82C2C"/>
    <w:rsid w:val="00F85913"/>
    <w:rsid w:val="00FA7392"/>
    <w:rsid w:val="00FC0E6E"/>
    <w:rsid w:val="00FC2B31"/>
    <w:rsid w:val="00FC472A"/>
    <w:rsid w:val="00FD4D6E"/>
    <w:rsid w:val="00FD6383"/>
    <w:rsid w:val="00FD7A94"/>
    <w:rsid w:val="00FF5BC8"/>
    <w:rsid w:val="03713246"/>
    <w:rsid w:val="04B1B633"/>
    <w:rsid w:val="058E6D8C"/>
    <w:rsid w:val="0BCE6A65"/>
    <w:rsid w:val="10069FD7"/>
    <w:rsid w:val="20ED8F78"/>
    <w:rsid w:val="22E64E50"/>
    <w:rsid w:val="267A135F"/>
    <w:rsid w:val="282429F5"/>
    <w:rsid w:val="40A1ABEF"/>
    <w:rsid w:val="4E610A13"/>
    <w:rsid w:val="5792F1BA"/>
    <w:rsid w:val="62E47E4A"/>
    <w:rsid w:val="6DCF43EC"/>
    <w:rsid w:val="738FB27E"/>
    <w:rsid w:val="7687AB8B"/>
    <w:rsid w:val="7BDF0752"/>
    <w:rsid w:val="7D9BB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02E0C0F1-8576-48D1-A80A-7BC837FE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ListParagraph">
    <w:name w:val="List Paragraph"/>
    <w:basedOn w:val="Normal"/>
    <w:uiPriority w:val="34"/>
    <w:qFormat/>
    <w:rsid w:val="00B50165"/>
    <w:pPr>
      <w:ind w:left="720"/>
      <w:contextualSpacing/>
    </w:pPr>
  </w:style>
  <w:style w:type="paragraph" w:styleId="BodyText">
    <w:name w:val="Body Text"/>
    <w:basedOn w:val="Normal"/>
    <w:link w:val="BodyTextChar"/>
    <w:uiPriority w:val="99"/>
    <w:unhideWhenUsed/>
    <w:rsid w:val="00990F9A"/>
    <w:pPr>
      <w:spacing w:after="120" w:line="276" w:lineRule="auto"/>
    </w:pPr>
    <w:rPr>
      <w:rFonts w:ascii="Calibri" w:eastAsia="Times New Roman" w:hAnsi="Calibri"/>
      <w:sz w:val="24"/>
      <w:lang w:eastAsia="en-GB"/>
    </w:rPr>
  </w:style>
  <w:style w:type="character" w:customStyle="1" w:styleId="BodyTextChar">
    <w:name w:val="Body Text Char"/>
    <w:basedOn w:val="DefaultParagraphFont"/>
    <w:link w:val="BodyText"/>
    <w:uiPriority w:val="99"/>
    <w:rsid w:val="00990F9A"/>
    <w:rPr>
      <w:rFonts w:ascii="Calibri" w:eastAsia="Times New Roman" w:hAnsi="Calibri"/>
      <w:sz w:val="24"/>
      <w:lang w:eastAsia="en-GB"/>
    </w:rPr>
  </w:style>
  <w:style w:type="character" w:styleId="FollowedHyperlink">
    <w:name w:val="FollowedHyperlink"/>
    <w:basedOn w:val="DefaultParagraphFont"/>
    <w:uiPriority w:val="99"/>
    <w:semiHidden/>
    <w:unhideWhenUsed/>
    <w:rsid w:val="002A284F"/>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168399">
      <w:bodyDiv w:val="1"/>
      <w:marLeft w:val="0"/>
      <w:marRight w:val="0"/>
      <w:marTop w:val="0"/>
      <w:marBottom w:val="0"/>
      <w:divBdr>
        <w:top w:val="none" w:sz="0" w:space="0" w:color="auto"/>
        <w:left w:val="none" w:sz="0" w:space="0" w:color="auto"/>
        <w:bottom w:val="none" w:sz="0" w:space="0" w:color="auto"/>
        <w:right w:val="none" w:sz="0" w:space="0" w:color="auto"/>
      </w:divBdr>
    </w:div>
    <w:div w:id="18238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westernsydney.edu.au/schools-engagement/connecting-with-western/school-programs/pathe" TargetMode="External"/><Relationship Id="rId26" Type="http://schemas.openxmlformats.org/officeDocument/2006/relationships/hyperlink" Target="https://www.westernsydney.edu.au/researcher-development/researcher-development-framework" TargetMode="External"/><Relationship Id="rId3" Type="http://schemas.openxmlformats.org/officeDocument/2006/relationships/customXml" Target="../customXml/item3.xml"/><Relationship Id="rId21" Type="http://schemas.openxmlformats.org/officeDocument/2006/relationships/hyperlink" Target="https://www.westernsydney.edu.au/aboriginal-and-torres-strait-islander/badanami"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westernsydney.edu.au/schools-engagement/connecting-with-western/aboriginal-and-torres-strait-islander-engagement" TargetMode="External"/><Relationship Id="rId25" Type="http://schemas.openxmlformats.org/officeDocument/2006/relationships/hyperlink" Target="https://www.westernsydney.edu.au/newscentre/news_centre/more_news_stories/western_sydney_university_and_microsoft_join_forces_to_prepare_students_for_an_ai-driven_world"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licies.westernsydney.edu.au/download.php?id=1239&amp;version=3&amp;associated" TargetMode="External"/><Relationship Id="rId20" Type="http://schemas.openxmlformats.org/officeDocument/2006/relationships/hyperlink" Target="https://www.westernsydney.edu.au/schools-engagement/connecting-with-western/school-programs/refugee-new-and-emerging-communities" TargetMode="External"/><Relationship Id="rId29" Type="http://schemas.openxmlformats.org/officeDocument/2006/relationships/hyperlink" Target="https://launchpadlive.com.au/fo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dobe.westernsydney.edu.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licies.westernsydney.edu.au/document/view.current.php?id=349" TargetMode="External"/><Relationship Id="rId23" Type="http://schemas.openxmlformats.org/officeDocument/2006/relationships/hyperlink" Target="https://www.westernsydney.edu.au/learning_futures/home/teaching_quality_framework" TargetMode="External"/><Relationship Id="rId28" Type="http://schemas.openxmlformats.org/officeDocument/2006/relationships/hyperlink" Target="https://launchpadlive.com.au/" TargetMode="External"/><Relationship Id="rId10" Type="http://schemas.openxmlformats.org/officeDocument/2006/relationships/endnotes" Target="endnotes.xml"/><Relationship Id="rId19" Type="http://schemas.openxmlformats.org/officeDocument/2006/relationships/hyperlink" Target="https://www.westernsydney.edu.au/schools-engagement/connecting-with-western/school-programs/fast-forward"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sternsydney.edu.au/news/strategic-plan" TargetMode="External"/><Relationship Id="rId22" Type="http://schemas.openxmlformats.org/officeDocument/2006/relationships/hyperlink" Target="https://www.westernsydney.edu.au/learning_futures/home/the_engaged_teaching_project" TargetMode="External"/><Relationship Id="rId27" Type="http://schemas.openxmlformats.org/officeDocument/2006/relationships/hyperlink" Target="https://www.westernsydney.edu.au/content/dam/digital/images/centre-for-western-sydney/Unlimited-Potential.pdf"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75ac5a-1f9e-40aa-9df5-998dd543a947" xsi:nil="true"/>
    <lcf76f155ced4ddcb4097134ff3c332f xmlns="fea52c8c-9806-4a1c-8ca9-6928160f6c09">
      <Terms xmlns="http://schemas.microsoft.com/office/infopath/2007/PartnerControls"/>
    </lcf76f155ced4ddcb4097134ff3c332f>
    <Comment xmlns="fea52c8c-9806-4a1c-8ca9-6928160f6c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836FB-0FEA-4EB6-8C1F-B6512B7A70B1}">
  <ds:schemaRefs>
    <ds:schemaRef ds:uri="fea52c8c-9806-4a1c-8ca9-6928160f6c09"/>
    <ds:schemaRef ds:uri="http://www.w3.org/XML/1998/namespace"/>
    <ds:schemaRef ds:uri="http://schemas.openxmlformats.org/package/2006/metadata/core-properties"/>
    <ds:schemaRef ds:uri="http://schemas.microsoft.com/office/infopath/2007/PartnerControls"/>
    <ds:schemaRef ds:uri="6e75ac5a-1f9e-40aa-9df5-998dd543a947"/>
    <ds:schemaRef ds:uri="http://schemas.microsoft.com/office/2006/documentManagement/types"/>
    <ds:schemaRef ds:uri="http://purl.org/dc/term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4.xml><?xml version="1.0" encoding="utf-8"?>
<ds:datastoreItem xmlns:ds="http://schemas.openxmlformats.org/officeDocument/2006/customXml" ds:itemID="{1F278CB3-643E-4C64-BA45-D8C3B30A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2704</Words>
  <Characters>17267</Characters>
  <Application>Microsoft Office Word</Application>
  <DocSecurity>0</DocSecurity>
  <Lines>333</Lines>
  <Paragraphs>114</Paragraphs>
  <ScaleCrop>false</ScaleCrop>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9</cp:revision>
  <cp:lastPrinted>2025-12-01T05:48:00Z</cp:lastPrinted>
  <dcterms:created xsi:type="dcterms:W3CDTF">2025-11-23T23:31:00Z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0x0101001E36138AF4CB284D930A08DC3809C1D3</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