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352E" w14:textId="662A8BBF" w:rsidR="007434E7" w:rsidRPr="007434E7" w:rsidRDefault="007434E7" w:rsidP="007434E7"/>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00D5743A">
        <w:tc>
          <w:tcPr>
            <w:tcW w:w="5000" w:type="pct"/>
            <w:tcBorders>
              <w:bottom w:val="single" w:sz="4" w:space="0" w:color="auto"/>
            </w:tcBorders>
          </w:tcPr>
          <w:p w14:paraId="26FC6577" w14:textId="463CD24B" w:rsidR="001B109C" w:rsidRPr="0007338F" w:rsidRDefault="001B109C" w:rsidP="0031273D">
            <w:pPr>
              <w:pStyle w:val="Heading4"/>
              <w:snapToGrid w:val="0"/>
              <w:spacing w:before="0" w:after="120"/>
              <w:rPr>
                <w:rFonts w:cstheme="minorHAnsi"/>
                <w:i/>
                <w:iCs w:val="0"/>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2167A8">
              <w:t>the University of Technology Sydney</w:t>
            </w:r>
          </w:p>
        </w:tc>
      </w:tr>
      <w:tr w:rsidR="001B109C" w:rsidRPr="00E41388" w14:paraId="2126955C" w14:textId="77777777" w:rsidTr="00D5743A">
        <w:tc>
          <w:tcPr>
            <w:tcW w:w="5000" w:type="pct"/>
          </w:tcPr>
          <w:p w14:paraId="4E36A361" w14:textId="77777777" w:rsidR="001B109C" w:rsidRPr="00F30BFA" w:rsidRDefault="001B109C" w:rsidP="0031273D">
            <w:pPr>
              <w:pStyle w:val="Heading4"/>
              <w:keepLines w:val="0"/>
              <w:snapToGrid w:val="0"/>
              <w:spacing w:before="0" w:after="12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D5743A">
        <w:trPr>
          <w:trHeight w:val="1682"/>
        </w:trPr>
        <w:tc>
          <w:tcPr>
            <w:tcW w:w="5000" w:type="pct"/>
            <w:tcBorders>
              <w:bottom w:val="single" w:sz="4" w:space="0" w:color="auto"/>
            </w:tcBorders>
          </w:tcPr>
          <w:p w14:paraId="603CAB15" w14:textId="357DAB3E" w:rsidR="001B109C" w:rsidRPr="00E169EE" w:rsidRDefault="001B109C" w:rsidP="0031273D">
            <w:pPr>
              <w:pStyle w:val="NormalIndent"/>
              <w:snapToGrid w:val="0"/>
              <w:spacing w:before="0" w:line="240" w:lineRule="auto"/>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31273D">
            <w:pPr>
              <w:pStyle w:val="NormalIndent"/>
              <w:snapToGrid w:val="0"/>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D5743A">
        <w:tc>
          <w:tcPr>
            <w:tcW w:w="5000" w:type="pct"/>
          </w:tcPr>
          <w:p w14:paraId="43C124C8" w14:textId="55208677" w:rsidR="001B109C" w:rsidRPr="00E169EE" w:rsidRDefault="00F30BFA" w:rsidP="0031273D">
            <w:pPr>
              <w:pStyle w:val="Heading4"/>
              <w:keepLines w:val="0"/>
              <w:snapToGrid w:val="0"/>
              <w:spacing w:before="0" w:after="12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D5743A">
        <w:trPr>
          <w:trHeight w:val="1123"/>
        </w:trPr>
        <w:tc>
          <w:tcPr>
            <w:tcW w:w="5000" w:type="pct"/>
            <w:tcBorders>
              <w:bottom w:val="single" w:sz="4" w:space="0" w:color="auto"/>
            </w:tcBorders>
          </w:tcPr>
          <w:p w14:paraId="03901B9D" w14:textId="76767550" w:rsidR="002167A8" w:rsidRPr="00BE52EB" w:rsidRDefault="002167A8" w:rsidP="0031273D">
            <w:pPr>
              <w:pStyle w:val="NormalIndent"/>
              <w:snapToGrid w:val="0"/>
              <w:spacing w:before="0" w:line="240" w:lineRule="auto"/>
              <w:ind w:left="0"/>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 xml:space="preserve">The University of Technology Sydney’s vision is to be </w:t>
            </w:r>
            <w:r w:rsidR="00BE52EB" w:rsidRPr="00BE52EB">
              <w:rPr>
                <w:rFonts w:asciiTheme="minorHAnsi" w:hAnsiTheme="minorHAnsi" w:cstheme="minorHAnsi"/>
                <w:iCs/>
                <w:color w:val="000000" w:themeColor="text1"/>
                <w:szCs w:val="22"/>
              </w:rPr>
              <w:t xml:space="preserve">a leading public university of technology recognised for our global impact. Our renewed institutional strategy, </w:t>
            </w:r>
            <w:hyperlink r:id="rId14" w:history="1">
              <w:r w:rsidR="00BE52EB" w:rsidRPr="00733FF6">
                <w:rPr>
                  <w:rStyle w:val="Hyperlink"/>
                  <w:rFonts w:asciiTheme="minorHAnsi" w:hAnsiTheme="minorHAnsi" w:cstheme="minorHAnsi"/>
                  <w:iCs/>
                  <w:szCs w:val="22"/>
                </w:rPr>
                <w:t>UTS 2030</w:t>
              </w:r>
            </w:hyperlink>
            <w:r w:rsidR="00BE52EB" w:rsidRPr="00BE52EB">
              <w:rPr>
                <w:rFonts w:asciiTheme="minorHAnsi" w:hAnsiTheme="minorHAnsi" w:cstheme="minorHAnsi"/>
                <w:iCs/>
                <w:color w:val="000000" w:themeColor="text1"/>
                <w:szCs w:val="22"/>
              </w:rPr>
              <w:t>, builds on our reputation and distinctive identity as we aspire to be a global, engaged university with the resilience and agility to drive impact which positively shapes a changing world.</w:t>
            </w:r>
          </w:p>
          <w:p w14:paraId="2A83E421" w14:textId="3FF166C9" w:rsidR="00BE52EB" w:rsidRPr="00BE52EB" w:rsidRDefault="00BE52EB" w:rsidP="0031273D">
            <w:pPr>
              <w:pStyle w:val="NormalIndent"/>
              <w:snapToGrid w:val="0"/>
              <w:spacing w:before="0" w:line="240" w:lineRule="auto"/>
              <w:ind w:left="0"/>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To achieve this vision, we will focus on four strategic pillars:</w:t>
            </w:r>
          </w:p>
          <w:p w14:paraId="5E2F5D19" w14:textId="6B55C8D4" w:rsidR="00BE52EB" w:rsidRPr="00BE52EB" w:rsidRDefault="00BE52EB" w:rsidP="0031273D">
            <w:pPr>
              <w:pStyle w:val="NormalIndent"/>
              <w:numPr>
                <w:ilvl w:val="0"/>
                <w:numId w:val="20"/>
              </w:numPr>
              <w:snapToGrid w:val="0"/>
              <w:spacing w:before="0" w:line="240" w:lineRule="auto"/>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A creative and innovative university</w:t>
            </w:r>
          </w:p>
          <w:p w14:paraId="6D85898B" w14:textId="7FCD2C8E" w:rsidR="00BE52EB" w:rsidRPr="00BE52EB" w:rsidRDefault="00BE52EB" w:rsidP="0031273D">
            <w:pPr>
              <w:pStyle w:val="NormalIndent"/>
              <w:numPr>
                <w:ilvl w:val="0"/>
                <w:numId w:val="20"/>
              </w:numPr>
              <w:snapToGrid w:val="0"/>
              <w:spacing w:before="0" w:line="240" w:lineRule="auto"/>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A connected and engaged university</w:t>
            </w:r>
          </w:p>
          <w:p w14:paraId="31693D64" w14:textId="4B34BF34" w:rsidR="00BE52EB" w:rsidRPr="00BE52EB" w:rsidRDefault="00BE52EB" w:rsidP="0031273D">
            <w:pPr>
              <w:pStyle w:val="NormalIndent"/>
              <w:numPr>
                <w:ilvl w:val="0"/>
                <w:numId w:val="20"/>
              </w:numPr>
              <w:snapToGrid w:val="0"/>
              <w:spacing w:before="0" w:line="240" w:lineRule="auto"/>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A student-centred university</w:t>
            </w:r>
          </w:p>
          <w:p w14:paraId="036FBFF3" w14:textId="1CCB8C2C" w:rsidR="00BE52EB" w:rsidRPr="00BE52EB" w:rsidRDefault="00BE52EB" w:rsidP="0031273D">
            <w:pPr>
              <w:pStyle w:val="NormalIndent"/>
              <w:numPr>
                <w:ilvl w:val="0"/>
                <w:numId w:val="20"/>
              </w:numPr>
              <w:snapToGrid w:val="0"/>
              <w:spacing w:before="0" w:line="240" w:lineRule="auto"/>
              <w:rPr>
                <w:rFonts w:asciiTheme="minorHAnsi" w:hAnsiTheme="minorHAnsi" w:cstheme="minorHAnsi"/>
                <w:iCs/>
                <w:color w:val="000000" w:themeColor="text1"/>
                <w:szCs w:val="22"/>
              </w:rPr>
            </w:pPr>
            <w:r w:rsidRPr="00BE52EB">
              <w:rPr>
                <w:rFonts w:asciiTheme="minorHAnsi" w:hAnsiTheme="minorHAnsi" w:cstheme="minorHAnsi"/>
                <w:iCs/>
                <w:color w:val="000000" w:themeColor="text1"/>
                <w:szCs w:val="22"/>
              </w:rPr>
              <w:t>A resilient and agile university</w:t>
            </w:r>
          </w:p>
          <w:p w14:paraId="25033ABD" w14:textId="33C20C68" w:rsidR="00733FF6" w:rsidRDefault="00733FF6" w:rsidP="0031273D">
            <w:pPr>
              <w:pStyle w:val="NormalIndent"/>
              <w:snapToGrid w:val="0"/>
              <w:spacing w:before="0" w:line="240" w:lineRule="auto"/>
              <w:ind w:left="0"/>
              <w:rPr>
                <w:rFonts w:asciiTheme="minorHAnsi" w:hAnsiTheme="minorHAnsi" w:cstheme="minorHAnsi"/>
                <w:iCs/>
                <w:szCs w:val="22"/>
              </w:rPr>
            </w:pPr>
            <w:r>
              <w:rPr>
                <w:rFonts w:asciiTheme="minorHAnsi" w:hAnsiTheme="minorHAnsi" w:cstheme="minorHAnsi"/>
                <w:iCs/>
                <w:szCs w:val="22"/>
              </w:rPr>
              <w:t>Our Annual Plan provide</w:t>
            </w:r>
            <w:r w:rsidR="00C66280">
              <w:rPr>
                <w:rFonts w:asciiTheme="minorHAnsi" w:hAnsiTheme="minorHAnsi" w:cstheme="minorHAnsi"/>
                <w:iCs/>
                <w:szCs w:val="22"/>
              </w:rPr>
              <w:t>s</w:t>
            </w:r>
            <w:r>
              <w:rPr>
                <w:rFonts w:asciiTheme="minorHAnsi" w:hAnsiTheme="minorHAnsi" w:cstheme="minorHAnsi"/>
                <w:iCs/>
                <w:szCs w:val="22"/>
              </w:rPr>
              <w:t xml:space="preserve"> detailed updates on our performance, providing insights and reflections on our achievements and areas for improvement. This structured approach enable</w:t>
            </w:r>
            <w:r w:rsidR="00C66280">
              <w:rPr>
                <w:rFonts w:asciiTheme="minorHAnsi" w:hAnsiTheme="minorHAnsi" w:cstheme="minorHAnsi"/>
                <w:iCs/>
                <w:szCs w:val="22"/>
              </w:rPr>
              <w:t>s</w:t>
            </w:r>
            <w:r>
              <w:rPr>
                <w:rFonts w:asciiTheme="minorHAnsi" w:hAnsiTheme="minorHAnsi" w:cstheme="minorHAnsi"/>
                <w:iCs/>
                <w:szCs w:val="22"/>
              </w:rPr>
              <w:t xml:space="preserve"> UTS to remain agile, responsive, and steadfast in our commitment to delivering on UTS 2030.</w:t>
            </w:r>
          </w:p>
          <w:p w14:paraId="0DE6CBA3" w14:textId="77D6231A" w:rsidR="00BE52EB" w:rsidRPr="00BE52EB" w:rsidRDefault="00BE52EB" w:rsidP="0031273D">
            <w:pPr>
              <w:pStyle w:val="Default"/>
              <w:snapToGrid w:val="0"/>
              <w:spacing w:after="120"/>
              <w:rPr>
                <w:rFonts w:asciiTheme="minorHAnsi" w:hAnsiTheme="minorHAnsi" w:cstheme="minorHAnsi"/>
                <w:iCs/>
                <w:sz w:val="22"/>
                <w:szCs w:val="22"/>
              </w:rPr>
            </w:pPr>
            <w:r w:rsidRPr="00BE52EB">
              <w:rPr>
                <w:rFonts w:asciiTheme="minorHAnsi" w:hAnsiTheme="minorHAnsi" w:cstheme="minorHAnsi"/>
                <w:iCs/>
                <w:sz w:val="22"/>
                <w:szCs w:val="22"/>
              </w:rPr>
              <w:t>Our approach to national and sector priorities</w:t>
            </w:r>
            <w:r w:rsidR="00733FF6">
              <w:rPr>
                <w:rFonts w:asciiTheme="minorHAnsi" w:hAnsiTheme="minorHAnsi" w:cstheme="minorHAnsi"/>
                <w:iCs/>
                <w:sz w:val="22"/>
                <w:szCs w:val="22"/>
              </w:rPr>
              <w:t xml:space="preserve"> includes</w:t>
            </w:r>
            <w:r w:rsidRPr="00BE52EB">
              <w:rPr>
                <w:rFonts w:asciiTheme="minorHAnsi" w:hAnsiTheme="minorHAnsi" w:cstheme="minorHAnsi"/>
                <w:iCs/>
                <w:sz w:val="22"/>
                <w:szCs w:val="22"/>
              </w:rPr>
              <w:t>:</w:t>
            </w:r>
          </w:p>
          <w:p w14:paraId="6A1EE8FB" w14:textId="6E35A765" w:rsidR="00BE52EB" w:rsidRPr="00BE52EB" w:rsidRDefault="000529B5" w:rsidP="0031273D">
            <w:pPr>
              <w:pStyle w:val="NormalIndent"/>
              <w:numPr>
                <w:ilvl w:val="0"/>
                <w:numId w:val="20"/>
              </w:numPr>
              <w:snapToGrid w:val="0"/>
              <w:spacing w:before="0" w:line="240" w:lineRule="auto"/>
              <w:rPr>
                <w:rFonts w:asciiTheme="minorHAnsi" w:hAnsiTheme="minorHAnsi" w:cstheme="minorHAnsi"/>
                <w:iCs/>
                <w:szCs w:val="22"/>
              </w:rPr>
            </w:pPr>
            <w:r>
              <w:rPr>
                <w:rFonts w:asciiTheme="minorHAnsi" w:hAnsiTheme="minorHAnsi" w:cstheme="minorHAnsi"/>
                <w:iCs/>
                <w:szCs w:val="22"/>
              </w:rPr>
              <w:t>Commitment</w:t>
            </w:r>
            <w:r w:rsidR="00BE52EB" w:rsidRPr="00BE52EB">
              <w:rPr>
                <w:rFonts w:asciiTheme="minorHAnsi" w:hAnsiTheme="minorHAnsi" w:cstheme="minorHAnsi"/>
                <w:iCs/>
                <w:szCs w:val="22"/>
              </w:rPr>
              <w:t xml:space="preserve"> to working constructively with the Federal Government to progress its reform agenda</w:t>
            </w:r>
            <w:r>
              <w:rPr>
                <w:rFonts w:asciiTheme="minorHAnsi" w:hAnsiTheme="minorHAnsi" w:cstheme="minorHAnsi"/>
                <w:iCs/>
                <w:szCs w:val="22"/>
              </w:rPr>
              <w:t xml:space="preserve"> as recommended by the Australian Universities Accord Final Report</w:t>
            </w:r>
            <w:r w:rsidR="008D18D0">
              <w:rPr>
                <w:rFonts w:asciiTheme="minorHAnsi" w:hAnsiTheme="minorHAnsi" w:cstheme="minorHAnsi"/>
                <w:iCs/>
                <w:szCs w:val="22"/>
              </w:rPr>
              <w:t xml:space="preserve">, including funding reform, Support for Students Policy and delivery of the Commonwealth </w:t>
            </w:r>
            <w:proofErr w:type="spellStart"/>
            <w:r w:rsidR="008D18D0">
              <w:rPr>
                <w:rFonts w:asciiTheme="minorHAnsi" w:hAnsiTheme="minorHAnsi" w:cstheme="minorHAnsi"/>
                <w:iCs/>
                <w:szCs w:val="22"/>
              </w:rPr>
              <w:t>Prac</w:t>
            </w:r>
            <w:proofErr w:type="spellEnd"/>
            <w:r w:rsidR="008D18D0">
              <w:rPr>
                <w:rFonts w:asciiTheme="minorHAnsi" w:hAnsiTheme="minorHAnsi" w:cstheme="minorHAnsi"/>
                <w:iCs/>
                <w:szCs w:val="22"/>
              </w:rPr>
              <w:t xml:space="preserve"> Payment.</w:t>
            </w:r>
          </w:p>
          <w:p w14:paraId="18861986" w14:textId="77777777" w:rsidR="0003184C" w:rsidRDefault="008D18D0" w:rsidP="0031273D">
            <w:pPr>
              <w:pStyle w:val="NormalIndent"/>
              <w:numPr>
                <w:ilvl w:val="0"/>
                <w:numId w:val="20"/>
              </w:numPr>
              <w:snapToGrid w:val="0"/>
              <w:spacing w:before="0" w:line="240" w:lineRule="auto"/>
              <w:rPr>
                <w:rFonts w:asciiTheme="minorHAnsi" w:hAnsiTheme="minorHAnsi" w:cstheme="minorHAnsi"/>
                <w:iCs/>
                <w:szCs w:val="22"/>
              </w:rPr>
            </w:pPr>
            <w:r>
              <w:rPr>
                <w:rFonts w:asciiTheme="minorHAnsi" w:hAnsiTheme="minorHAnsi" w:cstheme="minorHAnsi"/>
                <w:iCs/>
                <w:szCs w:val="22"/>
              </w:rPr>
              <w:t>Ensuring that n</w:t>
            </w:r>
            <w:r w:rsidR="00BE52EB" w:rsidRPr="00BE52EB">
              <w:rPr>
                <w:rFonts w:asciiTheme="minorHAnsi" w:hAnsiTheme="minorHAnsi" w:cstheme="minorHAnsi"/>
                <w:iCs/>
                <w:szCs w:val="22"/>
              </w:rPr>
              <w:t>ational skills priorities are at the heart of new course development and existing course reviews. We offer flexible curriculum designed to meet individual aspirations and national skills needs. We continue to review and strengthen our offerings in line with shifting socio-economic needs and work with government (primarily through Jobs and Skills Australia and the Institute of Applied Technology - Digital).</w:t>
            </w:r>
          </w:p>
          <w:p w14:paraId="5519CE23" w14:textId="312BA52B" w:rsidR="00A61878" w:rsidRDefault="008D18D0" w:rsidP="0031273D">
            <w:pPr>
              <w:pStyle w:val="NormalIndent"/>
              <w:numPr>
                <w:ilvl w:val="0"/>
                <w:numId w:val="20"/>
              </w:numPr>
              <w:snapToGrid w:val="0"/>
              <w:spacing w:before="0" w:line="240" w:lineRule="auto"/>
              <w:rPr>
                <w:rFonts w:asciiTheme="minorHAnsi" w:hAnsiTheme="minorHAnsi" w:cstheme="minorHAnsi"/>
                <w:iCs/>
                <w:szCs w:val="22"/>
              </w:rPr>
            </w:pPr>
            <w:r w:rsidRPr="0003184C">
              <w:rPr>
                <w:rFonts w:asciiTheme="minorHAnsi" w:hAnsiTheme="minorHAnsi" w:cstheme="minorHAnsi"/>
                <w:iCs/>
                <w:szCs w:val="22"/>
              </w:rPr>
              <w:lastRenderedPageBreak/>
              <w:t>Commitment</w:t>
            </w:r>
            <w:r w:rsidR="00BE52EB" w:rsidRPr="0003184C">
              <w:rPr>
                <w:rFonts w:asciiTheme="minorHAnsi" w:hAnsiTheme="minorHAnsi" w:cstheme="minorHAnsi"/>
                <w:iCs/>
                <w:szCs w:val="22"/>
              </w:rPr>
              <w:t xml:space="preserve"> to ensuring a safe, secure and supportive environment for our community</w:t>
            </w:r>
            <w:r w:rsidR="000D4817">
              <w:rPr>
                <w:rFonts w:asciiTheme="minorHAnsi" w:hAnsiTheme="minorHAnsi" w:cstheme="minorHAnsi"/>
                <w:iCs/>
                <w:szCs w:val="22"/>
              </w:rPr>
              <w:t xml:space="preserve"> under our Safe and Respectful Communities ini</w:t>
            </w:r>
            <w:r w:rsidR="00BC2349">
              <w:rPr>
                <w:rFonts w:asciiTheme="minorHAnsi" w:hAnsiTheme="minorHAnsi" w:cstheme="minorHAnsi"/>
                <w:iCs/>
                <w:szCs w:val="22"/>
              </w:rPr>
              <w:t>ti</w:t>
            </w:r>
            <w:r w:rsidR="000D4817">
              <w:rPr>
                <w:rFonts w:asciiTheme="minorHAnsi" w:hAnsiTheme="minorHAnsi" w:cstheme="minorHAnsi"/>
                <w:iCs/>
                <w:szCs w:val="22"/>
              </w:rPr>
              <w:t>ative</w:t>
            </w:r>
            <w:r w:rsidR="00BE52EB" w:rsidRPr="0003184C">
              <w:rPr>
                <w:rFonts w:asciiTheme="minorHAnsi" w:hAnsiTheme="minorHAnsi" w:cstheme="minorHAnsi"/>
                <w:iCs/>
                <w:szCs w:val="22"/>
              </w:rPr>
              <w:t xml:space="preserve">. </w:t>
            </w:r>
          </w:p>
          <w:p w14:paraId="52090A60" w14:textId="6BF49161" w:rsidR="00D90F54" w:rsidRDefault="00BE52EB" w:rsidP="0031273D">
            <w:pPr>
              <w:pStyle w:val="NormalIndent"/>
              <w:numPr>
                <w:ilvl w:val="1"/>
                <w:numId w:val="20"/>
              </w:numPr>
              <w:snapToGrid w:val="0"/>
              <w:spacing w:before="0" w:line="240" w:lineRule="auto"/>
              <w:rPr>
                <w:rFonts w:asciiTheme="minorHAnsi" w:hAnsiTheme="minorHAnsi" w:cstheme="minorHAnsi"/>
                <w:iCs/>
                <w:szCs w:val="22"/>
              </w:rPr>
            </w:pPr>
            <w:r w:rsidRPr="0003184C">
              <w:rPr>
                <w:rFonts w:asciiTheme="minorHAnsi" w:hAnsiTheme="minorHAnsi" w:cstheme="minorHAnsi"/>
                <w:iCs/>
                <w:szCs w:val="22"/>
              </w:rPr>
              <w:t>We are sector-leaders in the prevention of sexual violence space, and actively engage, and seek to better our performance in addressing gender-based violence.</w:t>
            </w:r>
            <w:r w:rsidR="00DC2300">
              <w:rPr>
                <w:rFonts w:asciiTheme="minorHAnsi" w:hAnsiTheme="minorHAnsi" w:cstheme="minorHAnsi"/>
                <w:iCs/>
                <w:szCs w:val="22"/>
              </w:rPr>
              <w:t xml:space="preserve"> UTS is introducing a new, </w:t>
            </w:r>
            <w:r w:rsidR="0070665E">
              <w:rPr>
                <w:rFonts w:asciiTheme="minorHAnsi" w:hAnsiTheme="minorHAnsi" w:cstheme="minorHAnsi"/>
                <w:iCs/>
                <w:szCs w:val="22"/>
              </w:rPr>
              <w:t>whole-of-institution approach</w:t>
            </w:r>
            <w:r w:rsidR="00B57C27">
              <w:rPr>
                <w:rFonts w:asciiTheme="minorHAnsi" w:hAnsiTheme="minorHAnsi" w:cstheme="minorHAnsi"/>
                <w:iCs/>
                <w:szCs w:val="22"/>
              </w:rPr>
              <w:t>,</w:t>
            </w:r>
            <w:r w:rsidR="00D90F54">
              <w:rPr>
                <w:rFonts w:asciiTheme="minorHAnsi" w:hAnsiTheme="minorHAnsi" w:cstheme="minorHAnsi"/>
                <w:iCs/>
                <w:szCs w:val="22"/>
              </w:rPr>
              <w:t xml:space="preserve"> while also improving our complaints and misconduct process</w:t>
            </w:r>
            <w:r w:rsidR="00B57C27">
              <w:rPr>
                <w:rFonts w:asciiTheme="minorHAnsi" w:hAnsiTheme="minorHAnsi" w:cstheme="minorHAnsi"/>
                <w:iCs/>
                <w:szCs w:val="22"/>
              </w:rPr>
              <w:t>,</w:t>
            </w:r>
            <w:r w:rsidR="00D90F54">
              <w:rPr>
                <w:rFonts w:asciiTheme="minorHAnsi" w:hAnsiTheme="minorHAnsi" w:cstheme="minorHAnsi"/>
                <w:iCs/>
                <w:szCs w:val="22"/>
              </w:rPr>
              <w:t xml:space="preserve"> as part of the National Code to Prevent and Respond to GBV.</w:t>
            </w:r>
          </w:p>
          <w:p w14:paraId="39A5D507" w14:textId="73C83D48" w:rsidR="00A61878" w:rsidRDefault="001F4F74" w:rsidP="0031273D">
            <w:pPr>
              <w:pStyle w:val="NormalIndent"/>
              <w:numPr>
                <w:ilvl w:val="1"/>
                <w:numId w:val="20"/>
              </w:numPr>
              <w:snapToGrid w:val="0"/>
              <w:spacing w:before="0" w:line="240" w:lineRule="auto"/>
              <w:rPr>
                <w:rFonts w:asciiTheme="minorHAnsi" w:hAnsiTheme="minorHAnsi" w:cstheme="minorHAnsi"/>
                <w:iCs/>
                <w:szCs w:val="22"/>
              </w:rPr>
            </w:pPr>
            <w:r>
              <w:rPr>
                <w:rFonts w:asciiTheme="minorHAnsi" w:hAnsiTheme="minorHAnsi" w:cstheme="minorHAnsi"/>
                <w:iCs/>
                <w:szCs w:val="22"/>
              </w:rPr>
              <w:t xml:space="preserve">UTS </w:t>
            </w:r>
            <w:r w:rsidR="005923C2">
              <w:rPr>
                <w:rFonts w:asciiTheme="minorHAnsi" w:hAnsiTheme="minorHAnsi" w:cstheme="minorHAnsi"/>
                <w:iCs/>
                <w:szCs w:val="22"/>
              </w:rPr>
              <w:t>has a strong record of tackling racism and promoting inclusion</w:t>
            </w:r>
            <w:r w:rsidR="003A222B">
              <w:rPr>
                <w:rFonts w:asciiTheme="minorHAnsi" w:hAnsiTheme="minorHAnsi" w:cstheme="minorHAnsi"/>
                <w:iCs/>
                <w:szCs w:val="22"/>
              </w:rPr>
              <w:t>. Our primary focus is ensuring the safety of our community while supporting a culture in which diverse views can be freely expressed in line with our public purpose as a university.</w:t>
            </w:r>
            <w:r w:rsidR="00BE52EB" w:rsidRPr="0003184C">
              <w:rPr>
                <w:rFonts w:asciiTheme="minorHAnsi" w:hAnsiTheme="minorHAnsi" w:cstheme="minorHAnsi"/>
                <w:iCs/>
                <w:szCs w:val="22"/>
              </w:rPr>
              <w:t xml:space="preserve"> </w:t>
            </w:r>
          </w:p>
          <w:p w14:paraId="3762264A" w14:textId="51B220EC" w:rsidR="00BE52EB" w:rsidRPr="0003184C" w:rsidRDefault="00BE52EB" w:rsidP="0031273D">
            <w:pPr>
              <w:pStyle w:val="NormalIndent"/>
              <w:numPr>
                <w:ilvl w:val="1"/>
                <w:numId w:val="20"/>
              </w:numPr>
              <w:snapToGrid w:val="0"/>
              <w:spacing w:before="0" w:line="240" w:lineRule="auto"/>
              <w:rPr>
                <w:rFonts w:asciiTheme="minorHAnsi" w:hAnsiTheme="minorHAnsi" w:cstheme="minorHAnsi"/>
                <w:iCs/>
                <w:szCs w:val="22"/>
              </w:rPr>
            </w:pPr>
            <w:r w:rsidRPr="0003184C">
              <w:rPr>
                <w:rFonts w:asciiTheme="minorHAnsi" w:hAnsiTheme="minorHAnsi" w:cstheme="minorHAnsi"/>
                <w:iCs/>
                <w:szCs w:val="22"/>
              </w:rPr>
              <w:t xml:space="preserve">UTS remains committed to ensuring </w:t>
            </w:r>
            <w:proofErr w:type="spellStart"/>
            <w:r w:rsidRPr="0003184C">
              <w:rPr>
                <w:rFonts w:asciiTheme="minorHAnsi" w:hAnsiTheme="minorHAnsi" w:cstheme="minorHAnsi"/>
                <w:iCs/>
                <w:szCs w:val="22"/>
              </w:rPr>
              <w:t>Respect@Work</w:t>
            </w:r>
            <w:proofErr w:type="spellEnd"/>
            <w:r w:rsidRPr="0003184C">
              <w:rPr>
                <w:rFonts w:asciiTheme="minorHAnsi" w:hAnsiTheme="minorHAnsi" w:cstheme="minorHAnsi"/>
                <w:iCs/>
                <w:szCs w:val="22"/>
              </w:rPr>
              <w:t xml:space="preserve"> principles are delivered for staff and partners.</w:t>
            </w:r>
            <w:r w:rsidR="00D219A1" w:rsidRPr="0003184C">
              <w:rPr>
                <w:rFonts w:asciiTheme="minorHAnsi" w:hAnsiTheme="minorHAnsi" w:cstheme="minorHAnsi"/>
                <w:iCs/>
                <w:szCs w:val="22"/>
              </w:rPr>
              <w:t xml:space="preserve"> Information is available on our website (</w:t>
            </w:r>
            <w:hyperlink r:id="rId15" w:history="1">
              <w:r w:rsidR="00D219A1" w:rsidRPr="0003184C">
                <w:rPr>
                  <w:rStyle w:val="Hyperlink"/>
                  <w:rFonts w:asciiTheme="minorHAnsi" w:hAnsiTheme="minorHAnsi" w:cstheme="minorHAnsi"/>
                  <w:iCs/>
                  <w:szCs w:val="22"/>
                </w:rPr>
                <w:t>Safety at UTS</w:t>
              </w:r>
            </w:hyperlink>
            <w:r w:rsidR="00D219A1" w:rsidRPr="0003184C">
              <w:rPr>
                <w:rFonts w:asciiTheme="minorHAnsi" w:hAnsiTheme="minorHAnsi" w:cstheme="minorHAnsi"/>
                <w:iCs/>
                <w:szCs w:val="22"/>
              </w:rPr>
              <w:t xml:space="preserve">). </w:t>
            </w:r>
          </w:p>
          <w:p w14:paraId="0C699E53" w14:textId="1D8411BF" w:rsidR="00586DBD" w:rsidRDefault="008D18D0" w:rsidP="0031273D">
            <w:pPr>
              <w:pStyle w:val="NormalIndent"/>
              <w:numPr>
                <w:ilvl w:val="0"/>
                <w:numId w:val="20"/>
              </w:numPr>
              <w:snapToGrid w:val="0"/>
              <w:spacing w:before="0" w:line="240" w:lineRule="auto"/>
              <w:rPr>
                <w:rFonts w:asciiTheme="minorHAnsi" w:hAnsiTheme="minorHAnsi" w:cstheme="minorHAnsi"/>
                <w:iCs/>
                <w:szCs w:val="22"/>
              </w:rPr>
            </w:pPr>
            <w:r>
              <w:rPr>
                <w:rFonts w:asciiTheme="minorHAnsi" w:hAnsiTheme="minorHAnsi" w:cstheme="minorHAnsi"/>
                <w:iCs/>
                <w:szCs w:val="22"/>
              </w:rPr>
              <w:t>Engaging with our community to</w:t>
            </w:r>
            <w:r w:rsidR="00586DBD">
              <w:rPr>
                <w:rFonts w:asciiTheme="minorHAnsi" w:hAnsiTheme="minorHAnsi" w:cstheme="minorHAnsi"/>
                <w:iCs/>
                <w:szCs w:val="22"/>
              </w:rPr>
              <w:t xml:space="preserve"> provide information about UTS policies, procedures and their application</w:t>
            </w:r>
            <w:r w:rsidR="00374883">
              <w:rPr>
                <w:rFonts w:asciiTheme="minorHAnsi" w:hAnsiTheme="minorHAnsi" w:cstheme="minorHAnsi"/>
                <w:iCs/>
                <w:szCs w:val="22"/>
              </w:rPr>
              <w:t xml:space="preserve"> in relation to</w:t>
            </w:r>
            <w:r>
              <w:rPr>
                <w:rFonts w:asciiTheme="minorHAnsi" w:hAnsiTheme="minorHAnsi" w:cstheme="minorHAnsi"/>
                <w:iCs/>
                <w:szCs w:val="22"/>
              </w:rPr>
              <w:t xml:space="preserve"> sector priorities</w:t>
            </w:r>
            <w:r w:rsidR="00586DBD">
              <w:rPr>
                <w:rFonts w:asciiTheme="minorHAnsi" w:hAnsiTheme="minorHAnsi" w:cstheme="minorHAnsi"/>
                <w:iCs/>
                <w:szCs w:val="22"/>
              </w:rPr>
              <w:t xml:space="preserve">: </w:t>
            </w:r>
          </w:p>
          <w:p w14:paraId="718F7C6E" w14:textId="21ABF74F" w:rsidR="00586DBD" w:rsidRDefault="00586DBD" w:rsidP="0031273D">
            <w:pPr>
              <w:pStyle w:val="Default"/>
              <w:numPr>
                <w:ilvl w:val="1"/>
                <w:numId w:val="21"/>
              </w:numPr>
              <w:snapToGrid w:val="0"/>
              <w:spacing w:after="120"/>
              <w:rPr>
                <w:rFonts w:asciiTheme="minorHAnsi" w:hAnsiTheme="minorHAnsi" w:cstheme="minorHAnsi"/>
                <w:iCs/>
                <w:sz w:val="22"/>
                <w:szCs w:val="22"/>
              </w:rPr>
            </w:pPr>
            <w:r w:rsidRPr="00586DBD">
              <w:rPr>
                <w:rFonts w:asciiTheme="minorHAnsi" w:hAnsiTheme="minorHAnsi" w:cstheme="minorHAnsi"/>
                <w:iCs/>
                <w:sz w:val="22"/>
                <w:szCs w:val="22"/>
              </w:rPr>
              <w:t>countering foreign interference</w:t>
            </w:r>
            <w:r>
              <w:rPr>
                <w:rFonts w:asciiTheme="minorHAnsi" w:hAnsiTheme="minorHAnsi" w:cstheme="minorHAnsi"/>
                <w:iCs/>
                <w:sz w:val="22"/>
                <w:szCs w:val="22"/>
              </w:rPr>
              <w:t xml:space="preserve"> (</w:t>
            </w:r>
            <w:hyperlink r:id="rId16" w:history="1">
              <w:r w:rsidRPr="00586DBD">
                <w:rPr>
                  <w:rStyle w:val="Hyperlink"/>
                  <w:rFonts w:asciiTheme="minorHAnsi" w:hAnsiTheme="minorHAnsi" w:cstheme="minorHAnsi"/>
                  <w:iCs/>
                  <w:sz w:val="22"/>
                  <w:szCs w:val="22"/>
                </w:rPr>
                <w:t>Foreign interference and foreign bribery</w:t>
              </w:r>
            </w:hyperlink>
            <w:r>
              <w:rPr>
                <w:rFonts w:asciiTheme="minorHAnsi" w:hAnsiTheme="minorHAnsi" w:cstheme="minorHAnsi"/>
                <w:iCs/>
                <w:sz w:val="22"/>
                <w:szCs w:val="22"/>
              </w:rPr>
              <w:t xml:space="preserve">). This includes information for </w:t>
            </w:r>
            <w:r w:rsidR="00374883">
              <w:rPr>
                <w:rFonts w:asciiTheme="minorHAnsi" w:hAnsiTheme="minorHAnsi" w:cstheme="minorHAnsi"/>
                <w:iCs/>
                <w:sz w:val="22"/>
                <w:szCs w:val="22"/>
              </w:rPr>
              <w:t>staff about how to report concerns and provides links to the Department of Education’s guidelines on countering foreign interference.</w:t>
            </w:r>
            <w:r w:rsidRPr="00586DBD">
              <w:rPr>
                <w:rFonts w:asciiTheme="minorHAnsi" w:hAnsiTheme="minorHAnsi" w:cstheme="minorHAnsi"/>
                <w:iCs/>
                <w:sz w:val="22"/>
                <w:szCs w:val="22"/>
              </w:rPr>
              <w:t xml:space="preserve"> </w:t>
            </w:r>
          </w:p>
          <w:p w14:paraId="6FDE9697" w14:textId="28E83B3C" w:rsidR="00586DBD" w:rsidRDefault="00374883" w:rsidP="0031273D">
            <w:pPr>
              <w:pStyle w:val="Default"/>
              <w:numPr>
                <w:ilvl w:val="1"/>
                <w:numId w:val="21"/>
              </w:numPr>
              <w:snapToGrid w:val="0"/>
              <w:spacing w:after="120"/>
              <w:rPr>
                <w:rFonts w:asciiTheme="minorHAnsi" w:hAnsiTheme="minorHAnsi" w:cstheme="minorHAnsi"/>
                <w:iCs/>
                <w:sz w:val="22"/>
                <w:szCs w:val="22"/>
              </w:rPr>
            </w:pPr>
            <w:r>
              <w:rPr>
                <w:rFonts w:asciiTheme="minorHAnsi" w:hAnsiTheme="minorHAnsi" w:cstheme="minorHAnsi"/>
                <w:iCs/>
                <w:sz w:val="22"/>
                <w:szCs w:val="22"/>
              </w:rPr>
              <w:t>Information security incidents (also known as cyber security)</w:t>
            </w:r>
            <w:r w:rsidR="00586DBD" w:rsidRPr="00586DBD">
              <w:rPr>
                <w:rFonts w:asciiTheme="minorHAnsi" w:hAnsiTheme="minorHAnsi" w:cstheme="minorHAnsi"/>
                <w:iCs/>
                <w:sz w:val="22"/>
                <w:szCs w:val="22"/>
              </w:rPr>
              <w:t xml:space="preserve"> and data security</w:t>
            </w:r>
            <w:r w:rsidR="00586DBD">
              <w:rPr>
                <w:rFonts w:asciiTheme="minorHAnsi" w:hAnsiTheme="minorHAnsi" w:cstheme="minorHAnsi"/>
                <w:iCs/>
                <w:sz w:val="22"/>
                <w:szCs w:val="22"/>
              </w:rPr>
              <w:t xml:space="preserve"> (</w:t>
            </w:r>
            <w:hyperlink r:id="rId17" w:history="1">
              <w:r w:rsidR="00586DBD" w:rsidRPr="00586DBD">
                <w:rPr>
                  <w:rStyle w:val="Hyperlink"/>
                  <w:rFonts w:asciiTheme="minorHAnsi" w:hAnsiTheme="minorHAnsi" w:cstheme="minorHAnsi"/>
                  <w:iCs/>
                  <w:sz w:val="22"/>
                  <w:szCs w:val="22"/>
                </w:rPr>
                <w:t>Data breaches</w:t>
              </w:r>
            </w:hyperlink>
            <w:r>
              <w:rPr>
                <w:rFonts w:asciiTheme="minorHAnsi" w:hAnsiTheme="minorHAnsi" w:cstheme="minorHAnsi"/>
                <w:iCs/>
                <w:sz w:val="22"/>
                <w:szCs w:val="22"/>
              </w:rPr>
              <w:t xml:space="preserve"> and internal SharePoint</w:t>
            </w:r>
            <w:r w:rsidR="00586DBD">
              <w:rPr>
                <w:rFonts w:asciiTheme="minorHAnsi" w:hAnsiTheme="minorHAnsi" w:cstheme="minorHAnsi"/>
                <w:iCs/>
                <w:sz w:val="22"/>
                <w:szCs w:val="22"/>
              </w:rPr>
              <w:t>)</w:t>
            </w:r>
            <w:r w:rsidR="00586DBD" w:rsidRPr="00586DBD">
              <w:rPr>
                <w:rFonts w:asciiTheme="minorHAnsi" w:hAnsiTheme="minorHAnsi" w:cstheme="minorHAnsi"/>
                <w:iCs/>
                <w:sz w:val="22"/>
                <w:szCs w:val="22"/>
              </w:rPr>
              <w:t xml:space="preserve">, </w:t>
            </w:r>
          </w:p>
          <w:p w14:paraId="542382BC" w14:textId="6A16E20A" w:rsidR="00586DBD" w:rsidRDefault="00586DBD" w:rsidP="0031273D">
            <w:pPr>
              <w:pStyle w:val="Default"/>
              <w:numPr>
                <w:ilvl w:val="1"/>
                <w:numId w:val="21"/>
              </w:numPr>
              <w:snapToGrid w:val="0"/>
              <w:spacing w:after="120"/>
              <w:rPr>
                <w:rFonts w:asciiTheme="minorHAnsi" w:hAnsiTheme="minorHAnsi" w:cstheme="minorHAnsi"/>
                <w:iCs/>
                <w:sz w:val="22"/>
                <w:szCs w:val="22"/>
              </w:rPr>
            </w:pPr>
            <w:r w:rsidRPr="00586DBD">
              <w:rPr>
                <w:rFonts w:asciiTheme="minorHAnsi" w:hAnsiTheme="minorHAnsi" w:cstheme="minorHAnsi"/>
                <w:iCs/>
                <w:sz w:val="22"/>
                <w:szCs w:val="22"/>
              </w:rPr>
              <w:t>upholding freedom of speech and academic freedom</w:t>
            </w:r>
            <w:r>
              <w:rPr>
                <w:rFonts w:asciiTheme="minorHAnsi" w:hAnsiTheme="minorHAnsi" w:cstheme="minorHAnsi"/>
                <w:iCs/>
                <w:sz w:val="22"/>
                <w:szCs w:val="22"/>
              </w:rPr>
              <w:t xml:space="preserve"> (</w:t>
            </w:r>
            <w:hyperlink r:id="rId18" w:history="1">
              <w:r w:rsidRPr="00BE52EB">
                <w:rPr>
                  <w:rStyle w:val="Hyperlink"/>
                  <w:rFonts w:asciiTheme="minorHAnsi" w:hAnsiTheme="minorHAnsi" w:cstheme="minorHAnsi"/>
                  <w:iCs/>
                  <w:sz w:val="22"/>
                  <w:szCs w:val="22"/>
                </w:rPr>
                <w:t>Academic Freedom and Freedom of Speech</w:t>
              </w:r>
            </w:hyperlink>
            <w:r>
              <w:rPr>
                <w:rFonts w:asciiTheme="minorHAnsi" w:hAnsiTheme="minorHAnsi" w:cstheme="minorHAnsi"/>
                <w:iCs/>
                <w:sz w:val="22"/>
                <w:szCs w:val="22"/>
              </w:rPr>
              <w:t>)</w:t>
            </w:r>
            <w:r w:rsidRPr="00586DBD">
              <w:rPr>
                <w:rFonts w:asciiTheme="minorHAnsi" w:hAnsiTheme="minorHAnsi" w:cstheme="minorHAnsi"/>
                <w:iCs/>
                <w:sz w:val="22"/>
                <w:szCs w:val="22"/>
              </w:rPr>
              <w:t xml:space="preserve"> </w:t>
            </w:r>
          </w:p>
          <w:p w14:paraId="2C91A87B" w14:textId="53CAED80" w:rsidR="001B109C" w:rsidRPr="00733FF6" w:rsidRDefault="00586DBD" w:rsidP="0031273D">
            <w:pPr>
              <w:pStyle w:val="Default"/>
              <w:numPr>
                <w:ilvl w:val="1"/>
                <w:numId w:val="21"/>
              </w:numPr>
              <w:snapToGrid w:val="0"/>
              <w:spacing w:after="120"/>
              <w:rPr>
                <w:rFonts w:asciiTheme="minorHAnsi" w:hAnsiTheme="minorHAnsi" w:cstheme="minorHAnsi"/>
                <w:iCs/>
                <w:sz w:val="22"/>
                <w:szCs w:val="22"/>
              </w:rPr>
            </w:pPr>
            <w:r w:rsidRPr="00586DBD">
              <w:rPr>
                <w:rFonts w:asciiTheme="minorHAnsi" w:hAnsiTheme="minorHAnsi" w:cstheme="minorHAnsi"/>
                <w:iCs/>
                <w:sz w:val="22"/>
                <w:szCs w:val="22"/>
              </w:rPr>
              <w:t>and other relevant strategic area</w:t>
            </w:r>
            <w:r>
              <w:rPr>
                <w:rFonts w:asciiTheme="minorHAnsi" w:hAnsiTheme="minorHAnsi" w:cstheme="minorHAnsi"/>
                <w:iCs/>
                <w:sz w:val="22"/>
                <w:szCs w:val="22"/>
              </w:rPr>
              <w:t xml:space="preserve">s (e.g. </w:t>
            </w:r>
            <w:hyperlink r:id="rId19" w:history="1">
              <w:r w:rsidRPr="00586DBD">
                <w:rPr>
                  <w:rStyle w:val="Hyperlink"/>
                  <w:rFonts w:asciiTheme="minorHAnsi" w:hAnsiTheme="minorHAnsi" w:cstheme="minorHAnsi"/>
                  <w:iCs/>
                  <w:sz w:val="22"/>
                  <w:szCs w:val="22"/>
                </w:rPr>
                <w:t>Modern Slavery</w:t>
              </w:r>
            </w:hyperlink>
            <w:r>
              <w:rPr>
                <w:rFonts w:asciiTheme="minorHAnsi" w:hAnsiTheme="minorHAnsi" w:cstheme="minorHAnsi"/>
                <w:iCs/>
                <w:sz w:val="22"/>
                <w:szCs w:val="22"/>
              </w:rPr>
              <w:t>)</w:t>
            </w:r>
            <w:r w:rsidR="00BE52EB" w:rsidRPr="00BE52EB">
              <w:rPr>
                <w:rFonts w:asciiTheme="minorHAnsi" w:hAnsiTheme="minorHAnsi" w:cstheme="minorHAnsi"/>
                <w:iCs/>
                <w:color w:val="auto"/>
                <w:sz w:val="22"/>
                <w:szCs w:val="22"/>
              </w:rPr>
              <w:t>.</w:t>
            </w:r>
          </w:p>
        </w:tc>
      </w:tr>
      <w:tr w:rsidR="001B109C" w:rsidRPr="00E41388" w14:paraId="0EA45E0C" w14:textId="77777777" w:rsidTr="00D5743A">
        <w:tc>
          <w:tcPr>
            <w:tcW w:w="5000" w:type="pct"/>
          </w:tcPr>
          <w:p w14:paraId="767F59C9" w14:textId="6521BCE0" w:rsidR="001B109C" w:rsidRDefault="00462848" w:rsidP="0031273D">
            <w:pPr>
              <w:pStyle w:val="Heading4"/>
              <w:keepLines w:val="0"/>
              <w:snapToGrid w:val="0"/>
              <w:spacing w:before="0" w:after="12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8D18D0" w:rsidRPr="00E41388" w14:paraId="1A37823C" w14:textId="77777777" w:rsidTr="00D5743A">
        <w:tc>
          <w:tcPr>
            <w:tcW w:w="5000" w:type="pct"/>
          </w:tcPr>
          <w:p w14:paraId="1336FDD0" w14:textId="307057E8" w:rsidR="008D18D0" w:rsidRDefault="008D18D0" w:rsidP="0031273D">
            <w:pPr>
              <w:pStyle w:val="NormalIndent"/>
              <w:snapToGrid w:val="0"/>
              <w:spacing w:before="0" w:line="240" w:lineRule="auto"/>
              <w:ind w:left="0"/>
              <w:rPr>
                <w:rFonts w:asciiTheme="minorHAnsi" w:hAnsiTheme="minorHAnsi" w:cstheme="minorHAnsi"/>
                <w:b/>
                <w:color w:val="000000" w:themeColor="text1"/>
                <w:szCs w:val="22"/>
              </w:rPr>
            </w:pPr>
            <w:bookmarkStart w:id="0" w:name="_Hlk150338733"/>
            <w:bookmarkStart w:id="1" w:name="_Hlk150338471"/>
            <w:r w:rsidRPr="008D18D0">
              <w:rPr>
                <w:rFonts w:asciiTheme="minorHAnsi" w:hAnsiTheme="minorHAnsi" w:cstheme="minorHAnsi"/>
                <w:b/>
                <w:color w:val="000000" w:themeColor="text1"/>
                <w:szCs w:val="22"/>
              </w:rPr>
              <w:t>Indigenous Higher Education</w:t>
            </w:r>
          </w:p>
          <w:p w14:paraId="6652DEE1" w14:textId="27C791BA" w:rsidR="008D18D0" w:rsidRPr="008D18D0" w:rsidRDefault="008D18D0" w:rsidP="0031273D">
            <w:pPr>
              <w:pStyle w:val="NormalIndent"/>
              <w:snapToGrid w:val="0"/>
              <w:spacing w:before="0" w:line="240" w:lineRule="auto"/>
              <w:ind w:left="0"/>
              <w:rPr>
                <w:rFonts w:asciiTheme="minorHAnsi" w:hAnsiTheme="minorHAnsi" w:cstheme="minorHAnsi"/>
                <w:bCs/>
                <w:iCs/>
                <w:color w:val="000000" w:themeColor="text1"/>
                <w:szCs w:val="22"/>
              </w:rPr>
            </w:pPr>
            <w:r w:rsidRPr="008D18D0">
              <w:rPr>
                <w:rFonts w:asciiTheme="minorHAnsi" w:hAnsiTheme="minorHAnsi" w:cstheme="minorHAnsi"/>
                <w:bCs/>
                <w:iCs/>
                <w:color w:val="000000" w:themeColor="text1"/>
                <w:szCs w:val="22"/>
              </w:rPr>
              <w:t xml:space="preserve">UTS’s Indigenous Leadership &amp; Engagement portfolio drives priorities and targets to support First Nations </w:t>
            </w:r>
            <w:r>
              <w:rPr>
                <w:rFonts w:asciiTheme="minorHAnsi" w:hAnsiTheme="minorHAnsi" w:cstheme="minorHAnsi"/>
                <w:bCs/>
                <w:iCs/>
                <w:color w:val="000000" w:themeColor="text1"/>
                <w:szCs w:val="22"/>
              </w:rPr>
              <w:t xml:space="preserve">staff and students. </w:t>
            </w:r>
            <w:r w:rsidRPr="008D18D0">
              <w:rPr>
                <w:rFonts w:asciiTheme="minorHAnsi" w:hAnsiTheme="minorHAnsi" w:cstheme="minorHAnsi"/>
                <w:bCs/>
                <w:iCs/>
                <w:color w:val="000000" w:themeColor="text1"/>
                <w:szCs w:val="22"/>
              </w:rPr>
              <w:t>UTS has had a university-wide Indigenous Education and Research Strategy since 2011. The</w:t>
            </w:r>
            <w:r>
              <w:rPr>
                <w:rFonts w:asciiTheme="minorHAnsi" w:hAnsiTheme="minorHAnsi" w:cstheme="minorHAnsi"/>
                <w:bCs/>
                <w:iCs/>
                <w:color w:val="000000" w:themeColor="text1"/>
                <w:szCs w:val="22"/>
              </w:rPr>
              <w:t xml:space="preserve"> </w:t>
            </w:r>
            <w:hyperlink r:id="rId20" w:history="1">
              <w:r w:rsidRPr="009F6675">
                <w:rPr>
                  <w:rStyle w:val="Hyperlink"/>
                  <w:rFonts w:asciiTheme="minorHAnsi" w:hAnsiTheme="minorHAnsi" w:cstheme="minorHAnsi"/>
                  <w:bCs/>
                  <w:iCs/>
                  <w:szCs w:val="22"/>
                </w:rPr>
                <w:t>Indigenous Education and Research Strategy 2025-2030</w:t>
              </w:r>
            </w:hyperlink>
            <w:r w:rsidRPr="008D18D0">
              <w:rPr>
                <w:rFonts w:asciiTheme="minorHAnsi" w:hAnsiTheme="minorHAnsi" w:cstheme="minorHAnsi"/>
                <w:bCs/>
                <w:iCs/>
                <w:color w:val="000000" w:themeColor="text1"/>
                <w:szCs w:val="22"/>
              </w:rPr>
              <w:t xml:space="preserve"> builds on the success of UTS’s previous</w:t>
            </w:r>
            <w:r>
              <w:rPr>
                <w:rFonts w:asciiTheme="minorHAnsi" w:hAnsiTheme="minorHAnsi" w:cstheme="minorHAnsi"/>
                <w:bCs/>
                <w:iCs/>
                <w:color w:val="000000" w:themeColor="text1"/>
                <w:szCs w:val="22"/>
              </w:rPr>
              <w:t xml:space="preserve"> </w:t>
            </w:r>
            <w:r w:rsidRPr="008D18D0">
              <w:rPr>
                <w:rFonts w:asciiTheme="minorHAnsi" w:hAnsiTheme="minorHAnsi" w:cstheme="minorHAnsi"/>
                <w:bCs/>
                <w:iCs/>
                <w:color w:val="000000" w:themeColor="text1"/>
                <w:szCs w:val="22"/>
              </w:rPr>
              <w:t>strategies, with focused areas for this iteration including:</w:t>
            </w:r>
          </w:p>
          <w:p w14:paraId="143D48BD" w14:textId="4E485441"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increasing Indigenous student participation and supporting a positive student experience</w:t>
            </w:r>
          </w:p>
          <w:p w14:paraId="0E1C3CD3" w14:textId="57E6A7A7"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growing Indigenous-led research</w:t>
            </w:r>
          </w:p>
          <w:p w14:paraId="6C562D09" w14:textId="7FFF2F71"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providing a culturally safe environment for Indigenous students and staff</w:t>
            </w:r>
          </w:p>
          <w:p w14:paraId="410AAFED" w14:textId="5E8A71D2"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 xml:space="preserve">increasing </w:t>
            </w:r>
            <w:proofErr w:type="spellStart"/>
            <w:r w:rsidRPr="008D18D0">
              <w:rPr>
                <w:rFonts w:cstheme="minorHAnsi"/>
                <w:bCs/>
                <w:color w:val="000000" w:themeColor="text1"/>
                <w:lang w:val="en-US"/>
              </w:rPr>
              <w:t>internationalisation</w:t>
            </w:r>
            <w:proofErr w:type="spellEnd"/>
          </w:p>
          <w:p w14:paraId="520BE21A" w14:textId="51095D89"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recognising Indigenous data sovereignty and stewardship</w:t>
            </w:r>
          </w:p>
          <w:p w14:paraId="2CEDD278" w14:textId="56B08E1C"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measuring Indigenous impact</w:t>
            </w:r>
          </w:p>
          <w:p w14:paraId="3AB002F6" w14:textId="554DC9CF"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protecting Indigenous Cultural and Intellectual Property</w:t>
            </w:r>
          </w:p>
          <w:p w14:paraId="0D6E6825" w14:textId="5EEE7E81" w:rsidR="008D18D0" w:rsidRPr="008D18D0" w:rsidRDefault="008D18D0" w:rsidP="0031273D">
            <w:pPr>
              <w:numPr>
                <w:ilvl w:val="0"/>
                <w:numId w:val="22"/>
              </w:numPr>
              <w:shd w:val="clear" w:color="auto" w:fill="FFFFFF"/>
              <w:snapToGrid w:val="0"/>
              <w:spacing w:after="120"/>
              <w:rPr>
                <w:rFonts w:cstheme="minorHAnsi"/>
                <w:bCs/>
                <w:color w:val="000000" w:themeColor="text1"/>
                <w:lang w:val="en-US"/>
              </w:rPr>
            </w:pPr>
            <w:r w:rsidRPr="008D18D0">
              <w:rPr>
                <w:rFonts w:cstheme="minorHAnsi"/>
                <w:bCs/>
                <w:color w:val="000000" w:themeColor="text1"/>
                <w:lang w:val="en-US"/>
              </w:rPr>
              <w:t>ensuring Indigenous-led innovation and creative practice.</w:t>
            </w:r>
          </w:p>
          <w:p w14:paraId="34653B71" w14:textId="3662BA03" w:rsidR="008D18D0" w:rsidRDefault="008D18D0" w:rsidP="0031273D">
            <w:pPr>
              <w:pStyle w:val="NormalIndent"/>
              <w:snapToGrid w:val="0"/>
              <w:spacing w:before="0" w:line="240" w:lineRule="auto"/>
              <w:ind w:left="0"/>
              <w:rPr>
                <w:rFonts w:asciiTheme="minorHAnsi" w:hAnsiTheme="minorHAnsi" w:cstheme="minorHAnsi"/>
                <w:bCs/>
                <w:iCs/>
                <w:color w:val="000000" w:themeColor="text1"/>
                <w:szCs w:val="22"/>
              </w:rPr>
            </w:pPr>
            <w:r w:rsidRPr="008D18D0">
              <w:rPr>
                <w:rFonts w:asciiTheme="minorHAnsi" w:hAnsiTheme="minorHAnsi" w:cstheme="minorHAnsi"/>
                <w:bCs/>
                <w:iCs/>
                <w:color w:val="000000" w:themeColor="text1"/>
                <w:szCs w:val="22"/>
              </w:rPr>
              <w:t>As part of this strategy, UTS is committed to progressing development of a nationally significant</w:t>
            </w:r>
            <w:r>
              <w:rPr>
                <w:rFonts w:asciiTheme="minorHAnsi" w:hAnsiTheme="minorHAnsi" w:cstheme="minorHAnsi"/>
                <w:bCs/>
                <w:iCs/>
                <w:color w:val="000000" w:themeColor="text1"/>
                <w:szCs w:val="22"/>
              </w:rPr>
              <w:t xml:space="preserve"> </w:t>
            </w:r>
            <w:r w:rsidRPr="008D18D0">
              <w:rPr>
                <w:rFonts w:asciiTheme="minorHAnsi" w:hAnsiTheme="minorHAnsi" w:cstheme="minorHAnsi"/>
                <w:bCs/>
                <w:iCs/>
                <w:color w:val="000000" w:themeColor="text1"/>
                <w:szCs w:val="22"/>
              </w:rPr>
              <w:t>Indigenous Graduate Attribute (IGA) in our teaching and learning. The IGA continues to be</w:t>
            </w:r>
            <w:r>
              <w:rPr>
                <w:rFonts w:asciiTheme="minorHAnsi" w:hAnsiTheme="minorHAnsi" w:cstheme="minorHAnsi"/>
                <w:bCs/>
                <w:iCs/>
                <w:color w:val="000000" w:themeColor="text1"/>
                <w:szCs w:val="22"/>
              </w:rPr>
              <w:t xml:space="preserve"> </w:t>
            </w:r>
            <w:r w:rsidRPr="008D18D0">
              <w:rPr>
                <w:rFonts w:asciiTheme="minorHAnsi" w:hAnsiTheme="minorHAnsi" w:cstheme="minorHAnsi"/>
                <w:bCs/>
                <w:iCs/>
                <w:color w:val="000000" w:themeColor="text1"/>
                <w:szCs w:val="22"/>
              </w:rPr>
              <w:t>implemented in all onshore award courses to ensure that UTS graduates have knowledge of</w:t>
            </w:r>
            <w:r>
              <w:rPr>
                <w:rFonts w:asciiTheme="minorHAnsi" w:hAnsiTheme="minorHAnsi" w:cstheme="minorHAnsi"/>
                <w:bCs/>
                <w:iCs/>
                <w:color w:val="000000" w:themeColor="text1"/>
                <w:szCs w:val="22"/>
              </w:rPr>
              <w:t xml:space="preserve"> </w:t>
            </w:r>
            <w:r w:rsidRPr="008D18D0">
              <w:rPr>
                <w:rFonts w:asciiTheme="minorHAnsi" w:hAnsiTheme="minorHAnsi" w:cstheme="minorHAnsi"/>
                <w:bCs/>
                <w:iCs/>
                <w:color w:val="000000" w:themeColor="text1"/>
                <w:szCs w:val="22"/>
              </w:rPr>
              <w:lastRenderedPageBreak/>
              <w:t>Indigenous Australian contexts to inform their capability to work effectively for and with Indigenous</w:t>
            </w:r>
            <w:r>
              <w:rPr>
                <w:rFonts w:asciiTheme="minorHAnsi" w:hAnsiTheme="minorHAnsi" w:cstheme="minorHAnsi"/>
                <w:bCs/>
                <w:iCs/>
                <w:color w:val="000000" w:themeColor="text1"/>
                <w:szCs w:val="22"/>
              </w:rPr>
              <w:t xml:space="preserve"> </w:t>
            </w:r>
            <w:r w:rsidRPr="008D18D0">
              <w:rPr>
                <w:rFonts w:asciiTheme="minorHAnsi" w:hAnsiTheme="minorHAnsi" w:cstheme="minorHAnsi"/>
                <w:bCs/>
                <w:iCs/>
                <w:color w:val="000000" w:themeColor="text1"/>
                <w:szCs w:val="22"/>
              </w:rPr>
              <w:t>Australians within their profession.</w:t>
            </w:r>
          </w:p>
          <w:p w14:paraId="41DFCC90" w14:textId="6E9A6669" w:rsidR="009F6675" w:rsidRDefault="009F6675" w:rsidP="0031273D">
            <w:pPr>
              <w:pStyle w:val="NormalIndent"/>
              <w:snapToGrid w:val="0"/>
              <w:spacing w:before="0" w:line="240" w:lineRule="auto"/>
              <w:ind w:left="0"/>
              <w:rPr>
                <w:rFonts w:asciiTheme="minorHAnsi" w:hAnsiTheme="minorHAnsi" w:cstheme="minorHAnsi"/>
                <w:bCs/>
                <w:iCs/>
                <w:color w:val="000000" w:themeColor="text1"/>
                <w:szCs w:val="22"/>
              </w:rPr>
            </w:pPr>
            <w:r>
              <w:rPr>
                <w:rFonts w:asciiTheme="minorHAnsi" w:hAnsiTheme="minorHAnsi" w:cstheme="minorHAnsi"/>
                <w:bCs/>
                <w:iCs/>
                <w:color w:val="000000" w:themeColor="text1"/>
                <w:szCs w:val="22"/>
              </w:rPr>
              <w:t>Our success will be measured through key success indicators as outlined in the strategy, including a demonstrated increase in our Indigenous staff and student cohorts.</w:t>
            </w:r>
          </w:p>
          <w:p w14:paraId="4460FF26" w14:textId="77777777" w:rsidR="008D18D0" w:rsidRPr="008D18D0" w:rsidRDefault="008D18D0" w:rsidP="0031273D">
            <w:pPr>
              <w:pStyle w:val="NormalIndent"/>
              <w:snapToGrid w:val="0"/>
              <w:spacing w:before="0" w:line="240" w:lineRule="auto"/>
              <w:ind w:left="0"/>
              <w:rPr>
                <w:rFonts w:asciiTheme="minorHAnsi" w:hAnsiTheme="minorHAnsi" w:cstheme="minorHAnsi"/>
                <w:b/>
                <w:iCs/>
                <w:color w:val="000000" w:themeColor="text1"/>
                <w:szCs w:val="22"/>
              </w:rPr>
            </w:pPr>
            <w:r w:rsidRPr="008D18D0">
              <w:rPr>
                <w:rFonts w:asciiTheme="minorHAnsi" w:hAnsiTheme="minorHAnsi" w:cstheme="minorHAnsi"/>
                <w:b/>
                <w:iCs/>
                <w:color w:val="000000" w:themeColor="text1"/>
                <w:szCs w:val="22"/>
              </w:rPr>
              <w:t>Equity target groups</w:t>
            </w:r>
          </w:p>
          <w:p w14:paraId="165B6CC7" w14:textId="6C8B4590" w:rsidR="009F6675" w:rsidRDefault="008D18D0" w:rsidP="0031273D">
            <w:pPr>
              <w:pStyle w:val="Default"/>
              <w:snapToGrid w:val="0"/>
              <w:spacing w:after="120"/>
              <w:rPr>
                <w:rFonts w:asciiTheme="minorHAnsi" w:hAnsiTheme="minorHAnsi" w:cstheme="minorHAnsi"/>
                <w:bCs/>
                <w:color w:val="000000" w:themeColor="text1"/>
                <w:sz w:val="22"/>
                <w:szCs w:val="22"/>
              </w:rPr>
            </w:pPr>
            <w:r w:rsidRPr="008D18D0">
              <w:rPr>
                <w:rFonts w:asciiTheme="minorHAnsi" w:hAnsiTheme="minorHAnsi" w:cstheme="minorHAnsi"/>
                <w:bCs/>
                <w:color w:val="000000" w:themeColor="text1"/>
                <w:sz w:val="22"/>
                <w:szCs w:val="22"/>
              </w:rPr>
              <w:t xml:space="preserve">UTS aims to increase the number of people in equity target groups successfully completing a higher education degree at UTS. </w:t>
            </w:r>
            <w:r w:rsidR="009F6675">
              <w:rPr>
                <w:rFonts w:asciiTheme="minorHAnsi" w:hAnsiTheme="minorHAnsi" w:cstheme="minorHAnsi"/>
                <w:bCs/>
                <w:color w:val="000000" w:themeColor="text1"/>
                <w:sz w:val="22"/>
                <w:szCs w:val="22"/>
              </w:rPr>
              <w:t xml:space="preserve">In March 2025 UTS launched its new </w:t>
            </w:r>
            <w:hyperlink r:id="rId21" w:history="1">
              <w:r w:rsidR="009F6675" w:rsidRPr="009F6675">
                <w:rPr>
                  <w:rStyle w:val="Hyperlink"/>
                  <w:rFonts w:asciiTheme="minorHAnsi" w:hAnsiTheme="minorHAnsi" w:cstheme="minorHAnsi"/>
                  <w:bCs/>
                  <w:sz w:val="22"/>
                  <w:szCs w:val="22"/>
                </w:rPr>
                <w:t>Pathways Plan</w:t>
              </w:r>
            </w:hyperlink>
            <w:r w:rsidR="009F6675">
              <w:rPr>
                <w:rFonts w:asciiTheme="minorHAnsi" w:hAnsiTheme="minorHAnsi" w:cstheme="minorHAnsi"/>
                <w:bCs/>
                <w:color w:val="000000" w:themeColor="text1"/>
                <w:sz w:val="22"/>
                <w:szCs w:val="22"/>
              </w:rPr>
              <w:t xml:space="preserve"> to open the door to university for students from underrepresented backgrounds.</w:t>
            </w:r>
          </w:p>
          <w:p w14:paraId="29001727" w14:textId="61A5A9A7" w:rsidR="009F6675" w:rsidRPr="009F6675" w:rsidRDefault="00D5743A" w:rsidP="0031273D">
            <w:pPr>
              <w:pStyle w:val="Default"/>
              <w:snapToGrid w:val="0"/>
              <w:spacing w:after="12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Our plan includes</w:t>
            </w:r>
            <w:r w:rsidR="009F6675" w:rsidRPr="009F6675">
              <w:rPr>
                <w:rFonts w:asciiTheme="minorHAnsi" w:hAnsiTheme="minorHAnsi" w:cstheme="minorHAnsi"/>
                <w:bCs/>
                <w:color w:val="000000" w:themeColor="text1"/>
                <w:sz w:val="22"/>
                <w:szCs w:val="22"/>
              </w:rPr>
              <w:t>:</w:t>
            </w:r>
          </w:p>
          <w:p w14:paraId="20346FB7" w14:textId="77777777" w:rsidR="009F6675" w:rsidRPr="009F6675" w:rsidRDefault="009F6675" w:rsidP="0031273D">
            <w:pPr>
              <w:numPr>
                <w:ilvl w:val="0"/>
                <w:numId w:val="22"/>
              </w:num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 xml:space="preserve">Scaling up existing non-ATAR entry pathways, such as the UTS </w:t>
            </w:r>
            <w:proofErr w:type="spellStart"/>
            <w:r w:rsidRPr="009F6675">
              <w:rPr>
                <w:rFonts w:cstheme="minorHAnsi"/>
                <w:bCs/>
                <w:color w:val="000000" w:themeColor="text1"/>
                <w:lang w:val="en-US"/>
              </w:rPr>
              <w:t>U@Uni</w:t>
            </w:r>
            <w:proofErr w:type="spellEnd"/>
            <w:r w:rsidRPr="009F6675">
              <w:rPr>
                <w:rFonts w:cstheme="minorHAnsi"/>
                <w:bCs/>
                <w:color w:val="000000" w:themeColor="text1"/>
                <w:lang w:val="en-US"/>
              </w:rPr>
              <w:t xml:space="preserve"> Academy.</w:t>
            </w:r>
          </w:p>
          <w:p w14:paraId="16AE7A01" w14:textId="77777777" w:rsidR="009F6675" w:rsidRPr="009F6675" w:rsidRDefault="009F6675" w:rsidP="0031273D">
            <w:pPr>
              <w:numPr>
                <w:ilvl w:val="0"/>
                <w:numId w:val="22"/>
              </w:num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 xml:space="preserve">Guaranteed places and packaged support for First Nations students, including scholarships and subsidised accommodation. </w:t>
            </w:r>
          </w:p>
          <w:p w14:paraId="3E8B2685" w14:textId="77777777" w:rsidR="009F6675" w:rsidRPr="009F6675" w:rsidRDefault="009F6675" w:rsidP="0031273D">
            <w:pPr>
              <w:numPr>
                <w:ilvl w:val="0"/>
                <w:numId w:val="22"/>
              </w:num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 xml:space="preserve">Expanding the Schools Recommendation Scheme, including changing the ATAR threshold from 69 to 60 for that program. </w:t>
            </w:r>
          </w:p>
          <w:p w14:paraId="7B5191F5" w14:textId="77777777" w:rsidR="009F6675" w:rsidRPr="009F6675" w:rsidRDefault="009F6675" w:rsidP="0031273D">
            <w:pPr>
              <w:numPr>
                <w:ilvl w:val="0"/>
                <w:numId w:val="22"/>
              </w:num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 xml:space="preserve">Integrating equity targets into institutional processes and strategic planning. </w:t>
            </w:r>
          </w:p>
          <w:p w14:paraId="562AA6C5" w14:textId="7BB98413" w:rsidR="00D5743A" w:rsidRDefault="009F6675" w:rsidP="0031273D">
            <w:pPr>
              <w:numPr>
                <w:ilvl w:val="0"/>
                <w:numId w:val="22"/>
              </w:num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Developing discipline-specific outreach and marketing campaigns.</w:t>
            </w:r>
          </w:p>
          <w:p w14:paraId="558B3E44" w14:textId="456BDDD9" w:rsidR="009F6675" w:rsidRPr="009F6675" w:rsidRDefault="009F6675" w:rsidP="0031273D">
            <w:pPr>
              <w:shd w:val="clear" w:color="auto" w:fill="FFFFFF"/>
              <w:snapToGrid w:val="0"/>
              <w:spacing w:after="120"/>
              <w:rPr>
                <w:rFonts w:cstheme="minorHAnsi"/>
                <w:bCs/>
                <w:color w:val="000000" w:themeColor="text1"/>
                <w:lang w:val="en-US"/>
              </w:rPr>
            </w:pPr>
            <w:r w:rsidRPr="009F6675">
              <w:rPr>
                <w:rFonts w:cstheme="minorHAnsi"/>
                <w:bCs/>
                <w:color w:val="000000" w:themeColor="text1"/>
                <w:lang w:val="en-US"/>
              </w:rPr>
              <w:t>These measures are designed to not only widen access but to ensure that students receive the support they need to succeed. Because access without support is not real equity.</w:t>
            </w:r>
          </w:p>
          <w:p w14:paraId="545B14EE" w14:textId="167D059E" w:rsidR="008D18D0" w:rsidRPr="008D18D0" w:rsidRDefault="008D18D0" w:rsidP="0031273D">
            <w:pPr>
              <w:pStyle w:val="Default"/>
              <w:snapToGrid w:val="0"/>
              <w:spacing w:after="120"/>
              <w:rPr>
                <w:rFonts w:asciiTheme="minorHAnsi" w:hAnsiTheme="minorHAnsi" w:cstheme="minorHAnsi"/>
                <w:bCs/>
                <w:color w:val="000000" w:themeColor="text1"/>
                <w:sz w:val="22"/>
                <w:szCs w:val="22"/>
              </w:rPr>
            </w:pPr>
            <w:r w:rsidRPr="008D18D0">
              <w:rPr>
                <w:rFonts w:asciiTheme="minorHAnsi" w:hAnsiTheme="minorHAnsi" w:cstheme="minorHAnsi"/>
                <w:bCs/>
                <w:color w:val="000000" w:themeColor="text1"/>
                <w:sz w:val="22"/>
                <w:szCs w:val="22"/>
              </w:rPr>
              <w:t xml:space="preserve">Our success will be measured by </w:t>
            </w:r>
            <w:r w:rsidR="00D5743A">
              <w:rPr>
                <w:rFonts w:asciiTheme="minorHAnsi" w:hAnsiTheme="minorHAnsi" w:cstheme="minorHAnsi"/>
                <w:bCs/>
                <w:color w:val="000000" w:themeColor="text1"/>
                <w:sz w:val="22"/>
                <w:szCs w:val="22"/>
              </w:rPr>
              <w:t>our progress against set performance indicators across the 3-year time span of the Plan.</w:t>
            </w:r>
          </w:p>
          <w:p w14:paraId="1526BD2E" w14:textId="77777777" w:rsidR="008D18D0" w:rsidRPr="008D18D0" w:rsidRDefault="008D18D0" w:rsidP="0031273D">
            <w:pPr>
              <w:pStyle w:val="Default"/>
              <w:snapToGrid w:val="0"/>
              <w:spacing w:after="120"/>
              <w:rPr>
                <w:rFonts w:asciiTheme="minorHAnsi" w:hAnsiTheme="minorHAnsi" w:cstheme="minorHAnsi"/>
                <w:b/>
                <w:color w:val="000000" w:themeColor="text1"/>
                <w:sz w:val="22"/>
                <w:szCs w:val="22"/>
              </w:rPr>
            </w:pPr>
            <w:r w:rsidRPr="008D18D0">
              <w:rPr>
                <w:rFonts w:asciiTheme="minorHAnsi" w:hAnsiTheme="minorHAnsi" w:cstheme="minorHAnsi"/>
                <w:b/>
                <w:color w:val="000000" w:themeColor="text1"/>
                <w:sz w:val="22"/>
                <w:szCs w:val="22"/>
              </w:rPr>
              <w:t>Students with Disability</w:t>
            </w:r>
          </w:p>
          <w:p w14:paraId="0A3458DE" w14:textId="1A0CE714" w:rsidR="008D18D0" w:rsidRPr="008D18D0" w:rsidRDefault="008D18D0" w:rsidP="0031273D">
            <w:pPr>
              <w:pStyle w:val="Default"/>
              <w:snapToGrid w:val="0"/>
              <w:spacing w:after="120"/>
              <w:rPr>
                <w:rFonts w:asciiTheme="minorHAnsi" w:hAnsiTheme="minorHAnsi" w:cstheme="minorHAnsi"/>
                <w:bCs/>
                <w:color w:val="000000" w:themeColor="text1"/>
                <w:sz w:val="22"/>
                <w:szCs w:val="22"/>
              </w:rPr>
            </w:pPr>
            <w:r w:rsidRPr="008D18D0">
              <w:rPr>
                <w:rFonts w:asciiTheme="minorHAnsi" w:hAnsiTheme="minorHAnsi" w:cstheme="minorHAnsi"/>
                <w:bCs/>
                <w:color w:val="000000" w:themeColor="text1"/>
                <w:sz w:val="22"/>
                <w:szCs w:val="22"/>
              </w:rPr>
              <w:t xml:space="preserve">Through UTS’s </w:t>
            </w:r>
            <w:hyperlink r:id="rId22" w:history="1">
              <w:r w:rsidRPr="008D18D0">
                <w:rPr>
                  <w:rStyle w:val="Hyperlink"/>
                  <w:rFonts w:asciiTheme="minorHAnsi" w:hAnsiTheme="minorHAnsi" w:cstheme="minorHAnsi"/>
                  <w:bCs/>
                  <w:color w:val="000000" w:themeColor="text1"/>
                  <w:sz w:val="22"/>
                  <w:szCs w:val="22"/>
                </w:rPr>
                <w:t>Access and Inclusion Plan 2020-2024</w:t>
              </w:r>
            </w:hyperlink>
            <w:r w:rsidRPr="008D18D0">
              <w:rPr>
                <w:rFonts w:asciiTheme="minorHAnsi" w:hAnsiTheme="minorHAnsi" w:cstheme="minorHAnsi"/>
                <w:bCs/>
                <w:color w:val="000000" w:themeColor="text1"/>
                <w:sz w:val="22"/>
                <w:szCs w:val="22"/>
              </w:rPr>
              <w:t xml:space="preserve">, UTS will ensure that our enrolment and student administrative systems, teaching practices, learning materials, digital learning platforms, assessment procedures, and research environments are accessible and inclusive for prospective and current students with disability. </w:t>
            </w:r>
          </w:p>
          <w:p w14:paraId="22B87A46" w14:textId="6D0AA675" w:rsidR="0003184C" w:rsidRPr="0031273D" w:rsidRDefault="008D18D0" w:rsidP="0031273D">
            <w:pPr>
              <w:pStyle w:val="Heading4"/>
              <w:snapToGrid w:val="0"/>
              <w:spacing w:before="0" w:after="120"/>
              <w:rPr>
                <w:rFonts w:asciiTheme="minorHAnsi" w:hAnsiTheme="minorHAnsi" w:cstheme="minorHAnsi"/>
                <w:b w:val="0"/>
                <w:bCs/>
                <w:color w:val="000000" w:themeColor="text1"/>
                <w:sz w:val="22"/>
              </w:rPr>
            </w:pPr>
            <w:r w:rsidRPr="008D18D0">
              <w:rPr>
                <w:rFonts w:asciiTheme="minorHAnsi" w:hAnsiTheme="minorHAnsi" w:cstheme="minorHAnsi"/>
                <w:b w:val="0"/>
                <w:bCs/>
                <w:color w:val="000000" w:themeColor="text1"/>
                <w:sz w:val="22"/>
              </w:rPr>
              <w:t>Our success will be measured by having increased staff knowledge of current access and inclusion requirements and ensuring that they are reflected in our systems and communications.</w:t>
            </w:r>
            <w:bookmarkEnd w:id="0"/>
            <w:bookmarkEnd w:id="1"/>
          </w:p>
        </w:tc>
      </w:tr>
      <w:tr w:rsidR="008D18D0" w:rsidRPr="00E41388" w14:paraId="39ADE404" w14:textId="77777777" w:rsidTr="00D5743A">
        <w:tc>
          <w:tcPr>
            <w:tcW w:w="5000" w:type="pct"/>
          </w:tcPr>
          <w:p w14:paraId="5E8BF11E" w14:textId="713359D8" w:rsidR="008D18D0" w:rsidRPr="002A58A5" w:rsidRDefault="008D18D0" w:rsidP="0031273D">
            <w:pPr>
              <w:pStyle w:val="Heading4"/>
              <w:keepLines w:val="0"/>
              <w:snapToGrid w:val="0"/>
              <w:spacing w:before="0" w:after="120"/>
              <w:rPr>
                <w:iCs w:val="0"/>
              </w:rPr>
            </w:pPr>
            <w:r>
              <w:lastRenderedPageBreak/>
              <w:t>Strategies for Improving T</w:t>
            </w:r>
            <w:r w:rsidRPr="00E169EE">
              <w:t xml:space="preserve">eaching and </w:t>
            </w:r>
            <w:r>
              <w:t>L</w:t>
            </w:r>
            <w:r w:rsidRPr="00E169EE">
              <w:t>earning</w:t>
            </w:r>
          </w:p>
        </w:tc>
      </w:tr>
      <w:tr w:rsidR="008D18D0" w:rsidRPr="00E41388" w14:paraId="3701A312" w14:textId="77777777" w:rsidTr="0031273D">
        <w:trPr>
          <w:trHeight w:val="6936"/>
        </w:trPr>
        <w:tc>
          <w:tcPr>
            <w:tcW w:w="5000" w:type="pct"/>
            <w:tcBorders>
              <w:bottom w:val="single" w:sz="4" w:space="0" w:color="auto"/>
            </w:tcBorders>
          </w:tcPr>
          <w:p w14:paraId="7C2FBC48" w14:textId="77777777" w:rsidR="007C5EAF" w:rsidRDefault="00B909CD" w:rsidP="0031273D">
            <w:pPr>
              <w:pStyle w:val="NormalIndent"/>
              <w:snapToGrid w:val="0"/>
              <w:spacing w:before="0" w:line="240"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Being a student-centred university is a </w:t>
            </w:r>
            <w:r w:rsidR="00DC4AAE">
              <w:rPr>
                <w:rFonts w:asciiTheme="minorHAnsi" w:hAnsiTheme="minorHAnsi" w:cstheme="minorBidi"/>
                <w:color w:val="000000" w:themeColor="text1"/>
              </w:rPr>
              <w:t xml:space="preserve">key pillar of </w:t>
            </w:r>
            <w:r w:rsidR="00952ACA">
              <w:rPr>
                <w:rFonts w:asciiTheme="minorHAnsi" w:hAnsiTheme="minorHAnsi" w:cstheme="minorBidi"/>
                <w:color w:val="000000" w:themeColor="text1"/>
              </w:rPr>
              <w:t>UTS 2030</w:t>
            </w:r>
            <w:r w:rsidR="00DC4AAE">
              <w:rPr>
                <w:rFonts w:asciiTheme="minorHAnsi" w:hAnsiTheme="minorHAnsi" w:cstheme="minorBidi"/>
                <w:color w:val="000000" w:themeColor="text1"/>
              </w:rPr>
              <w:t xml:space="preserve">. This means </w:t>
            </w:r>
            <w:r w:rsidR="1A091D35" w:rsidRPr="005023F3">
              <w:rPr>
                <w:rFonts w:asciiTheme="minorHAnsi" w:hAnsiTheme="minorHAnsi" w:cstheme="minorBidi"/>
                <w:color w:val="000000" w:themeColor="text1"/>
              </w:rPr>
              <w:t xml:space="preserve">UTS is dedicated to delivering a high-quality student experience leading to student success. </w:t>
            </w:r>
          </w:p>
          <w:p w14:paraId="48A27C10" w14:textId="4D396705" w:rsidR="23673D44" w:rsidRDefault="007C5EAF" w:rsidP="0031273D">
            <w:pPr>
              <w:pStyle w:val="NormalIndent"/>
              <w:snapToGrid w:val="0"/>
              <w:spacing w:before="0" w:line="240" w:lineRule="auto"/>
              <w:ind w:left="0"/>
              <w:rPr>
                <w:rFonts w:asciiTheme="minorHAnsi" w:hAnsiTheme="minorHAnsi" w:cstheme="minorBidi"/>
                <w:color w:val="000000" w:themeColor="text1"/>
              </w:rPr>
            </w:pPr>
            <w:r>
              <w:rPr>
                <w:rFonts w:asciiTheme="minorHAnsi" w:hAnsiTheme="minorHAnsi" w:cstheme="minorBidi"/>
                <w:color w:val="000000" w:themeColor="text1"/>
              </w:rPr>
              <w:t>Over</w:t>
            </w:r>
            <w:r w:rsidR="1A091D35" w:rsidRPr="005023F3">
              <w:rPr>
                <w:rFonts w:asciiTheme="minorHAnsi" w:hAnsiTheme="minorHAnsi" w:cstheme="minorBidi"/>
                <w:color w:val="000000" w:themeColor="text1"/>
              </w:rPr>
              <w:t xml:space="preserve"> 2025-2026</w:t>
            </w:r>
            <w:r w:rsidR="51F9B90C" w:rsidRPr="005023F3">
              <w:rPr>
                <w:rFonts w:asciiTheme="minorHAnsi" w:hAnsiTheme="minorHAnsi" w:cstheme="minorBidi"/>
                <w:color w:val="000000" w:themeColor="text1"/>
              </w:rPr>
              <w:t>, key strategies include:</w:t>
            </w:r>
          </w:p>
          <w:p w14:paraId="5A36CDAE" w14:textId="1BFE4759" w:rsidR="23673D44"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t>Student Experience Framework Implementation</w:t>
            </w:r>
          </w:p>
          <w:p w14:paraId="0A4AEDE0" w14:textId="729AE5C1" w:rsidR="23673D44" w:rsidRDefault="51F9B90C" w:rsidP="0031273D">
            <w:pPr>
              <w:pStyle w:val="ListParagraph"/>
              <w:numPr>
                <w:ilvl w:val="0"/>
                <w:numId w:val="37"/>
              </w:numPr>
              <w:snapToGrid w:val="0"/>
              <w:spacing w:after="120"/>
              <w:contextualSpacing w:val="0"/>
              <w:rPr>
                <w:rFonts w:ascii="Calibri" w:eastAsia="Calibri" w:hAnsi="Calibri" w:cs="Calibri"/>
              </w:rPr>
            </w:pPr>
            <w:r w:rsidRPr="23FE8EBF">
              <w:rPr>
                <w:rFonts w:ascii="Calibri" w:eastAsia="Calibri" w:hAnsi="Calibri" w:cs="Calibri"/>
                <w:sz w:val="22"/>
                <w:szCs w:val="22"/>
              </w:rPr>
              <w:t>Continuing to embed a whole-of-university approach to student success through academic engagement, wellbeing, belonging, and student partnerships.</w:t>
            </w:r>
          </w:p>
          <w:p w14:paraId="2DE5665E" w14:textId="6B750D82" w:rsidR="23673D44" w:rsidRDefault="51F9B90C" w:rsidP="0031273D">
            <w:pPr>
              <w:pStyle w:val="ListParagraph"/>
              <w:numPr>
                <w:ilvl w:val="0"/>
                <w:numId w:val="37"/>
              </w:numPr>
              <w:snapToGrid w:val="0"/>
              <w:spacing w:after="120"/>
              <w:contextualSpacing w:val="0"/>
              <w:rPr>
                <w:rFonts w:ascii="Calibri" w:eastAsia="Calibri" w:hAnsi="Calibri" w:cs="Calibri"/>
              </w:rPr>
            </w:pPr>
            <w:r w:rsidRPr="23FE8EBF">
              <w:rPr>
                <w:rFonts w:ascii="Calibri" w:eastAsia="Calibri" w:hAnsi="Calibri" w:cs="Calibri"/>
                <w:sz w:val="22"/>
                <w:szCs w:val="22"/>
              </w:rPr>
              <w:t>Strengthening peer programs and co-curricular activities delivered with ActivateUTS to enhance student wellbeing, employability, and graduate attributes.</w:t>
            </w:r>
          </w:p>
          <w:p w14:paraId="47C3DAE8" w14:textId="5497D218" w:rsidR="23673D44" w:rsidRDefault="51F9B90C" w:rsidP="0031273D">
            <w:pPr>
              <w:pStyle w:val="ListParagraph"/>
              <w:numPr>
                <w:ilvl w:val="0"/>
                <w:numId w:val="37"/>
              </w:numPr>
              <w:snapToGrid w:val="0"/>
              <w:spacing w:after="120"/>
              <w:contextualSpacing w:val="0"/>
              <w:rPr>
                <w:rFonts w:ascii="Calibri" w:eastAsia="Calibri" w:hAnsi="Calibri" w:cs="Calibri"/>
              </w:rPr>
            </w:pPr>
            <w:r w:rsidRPr="23FE8EBF">
              <w:rPr>
                <w:rFonts w:ascii="Calibri" w:eastAsia="Calibri" w:hAnsi="Calibri" w:cs="Calibri"/>
                <w:sz w:val="22"/>
                <w:szCs w:val="22"/>
              </w:rPr>
              <w:t>Monitoring impact through Student Experience Survey (SES) improvements, student wellbeing metrics, and engagement data.</w:t>
            </w:r>
          </w:p>
          <w:p w14:paraId="3A92911A" w14:textId="56263E2C" w:rsidR="51F9B90C"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t>Curriculum Transformation and Assessment Reform</w:t>
            </w:r>
          </w:p>
          <w:p w14:paraId="4ABF9508" w14:textId="4D4631A6" w:rsidR="51F9B90C" w:rsidRDefault="51F9B90C" w:rsidP="0031273D">
            <w:pPr>
              <w:pStyle w:val="ListParagraph"/>
              <w:numPr>
                <w:ilvl w:val="0"/>
                <w:numId w:val="36"/>
              </w:numPr>
              <w:snapToGrid w:val="0"/>
              <w:spacing w:after="120"/>
              <w:contextualSpacing w:val="0"/>
              <w:rPr>
                <w:rFonts w:ascii="Calibri" w:eastAsia="Calibri" w:hAnsi="Calibri" w:cs="Calibri"/>
              </w:rPr>
            </w:pPr>
            <w:r w:rsidRPr="23FE8EBF">
              <w:rPr>
                <w:rFonts w:ascii="Calibri" w:eastAsia="Calibri" w:hAnsi="Calibri" w:cs="Calibri"/>
                <w:sz w:val="22"/>
                <w:szCs w:val="22"/>
              </w:rPr>
              <w:t>Progressing the Curriculum Transformation program to ensure all courses remain contemporary, employability-driven, and aligned with graduate attributes.</w:t>
            </w:r>
          </w:p>
          <w:p w14:paraId="2B7F3EA0" w14:textId="08304BAD" w:rsidR="51F9B90C" w:rsidRDefault="51F9B90C" w:rsidP="0031273D">
            <w:pPr>
              <w:pStyle w:val="ListParagraph"/>
              <w:numPr>
                <w:ilvl w:val="0"/>
                <w:numId w:val="36"/>
              </w:numPr>
              <w:snapToGrid w:val="0"/>
              <w:spacing w:after="120"/>
              <w:contextualSpacing w:val="0"/>
              <w:rPr>
                <w:rFonts w:ascii="Calibri" w:eastAsia="Calibri" w:hAnsi="Calibri" w:cs="Calibri"/>
              </w:rPr>
            </w:pPr>
            <w:r w:rsidRPr="23FE8EBF">
              <w:rPr>
                <w:rFonts w:ascii="Calibri" w:eastAsia="Calibri" w:hAnsi="Calibri" w:cs="Calibri"/>
                <w:sz w:val="22"/>
                <w:szCs w:val="22"/>
              </w:rPr>
              <w:t xml:space="preserve">Embedding a </w:t>
            </w:r>
            <w:r w:rsidRPr="23FE8EBF">
              <w:rPr>
                <w:rFonts w:ascii="Calibri" w:eastAsia="Calibri" w:hAnsi="Calibri" w:cs="Calibri"/>
                <w:i/>
                <w:iCs/>
                <w:sz w:val="22"/>
                <w:szCs w:val="22"/>
              </w:rPr>
              <w:t>mosaic approach to assessment</w:t>
            </w:r>
            <w:r w:rsidRPr="23FE8EBF">
              <w:rPr>
                <w:rFonts w:ascii="Calibri" w:eastAsia="Calibri" w:hAnsi="Calibri" w:cs="Calibri"/>
                <w:sz w:val="22"/>
                <w:szCs w:val="22"/>
              </w:rPr>
              <w:t xml:space="preserve"> that balances authentic, digital, collaborative, and reflective tasks, reducing reliance on traditional exams.</w:t>
            </w:r>
          </w:p>
          <w:p w14:paraId="4BB7C8FB" w14:textId="0EDC5A17" w:rsidR="51F9B90C" w:rsidRDefault="51F9B90C" w:rsidP="0031273D">
            <w:pPr>
              <w:pStyle w:val="ListParagraph"/>
              <w:numPr>
                <w:ilvl w:val="0"/>
                <w:numId w:val="36"/>
              </w:numPr>
              <w:snapToGrid w:val="0"/>
              <w:spacing w:after="120"/>
              <w:contextualSpacing w:val="0"/>
              <w:rPr>
                <w:rFonts w:ascii="Calibri" w:eastAsia="Calibri" w:hAnsi="Calibri" w:cs="Calibri"/>
              </w:rPr>
            </w:pPr>
            <w:r w:rsidRPr="23FE8EBF">
              <w:rPr>
                <w:rFonts w:ascii="Calibri" w:eastAsia="Calibri" w:hAnsi="Calibri" w:cs="Calibri"/>
                <w:sz w:val="22"/>
                <w:szCs w:val="22"/>
              </w:rPr>
              <w:t>Ensuring academic integrity and fairness in an era of generative AI by implementing assessment reforms in line with national TEQSA guidelines.</w:t>
            </w:r>
          </w:p>
          <w:p w14:paraId="7E69603E" w14:textId="11C2957E" w:rsidR="51F9B90C" w:rsidRDefault="51F9B90C" w:rsidP="0031273D">
            <w:pPr>
              <w:pStyle w:val="ListParagraph"/>
              <w:numPr>
                <w:ilvl w:val="0"/>
                <w:numId w:val="36"/>
              </w:numPr>
              <w:snapToGrid w:val="0"/>
              <w:spacing w:after="120"/>
              <w:contextualSpacing w:val="0"/>
              <w:rPr>
                <w:rFonts w:ascii="Calibri" w:eastAsia="Calibri" w:hAnsi="Calibri" w:cs="Calibri"/>
              </w:rPr>
            </w:pPr>
            <w:r w:rsidRPr="23FE8EBF">
              <w:rPr>
                <w:rFonts w:ascii="Calibri" w:eastAsia="Calibri" w:hAnsi="Calibri" w:cs="Calibri"/>
                <w:sz w:val="22"/>
                <w:szCs w:val="22"/>
              </w:rPr>
              <w:t>Success will be measured by improvements in course progression rates, accreditation outcomes, and student satisfaction with assessment.</w:t>
            </w:r>
          </w:p>
          <w:p w14:paraId="6EF37CE7" w14:textId="4DA6EC9B" w:rsidR="51F9B90C"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t>Digital Enablement and Learning Analytics</w:t>
            </w:r>
          </w:p>
          <w:p w14:paraId="11AEC3F1" w14:textId="35E3D3B6" w:rsidR="51F9B90C" w:rsidRDefault="51F9B90C" w:rsidP="0031273D">
            <w:pPr>
              <w:pStyle w:val="ListParagraph"/>
              <w:numPr>
                <w:ilvl w:val="0"/>
                <w:numId w:val="35"/>
              </w:numPr>
              <w:snapToGrid w:val="0"/>
              <w:spacing w:after="120"/>
              <w:contextualSpacing w:val="0"/>
              <w:rPr>
                <w:rFonts w:ascii="Calibri" w:eastAsia="Calibri" w:hAnsi="Calibri" w:cs="Calibri"/>
              </w:rPr>
            </w:pPr>
            <w:r w:rsidRPr="23FE8EBF">
              <w:rPr>
                <w:rFonts w:ascii="Calibri" w:eastAsia="Calibri" w:hAnsi="Calibri" w:cs="Calibri"/>
                <w:sz w:val="22"/>
                <w:szCs w:val="22"/>
              </w:rPr>
              <w:t xml:space="preserve">Implementing a Digital Learning Ecosystem that integrates enterprise systems (Canvas, </w:t>
            </w:r>
            <w:proofErr w:type="spellStart"/>
            <w:r w:rsidRPr="23FE8EBF">
              <w:rPr>
                <w:rFonts w:ascii="Calibri" w:eastAsia="Calibri" w:hAnsi="Calibri" w:cs="Calibri"/>
                <w:sz w:val="22"/>
                <w:szCs w:val="22"/>
              </w:rPr>
              <w:t>CourseLoop</w:t>
            </w:r>
            <w:proofErr w:type="spellEnd"/>
            <w:r w:rsidRPr="23FE8EBF">
              <w:rPr>
                <w:rFonts w:ascii="Calibri" w:eastAsia="Calibri" w:hAnsi="Calibri" w:cs="Calibri"/>
                <w:sz w:val="22"/>
                <w:szCs w:val="22"/>
              </w:rPr>
              <w:t>, Workday, Salesforce) to provide a consistent, high-quality student experience across all faculties.</w:t>
            </w:r>
          </w:p>
          <w:p w14:paraId="381FBCCA" w14:textId="61A326E9" w:rsidR="51F9B90C" w:rsidRDefault="51F9B90C" w:rsidP="0031273D">
            <w:pPr>
              <w:pStyle w:val="ListParagraph"/>
              <w:numPr>
                <w:ilvl w:val="0"/>
                <w:numId w:val="35"/>
              </w:numPr>
              <w:snapToGrid w:val="0"/>
              <w:spacing w:after="120"/>
              <w:contextualSpacing w:val="0"/>
              <w:rPr>
                <w:rFonts w:ascii="Calibri" w:eastAsia="Calibri" w:hAnsi="Calibri" w:cs="Calibri"/>
              </w:rPr>
            </w:pPr>
            <w:r w:rsidRPr="23FE8EBF">
              <w:rPr>
                <w:rFonts w:ascii="Calibri" w:eastAsia="Calibri" w:hAnsi="Calibri" w:cs="Calibri"/>
                <w:sz w:val="22"/>
                <w:szCs w:val="22"/>
              </w:rPr>
              <w:t>Using predictive analytics and AI-enabled formative feedback to identify students who disengage early, enabling proactive intervention.</w:t>
            </w:r>
          </w:p>
          <w:p w14:paraId="0BE2EAC8" w14:textId="1903AD11" w:rsidR="51F9B90C" w:rsidRDefault="51F9B90C" w:rsidP="0031273D">
            <w:pPr>
              <w:pStyle w:val="ListParagraph"/>
              <w:numPr>
                <w:ilvl w:val="0"/>
                <w:numId w:val="35"/>
              </w:numPr>
              <w:snapToGrid w:val="0"/>
              <w:spacing w:after="120"/>
              <w:contextualSpacing w:val="0"/>
              <w:rPr>
                <w:rFonts w:ascii="Calibri" w:eastAsia="Calibri" w:hAnsi="Calibri" w:cs="Calibri"/>
              </w:rPr>
            </w:pPr>
            <w:r w:rsidRPr="23FE8EBF">
              <w:rPr>
                <w:rFonts w:ascii="Calibri" w:eastAsia="Calibri" w:hAnsi="Calibri" w:cs="Calibri"/>
                <w:sz w:val="22"/>
                <w:szCs w:val="22"/>
              </w:rPr>
              <w:t>Expanding digital tools that support flexible and inclusive learning, with universal design principles embedded to support equity groups and international students.</w:t>
            </w:r>
          </w:p>
          <w:p w14:paraId="7EC4A550" w14:textId="56684CA0" w:rsidR="51F9B90C" w:rsidRPr="002E7A8E" w:rsidRDefault="51F9B90C" w:rsidP="0031273D">
            <w:pPr>
              <w:pStyle w:val="ListParagraph"/>
              <w:numPr>
                <w:ilvl w:val="0"/>
                <w:numId w:val="35"/>
              </w:numPr>
              <w:snapToGrid w:val="0"/>
              <w:spacing w:after="120"/>
              <w:contextualSpacing w:val="0"/>
              <w:rPr>
                <w:rFonts w:ascii="Calibri" w:eastAsia="Calibri" w:hAnsi="Calibri" w:cs="Calibri"/>
              </w:rPr>
            </w:pPr>
            <w:r w:rsidRPr="23FE8EBF">
              <w:rPr>
                <w:rFonts w:ascii="Calibri" w:eastAsia="Calibri" w:hAnsi="Calibri" w:cs="Calibri"/>
                <w:sz w:val="22"/>
                <w:szCs w:val="22"/>
              </w:rPr>
              <w:t>Impact measured by retention rates, reductions in pre-census attrition, and improved SES results.</w:t>
            </w:r>
          </w:p>
          <w:p w14:paraId="1C4EEF36" w14:textId="71FF9D7E" w:rsidR="51F9B90C"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t>Employability and Graduate Outcomes</w:t>
            </w:r>
          </w:p>
          <w:p w14:paraId="70FE68A9" w14:textId="659F44C4" w:rsidR="51F9B90C" w:rsidRDefault="51F9B90C" w:rsidP="0031273D">
            <w:pPr>
              <w:pStyle w:val="ListParagraph"/>
              <w:numPr>
                <w:ilvl w:val="0"/>
                <w:numId w:val="34"/>
              </w:numPr>
              <w:snapToGrid w:val="0"/>
              <w:spacing w:after="120"/>
              <w:contextualSpacing w:val="0"/>
              <w:rPr>
                <w:rFonts w:ascii="Calibri" w:eastAsia="Calibri" w:hAnsi="Calibri" w:cs="Calibri"/>
              </w:rPr>
            </w:pPr>
            <w:r w:rsidRPr="23FE8EBF">
              <w:rPr>
                <w:rFonts w:ascii="Calibri" w:eastAsia="Calibri" w:hAnsi="Calibri" w:cs="Calibri"/>
                <w:sz w:val="22"/>
                <w:szCs w:val="22"/>
              </w:rPr>
              <w:t xml:space="preserve">Embedding </w:t>
            </w:r>
            <w:r w:rsidRPr="23FE8EBF">
              <w:rPr>
                <w:rFonts w:ascii="Calibri" w:eastAsia="Calibri" w:hAnsi="Calibri" w:cs="Calibri"/>
                <w:i/>
                <w:iCs/>
                <w:sz w:val="22"/>
                <w:szCs w:val="22"/>
              </w:rPr>
              <w:t>Career Registration</w:t>
            </w:r>
            <w:r w:rsidRPr="23FE8EBF">
              <w:rPr>
                <w:rFonts w:ascii="Calibri" w:eastAsia="Calibri" w:hAnsi="Calibri" w:cs="Calibri"/>
                <w:sz w:val="22"/>
                <w:szCs w:val="22"/>
              </w:rPr>
              <w:t xml:space="preserve"> in the annual enrolment process to collect real-time data on students’ career readiness.</w:t>
            </w:r>
          </w:p>
          <w:p w14:paraId="0E4BF330" w14:textId="5A2D0716" w:rsidR="51F9B90C" w:rsidRDefault="51F9B90C" w:rsidP="0031273D">
            <w:pPr>
              <w:pStyle w:val="ListParagraph"/>
              <w:numPr>
                <w:ilvl w:val="0"/>
                <w:numId w:val="34"/>
              </w:numPr>
              <w:snapToGrid w:val="0"/>
              <w:spacing w:after="120"/>
              <w:contextualSpacing w:val="0"/>
              <w:rPr>
                <w:rFonts w:ascii="Calibri" w:eastAsia="Calibri" w:hAnsi="Calibri" w:cs="Calibri"/>
              </w:rPr>
            </w:pPr>
            <w:r w:rsidRPr="23FE8EBF">
              <w:rPr>
                <w:rFonts w:ascii="Calibri" w:eastAsia="Calibri" w:hAnsi="Calibri" w:cs="Calibri"/>
                <w:sz w:val="22"/>
                <w:szCs w:val="22"/>
              </w:rPr>
              <w:t>Using data-informed approaches at faculty level to co-design discipline-specific employability strategies with UTS Careers and industry partners.</w:t>
            </w:r>
          </w:p>
          <w:p w14:paraId="1D7DE6AD" w14:textId="0DEAB8BA" w:rsidR="51F9B90C" w:rsidRDefault="51F9B90C" w:rsidP="0031273D">
            <w:pPr>
              <w:pStyle w:val="ListParagraph"/>
              <w:numPr>
                <w:ilvl w:val="0"/>
                <w:numId w:val="34"/>
              </w:numPr>
              <w:snapToGrid w:val="0"/>
              <w:spacing w:after="120"/>
              <w:contextualSpacing w:val="0"/>
              <w:rPr>
                <w:rFonts w:ascii="Calibri" w:eastAsia="Calibri" w:hAnsi="Calibri" w:cs="Calibri"/>
              </w:rPr>
            </w:pPr>
            <w:r w:rsidRPr="23FE8EBF">
              <w:rPr>
                <w:rFonts w:ascii="Calibri" w:eastAsia="Calibri" w:hAnsi="Calibri" w:cs="Calibri"/>
                <w:sz w:val="22"/>
                <w:szCs w:val="22"/>
              </w:rPr>
              <w:t>Enhancing curriculum integration of Career Development Learning and strengthening industry engagement across disciplines.</w:t>
            </w:r>
          </w:p>
          <w:p w14:paraId="78B24BB2" w14:textId="437AB85C" w:rsidR="51F9B90C" w:rsidRDefault="51F9B90C" w:rsidP="0031273D">
            <w:pPr>
              <w:pStyle w:val="ListParagraph"/>
              <w:numPr>
                <w:ilvl w:val="0"/>
                <w:numId w:val="34"/>
              </w:numPr>
              <w:snapToGrid w:val="0"/>
              <w:spacing w:after="120"/>
              <w:contextualSpacing w:val="0"/>
              <w:rPr>
                <w:rFonts w:ascii="Calibri" w:eastAsia="Calibri" w:hAnsi="Calibri" w:cs="Calibri"/>
              </w:rPr>
            </w:pPr>
            <w:r w:rsidRPr="23FE8EBF">
              <w:rPr>
                <w:rFonts w:ascii="Calibri" w:eastAsia="Calibri" w:hAnsi="Calibri" w:cs="Calibri"/>
                <w:sz w:val="22"/>
                <w:szCs w:val="22"/>
              </w:rPr>
              <w:t>Measured by Graduate Outcome Survey results, student participation in employability programs, and employer feedback.</w:t>
            </w:r>
          </w:p>
          <w:p w14:paraId="269E8035" w14:textId="73485206" w:rsidR="51F9B90C"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lastRenderedPageBreak/>
              <w:t>Support for Academic Staff</w:t>
            </w:r>
          </w:p>
          <w:p w14:paraId="67DDB622" w14:textId="21F5CEA5" w:rsidR="51F9B90C" w:rsidRDefault="51F9B90C" w:rsidP="0031273D">
            <w:pPr>
              <w:pStyle w:val="ListParagraph"/>
              <w:numPr>
                <w:ilvl w:val="0"/>
                <w:numId w:val="33"/>
              </w:numPr>
              <w:snapToGrid w:val="0"/>
              <w:spacing w:after="120"/>
              <w:contextualSpacing w:val="0"/>
              <w:rPr>
                <w:rFonts w:ascii="Calibri" w:eastAsia="Calibri" w:hAnsi="Calibri" w:cs="Calibri"/>
              </w:rPr>
            </w:pPr>
            <w:r w:rsidRPr="23FE8EBF">
              <w:rPr>
                <w:rFonts w:ascii="Calibri" w:eastAsia="Calibri" w:hAnsi="Calibri" w:cs="Calibri"/>
                <w:sz w:val="22"/>
                <w:szCs w:val="22"/>
              </w:rPr>
              <w:t>Continuing to build staff capability through professional development in digital pedagogy, inclusive design, and assessment reform.</w:t>
            </w:r>
          </w:p>
          <w:p w14:paraId="58EDEA83" w14:textId="2801E85B" w:rsidR="51F9B90C" w:rsidRDefault="51F9B90C" w:rsidP="0031273D">
            <w:pPr>
              <w:pStyle w:val="ListParagraph"/>
              <w:numPr>
                <w:ilvl w:val="0"/>
                <w:numId w:val="33"/>
              </w:numPr>
              <w:snapToGrid w:val="0"/>
              <w:spacing w:after="120"/>
              <w:contextualSpacing w:val="0"/>
              <w:rPr>
                <w:rFonts w:ascii="Calibri" w:eastAsia="Calibri" w:hAnsi="Calibri" w:cs="Calibri"/>
              </w:rPr>
            </w:pPr>
            <w:r w:rsidRPr="23FE8EBF">
              <w:rPr>
                <w:rFonts w:ascii="Calibri" w:eastAsia="Calibri" w:hAnsi="Calibri" w:cs="Calibri"/>
                <w:sz w:val="22"/>
                <w:szCs w:val="22"/>
              </w:rPr>
              <w:t>Expanding Advance HE Fellowships, the Graduate Certificate in Higher Education Learning and Teaching, and staff communities of practice.</w:t>
            </w:r>
          </w:p>
          <w:p w14:paraId="59C81D7C" w14:textId="11A626E3" w:rsidR="51F9B90C" w:rsidRDefault="51F9B90C" w:rsidP="0031273D">
            <w:pPr>
              <w:pStyle w:val="ListParagraph"/>
              <w:numPr>
                <w:ilvl w:val="0"/>
                <w:numId w:val="33"/>
              </w:numPr>
              <w:snapToGrid w:val="0"/>
              <w:spacing w:after="120"/>
              <w:contextualSpacing w:val="0"/>
              <w:rPr>
                <w:rFonts w:ascii="Calibri" w:eastAsia="Calibri" w:hAnsi="Calibri" w:cs="Calibri"/>
              </w:rPr>
            </w:pPr>
            <w:r w:rsidRPr="23FE8EBF">
              <w:rPr>
                <w:rFonts w:ascii="Calibri" w:eastAsia="Calibri" w:hAnsi="Calibri" w:cs="Calibri"/>
                <w:sz w:val="22"/>
                <w:szCs w:val="22"/>
              </w:rPr>
              <w:t xml:space="preserve">Leveraging sector-leading partnerships (e.g., Keypath, </w:t>
            </w:r>
            <w:proofErr w:type="spellStart"/>
            <w:r w:rsidRPr="23FE8EBF">
              <w:rPr>
                <w:rFonts w:ascii="Calibri" w:eastAsia="Calibri" w:hAnsi="Calibri" w:cs="Calibri"/>
                <w:sz w:val="22"/>
                <w:szCs w:val="22"/>
              </w:rPr>
              <w:t>CinLearn</w:t>
            </w:r>
            <w:proofErr w:type="spellEnd"/>
            <w:r w:rsidRPr="23FE8EBF">
              <w:rPr>
                <w:rFonts w:ascii="Calibri" w:eastAsia="Calibri" w:hAnsi="Calibri" w:cs="Calibri"/>
                <w:sz w:val="22"/>
                <w:szCs w:val="22"/>
              </w:rPr>
              <w:t>) to support rapid upskilling and cultural shifts in digital learning.</w:t>
            </w:r>
          </w:p>
          <w:p w14:paraId="4AEBA3AD" w14:textId="3072652C" w:rsidR="51F9B90C" w:rsidRDefault="51F9B90C" w:rsidP="0031273D">
            <w:pPr>
              <w:pStyle w:val="ListParagraph"/>
              <w:numPr>
                <w:ilvl w:val="0"/>
                <w:numId w:val="33"/>
              </w:numPr>
              <w:snapToGrid w:val="0"/>
              <w:spacing w:after="120"/>
              <w:contextualSpacing w:val="0"/>
              <w:rPr>
                <w:rFonts w:ascii="Calibri" w:eastAsia="Calibri" w:hAnsi="Calibri" w:cs="Calibri"/>
              </w:rPr>
            </w:pPr>
            <w:r w:rsidRPr="23FE8EBF">
              <w:rPr>
                <w:rFonts w:ascii="Calibri" w:eastAsia="Calibri" w:hAnsi="Calibri" w:cs="Calibri"/>
                <w:sz w:val="22"/>
                <w:szCs w:val="22"/>
              </w:rPr>
              <w:t>Outcomes tracked via participation in professional development and evidence of improved teaching quality through peer review and student feedback.</w:t>
            </w:r>
          </w:p>
          <w:p w14:paraId="60C1DD81" w14:textId="0D247305" w:rsidR="51F9B90C" w:rsidRPr="007C5EAF" w:rsidRDefault="51F9B90C" w:rsidP="0031273D">
            <w:pPr>
              <w:snapToGrid w:val="0"/>
              <w:spacing w:after="120"/>
              <w:rPr>
                <w:rFonts w:ascii="Calibri" w:eastAsia="Calibri" w:hAnsi="Calibri" w:cs="Calibri"/>
                <w:i/>
                <w:iCs/>
              </w:rPr>
            </w:pPr>
            <w:r w:rsidRPr="007C5EAF">
              <w:rPr>
                <w:rFonts w:ascii="Calibri" w:eastAsia="Calibri" w:hAnsi="Calibri" w:cs="Calibri"/>
                <w:i/>
                <w:iCs/>
              </w:rPr>
              <w:t>Strategies for Early Intervention and High-Quality Student Support</w:t>
            </w:r>
          </w:p>
          <w:p w14:paraId="01D72FBE" w14:textId="776FFD4E"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Using predictive modelling to identify at-risk students pre-census and providing targeted outreach.</w:t>
            </w:r>
          </w:p>
          <w:p w14:paraId="67A3C0FB" w14:textId="631D3DC3"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Offering comprehensive support services, including counselling, accessibility, financial aid, academic learning support, and peer mentoring.</w:t>
            </w:r>
          </w:p>
          <w:p w14:paraId="0ABCF3E4" w14:textId="12E52709"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Delivering English language assessments for all commencing students, with required tutorials for those needing additional support.</w:t>
            </w:r>
          </w:p>
          <w:p w14:paraId="02F88EFE" w14:textId="69CF0F38"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Reforming attendance, participation, and special consideration policies to ensure accessibility, flexibility, and fairness across all cohorts.</w:t>
            </w:r>
          </w:p>
          <w:p w14:paraId="031B9C6F" w14:textId="6C8B48A2"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Raising awareness of support through centralised hubs, digital platforms, and proactive communication campaigns.</w:t>
            </w:r>
          </w:p>
          <w:p w14:paraId="36EE7E78" w14:textId="6243FBA3" w:rsidR="51F9B90C" w:rsidRDefault="51F9B90C" w:rsidP="0031273D">
            <w:pPr>
              <w:pStyle w:val="ListParagraph"/>
              <w:numPr>
                <w:ilvl w:val="0"/>
                <w:numId w:val="32"/>
              </w:numPr>
              <w:snapToGrid w:val="0"/>
              <w:spacing w:after="120"/>
              <w:contextualSpacing w:val="0"/>
              <w:rPr>
                <w:rFonts w:ascii="Calibri" w:eastAsia="Calibri" w:hAnsi="Calibri" w:cs="Calibri"/>
              </w:rPr>
            </w:pPr>
            <w:r w:rsidRPr="23FE8EBF">
              <w:rPr>
                <w:rFonts w:ascii="Calibri" w:eastAsia="Calibri" w:hAnsi="Calibri" w:cs="Calibri"/>
                <w:sz w:val="22"/>
                <w:szCs w:val="22"/>
              </w:rPr>
              <w:t>Success measured by reduced first-year fail rates, improved outcomes for equity cohorts, lower attrition, and year-on-year SES improvements.</w:t>
            </w:r>
          </w:p>
          <w:p w14:paraId="74D1FDC7" w14:textId="23AB1800" w:rsidR="008D18D0" w:rsidRPr="002E7A8E" w:rsidRDefault="4E089805" w:rsidP="0031273D">
            <w:pPr>
              <w:snapToGrid w:val="0"/>
              <w:spacing w:after="120"/>
              <w:rPr>
                <w:rFonts w:ascii="Calibri" w:eastAsia="Calibri" w:hAnsi="Calibri" w:cs="Calibri"/>
              </w:rPr>
            </w:pPr>
            <w:r w:rsidRPr="23FE8EBF">
              <w:rPr>
                <w:rFonts w:ascii="Calibri" w:eastAsia="Calibri" w:hAnsi="Calibri" w:cs="Calibri"/>
              </w:rPr>
              <w:t>These strategies collectively ensure UTS strengthens teaching quality, supports staff and students, and continues to deliver an outstanding student experience while addressing areas for targeted improvement.</w:t>
            </w:r>
          </w:p>
        </w:tc>
      </w:tr>
      <w:tr w:rsidR="008D18D0" w:rsidRPr="00E41388" w14:paraId="3EB68E1B" w14:textId="77777777" w:rsidTr="00D5743A">
        <w:tc>
          <w:tcPr>
            <w:tcW w:w="5000" w:type="pct"/>
          </w:tcPr>
          <w:p w14:paraId="54D9B30B" w14:textId="153E5C5E" w:rsidR="008D18D0" w:rsidRPr="00E169EE" w:rsidRDefault="008D18D0" w:rsidP="0031273D">
            <w:pPr>
              <w:pStyle w:val="Heading4"/>
              <w:keepLines w:val="0"/>
              <w:snapToGrid w:val="0"/>
              <w:spacing w:before="0" w:after="120"/>
            </w:pPr>
            <w:r>
              <w:lastRenderedPageBreak/>
              <w:t xml:space="preserve">Strategies for Improving </w:t>
            </w:r>
            <w:r w:rsidRPr="00E169EE">
              <w:t>Re</w:t>
            </w:r>
            <w:r>
              <w:t>search, Research Training, and Innovation</w:t>
            </w:r>
          </w:p>
        </w:tc>
      </w:tr>
      <w:tr w:rsidR="008D18D0" w:rsidRPr="00E41388" w14:paraId="0DB3C874" w14:textId="77777777" w:rsidTr="00D5743A">
        <w:tc>
          <w:tcPr>
            <w:tcW w:w="5000" w:type="pct"/>
          </w:tcPr>
          <w:p w14:paraId="222BD254" w14:textId="722EEA27" w:rsidR="0083477E" w:rsidRPr="0083477E" w:rsidRDefault="0083477E" w:rsidP="0031273D">
            <w:pPr>
              <w:pStyle w:val="NormalIndent"/>
              <w:snapToGrid w:val="0"/>
              <w:spacing w:before="0" w:line="240" w:lineRule="auto"/>
              <w:ind w:left="0"/>
              <w:rPr>
                <w:rFonts w:asciiTheme="minorHAnsi" w:hAnsiTheme="minorHAnsi" w:cstheme="minorHAnsi"/>
                <w:b/>
                <w:bCs/>
                <w:iCs/>
                <w:color w:val="000000" w:themeColor="text1"/>
                <w:szCs w:val="22"/>
              </w:rPr>
            </w:pPr>
            <w:r w:rsidRPr="0083477E">
              <w:rPr>
                <w:rFonts w:asciiTheme="minorHAnsi" w:hAnsiTheme="minorHAnsi" w:cstheme="minorHAnsi"/>
                <w:b/>
                <w:bCs/>
                <w:iCs/>
                <w:color w:val="000000" w:themeColor="text1"/>
                <w:szCs w:val="22"/>
              </w:rPr>
              <w:t>Research Impact</w:t>
            </w:r>
          </w:p>
          <w:p w14:paraId="19EFFCC4" w14:textId="0169EAF5" w:rsidR="000B7EC4" w:rsidRPr="008F2CED" w:rsidRDefault="001367A1" w:rsidP="0031273D">
            <w:pPr>
              <w:pStyle w:val="NormalIndent"/>
              <w:snapToGrid w:val="0"/>
              <w:spacing w:before="0" w:line="240" w:lineRule="auto"/>
              <w:ind w:left="0"/>
              <w:rPr>
                <w:rFonts w:asciiTheme="minorHAnsi" w:hAnsiTheme="minorHAnsi" w:cstheme="minorHAnsi"/>
                <w:iCs/>
                <w:color w:val="000000" w:themeColor="text1"/>
                <w:szCs w:val="22"/>
              </w:rPr>
            </w:pPr>
            <w:r w:rsidRPr="008F2CED">
              <w:rPr>
                <w:rFonts w:asciiTheme="minorHAnsi" w:hAnsiTheme="minorHAnsi" w:cstheme="minorHAnsi"/>
                <w:iCs/>
                <w:color w:val="000000" w:themeColor="text1"/>
                <w:szCs w:val="22"/>
              </w:rPr>
              <w:t xml:space="preserve">Over the past five years, research at UTS has undergone a significant transformation guided by the </w:t>
            </w:r>
            <w:hyperlink r:id="rId23" w:history="1">
              <w:r w:rsidRPr="008F2CED">
                <w:rPr>
                  <w:rStyle w:val="Hyperlink"/>
                  <w:rFonts w:asciiTheme="minorHAnsi" w:hAnsiTheme="minorHAnsi" w:cstheme="minorHAnsi"/>
                  <w:iCs/>
                  <w:color w:val="000000" w:themeColor="text1"/>
                  <w:szCs w:val="22"/>
                </w:rPr>
                <w:t>UTS 2027 Research Strategy</w:t>
              </w:r>
            </w:hyperlink>
            <w:r w:rsidRPr="008F2CED">
              <w:rPr>
                <w:rFonts w:asciiTheme="minorHAnsi" w:hAnsiTheme="minorHAnsi" w:cstheme="minorHAnsi"/>
                <w:iCs/>
                <w:color w:val="000000" w:themeColor="text1"/>
                <w:szCs w:val="22"/>
              </w:rPr>
              <w:t>.</w:t>
            </w:r>
            <w:r w:rsidR="00A53362" w:rsidRPr="008F2CED">
              <w:rPr>
                <w:rFonts w:asciiTheme="minorHAnsi" w:hAnsiTheme="minorHAnsi" w:cstheme="minorHAnsi"/>
                <w:iCs/>
                <w:color w:val="000000" w:themeColor="text1"/>
                <w:szCs w:val="22"/>
              </w:rPr>
              <w:t xml:space="preserve"> We have sharpened our research identi</w:t>
            </w:r>
            <w:r w:rsidR="00772F28" w:rsidRPr="008F2CED">
              <w:rPr>
                <w:rFonts w:asciiTheme="minorHAnsi" w:hAnsiTheme="minorHAnsi" w:cstheme="minorHAnsi"/>
                <w:iCs/>
                <w:color w:val="000000" w:themeColor="text1"/>
                <w:szCs w:val="22"/>
              </w:rPr>
              <w:t>t</w:t>
            </w:r>
            <w:r w:rsidR="00A53362" w:rsidRPr="008F2CED">
              <w:rPr>
                <w:rFonts w:asciiTheme="minorHAnsi" w:hAnsiTheme="minorHAnsi" w:cstheme="minorHAnsi"/>
                <w:iCs/>
                <w:color w:val="000000" w:themeColor="text1"/>
                <w:szCs w:val="22"/>
              </w:rPr>
              <w:t>y, invested in building capacity, and embraced</w:t>
            </w:r>
            <w:r w:rsidR="00FB6A33" w:rsidRPr="008F2CED">
              <w:rPr>
                <w:rFonts w:asciiTheme="minorHAnsi" w:hAnsiTheme="minorHAnsi" w:cstheme="minorHAnsi"/>
                <w:iCs/>
                <w:color w:val="000000" w:themeColor="text1"/>
                <w:szCs w:val="22"/>
              </w:rPr>
              <w:t xml:space="preserve"> innovation in how we support, translate, and scale our research.</w:t>
            </w:r>
            <w:r w:rsidR="00BC1FDC" w:rsidRPr="008F2CED">
              <w:rPr>
                <w:rFonts w:asciiTheme="minorHAnsi" w:hAnsiTheme="minorHAnsi" w:cstheme="minorHAnsi"/>
                <w:iCs/>
                <w:color w:val="000000" w:themeColor="text1"/>
                <w:szCs w:val="22"/>
              </w:rPr>
              <w:t xml:space="preserve"> </w:t>
            </w:r>
            <w:r w:rsidR="00862024" w:rsidRPr="008F2CED">
              <w:rPr>
                <w:rFonts w:asciiTheme="minorHAnsi" w:hAnsiTheme="minorHAnsi" w:cstheme="minorHAnsi"/>
                <w:iCs/>
                <w:color w:val="000000" w:themeColor="text1"/>
                <w:szCs w:val="22"/>
              </w:rPr>
              <w:t xml:space="preserve">This has contextualised the next phase of planning to guide us </w:t>
            </w:r>
            <w:r w:rsidR="00DE7501" w:rsidRPr="008F2CED">
              <w:rPr>
                <w:rFonts w:asciiTheme="minorHAnsi" w:hAnsiTheme="minorHAnsi" w:cstheme="minorHAnsi"/>
                <w:iCs/>
                <w:color w:val="000000" w:themeColor="text1"/>
                <w:szCs w:val="22"/>
              </w:rPr>
              <w:t xml:space="preserve">under </w:t>
            </w:r>
            <w:r w:rsidR="00A67231" w:rsidRPr="008F2CED">
              <w:rPr>
                <w:rFonts w:asciiTheme="minorHAnsi" w:hAnsiTheme="minorHAnsi" w:cstheme="minorHAnsi"/>
                <w:iCs/>
                <w:color w:val="000000" w:themeColor="text1"/>
                <w:szCs w:val="22"/>
              </w:rPr>
              <w:t xml:space="preserve">UTS </w:t>
            </w:r>
            <w:r w:rsidR="00DE7501" w:rsidRPr="008F2CED">
              <w:rPr>
                <w:rFonts w:asciiTheme="minorHAnsi" w:hAnsiTheme="minorHAnsi" w:cstheme="minorHAnsi"/>
                <w:iCs/>
                <w:color w:val="000000" w:themeColor="text1"/>
                <w:szCs w:val="22"/>
              </w:rPr>
              <w:t>20</w:t>
            </w:r>
            <w:r w:rsidR="00A67231" w:rsidRPr="008F2CED">
              <w:rPr>
                <w:rFonts w:asciiTheme="minorHAnsi" w:hAnsiTheme="minorHAnsi" w:cstheme="minorHAnsi"/>
                <w:iCs/>
                <w:color w:val="000000" w:themeColor="text1"/>
                <w:szCs w:val="22"/>
              </w:rPr>
              <w:t xml:space="preserve">30 and </w:t>
            </w:r>
            <w:r w:rsidR="005949E3" w:rsidRPr="008F2CED">
              <w:rPr>
                <w:rFonts w:asciiTheme="minorHAnsi" w:hAnsiTheme="minorHAnsi" w:cstheme="minorHAnsi"/>
                <w:iCs/>
                <w:color w:val="000000" w:themeColor="text1"/>
                <w:szCs w:val="22"/>
              </w:rPr>
              <w:t>its</w:t>
            </w:r>
            <w:r w:rsidR="00A67231" w:rsidRPr="008F2CED">
              <w:rPr>
                <w:rFonts w:asciiTheme="minorHAnsi" w:hAnsiTheme="minorHAnsi" w:cstheme="minorHAnsi"/>
                <w:iCs/>
                <w:color w:val="000000" w:themeColor="text1"/>
                <w:szCs w:val="22"/>
              </w:rPr>
              <w:t xml:space="preserve"> two strategic pillars of </w:t>
            </w:r>
            <w:r w:rsidR="00A67231" w:rsidRPr="008F2CED">
              <w:rPr>
                <w:rFonts w:asciiTheme="minorHAnsi" w:hAnsiTheme="minorHAnsi" w:cstheme="minorHAnsi"/>
                <w:i/>
                <w:color w:val="000000" w:themeColor="text1"/>
                <w:szCs w:val="22"/>
              </w:rPr>
              <w:t>A creative and innovative university</w:t>
            </w:r>
            <w:r w:rsidR="00A67231" w:rsidRPr="008F2CED">
              <w:rPr>
                <w:rFonts w:asciiTheme="minorHAnsi" w:hAnsiTheme="minorHAnsi" w:cstheme="minorHAnsi"/>
                <w:iCs/>
                <w:color w:val="000000" w:themeColor="text1"/>
                <w:szCs w:val="22"/>
              </w:rPr>
              <w:t xml:space="preserve"> and </w:t>
            </w:r>
            <w:r w:rsidR="00A67231" w:rsidRPr="008F2CED">
              <w:rPr>
                <w:rFonts w:asciiTheme="minorHAnsi" w:hAnsiTheme="minorHAnsi" w:cstheme="minorHAnsi"/>
                <w:i/>
                <w:color w:val="000000" w:themeColor="text1"/>
                <w:szCs w:val="22"/>
              </w:rPr>
              <w:t xml:space="preserve">A connected and engaged university. </w:t>
            </w:r>
          </w:p>
          <w:p w14:paraId="0B25EB50" w14:textId="49042CD4" w:rsidR="00E9333B" w:rsidRPr="008F2CED" w:rsidRDefault="00E9333B" w:rsidP="0031273D">
            <w:pPr>
              <w:pStyle w:val="NormalIndent"/>
              <w:snapToGrid w:val="0"/>
              <w:spacing w:line="240" w:lineRule="auto"/>
              <w:ind w:left="0"/>
              <w:rPr>
                <w:rFonts w:asciiTheme="minorHAnsi" w:hAnsiTheme="minorHAnsi" w:cstheme="minorHAnsi"/>
                <w:iCs/>
                <w:color w:val="000000" w:themeColor="text1"/>
                <w:szCs w:val="22"/>
              </w:rPr>
            </w:pPr>
            <w:r>
              <w:rPr>
                <w:rFonts w:asciiTheme="minorHAnsi" w:hAnsiTheme="minorHAnsi" w:cstheme="minorHAnsi"/>
                <w:iCs/>
                <w:color w:val="000000" w:themeColor="text1"/>
                <w:szCs w:val="22"/>
              </w:rPr>
              <w:t>Core to this is c</w:t>
            </w:r>
            <w:r w:rsidRPr="00E9333B">
              <w:rPr>
                <w:rFonts w:asciiTheme="minorHAnsi" w:hAnsiTheme="minorHAnsi" w:cstheme="minorHAnsi"/>
                <w:iCs/>
                <w:color w:val="000000" w:themeColor="text1"/>
                <w:szCs w:val="22"/>
              </w:rPr>
              <w:t>reating new ways to develop and sustain research and education partnerships through our Knowledge Exchange Framework, cementing our position as a university of choice for engagement and partnerships, continuing to translate our research outcomes into practice, and working to co-develop</w:t>
            </w:r>
            <w:r>
              <w:rPr>
                <w:rFonts w:asciiTheme="minorHAnsi" w:hAnsiTheme="minorHAnsi" w:cstheme="minorHAnsi"/>
                <w:iCs/>
                <w:color w:val="000000" w:themeColor="text1"/>
                <w:szCs w:val="22"/>
              </w:rPr>
              <w:t xml:space="preserve"> </w:t>
            </w:r>
            <w:r w:rsidRPr="00E9333B">
              <w:rPr>
                <w:rFonts w:asciiTheme="minorHAnsi" w:hAnsiTheme="minorHAnsi" w:cstheme="minorHAnsi"/>
                <w:iCs/>
                <w:color w:val="000000" w:themeColor="text1"/>
                <w:szCs w:val="22"/>
              </w:rPr>
              <w:t>future facilities with industry.</w:t>
            </w:r>
          </w:p>
          <w:p w14:paraId="0BBE9133" w14:textId="64DF97D7" w:rsidR="0039537E" w:rsidRPr="008F2CED" w:rsidRDefault="00096615" w:rsidP="0031273D">
            <w:pPr>
              <w:pStyle w:val="NormalIndent"/>
              <w:snapToGrid w:val="0"/>
              <w:spacing w:before="0" w:line="240" w:lineRule="auto"/>
              <w:ind w:left="0"/>
              <w:rPr>
                <w:rFonts w:asciiTheme="minorHAnsi" w:hAnsiTheme="minorHAnsi" w:cstheme="minorHAnsi"/>
                <w:iCs/>
                <w:color w:val="000000" w:themeColor="text1"/>
                <w:szCs w:val="22"/>
              </w:rPr>
            </w:pPr>
            <w:r w:rsidRPr="008F2CED">
              <w:rPr>
                <w:rFonts w:asciiTheme="minorHAnsi" w:hAnsiTheme="minorHAnsi" w:cstheme="minorHAnsi"/>
                <w:iCs/>
                <w:color w:val="000000" w:themeColor="text1"/>
                <w:szCs w:val="22"/>
              </w:rPr>
              <w:t xml:space="preserve">In relation to research training, </w:t>
            </w:r>
            <w:r w:rsidR="00CB05C1" w:rsidRPr="008F2CED">
              <w:rPr>
                <w:rFonts w:asciiTheme="minorHAnsi" w:hAnsiTheme="minorHAnsi" w:cstheme="minorHAnsi"/>
                <w:iCs/>
                <w:color w:val="000000" w:themeColor="text1"/>
                <w:szCs w:val="22"/>
              </w:rPr>
              <w:t xml:space="preserve">UTS aims to build capacity, expertise and community practice through continuous professional development. </w:t>
            </w:r>
            <w:r w:rsidR="00E03CF6" w:rsidRPr="008F2CED">
              <w:rPr>
                <w:rFonts w:asciiTheme="minorHAnsi" w:hAnsiTheme="minorHAnsi" w:cstheme="minorHAnsi"/>
                <w:iCs/>
                <w:color w:val="000000" w:themeColor="text1"/>
                <w:szCs w:val="22"/>
              </w:rPr>
              <w:t>This has led to multiple initiatives and projects to equip</w:t>
            </w:r>
            <w:r w:rsidR="00BD5DD1" w:rsidRPr="008F2CED">
              <w:rPr>
                <w:rFonts w:asciiTheme="minorHAnsi" w:hAnsiTheme="minorHAnsi" w:cstheme="minorHAnsi"/>
                <w:iCs/>
                <w:color w:val="000000" w:themeColor="text1"/>
                <w:szCs w:val="22"/>
              </w:rPr>
              <w:t xml:space="preserve"> researchers and research support and enablement staff with the capabilities and skills to achieve research </w:t>
            </w:r>
            <w:r w:rsidR="00505A08" w:rsidRPr="008F2CED">
              <w:rPr>
                <w:rFonts w:asciiTheme="minorHAnsi" w:hAnsiTheme="minorHAnsi" w:cstheme="minorHAnsi"/>
                <w:iCs/>
                <w:color w:val="000000" w:themeColor="text1"/>
                <w:szCs w:val="22"/>
              </w:rPr>
              <w:t>excellence through impactful and high-quality research</w:t>
            </w:r>
            <w:r w:rsidR="005364DD" w:rsidRPr="008F2CED">
              <w:rPr>
                <w:rFonts w:asciiTheme="minorHAnsi" w:hAnsiTheme="minorHAnsi" w:cstheme="minorHAnsi"/>
                <w:iCs/>
                <w:color w:val="000000" w:themeColor="text1"/>
                <w:szCs w:val="22"/>
              </w:rPr>
              <w:t xml:space="preserve"> through mutual understanding and respectful collaboration.</w:t>
            </w:r>
            <w:r w:rsidR="00110488" w:rsidRPr="008F2CED">
              <w:rPr>
                <w:rFonts w:asciiTheme="minorHAnsi" w:hAnsiTheme="minorHAnsi" w:cstheme="minorHAnsi"/>
                <w:iCs/>
                <w:color w:val="000000" w:themeColor="text1"/>
                <w:szCs w:val="22"/>
              </w:rPr>
              <w:t xml:space="preserve"> </w:t>
            </w:r>
            <w:r w:rsidR="00457B8D" w:rsidRPr="008F2CED">
              <w:rPr>
                <w:rFonts w:asciiTheme="minorHAnsi" w:hAnsiTheme="minorHAnsi" w:cstheme="minorHAnsi"/>
                <w:iCs/>
                <w:color w:val="000000" w:themeColor="text1"/>
                <w:szCs w:val="22"/>
              </w:rPr>
              <w:t xml:space="preserve">UTS has also introduced a HDR Capability Framework </w:t>
            </w:r>
            <w:r w:rsidR="00FC1221" w:rsidRPr="008F2CED">
              <w:rPr>
                <w:rFonts w:asciiTheme="minorHAnsi" w:hAnsiTheme="minorHAnsi" w:cstheme="minorHAnsi"/>
                <w:iCs/>
                <w:color w:val="000000" w:themeColor="text1"/>
                <w:szCs w:val="22"/>
              </w:rPr>
              <w:lastRenderedPageBreak/>
              <w:t>to empower candi</w:t>
            </w:r>
            <w:r w:rsidR="00846A48" w:rsidRPr="008F2CED">
              <w:rPr>
                <w:rFonts w:asciiTheme="minorHAnsi" w:hAnsiTheme="minorHAnsi" w:cstheme="minorHAnsi"/>
                <w:iCs/>
                <w:color w:val="000000" w:themeColor="text1"/>
                <w:szCs w:val="22"/>
              </w:rPr>
              <w:t>d</w:t>
            </w:r>
            <w:r w:rsidR="00FC1221" w:rsidRPr="008F2CED">
              <w:rPr>
                <w:rFonts w:asciiTheme="minorHAnsi" w:hAnsiTheme="minorHAnsi" w:cstheme="minorHAnsi"/>
                <w:iCs/>
                <w:color w:val="000000" w:themeColor="text1"/>
                <w:szCs w:val="22"/>
              </w:rPr>
              <w:t>ates in their professional development, supported by a personalised Graduate Research Study Plan</w:t>
            </w:r>
            <w:r w:rsidR="00846A48" w:rsidRPr="008F2CED">
              <w:rPr>
                <w:rFonts w:asciiTheme="minorHAnsi" w:hAnsiTheme="minorHAnsi" w:cstheme="minorHAnsi"/>
                <w:iCs/>
                <w:color w:val="000000" w:themeColor="text1"/>
                <w:szCs w:val="22"/>
              </w:rPr>
              <w:t xml:space="preserve"> to guide their growth as researchers.</w:t>
            </w:r>
            <w:r w:rsidR="0061317E" w:rsidRPr="008F2CED">
              <w:rPr>
                <w:rFonts w:asciiTheme="minorHAnsi" w:hAnsiTheme="minorHAnsi" w:cstheme="minorHAnsi"/>
                <w:iCs/>
                <w:color w:val="000000" w:themeColor="text1"/>
                <w:szCs w:val="22"/>
              </w:rPr>
              <w:t xml:space="preserve"> </w:t>
            </w:r>
          </w:p>
          <w:p w14:paraId="6C8A2299" w14:textId="2208D13F" w:rsidR="00096615" w:rsidRPr="008F2CED" w:rsidRDefault="00096615" w:rsidP="0031273D">
            <w:pPr>
              <w:pStyle w:val="NormalIndent"/>
              <w:snapToGrid w:val="0"/>
              <w:spacing w:before="0" w:line="240" w:lineRule="auto"/>
              <w:ind w:left="0"/>
              <w:rPr>
                <w:rFonts w:asciiTheme="minorHAnsi" w:hAnsiTheme="minorHAnsi" w:cstheme="minorBidi"/>
                <w:color w:val="000000" w:themeColor="text1"/>
              </w:rPr>
            </w:pPr>
            <w:r w:rsidRPr="008F2CED">
              <w:rPr>
                <w:rFonts w:asciiTheme="minorHAnsi" w:hAnsiTheme="minorHAnsi" w:cstheme="minorBidi"/>
                <w:color w:val="000000" w:themeColor="text1"/>
              </w:rPr>
              <w:t>In relation to research commercialisation,</w:t>
            </w:r>
            <w:r w:rsidR="00FE7737" w:rsidRPr="008F2CED">
              <w:rPr>
                <w:rFonts w:asciiTheme="minorHAnsi" w:hAnsiTheme="minorHAnsi" w:cstheme="minorBidi"/>
                <w:color w:val="000000" w:themeColor="text1"/>
              </w:rPr>
              <w:t xml:space="preserve"> UTS has introduced a Research Commercialisation Framework, clarifying our principles and pathways for bringing innovations to market through commercialisation pathways while ensuring we continue to champion non-commercial routes to impact</w:t>
            </w:r>
            <w:r w:rsidR="00B66810" w:rsidRPr="008F2CED">
              <w:rPr>
                <w:rFonts w:asciiTheme="minorHAnsi" w:hAnsiTheme="minorHAnsi" w:cstheme="minorBidi"/>
                <w:color w:val="000000" w:themeColor="text1"/>
              </w:rPr>
              <w:t>, such as policy and legislative change, improved practice, and social innovation.</w:t>
            </w:r>
          </w:p>
          <w:p w14:paraId="1A5E261F" w14:textId="39175B17" w:rsidR="00A62EE7" w:rsidRPr="008F2CED" w:rsidRDefault="00A62EE7" w:rsidP="0031273D">
            <w:pPr>
              <w:pStyle w:val="NormalIndent"/>
              <w:snapToGrid w:val="0"/>
              <w:spacing w:before="0" w:line="240" w:lineRule="auto"/>
              <w:ind w:left="0"/>
              <w:rPr>
                <w:rFonts w:asciiTheme="minorHAnsi" w:hAnsiTheme="minorHAnsi" w:cstheme="minorHAnsi"/>
                <w:iCs/>
                <w:color w:val="000000" w:themeColor="text1"/>
                <w:szCs w:val="22"/>
              </w:rPr>
            </w:pPr>
            <w:r w:rsidRPr="008F2CED">
              <w:rPr>
                <w:rFonts w:asciiTheme="minorHAnsi" w:hAnsiTheme="minorHAnsi" w:cstheme="minorHAnsi"/>
                <w:iCs/>
                <w:color w:val="000000" w:themeColor="text1"/>
                <w:szCs w:val="22"/>
              </w:rPr>
              <w:t>Our success will be measured by:</w:t>
            </w:r>
          </w:p>
          <w:p w14:paraId="28E93AAC" w14:textId="77777777" w:rsidR="00A62EE7" w:rsidRPr="008F2CED" w:rsidRDefault="00A62EE7" w:rsidP="0031273D">
            <w:pPr>
              <w:pStyle w:val="NormalIndent"/>
              <w:numPr>
                <w:ilvl w:val="0"/>
                <w:numId w:val="31"/>
              </w:numPr>
              <w:snapToGrid w:val="0"/>
              <w:spacing w:before="0" w:line="240" w:lineRule="auto"/>
              <w:rPr>
                <w:rFonts w:asciiTheme="minorHAnsi" w:hAnsiTheme="minorHAnsi" w:cstheme="minorHAnsi"/>
                <w:iCs/>
                <w:color w:val="000000" w:themeColor="text1"/>
                <w:szCs w:val="22"/>
              </w:rPr>
            </w:pPr>
            <w:r w:rsidRPr="008F2CED">
              <w:rPr>
                <w:rFonts w:asciiTheme="minorHAnsi" w:hAnsiTheme="minorHAnsi" w:cstheme="minorHAnsi"/>
                <w:iCs/>
                <w:color w:val="000000" w:themeColor="text1"/>
                <w:szCs w:val="22"/>
              </w:rPr>
              <w:t>Increasing research outcome</w:t>
            </w:r>
          </w:p>
          <w:p w14:paraId="167C8FEF" w14:textId="77777777" w:rsidR="00A62EE7" w:rsidRPr="008F2CED" w:rsidRDefault="00A62EE7" w:rsidP="0031273D">
            <w:pPr>
              <w:pStyle w:val="NormalIndent"/>
              <w:numPr>
                <w:ilvl w:val="0"/>
                <w:numId w:val="31"/>
              </w:numPr>
              <w:snapToGrid w:val="0"/>
              <w:spacing w:before="0" w:line="240" w:lineRule="auto"/>
              <w:rPr>
                <w:rFonts w:asciiTheme="minorHAnsi" w:hAnsiTheme="minorHAnsi" w:cstheme="minorHAnsi"/>
                <w:iCs/>
                <w:color w:val="000000" w:themeColor="text1"/>
                <w:szCs w:val="22"/>
              </w:rPr>
            </w:pPr>
            <w:r w:rsidRPr="008F2CED">
              <w:rPr>
                <w:rFonts w:asciiTheme="minorHAnsi" w:hAnsiTheme="minorHAnsi" w:cstheme="minorHAnsi"/>
                <w:iCs/>
                <w:color w:val="000000" w:themeColor="text1"/>
                <w:szCs w:val="22"/>
              </w:rPr>
              <w:t>Strengthening global partnerships</w:t>
            </w:r>
          </w:p>
          <w:p w14:paraId="40DA31C2" w14:textId="1B5B0B00" w:rsidR="00916F73" w:rsidRPr="0031273D" w:rsidRDefault="00A62EE7" w:rsidP="0031273D">
            <w:pPr>
              <w:pStyle w:val="NormalIndent"/>
              <w:numPr>
                <w:ilvl w:val="0"/>
                <w:numId w:val="31"/>
              </w:numPr>
              <w:snapToGrid w:val="0"/>
              <w:spacing w:before="0" w:line="240" w:lineRule="auto"/>
              <w:rPr>
                <w:rFonts w:asciiTheme="minorHAnsi" w:hAnsiTheme="minorHAnsi" w:cstheme="minorHAnsi"/>
                <w:iCs/>
                <w:color w:val="FF0000"/>
                <w:szCs w:val="22"/>
              </w:rPr>
            </w:pPr>
            <w:r w:rsidRPr="008F2CED">
              <w:rPr>
                <w:rFonts w:asciiTheme="minorHAnsi" w:hAnsiTheme="minorHAnsi" w:cstheme="minorHAnsi"/>
                <w:iCs/>
                <w:color w:val="000000" w:themeColor="text1"/>
                <w:szCs w:val="22"/>
              </w:rPr>
              <w:t>Establishing new platforms for industry engagement and translation</w:t>
            </w:r>
            <w:r w:rsidR="00E9333B">
              <w:rPr>
                <w:rFonts w:asciiTheme="minorHAnsi" w:hAnsiTheme="minorHAnsi" w:cstheme="minorHAnsi"/>
                <w:iCs/>
                <w:color w:val="000000" w:themeColor="text1"/>
                <w:szCs w:val="22"/>
              </w:rPr>
              <w:t xml:space="preserve"> </w:t>
            </w:r>
            <w:r w:rsidRPr="00E9333B">
              <w:rPr>
                <w:rFonts w:asciiTheme="minorHAnsi" w:hAnsiTheme="minorHAnsi" w:cstheme="minorHAnsi"/>
                <w:iCs/>
                <w:color w:val="000000" w:themeColor="text1"/>
                <w:szCs w:val="22"/>
              </w:rPr>
              <w:t>underpinned by our consideration of People, Progress, Productivity &amp; Performance, and Pathways.</w:t>
            </w:r>
          </w:p>
        </w:tc>
      </w:tr>
      <w:tr w:rsidR="008D18D0" w:rsidRPr="00E41388" w14:paraId="23C06863" w14:textId="77777777" w:rsidTr="00D5743A">
        <w:tc>
          <w:tcPr>
            <w:tcW w:w="5000" w:type="pct"/>
          </w:tcPr>
          <w:p w14:paraId="451DCFF9" w14:textId="0EA5A727" w:rsidR="008D18D0" w:rsidRPr="00E169EE" w:rsidRDefault="008D18D0" w:rsidP="0031273D">
            <w:pPr>
              <w:pStyle w:val="Heading4"/>
              <w:keepLines w:val="0"/>
              <w:snapToGrid w:val="0"/>
              <w:spacing w:before="0" w:after="120"/>
            </w:pPr>
            <w:r>
              <w:lastRenderedPageBreak/>
              <w:t>S</w:t>
            </w:r>
            <w:r w:rsidRPr="00045147">
              <w:t>trategies for</w:t>
            </w:r>
            <w:r w:rsidRPr="0011467F">
              <w:t xml:space="preserve"> </w:t>
            </w:r>
            <w:r>
              <w:t>E</w:t>
            </w:r>
            <w:r w:rsidRPr="0011467F">
              <w:t xml:space="preserve">ngaging with </w:t>
            </w:r>
            <w:r>
              <w:t>I</w:t>
            </w:r>
            <w:r w:rsidRPr="0011467F">
              <w:t>ndustry</w:t>
            </w:r>
          </w:p>
        </w:tc>
      </w:tr>
      <w:tr w:rsidR="008D18D0" w:rsidRPr="00E41388" w14:paraId="37972037" w14:textId="77777777" w:rsidTr="0031273D">
        <w:trPr>
          <w:trHeight w:val="57"/>
        </w:trPr>
        <w:tc>
          <w:tcPr>
            <w:tcW w:w="5000" w:type="pct"/>
          </w:tcPr>
          <w:p w14:paraId="36E1EFF2" w14:textId="0C0D6250" w:rsidR="008F2CED" w:rsidRPr="00AA6E6A" w:rsidRDefault="008F2CED" w:rsidP="0031273D">
            <w:pPr>
              <w:pStyle w:val="NormalIndent"/>
              <w:snapToGrid w:val="0"/>
              <w:spacing w:before="0" w:line="240" w:lineRule="auto"/>
              <w:ind w:left="0"/>
              <w:rPr>
                <w:rStyle w:val="eop"/>
                <w:rFonts w:cs="Calibri"/>
                <w:b/>
                <w:bCs/>
                <w:color w:val="000000"/>
                <w:szCs w:val="22"/>
              </w:rPr>
            </w:pPr>
            <w:r>
              <w:rPr>
                <w:rStyle w:val="eop"/>
                <w:rFonts w:cs="Calibri"/>
                <w:b/>
                <w:bCs/>
                <w:color w:val="000000"/>
              </w:rPr>
              <w:t>Engagement with industry</w:t>
            </w:r>
          </w:p>
          <w:p w14:paraId="1D69D0CB" w14:textId="7A6BFC67" w:rsidR="00BD69A3" w:rsidRDefault="0051029D" w:rsidP="0031273D">
            <w:pPr>
              <w:pStyle w:val="NormalIndent"/>
              <w:snapToGrid w:val="0"/>
              <w:spacing w:before="0" w:line="240" w:lineRule="auto"/>
              <w:ind w:left="0"/>
              <w:rPr>
                <w:rFonts w:cstheme="minorHAnsi"/>
                <w:iCs/>
                <w:color w:val="000000" w:themeColor="text1"/>
              </w:rPr>
            </w:pPr>
            <w:r>
              <w:rPr>
                <w:rFonts w:cstheme="minorHAnsi"/>
                <w:iCs/>
                <w:color w:val="000000" w:themeColor="text1"/>
              </w:rPr>
              <w:t>UTS 2030 recognised</w:t>
            </w:r>
            <w:r w:rsidR="006F3DA7">
              <w:rPr>
                <w:rFonts w:cstheme="minorHAnsi"/>
                <w:iCs/>
                <w:color w:val="000000" w:themeColor="text1"/>
              </w:rPr>
              <w:t xml:space="preserve"> our deep connections with industry and community</w:t>
            </w:r>
            <w:r w:rsidR="00137CF3">
              <w:rPr>
                <w:rFonts w:cstheme="minorHAnsi"/>
                <w:iCs/>
                <w:color w:val="000000" w:themeColor="text1"/>
              </w:rPr>
              <w:t xml:space="preserve">, and we will build on our reputation as a preferred partner for research </w:t>
            </w:r>
            <w:r w:rsidR="00B733DE">
              <w:rPr>
                <w:rFonts w:cstheme="minorHAnsi"/>
                <w:iCs/>
                <w:color w:val="000000" w:themeColor="text1"/>
              </w:rPr>
              <w:t>collaboration</w:t>
            </w:r>
            <w:r w:rsidR="00137CF3">
              <w:rPr>
                <w:rFonts w:cstheme="minorHAnsi"/>
                <w:iCs/>
                <w:color w:val="000000" w:themeColor="text1"/>
              </w:rPr>
              <w:t xml:space="preserve"> across a diverse range of fields by investing in our world-class </w:t>
            </w:r>
            <w:r w:rsidR="00B733DE">
              <w:rPr>
                <w:rFonts w:cstheme="minorHAnsi"/>
                <w:iCs/>
                <w:color w:val="000000" w:themeColor="text1"/>
              </w:rPr>
              <w:t>researchers, facilities and infrastructure.</w:t>
            </w:r>
          </w:p>
          <w:p w14:paraId="280EA834" w14:textId="4F7E2D63" w:rsidR="00AD23B0" w:rsidRDefault="00AD23B0" w:rsidP="0031273D">
            <w:pPr>
              <w:pStyle w:val="NormalIndent"/>
              <w:snapToGrid w:val="0"/>
              <w:spacing w:before="0" w:line="240" w:lineRule="auto"/>
              <w:ind w:left="0"/>
              <w:rPr>
                <w:rFonts w:cstheme="minorHAnsi"/>
                <w:iCs/>
                <w:color w:val="000000" w:themeColor="text1"/>
              </w:rPr>
            </w:pPr>
            <w:r>
              <w:rPr>
                <w:rFonts w:cstheme="minorHAnsi"/>
                <w:iCs/>
                <w:color w:val="000000" w:themeColor="text1"/>
              </w:rPr>
              <w:t>Our initiatives include:</w:t>
            </w:r>
          </w:p>
          <w:p w14:paraId="50F40DA5" w14:textId="362DC51C" w:rsidR="000F0B2E" w:rsidRPr="008F2CED" w:rsidRDefault="00AD23B0" w:rsidP="0031273D">
            <w:pPr>
              <w:pStyle w:val="NormalIndent"/>
              <w:numPr>
                <w:ilvl w:val="0"/>
                <w:numId w:val="38"/>
              </w:numPr>
              <w:snapToGrid w:val="0"/>
              <w:spacing w:before="0" w:line="240" w:lineRule="auto"/>
              <w:rPr>
                <w:rFonts w:cstheme="minorHAnsi"/>
                <w:iCs/>
                <w:color w:val="000000" w:themeColor="text1"/>
              </w:rPr>
            </w:pPr>
            <w:r>
              <w:rPr>
                <w:rFonts w:cstheme="minorHAnsi"/>
                <w:iCs/>
                <w:color w:val="000000" w:themeColor="text1"/>
              </w:rPr>
              <w:t>A</w:t>
            </w:r>
            <w:r w:rsidR="000F0B2E" w:rsidRPr="008F2CED">
              <w:rPr>
                <w:rFonts w:cstheme="minorHAnsi"/>
                <w:iCs/>
                <w:color w:val="000000" w:themeColor="text1"/>
              </w:rPr>
              <w:t xml:space="preserve">dvancing a refreshed strategy for leveraging our major facilities such as </w:t>
            </w:r>
            <w:hyperlink r:id="rId24" w:history="1">
              <w:r w:rsidR="000F0B2E" w:rsidRPr="008F2CED">
                <w:rPr>
                  <w:rStyle w:val="Hyperlink"/>
                  <w:rFonts w:cstheme="minorHAnsi"/>
                  <w:iCs/>
                  <w:color w:val="000000" w:themeColor="text1"/>
                </w:rPr>
                <w:t>UTS Tech Lab</w:t>
              </w:r>
            </w:hyperlink>
            <w:r w:rsidR="000F0B2E" w:rsidRPr="008F2CED">
              <w:rPr>
                <w:rFonts w:cstheme="minorHAnsi"/>
                <w:iCs/>
                <w:color w:val="000000" w:themeColor="text1"/>
              </w:rPr>
              <w:t xml:space="preserve">, </w:t>
            </w:r>
            <w:hyperlink r:id="rId25" w:history="1">
              <w:r w:rsidR="000F0B2E" w:rsidRPr="008F2CED">
                <w:rPr>
                  <w:rStyle w:val="Hyperlink"/>
                  <w:rFonts w:cstheme="minorHAnsi"/>
                  <w:iCs/>
                  <w:color w:val="000000" w:themeColor="text1"/>
                </w:rPr>
                <w:t>UTS Data Arena</w:t>
              </w:r>
            </w:hyperlink>
            <w:r w:rsidR="000F0B2E" w:rsidRPr="008F2CED">
              <w:rPr>
                <w:rFonts w:cstheme="minorHAnsi"/>
                <w:iCs/>
                <w:color w:val="000000" w:themeColor="text1"/>
              </w:rPr>
              <w:t xml:space="preserve">, </w:t>
            </w:r>
            <w:hyperlink r:id="rId26" w:history="1">
              <w:r w:rsidR="000F0B2E" w:rsidRPr="008F2CED">
                <w:rPr>
                  <w:rStyle w:val="Hyperlink"/>
                  <w:rFonts w:cstheme="minorHAnsi"/>
                  <w:iCs/>
                  <w:color w:val="000000" w:themeColor="text1"/>
                </w:rPr>
                <w:t>Biologics Innovation Facility</w:t>
              </w:r>
            </w:hyperlink>
            <w:r w:rsidR="000F0B2E" w:rsidRPr="008F2CED">
              <w:rPr>
                <w:rFonts w:cstheme="minorHAnsi"/>
                <w:iCs/>
                <w:color w:val="000000" w:themeColor="text1"/>
              </w:rPr>
              <w:t xml:space="preserve"> and other assets to attract industry collaboration and investment, enabling new collaborative research opportunities. This initiative also aims to equip our students with industry-ready skills through work integrated learning opportunities, e.g. our Cyber Resilience Career Pathway Training Program for Aboriginal and Defence Veteran community members which includes a cadetship with an industry partner for successful trainees.</w:t>
            </w:r>
          </w:p>
          <w:p w14:paraId="3DBC49EF" w14:textId="33C4EB84" w:rsidR="000F0B2E" w:rsidRPr="008F2CED" w:rsidRDefault="00236A51" w:rsidP="0031273D">
            <w:pPr>
              <w:pStyle w:val="NormalIndent"/>
              <w:numPr>
                <w:ilvl w:val="0"/>
                <w:numId w:val="38"/>
              </w:numPr>
              <w:snapToGrid w:val="0"/>
              <w:spacing w:before="0" w:line="240" w:lineRule="auto"/>
              <w:rPr>
                <w:rFonts w:cstheme="minorHAnsi"/>
                <w:iCs/>
                <w:color w:val="000000" w:themeColor="text1"/>
              </w:rPr>
            </w:pPr>
            <w:r>
              <w:rPr>
                <w:rFonts w:cstheme="minorHAnsi"/>
                <w:iCs/>
                <w:color w:val="000000" w:themeColor="text1"/>
              </w:rPr>
              <w:t>Aiming</w:t>
            </w:r>
            <w:r w:rsidR="000F0B2E" w:rsidRPr="008F2CED">
              <w:rPr>
                <w:rFonts w:cstheme="minorHAnsi"/>
                <w:iCs/>
                <w:color w:val="000000" w:themeColor="text1"/>
              </w:rPr>
              <w:t xml:space="preserve"> for deep sector knowledge, extensive research activities, and for strategic partnerships to become the preferred collaborators in industry ecosystems that deliver economic, environmental and social impact and value. Our deep Sector Engagement approach is to align UTS wide expertise and capability with the needs of selected industry sectors and firms and organisations within those sectors, with the aim of ensuring that we achieve a comprehensive level of engagement that raises awareness of UTS within the industry sector and enhanced prospects for future partnerships of scale. This will create the greatest uplift in value and benefits, moving beyond individual organisational relationships to participate and scale our engagement across national and global sector ecosystems.</w:t>
            </w:r>
          </w:p>
          <w:p w14:paraId="7B6D2B3D" w14:textId="714EEC0D" w:rsidR="000F0B2E" w:rsidRPr="008F2CED" w:rsidRDefault="00236A51" w:rsidP="0031273D">
            <w:pPr>
              <w:pStyle w:val="NormalIndent"/>
              <w:numPr>
                <w:ilvl w:val="0"/>
                <w:numId w:val="38"/>
              </w:numPr>
              <w:snapToGrid w:val="0"/>
              <w:spacing w:before="0" w:line="240" w:lineRule="auto"/>
              <w:rPr>
                <w:rFonts w:cstheme="minorHAnsi"/>
                <w:iCs/>
                <w:color w:val="000000" w:themeColor="text1"/>
              </w:rPr>
            </w:pPr>
            <w:r>
              <w:rPr>
                <w:rFonts w:cstheme="minorHAnsi"/>
                <w:iCs/>
                <w:color w:val="000000" w:themeColor="text1"/>
              </w:rPr>
              <w:t>Implementing our</w:t>
            </w:r>
            <w:r w:rsidR="000F0B2E" w:rsidRPr="008F2CED">
              <w:rPr>
                <w:rFonts w:cstheme="minorHAnsi"/>
                <w:iCs/>
                <w:color w:val="000000" w:themeColor="text1"/>
              </w:rPr>
              <w:t xml:space="preserve"> new “Outside-In” Partnership Model </w:t>
            </w:r>
            <w:r>
              <w:rPr>
                <w:rFonts w:cstheme="minorHAnsi"/>
                <w:iCs/>
                <w:color w:val="000000" w:themeColor="text1"/>
              </w:rPr>
              <w:t xml:space="preserve">which </w:t>
            </w:r>
            <w:r w:rsidR="000F0B2E" w:rsidRPr="008F2CED">
              <w:rPr>
                <w:rFonts w:cstheme="minorHAnsi"/>
                <w:iCs/>
                <w:color w:val="000000" w:themeColor="text1"/>
              </w:rPr>
              <w:t>prioritises the needs and goals of external partners (industry, government, community) and designs collaborations to deliver mutual benefit, moving beyond a traditional academic-centric approach. A partnerships support function allows our academics to focus on delivering academic value, while professional business development and partnership delivery functions handle engagement, administration, and project management, improving partner satisfaction and efficiency.</w:t>
            </w:r>
          </w:p>
          <w:p w14:paraId="2620C610" w14:textId="0BB8D33B" w:rsidR="000F0B2E" w:rsidRPr="008F2CED" w:rsidRDefault="008F74E6" w:rsidP="0031273D">
            <w:pPr>
              <w:pStyle w:val="NormalIndent"/>
              <w:numPr>
                <w:ilvl w:val="0"/>
                <w:numId w:val="38"/>
              </w:numPr>
              <w:snapToGrid w:val="0"/>
              <w:spacing w:before="0" w:line="240" w:lineRule="auto"/>
              <w:rPr>
                <w:rFonts w:cstheme="minorHAnsi"/>
                <w:iCs/>
                <w:color w:val="000000" w:themeColor="text1"/>
              </w:rPr>
            </w:pPr>
            <w:r>
              <w:rPr>
                <w:rFonts w:cstheme="minorHAnsi"/>
                <w:iCs/>
                <w:color w:val="000000" w:themeColor="text1"/>
              </w:rPr>
              <w:t>Strengthening</w:t>
            </w:r>
            <w:r w:rsidR="000F0B2E" w:rsidRPr="008F2CED">
              <w:rPr>
                <w:rFonts w:cstheme="minorHAnsi"/>
                <w:iCs/>
                <w:color w:val="000000" w:themeColor="text1"/>
              </w:rPr>
              <w:t xml:space="preserve"> industry connections by leveraging alumni engagement locally, nationally and globally, offering them continuing value and </w:t>
            </w:r>
            <w:hyperlink r:id="rId27" w:history="1">
              <w:r w:rsidR="000F0B2E" w:rsidRPr="008F2CED">
                <w:rPr>
                  <w:rStyle w:val="Hyperlink"/>
                  <w:rFonts w:cstheme="minorHAnsi"/>
                  <w:iCs/>
                  <w:color w:val="000000" w:themeColor="text1"/>
                </w:rPr>
                <w:t>community</w:t>
              </w:r>
            </w:hyperlink>
            <w:r w:rsidR="000F0B2E" w:rsidRPr="008F2CED">
              <w:rPr>
                <w:rFonts w:cstheme="minorHAnsi"/>
                <w:iCs/>
                <w:color w:val="000000" w:themeColor="text1"/>
              </w:rPr>
              <w:t xml:space="preserve">, and inspiring giving back through ways that align with shared values and amplify our impact. </w:t>
            </w:r>
          </w:p>
          <w:p w14:paraId="6465FC91" w14:textId="70B13E35" w:rsidR="00123AB9" w:rsidRPr="0031273D" w:rsidRDefault="008F74E6" w:rsidP="0031273D">
            <w:pPr>
              <w:pStyle w:val="NormalIndent"/>
              <w:numPr>
                <w:ilvl w:val="0"/>
                <w:numId w:val="38"/>
              </w:numPr>
              <w:snapToGrid w:val="0"/>
              <w:spacing w:before="0" w:line="240" w:lineRule="auto"/>
              <w:rPr>
                <w:rFonts w:cstheme="minorHAnsi"/>
                <w:iCs/>
                <w:color w:val="000000" w:themeColor="text1"/>
              </w:rPr>
            </w:pPr>
            <w:r>
              <w:rPr>
                <w:rFonts w:cstheme="minorHAnsi"/>
                <w:iCs/>
                <w:color w:val="000000" w:themeColor="text1"/>
              </w:rPr>
              <w:lastRenderedPageBreak/>
              <w:t>E</w:t>
            </w:r>
            <w:r w:rsidR="000F0B2E" w:rsidRPr="008F2CED">
              <w:rPr>
                <w:rFonts w:cstheme="minorHAnsi"/>
                <w:iCs/>
                <w:color w:val="000000" w:themeColor="text1"/>
              </w:rPr>
              <w:t xml:space="preserve">volving and growing our Enterprise Learning solutions by partnering with a broad range of clients in the public and private sectors to co-design tailored learning solutions that support them to achieve their goals, building capability, changing mindsets and behaviours, and delivering outcomes. </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15571EB7" w:rsidR="001B109C" w:rsidRPr="00E114B4" w:rsidRDefault="00F521D0">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204F5A94" w:rsidR="001B109C" w:rsidRPr="00E114B4" w:rsidRDefault="0042211C">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3D29FE3D" w:rsidR="001B109C" w:rsidRPr="00E114B4" w:rsidRDefault="00C76A9C">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694D43FA" w:rsidR="001B109C" w:rsidRPr="00E114B4" w:rsidRDefault="00941720">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24D397F6" w:rsidR="001B109C" w:rsidRPr="00E92B62" w:rsidRDefault="00E92B62">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005E26BE" w:rsidR="001B109C" w:rsidRPr="00E169EE" w:rsidRDefault="00556561">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The University of Technology Sydney</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197A68C3" w:rsidR="001B109C" w:rsidRPr="00E169EE" w:rsidRDefault="00556561">
            <w:pPr>
              <w:pBdr>
                <w:bottom w:val="single" w:sz="12" w:space="1" w:color="auto"/>
              </w:pBdr>
              <w:rPr>
                <w:rFonts w:cstheme="minorHAnsi"/>
                <w:b/>
                <w:bCs/>
              </w:rPr>
            </w:pPr>
            <w:r>
              <w:rPr>
                <w:rFonts w:cstheme="minorHAnsi"/>
                <w:b/>
                <w:bCs/>
              </w:rPr>
              <w:t>Andrew Parfitt</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670C3C9D" w:rsidR="001B109C" w:rsidRPr="002F4604" w:rsidRDefault="00D73448">
            <w:pPr>
              <w:pBdr>
                <w:bottom w:val="single" w:sz="12" w:space="1" w:color="auto"/>
              </w:pBdr>
              <w:rPr>
                <w:rFonts w:cstheme="minorHAnsi"/>
                <w:b/>
                <w:bCs/>
              </w:rPr>
            </w:pPr>
            <w:r>
              <w:rPr>
                <w:rFonts w:cstheme="minorHAnsi"/>
                <w:b/>
                <w:bCs/>
              </w:rPr>
              <w:t>Ellen Goh</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1A90ADBC" w:rsidR="001B109C" w:rsidRPr="00E169EE" w:rsidRDefault="00556561">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pPr>
              <w:spacing w:after="0"/>
              <w:rPr>
                <w:rFonts w:cstheme="minorHAnsi"/>
              </w:rPr>
            </w:pPr>
            <w:r w:rsidRPr="00E169EE">
              <w:rPr>
                <w:rFonts w:cstheme="minorHAnsi"/>
              </w:rPr>
              <w:t>Position</w:t>
            </w:r>
          </w:p>
          <w:p w14:paraId="536F9855" w14:textId="617EA03C" w:rsidR="001B109C" w:rsidRPr="00E169EE" w:rsidRDefault="001B109C">
            <w:pPr>
              <w:spacing w:after="0"/>
              <w:rPr>
                <w:rFonts w:cstheme="minorHAnsi"/>
              </w:rPr>
            </w:pPr>
          </w:p>
        </w:tc>
        <w:tc>
          <w:tcPr>
            <w:tcW w:w="4508" w:type="dxa"/>
          </w:tcPr>
          <w:p w14:paraId="7B33C473" w14:textId="63633795" w:rsidR="001B109C" w:rsidRPr="002F4604" w:rsidRDefault="00D73448">
            <w:pPr>
              <w:pBdr>
                <w:bottom w:val="single" w:sz="12" w:space="1" w:color="auto"/>
              </w:pBdr>
              <w:spacing w:after="0"/>
              <w:rPr>
                <w:rFonts w:cstheme="minorHAnsi"/>
                <w:b/>
                <w:bCs/>
              </w:rPr>
            </w:pPr>
            <w:r>
              <w:rPr>
                <w:rFonts w:cstheme="minorHAnsi"/>
                <w:b/>
                <w:bCs/>
              </w:rPr>
              <w:t>Manager, Government Affairs</w:t>
            </w:r>
          </w:p>
          <w:p w14:paraId="0C046C3D" w14:textId="51D60DAA" w:rsidR="001B109C" w:rsidRPr="002F4604" w:rsidRDefault="001B109C">
            <w:pPr>
              <w:spacing w:after="0"/>
              <w:rPr>
                <w:rFonts w:cstheme="minorHAnsi"/>
              </w:rPr>
            </w:pPr>
            <w:r w:rsidRPr="002F4604">
              <w:rPr>
                <w:rFonts w:cstheme="minorHAnsi"/>
              </w:rPr>
              <w:t>Position or profession of witness (please print)</w:t>
            </w:r>
            <w:r w:rsidR="00D73448">
              <w:rPr>
                <w:rFonts w:cstheme="minorHAnsi"/>
                <w:b/>
                <w:bCs/>
                <w:noProof/>
              </w:rPr>
              <w:t xml:space="preserve"> </w:t>
            </w:r>
          </w:p>
        </w:tc>
      </w:tr>
      <w:tr w:rsidR="001B109C" w:rsidRPr="00E169EE" w14:paraId="51440CFB" w14:textId="77777777">
        <w:trPr>
          <w:trHeight w:val="80"/>
        </w:trPr>
        <w:tc>
          <w:tcPr>
            <w:tcW w:w="4508" w:type="dxa"/>
          </w:tcPr>
          <w:p w14:paraId="7583F948" w14:textId="77777777"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5D50C8AA"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03D33C21" w14:textId="4811A81A" w:rsidR="007434E7" w:rsidRPr="007434E7" w:rsidRDefault="007434E7" w:rsidP="007434E7">
      <w:pPr>
        <w:pStyle w:val="NormalIndent"/>
        <w:rPr>
          <w:rFonts w:cstheme="minorHAnsi"/>
        </w:rPr>
      </w:pPr>
    </w:p>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headerReference w:type="even" r:id="rId28"/>
      <w:headerReference w:type="default" r:id="rId29"/>
      <w:footerReference w:type="even" r:id="rId30"/>
      <w:footerReference w:type="default" r:id="rId31"/>
      <w:headerReference w:type="first" r:id="rId32"/>
      <w:footerReference w:type="first" r:id="rId3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8543" w14:textId="77777777" w:rsidR="00356520" w:rsidRDefault="00356520" w:rsidP="000A6228">
      <w:pPr>
        <w:spacing w:after="0" w:line="240" w:lineRule="auto"/>
      </w:pPr>
      <w:r>
        <w:separator/>
      </w:r>
    </w:p>
  </w:endnote>
  <w:endnote w:type="continuationSeparator" w:id="0">
    <w:p w14:paraId="2CDFCCBD" w14:textId="77777777" w:rsidR="00356520" w:rsidRDefault="00356520" w:rsidP="000A6228">
      <w:pPr>
        <w:spacing w:after="0" w:line="240" w:lineRule="auto"/>
      </w:pPr>
      <w:r>
        <w:continuationSeparator/>
      </w:r>
    </w:p>
  </w:endnote>
  <w:endnote w:type="continuationNotice" w:id="1">
    <w:p w14:paraId="3E496FAC" w14:textId="77777777" w:rsidR="00356520" w:rsidRDefault="00356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7228" w14:textId="77777777" w:rsidR="00916F73" w:rsidRDefault="0091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EF7A" w14:textId="77777777" w:rsidR="00356520" w:rsidRDefault="00356520" w:rsidP="000A6228">
      <w:pPr>
        <w:spacing w:after="0" w:line="240" w:lineRule="auto"/>
      </w:pPr>
      <w:r>
        <w:separator/>
      </w:r>
    </w:p>
  </w:footnote>
  <w:footnote w:type="continuationSeparator" w:id="0">
    <w:p w14:paraId="12E46DBE" w14:textId="77777777" w:rsidR="00356520" w:rsidRDefault="00356520" w:rsidP="000A6228">
      <w:pPr>
        <w:spacing w:after="0" w:line="240" w:lineRule="auto"/>
      </w:pPr>
      <w:r>
        <w:continuationSeparator/>
      </w:r>
    </w:p>
  </w:footnote>
  <w:footnote w:type="continuationNotice" w:id="1">
    <w:p w14:paraId="61729C8D" w14:textId="77777777" w:rsidR="00356520" w:rsidRDefault="00356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AF62" w14:textId="77D47E70" w:rsidR="00916F73" w:rsidRDefault="0091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6B1E" w14:textId="2E038167" w:rsidR="00916F73" w:rsidRDefault="00916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E611" w14:textId="7CE1A71A" w:rsidR="00916F73" w:rsidRDefault="00916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C6A0C"/>
    <w:multiLevelType w:val="hybridMultilevel"/>
    <w:tmpl w:val="7F6AA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FAC790D"/>
    <w:multiLevelType w:val="hybridMultilevel"/>
    <w:tmpl w:val="3120E094"/>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12" w15:restartNumberingAfterBreak="0">
    <w:nsid w:val="133A509B"/>
    <w:multiLevelType w:val="multilevel"/>
    <w:tmpl w:val="FDD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10175"/>
    <w:multiLevelType w:val="hybridMultilevel"/>
    <w:tmpl w:val="25324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EC1E42"/>
    <w:multiLevelType w:val="hybridMultilevel"/>
    <w:tmpl w:val="19D8D0B6"/>
    <w:lvl w:ilvl="0" w:tplc="FFFFFFFF">
      <w:start w:val="1"/>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BEB336D"/>
    <w:multiLevelType w:val="hybridMultilevel"/>
    <w:tmpl w:val="318E7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6AC53A"/>
    <w:multiLevelType w:val="hybridMultilevel"/>
    <w:tmpl w:val="3DCE8D54"/>
    <w:lvl w:ilvl="0" w:tplc="4DE6E3D2">
      <w:start w:val="1"/>
      <w:numFmt w:val="bullet"/>
      <w:lvlText w:val="·"/>
      <w:lvlJc w:val="left"/>
      <w:pPr>
        <w:ind w:left="720" w:hanging="360"/>
      </w:pPr>
      <w:rPr>
        <w:rFonts w:ascii="Symbol" w:hAnsi="Symbol" w:hint="default"/>
      </w:rPr>
    </w:lvl>
    <w:lvl w:ilvl="1" w:tplc="B1A45168">
      <w:start w:val="1"/>
      <w:numFmt w:val="bullet"/>
      <w:lvlText w:val="o"/>
      <w:lvlJc w:val="left"/>
      <w:pPr>
        <w:ind w:left="1440" w:hanging="360"/>
      </w:pPr>
      <w:rPr>
        <w:rFonts w:ascii="Courier New" w:hAnsi="Courier New" w:hint="default"/>
      </w:rPr>
    </w:lvl>
    <w:lvl w:ilvl="2" w:tplc="5D40F550">
      <w:start w:val="1"/>
      <w:numFmt w:val="bullet"/>
      <w:lvlText w:val=""/>
      <w:lvlJc w:val="left"/>
      <w:pPr>
        <w:ind w:left="2160" w:hanging="360"/>
      </w:pPr>
      <w:rPr>
        <w:rFonts w:ascii="Wingdings" w:hAnsi="Wingdings" w:hint="default"/>
      </w:rPr>
    </w:lvl>
    <w:lvl w:ilvl="3" w:tplc="9B384ED2">
      <w:start w:val="1"/>
      <w:numFmt w:val="bullet"/>
      <w:lvlText w:val=""/>
      <w:lvlJc w:val="left"/>
      <w:pPr>
        <w:ind w:left="2880" w:hanging="360"/>
      </w:pPr>
      <w:rPr>
        <w:rFonts w:ascii="Symbol" w:hAnsi="Symbol" w:hint="default"/>
      </w:rPr>
    </w:lvl>
    <w:lvl w:ilvl="4" w:tplc="45D69BFE">
      <w:start w:val="1"/>
      <w:numFmt w:val="bullet"/>
      <w:lvlText w:val="o"/>
      <w:lvlJc w:val="left"/>
      <w:pPr>
        <w:ind w:left="3600" w:hanging="360"/>
      </w:pPr>
      <w:rPr>
        <w:rFonts w:ascii="Courier New" w:hAnsi="Courier New" w:hint="default"/>
      </w:rPr>
    </w:lvl>
    <w:lvl w:ilvl="5" w:tplc="FA368C3E">
      <w:start w:val="1"/>
      <w:numFmt w:val="bullet"/>
      <w:lvlText w:val=""/>
      <w:lvlJc w:val="left"/>
      <w:pPr>
        <w:ind w:left="4320" w:hanging="360"/>
      </w:pPr>
      <w:rPr>
        <w:rFonts w:ascii="Wingdings" w:hAnsi="Wingdings" w:hint="default"/>
      </w:rPr>
    </w:lvl>
    <w:lvl w:ilvl="6" w:tplc="C61A64CA">
      <w:start w:val="1"/>
      <w:numFmt w:val="bullet"/>
      <w:lvlText w:val=""/>
      <w:lvlJc w:val="left"/>
      <w:pPr>
        <w:ind w:left="5040" w:hanging="360"/>
      </w:pPr>
      <w:rPr>
        <w:rFonts w:ascii="Symbol" w:hAnsi="Symbol" w:hint="default"/>
      </w:rPr>
    </w:lvl>
    <w:lvl w:ilvl="7" w:tplc="278457B6">
      <w:start w:val="1"/>
      <w:numFmt w:val="bullet"/>
      <w:lvlText w:val="o"/>
      <w:lvlJc w:val="left"/>
      <w:pPr>
        <w:ind w:left="5760" w:hanging="360"/>
      </w:pPr>
      <w:rPr>
        <w:rFonts w:ascii="Courier New" w:hAnsi="Courier New" w:hint="default"/>
      </w:rPr>
    </w:lvl>
    <w:lvl w:ilvl="8" w:tplc="679E8ABC">
      <w:start w:val="1"/>
      <w:numFmt w:val="bullet"/>
      <w:lvlText w:val=""/>
      <w:lvlJc w:val="left"/>
      <w:pPr>
        <w:ind w:left="6480" w:hanging="360"/>
      </w:pPr>
      <w:rPr>
        <w:rFonts w:ascii="Wingdings" w:hAnsi="Wingdings" w:hint="default"/>
      </w:rPr>
    </w:lvl>
  </w:abstractNum>
  <w:abstractNum w:abstractNumId="19" w15:restartNumberingAfterBreak="0">
    <w:nsid w:val="2A2C0C8C"/>
    <w:multiLevelType w:val="hybridMultilevel"/>
    <w:tmpl w:val="EE76A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CE6583"/>
    <w:multiLevelType w:val="hybridMultilevel"/>
    <w:tmpl w:val="1FA43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1A05BC"/>
    <w:multiLevelType w:val="hybridMultilevel"/>
    <w:tmpl w:val="D02A58F2"/>
    <w:lvl w:ilvl="0" w:tplc="999EAC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46877"/>
    <w:multiLevelType w:val="hybridMultilevel"/>
    <w:tmpl w:val="9DCADA1A"/>
    <w:lvl w:ilvl="0" w:tplc="9BC43E1A">
      <w:start w:val="1"/>
      <w:numFmt w:val="bullet"/>
      <w:lvlText w:val="·"/>
      <w:lvlJc w:val="left"/>
      <w:pPr>
        <w:ind w:left="720" w:hanging="360"/>
      </w:pPr>
      <w:rPr>
        <w:rFonts w:ascii="Symbol" w:hAnsi="Symbol" w:hint="default"/>
      </w:rPr>
    </w:lvl>
    <w:lvl w:ilvl="1" w:tplc="F24CF36A">
      <w:start w:val="1"/>
      <w:numFmt w:val="bullet"/>
      <w:lvlText w:val="o"/>
      <w:lvlJc w:val="left"/>
      <w:pPr>
        <w:ind w:left="1440" w:hanging="360"/>
      </w:pPr>
      <w:rPr>
        <w:rFonts w:ascii="Courier New" w:hAnsi="Courier New" w:hint="default"/>
      </w:rPr>
    </w:lvl>
    <w:lvl w:ilvl="2" w:tplc="B30692F2">
      <w:start w:val="1"/>
      <w:numFmt w:val="bullet"/>
      <w:lvlText w:val=""/>
      <w:lvlJc w:val="left"/>
      <w:pPr>
        <w:ind w:left="2160" w:hanging="360"/>
      </w:pPr>
      <w:rPr>
        <w:rFonts w:ascii="Wingdings" w:hAnsi="Wingdings" w:hint="default"/>
      </w:rPr>
    </w:lvl>
    <w:lvl w:ilvl="3" w:tplc="DC2C052A">
      <w:start w:val="1"/>
      <w:numFmt w:val="bullet"/>
      <w:lvlText w:val=""/>
      <w:lvlJc w:val="left"/>
      <w:pPr>
        <w:ind w:left="2880" w:hanging="360"/>
      </w:pPr>
      <w:rPr>
        <w:rFonts w:ascii="Symbol" w:hAnsi="Symbol" w:hint="default"/>
      </w:rPr>
    </w:lvl>
    <w:lvl w:ilvl="4" w:tplc="72687556">
      <w:start w:val="1"/>
      <w:numFmt w:val="bullet"/>
      <w:lvlText w:val="o"/>
      <w:lvlJc w:val="left"/>
      <w:pPr>
        <w:ind w:left="3600" w:hanging="360"/>
      </w:pPr>
      <w:rPr>
        <w:rFonts w:ascii="Courier New" w:hAnsi="Courier New" w:hint="default"/>
      </w:rPr>
    </w:lvl>
    <w:lvl w:ilvl="5" w:tplc="05F27AD2">
      <w:start w:val="1"/>
      <w:numFmt w:val="bullet"/>
      <w:lvlText w:val=""/>
      <w:lvlJc w:val="left"/>
      <w:pPr>
        <w:ind w:left="4320" w:hanging="360"/>
      </w:pPr>
      <w:rPr>
        <w:rFonts w:ascii="Wingdings" w:hAnsi="Wingdings" w:hint="default"/>
      </w:rPr>
    </w:lvl>
    <w:lvl w:ilvl="6" w:tplc="4F5290A0">
      <w:start w:val="1"/>
      <w:numFmt w:val="bullet"/>
      <w:lvlText w:val=""/>
      <w:lvlJc w:val="left"/>
      <w:pPr>
        <w:ind w:left="5040" w:hanging="360"/>
      </w:pPr>
      <w:rPr>
        <w:rFonts w:ascii="Symbol" w:hAnsi="Symbol" w:hint="default"/>
      </w:rPr>
    </w:lvl>
    <w:lvl w:ilvl="7" w:tplc="DF3A3F3E">
      <w:start w:val="1"/>
      <w:numFmt w:val="bullet"/>
      <w:lvlText w:val="o"/>
      <w:lvlJc w:val="left"/>
      <w:pPr>
        <w:ind w:left="5760" w:hanging="360"/>
      </w:pPr>
      <w:rPr>
        <w:rFonts w:ascii="Courier New" w:hAnsi="Courier New" w:hint="default"/>
      </w:rPr>
    </w:lvl>
    <w:lvl w:ilvl="8" w:tplc="A4885E80">
      <w:start w:val="1"/>
      <w:numFmt w:val="bullet"/>
      <w:lvlText w:val=""/>
      <w:lvlJc w:val="left"/>
      <w:pPr>
        <w:ind w:left="6480" w:hanging="360"/>
      </w:pPr>
      <w:rPr>
        <w:rFonts w:ascii="Wingdings" w:hAnsi="Wingding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A1890F"/>
    <w:multiLevelType w:val="hybridMultilevel"/>
    <w:tmpl w:val="9F36547C"/>
    <w:lvl w:ilvl="0" w:tplc="AC802BBE">
      <w:start w:val="1"/>
      <w:numFmt w:val="bullet"/>
      <w:lvlText w:val="·"/>
      <w:lvlJc w:val="left"/>
      <w:pPr>
        <w:ind w:left="720" w:hanging="360"/>
      </w:pPr>
      <w:rPr>
        <w:rFonts w:ascii="Symbol" w:hAnsi="Symbol" w:hint="default"/>
      </w:rPr>
    </w:lvl>
    <w:lvl w:ilvl="1" w:tplc="6B3C52F4">
      <w:start w:val="1"/>
      <w:numFmt w:val="bullet"/>
      <w:lvlText w:val="o"/>
      <w:lvlJc w:val="left"/>
      <w:pPr>
        <w:ind w:left="1440" w:hanging="360"/>
      </w:pPr>
      <w:rPr>
        <w:rFonts w:ascii="Courier New" w:hAnsi="Courier New" w:hint="default"/>
      </w:rPr>
    </w:lvl>
    <w:lvl w:ilvl="2" w:tplc="EFBC9862">
      <w:start w:val="1"/>
      <w:numFmt w:val="bullet"/>
      <w:lvlText w:val=""/>
      <w:lvlJc w:val="left"/>
      <w:pPr>
        <w:ind w:left="2160" w:hanging="360"/>
      </w:pPr>
      <w:rPr>
        <w:rFonts w:ascii="Wingdings" w:hAnsi="Wingdings" w:hint="default"/>
      </w:rPr>
    </w:lvl>
    <w:lvl w:ilvl="3" w:tplc="6186BF88">
      <w:start w:val="1"/>
      <w:numFmt w:val="bullet"/>
      <w:lvlText w:val=""/>
      <w:lvlJc w:val="left"/>
      <w:pPr>
        <w:ind w:left="2880" w:hanging="360"/>
      </w:pPr>
      <w:rPr>
        <w:rFonts w:ascii="Symbol" w:hAnsi="Symbol" w:hint="default"/>
      </w:rPr>
    </w:lvl>
    <w:lvl w:ilvl="4" w:tplc="6D12A4C8">
      <w:start w:val="1"/>
      <w:numFmt w:val="bullet"/>
      <w:lvlText w:val="o"/>
      <w:lvlJc w:val="left"/>
      <w:pPr>
        <w:ind w:left="3600" w:hanging="360"/>
      </w:pPr>
      <w:rPr>
        <w:rFonts w:ascii="Courier New" w:hAnsi="Courier New" w:hint="default"/>
      </w:rPr>
    </w:lvl>
    <w:lvl w:ilvl="5" w:tplc="15628E8A">
      <w:start w:val="1"/>
      <w:numFmt w:val="bullet"/>
      <w:lvlText w:val=""/>
      <w:lvlJc w:val="left"/>
      <w:pPr>
        <w:ind w:left="4320" w:hanging="360"/>
      </w:pPr>
      <w:rPr>
        <w:rFonts w:ascii="Wingdings" w:hAnsi="Wingdings" w:hint="default"/>
      </w:rPr>
    </w:lvl>
    <w:lvl w:ilvl="6" w:tplc="DEBA460E">
      <w:start w:val="1"/>
      <w:numFmt w:val="bullet"/>
      <w:lvlText w:val=""/>
      <w:lvlJc w:val="left"/>
      <w:pPr>
        <w:ind w:left="5040" w:hanging="360"/>
      </w:pPr>
      <w:rPr>
        <w:rFonts w:ascii="Symbol" w:hAnsi="Symbol" w:hint="default"/>
      </w:rPr>
    </w:lvl>
    <w:lvl w:ilvl="7" w:tplc="F86A8506">
      <w:start w:val="1"/>
      <w:numFmt w:val="bullet"/>
      <w:lvlText w:val="o"/>
      <w:lvlJc w:val="left"/>
      <w:pPr>
        <w:ind w:left="5760" w:hanging="360"/>
      </w:pPr>
      <w:rPr>
        <w:rFonts w:ascii="Courier New" w:hAnsi="Courier New" w:hint="default"/>
      </w:rPr>
    </w:lvl>
    <w:lvl w:ilvl="8" w:tplc="DC02B162">
      <w:start w:val="1"/>
      <w:numFmt w:val="bullet"/>
      <w:lvlText w:val=""/>
      <w:lvlJc w:val="left"/>
      <w:pPr>
        <w:ind w:left="6480" w:hanging="360"/>
      </w:pPr>
      <w:rPr>
        <w:rFonts w:ascii="Wingdings" w:hAnsi="Wingdings" w:hint="default"/>
      </w:rPr>
    </w:lvl>
  </w:abstractNum>
  <w:abstractNum w:abstractNumId="27" w15:restartNumberingAfterBreak="0">
    <w:nsid w:val="3F124A1D"/>
    <w:multiLevelType w:val="hybridMultilevel"/>
    <w:tmpl w:val="03BCC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F7E7AAF"/>
    <w:multiLevelType w:val="hybridMultilevel"/>
    <w:tmpl w:val="BF4A2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806453"/>
    <w:multiLevelType w:val="hybridMultilevel"/>
    <w:tmpl w:val="FD84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F704F0"/>
    <w:multiLevelType w:val="hybridMultilevel"/>
    <w:tmpl w:val="06B47C10"/>
    <w:lvl w:ilvl="0" w:tplc="123CD31A">
      <w:start w:val="1"/>
      <w:numFmt w:val="bullet"/>
      <w:lvlText w:val="·"/>
      <w:lvlJc w:val="left"/>
      <w:pPr>
        <w:ind w:left="720" w:hanging="360"/>
      </w:pPr>
      <w:rPr>
        <w:rFonts w:ascii="Symbol" w:hAnsi="Symbol" w:hint="default"/>
      </w:rPr>
    </w:lvl>
    <w:lvl w:ilvl="1" w:tplc="144AE15A">
      <w:start w:val="1"/>
      <w:numFmt w:val="bullet"/>
      <w:lvlText w:val="o"/>
      <w:lvlJc w:val="left"/>
      <w:pPr>
        <w:ind w:left="1440" w:hanging="360"/>
      </w:pPr>
      <w:rPr>
        <w:rFonts w:ascii="Courier New" w:hAnsi="Courier New" w:hint="default"/>
      </w:rPr>
    </w:lvl>
    <w:lvl w:ilvl="2" w:tplc="E0408522">
      <w:start w:val="1"/>
      <w:numFmt w:val="bullet"/>
      <w:lvlText w:val=""/>
      <w:lvlJc w:val="left"/>
      <w:pPr>
        <w:ind w:left="2160" w:hanging="360"/>
      </w:pPr>
      <w:rPr>
        <w:rFonts w:ascii="Wingdings" w:hAnsi="Wingdings" w:hint="default"/>
      </w:rPr>
    </w:lvl>
    <w:lvl w:ilvl="3" w:tplc="F894E17E">
      <w:start w:val="1"/>
      <w:numFmt w:val="bullet"/>
      <w:lvlText w:val=""/>
      <w:lvlJc w:val="left"/>
      <w:pPr>
        <w:ind w:left="2880" w:hanging="360"/>
      </w:pPr>
      <w:rPr>
        <w:rFonts w:ascii="Symbol" w:hAnsi="Symbol" w:hint="default"/>
      </w:rPr>
    </w:lvl>
    <w:lvl w:ilvl="4" w:tplc="55261DB0">
      <w:start w:val="1"/>
      <w:numFmt w:val="bullet"/>
      <w:lvlText w:val="o"/>
      <w:lvlJc w:val="left"/>
      <w:pPr>
        <w:ind w:left="3600" w:hanging="360"/>
      </w:pPr>
      <w:rPr>
        <w:rFonts w:ascii="Courier New" w:hAnsi="Courier New" w:hint="default"/>
      </w:rPr>
    </w:lvl>
    <w:lvl w:ilvl="5" w:tplc="5F64D530">
      <w:start w:val="1"/>
      <w:numFmt w:val="bullet"/>
      <w:lvlText w:val=""/>
      <w:lvlJc w:val="left"/>
      <w:pPr>
        <w:ind w:left="4320" w:hanging="360"/>
      </w:pPr>
      <w:rPr>
        <w:rFonts w:ascii="Wingdings" w:hAnsi="Wingdings" w:hint="default"/>
      </w:rPr>
    </w:lvl>
    <w:lvl w:ilvl="6" w:tplc="286E7644">
      <w:start w:val="1"/>
      <w:numFmt w:val="bullet"/>
      <w:lvlText w:val=""/>
      <w:lvlJc w:val="left"/>
      <w:pPr>
        <w:ind w:left="5040" w:hanging="360"/>
      </w:pPr>
      <w:rPr>
        <w:rFonts w:ascii="Symbol" w:hAnsi="Symbol" w:hint="default"/>
      </w:rPr>
    </w:lvl>
    <w:lvl w:ilvl="7" w:tplc="6C789044">
      <w:start w:val="1"/>
      <w:numFmt w:val="bullet"/>
      <w:lvlText w:val="o"/>
      <w:lvlJc w:val="left"/>
      <w:pPr>
        <w:ind w:left="5760" w:hanging="360"/>
      </w:pPr>
      <w:rPr>
        <w:rFonts w:ascii="Courier New" w:hAnsi="Courier New" w:hint="default"/>
      </w:rPr>
    </w:lvl>
    <w:lvl w:ilvl="8" w:tplc="F69EBFEC">
      <w:start w:val="1"/>
      <w:numFmt w:val="bullet"/>
      <w:lvlText w:val=""/>
      <w:lvlJc w:val="left"/>
      <w:pPr>
        <w:ind w:left="6480" w:hanging="360"/>
      </w:pPr>
      <w:rPr>
        <w:rFonts w:ascii="Wingdings" w:hAnsi="Wingdings" w:hint="default"/>
      </w:rPr>
    </w:lvl>
  </w:abstractNum>
  <w:abstractNum w:abstractNumId="32" w15:restartNumberingAfterBreak="0">
    <w:nsid w:val="6B6B2A15"/>
    <w:multiLevelType w:val="multilevel"/>
    <w:tmpl w:val="F61AE51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D02E078"/>
    <w:multiLevelType w:val="hybridMultilevel"/>
    <w:tmpl w:val="5FE8ACF8"/>
    <w:lvl w:ilvl="0" w:tplc="2ECE1EB6">
      <w:start w:val="1"/>
      <w:numFmt w:val="bullet"/>
      <w:lvlText w:val="·"/>
      <w:lvlJc w:val="left"/>
      <w:pPr>
        <w:ind w:left="720" w:hanging="360"/>
      </w:pPr>
      <w:rPr>
        <w:rFonts w:ascii="Symbol" w:hAnsi="Symbol" w:hint="default"/>
      </w:rPr>
    </w:lvl>
    <w:lvl w:ilvl="1" w:tplc="8CB4532A">
      <w:start w:val="1"/>
      <w:numFmt w:val="bullet"/>
      <w:lvlText w:val="o"/>
      <w:lvlJc w:val="left"/>
      <w:pPr>
        <w:ind w:left="1440" w:hanging="360"/>
      </w:pPr>
      <w:rPr>
        <w:rFonts w:ascii="Courier New" w:hAnsi="Courier New" w:hint="default"/>
      </w:rPr>
    </w:lvl>
    <w:lvl w:ilvl="2" w:tplc="0B2ACBDA">
      <w:start w:val="1"/>
      <w:numFmt w:val="bullet"/>
      <w:lvlText w:val=""/>
      <w:lvlJc w:val="left"/>
      <w:pPr>
        <w:ind w:left="2160" w:hanging="360"/>
      </w:pPr>
      <w:rPr>
        <w:rFonts w:ascii="Wingdings" w:hAnsi="Wingdings" w:hint="default"/>
      </w:rPr>
    </w:lvl>
    <w:lvl w:ilvl="3" w:tplc="005408D4">
      <w:start w:val="1"/>
      <w:numFmt w:val="bullet"/>
      <w:lvlText w:val=""/>
      <w:lvlJc w:val="left"/>
      <w:pPr>
        <w:ind w:left="2880" w:hanging="360"/>
      </w:pPr>
      <w:rPr>
        <w:rFonts w:ascii="Symbol" w:hAnsi="Symbol" w:hint="default"/>
      </w:rPr>
    </w:lvl>
    <w:lvl w:ilvl="4" w:tplc="E8C8F29C">
      <w:start w:val="1"/>
      <w:numFmt w:val="bullet"/>
      <w:lvlText w:val="o"/>
      <w:lvlJc w:val="left"/>
      <w:pPr>
        <w:ind w:left="3600" w:hanging="360"/>
      </w:pPr>
      <w:rPr>
        <w:rFonts w:ascii="Courier New" w:hAnsi="Courier New" w:hint="default"/>
      </w:rPr>
    </w:lvl>
    <w:lvl w:ilvl="5" w:tplc="D044535E">
      <w:start w:val="1"/>
      <w:numFmt w:val="bullet"/>
      <w:lvlText w:val=""/>
      <w:lvlJc w:val="left"/>
      <w:pPr>
        <w:ind w:left="4320" w:hanging="360"/>
      </w:pPr>
      <w:rPr>
        <w:rFonts w:ascii="Wingdings" w:hAnsi="Wingdings" w:hint="default"/>
      </w:rPr>
    </w:lvl>
    <w:lvl w:ilvl="6" w:tplc="C226C172">
      <w:start w:val="1"/>
      <w:numFmt w:val="bullet"/>
      <w:lvlText w:val=""/>
      <w:lvlJc w:val="left"/>
      <w:pPr>
        <w:ind w:left="5040" w:hanging="360"/>
      </w:pPr>
      <w:rPr>
        <w:rFonts w:ascii="Symbol" w:hAnsi="Symbol" w:hint="default"/>
      </w:rPr>
    </w:lvl>
    <w:lvl w:ilvl="7" w:tplc="C952D0B6">
      <w:start w:val="1"/>
      <w:numFmt w:val="bullet"/>
      <w:lvlText w:val="o"/>
      <w:lvlJc w:val="left"/>
      <w:pPr>
        <w:ind w:left="5760" w:hanging="360"/>
      </w:pPr>
      <w:rPr>
        <w:rFonts w:ascii="Courier New" w:hAnsi="Courier New" w:hint="default"/>
      </w:rPr>
    </w:lvl>
    <w:lvl w:ilvl="8" w:tplc="7D50D852">
      <w:start w:val="1"/>
      <w:numFmt w:val="bullet"/>
      <w:lvlText w:val=""/>
      <w:lvlJc w:val="left"/>
      <w:pPr>
        <w:ind w:left="6480" w:hanging="360"/>
      </w:pPr>
      <w:rPr>
        <w:rFonts w:ascii="Wingdings" w:hAnsi="Wingdings" w:hint="default"/>
      </w:rPr>
    </w:lvl>
  </w:abstractNum>
  <w:abstractNum w:abstractNumId="3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53F035"/>
    <w:multiLevelType w:val="hybridMultilevel"/>
    <w:tmpl w:val="AEAA1B74"/>
    <w:lvl w:ilvl="0" w:tplc="8384D06C">
      <w:start w:val="1"/>
      <w:numFmt w:val="bullet"/>
      <w:lvlText w:val="·"/>
      <w:lvlJc w:val="left"/>
      <w:pPr>
        <w:ind w:left="720" w:hanging="360"/>
      </w:pPr>
      <w:rPr>
        <w:rFonts w:ascii="Symbol" w:hAnsi="Symbol" w:hint="default"/>
      </w:rPr>
    </w:lvl>
    <w:lvl w:ilvl="1" w:tplc="4D948FD4">
      <w:start w:val="1"/>
      <w:numFmt w:val="bullet"/>
      <w:lvlText w:val="o"/>
      <w:lvlJc w:val="left"/>
      <w:pPr>
        <w:ind w:left="1440" w:hanging="360"/>
      </w:pPr>
      <w:rPr>
        <w:rFonts w:ascii="Courier New" w:hAnsi="Courier New" w:hint="default"/>
      </w:rPr>
    </w:lvl>
    <w:lvl w:ilvl="2" w:tplc="55A07080">
      <w:start w:val="1"/>
      <w:numFmt w:val="bullet"/>
      <w:lvlText w:val=""/>
      <w:lvlJc w:val="left"/>
      <w:pPr>
        <w:ind w:left="2160" w:hanging="360"/>
      </w:pPr>
      <w:rPr>
        <w:rFonts w:ascii="Wingdings" w:hAnsi="Wingdings" w:hint="default"/>
      </w:rPr>
    </w:lvl>
    <w:lvl w:ilvl="3" w:tplc="3B8CCDE6">
      <w:start w:val="1"/>
      <w:numFmt w:val="bullet"/>
      <w:lvlText w:val=""/>
      <w:lvlJc w:val="left"/>
      <w:pPr>
        <w:ind w:left="2880" w:hanging="360"/>
      </w:pPr>
      <w:rPr>
        <w:rFonts w:ascii="Symbol" w:hAnsi="Symbol" w:hint="default"/>
      </w:rPr>
    </w:lvl>
    <w:lvl w:ilvl="4" w:tplc="72D02596">
      <w:start w:val="1"/>
      <w:numFmt w:val="bullet"/>
      <w:lvlText w:val="o"/>
      <w:lvlJc w:val="left"/>
      <w:pPr>
        <w:ind w:left="3600" w:hanging="360"/>
      </w:pPr>
      <w:rPr>
        <w:rFonts w:ascii="Courier New" w:hAnsi="Courier New" w:hint="default"/>
      </w:rPr>
    </w:lvl>
    <w:lvl w:ilvl="5" w:tplc="61DA5E72">
      <w:start w:val="1"/>
      <w:numFmt w:val="bullet"/>
      <w:lvlText w:val=""/>
      <w:lvlJc w:val="left"/>
      <w:pPr>
        <w:ind w:left="4320" w:hanging="360"/>
      </w:pPr>
      <w:rPr>
        <w:rFonts w:ascii="Wingdings" w:hAnsi="Wingdings" w:hint="default"/>
      </w:rPr>
    </w:lvl>
    <w:lvl w:ilvl="6" w:tplc="B35A3540">
      <w:start w:val="1"/>
      <w:numFmt w:val="bullet"/>
      <w:lvlText w:val=""/>
      <w:lvlJc w:val="left"/>
      <w:pPr>
        <w:ind w:left="5040" w:hanging="360"/>
      </w:pPr>
      <w:rPr>
        <w:rFonts w:ascii="Symbol" w:hAnsi="Symbol" w:hint="default"/>
      </w:rPr>
    </w:lvl>
    <w:lvl w:ilvl="7" w:tplc="3E28F2F8">
      <w:start w:val="1"/>
      <w:numFmt w:val="bullet"/>
      <w:lvlText w:val="o"/>
      <w:lvlJc w:val="left"/>
      <w:pPr>
        <w:ind w:left="5760" w:hanging="360"/>
      </w:pPr>
      <w:rPr>
        <w:rFonts w:ascii="Courier New" w:hAnsi="Courier New" w:hint="default"/>
      </w:rPr>
    </w:lvl>
    <w:lvl w:ilvl="8" w:tplc="BBBEED3C">
      <w:start w:val="1"/>
      <w:numFmt w:val="bullet"/>
      <w:lvlText w:val=""/>
      <w:lvlJc w:val="left"/>
      <w:pPr>
        <w:ind w:left="6480" w:hanging="360"/>
      </w:pPr>
      <w:rPr>
        <w:rFonts w:ascii="Wingdings" w:hAnsi="Wingdings" w:hint="default"/>
      </w:rPr>
    </w:lvl>
  </w:abstractNum>
  <w:abstractNum w:abstractNumId="36" w15:restartNumberingAfterBreak="0">
    <w:nsid w:val="72EE5B23"/>
    <w:multiLevelType w:val="hybridMultilevel"/>
    <w:tmpl w:val="1B68E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C215ECA"/>
    <w:multiLevelType w:val="hybridMultilevel"/>
    <w:tmpl w:val="7C4A9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8971822">
    <w:abstractNumId w:val="16"/>
  </w:num>
  <w:num w:numId="2" w16cid:durableId="1704924">
    <w:abstractNumId w:val="5"/>
  </w:num>
  <w:num w:numId="3" w16cid:durableId="612518755">
    <w:abstractNumId w:val="4"/>
  </w:num>
  <w:num w:numId="4" w16cid:durableId="432895486">
    <w:abstractNumId w:val="3"/>
  </w:num>
  <w:num w:numId="5" w16cid:durableId="2107530410">
    <w:abstractNumId w:val="22"/>
  </w:num>
  <w:num w:numId="6" w16cid:durableId="1458258487">
    <w:abstractNumId w:val="2"/>
  </w:num>
  <w:num w:numId="7" w16cid:durableId="1090271987">
    <w:abstractNumId w:val="1"/>
  </w:num>
  <w:num w:numId="8" w16cid:durableId="1969045009">
    <w:abstractNumId w:val="0"/>
  </w:num>
  <w:num w:numId="9" w16cid:durableId="646519015">
    <w:abstractNumId w:val="21"/>
  </w:num>
  <w:num w:numId="10" w16cid:durableId="2086031458">
    <w:abstractNumId w:val="8"/>
  </w:num>
  <w:num w:numId="11" w16cid:durableId="924648556">
    <w:abstractNumId w:val="34"/>
  </w:num>
  <w:num w:numId="12" w16cid:durableId="234050240">
    <w:abstractNumId w:val="15"/>
  </w:num>
  <w:num w:numId="13" w16cid:durableId="18318672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2015957">
    <w:abstractNumId w:val="10"/>
  </w:num>
  <w:num w:numId="15" w16cid:durableId="1558738227">
    <w:abstractNumId w:val="6"/>
  </w:num>
  <w:num w:numId="16" w16cid:durableId="374042684">
    <w:abstractNumId w:val="37"/>
  </w:num>
  <w:num w:numId="17" w16cid:durableId="1036126673">
    <w:abstractNumId w:val="25"/>
  </w:num>
  <w:num w:numId="18" w16cid:durableId="1922908658">
    <w:abstractNumId w:val="9"/>
  </w:num>
  <w:num w:numId="19" w16cid:durableId="1067537688">
    <w:abstractNumId w:val="29"/>
  </w:num>
  <w:num w:numId="20" w16cid:durableId="1956790512">
    <w:abstractNumId w:val="20"/>
  </w:num>
  <w:num w:numId="21" w16cid:durableId="303050383">
    <w:abstractNumId w:val="27"/>
  </w:num>
  <w:num w:numId="22" w16cid:durableId="585457096">
    <w:abstractNumId w:val="17"/>
  </w:num>
  <w:num w:numId="23" w16cid:durableId="990446705">
    <w:abstractNumId w:val="32"/>
  </w:num>
  <w:num w:numId="24" w16cid:durableId="83914997">
    <w:abstractNumId w:val="13"/>
  </w:num>
  <w:num w:numId="25" w16cid:durableId="323631639">
    <w:abstractNumId w:val="30"/>
  </w:num>
  <w:num w:numId="26" w16cid:durableId="941106836">
    <w:abstractNumId w:val="38"/>
  </w:num>
  <w:num w:numId="27" w16cid:durableId="1677805600">
    <w:abstractNumId w:val="19"/>
  </w:num>
  <w:num w:numId="28" w16cid:durableId="1090547309">
    <w:abstractNumId w:val="28"/>
  </w:num>
  <w:num w:numId="29" w16cid:durableId="1772703695">
    <w:abstractNumId w:val="12"/>
  </w:num>
  <w:num w:numId="30" w16cid:durableId="302975265">
    <w:abstractNumId w:val="7"/>
  </w:num>
  <w:num w:numId="31" w16cid:durableId="147982457">
    <w:abstractNumId w:val="23"/>
  </w:num>
  <w:num w:numId="32" w16cid:durableId="94986386">
    <w:abstractNumId w:val="33"/>
  </w:num>
  <w:num w:numId="33" w16cid:durableId="1614433104">
    <w:abstractNumId w:val="26"/>
  </w:num>
  <w:num w:numId="34" w16cid:durableId="720177572">
    <w:abstractNumId w:val="18"/>
  </w:num>
  <w:num w:numId="35" w16cid:durableId="192545540">
    <w:abstractNumId w:val="31"/>
  </w:num>
  <w:num w:numId="36" w16cid:durableId="949355098">
    <w:abstractNumId w:val="24"/>
  </w:num>
  <w:num w:numId="37" w16cid:durableId="1689864025">
    <w:abstractNumId w:val="35"/>
  </w:num>
  <w:num w:numId="38" w16cid:durableId="1225490007">
    <w:abstractNumId w:val="11"/>
  </w:num>
  <w:num w:numId="39" w16cid:durableId="1696226502">
    <w:abstractNumId w:val="14"/>
  </w:num>
  <w:num w:numId="40" w16cid:durableId="2126163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184C"/>
    <w:rsid w:val="00045E1D"/>
    <w:rsid w:val="000521D7"/>
    <w:rsid w:val="000529B5"/>
    <w:rsid w:val="00073833"/>
    <w:rsid w:val="00095F4B"/>
    <w:rsid w:val="000960CF"/>
    <w:rsid w:val="00096615"/>
    <w:rsid w:val="00097E1E"/>
    <w:rsid w:val="000A0B58"/>
    <w:rsid w:val="000A2622"/>
    <w:rsid w:val="000A3A19"/>
    <w:rsid w:val="000A6228"/>
    <w:rsid w:val="000B5D40"/>
    <w:rsid w:val="000B7EC4"/>
    <w:rsid w:val="000B7EC6"/>
    <w:rsid w:val="000D4817"/>
    <w:rsid w:val="000E2843"/>
    <w:rsid w:val="000F0B2E"/>
    <w:rsid w:val="00107D87"/>
    <w:rsid w:val="00107DD5"/>
    <w:rsid w:val="00110488"/>
    <w:rsid w:val="0011070F"/>
    <w:rsid w:val="00122C18"/>
    <w:rsid w:val="0012343A"/>
    <w:rsid w:val="00123AB9"/>
    <w:rsid w:val="00125F5F"/>
    <w:rsid w:val="00133B8D"/>
    <w:rsid w:val="0013611E"/>
    <w:rsid w:val="001367A1"/>
    <w:rsid w:val="00137CF3"/>
    <w:rsid w:val="001515BF"/>
    <w:rsid w:val="00152AEB"/>
    <w:rsid w:val="0015549C"/>
    <w:rsid w:val="0017134D"/>
    <w:rsid w:val="001875EF"/>
    <w:rsid w:val="00194E2D"/>
    <w:rsid w:val="00196CDA"/>
    <w:rsid w:val="001B109C"/>
    <w:rsid w:val="001B6C64"/>
    <w:rsid w:val="001C1523"/>
    <w:rsid w:val="001E3BF1"/>
    <w:rsid w:val="001E6DBC"/>
    <w:rsid w:val="001F4F74"/>
    <w:rsid w:val="0020739C"/>
    <w:rsid w:val="002167A8"/>
    <w:rsid w:val="00216FA0"/>
    <w:rsid w:val="00217414"/>
    <w:rsid w:val="00221D8F"/>
    <w:rsid w:val="00223298"/>
    <w:rsid w:val="002272DB"/>
    <w:rsid w:val="00235752"/>
    <w:rsid w:val="00236A51"/>
    <w:rsid w:val="00241CF3"/>
    <w:rsid w:val="00257990"/>
    <w:rsid w:val="00276047"/>
    <w:rsid w:val="002775F3"/>
    <w:rsid w:val="002912FA"/>
    <w:rsid w:val="0029213F"/>
    <w:rsid w:val="0029618B"/>
    <w:rsid w:val="002A4458"/>
    <w:rsid w:val="002B0E77"/>
    <w:rsid w:val="002C1F0F"/>
    <w:rsid w:val="002C484F"/>
    <w:rsid w:val="002D3EFA"/>
    <w:rsid w:val="002D589A"/>
    <w:rsid w:val="002D75D9"/>
    <w:rsid w:val="002E491A"/>
    <w:rsid w:val="002E7A8E"/>
    <w:rsid w:val="002F4604"/>
    <w:rsid w:val="00304890"/>
    <w:rsid w:val="0031117D"/>
    <w:rsid w:val="0031273D"/>
    <w:rsid w:val="003144C5"/>
    <w:rsid w:val="00323609"/>
    <w:rsid w:val="00356520"/>
    <w:rsid w:val="00371809"/>
    <w:rsid w:val="00374883"/>
    <w:rsid w:val="003816D1"/>
    <w:rsid w:val="0039537E"/>
    <w:rsid w:val="003A222B"/>
    <w:rsid w:val="003C0634"/>
    <w:rsid w:val="003F5D0C"/>
    <w:rsid w:val="0040155D"/>
    <w:rsid w:val="00415AA5"/>
    <w:rsid w:val="0041713E"/>
    <w:rsid w:val="00421D3F"/>
    <w:rsid w:val="0042211C"/>
    <w:rsid w:val="00423785"/>
    <w:rsid w:val="0042692C"/>
    <w:rsid w:val="00452D26"/>
    <w:rsid w:val="00457599"/>
    <w:rsid w:val="00457B8D"/>
    <w:rsid w:val="00462848"/>
    <w:rsid w:val="00463568"/>
    <w:rsid w:val="004661B4"/>
    <w:rsid w:val="004855DD"/>
    <w:rsid w:val="00491D28"/>
    <w:rsid w:val="0049333E"/>
    <w:rsid w:val="004A06CD"/>
    <w:rsid w:val="004A3DF0"/>
    <w:rsid w:val="004A4B6F"/>
    <w:rsid w:val="004A4CF9"/>
    <w:rsid w:val="004A76EE"/>
    <w:rsid w:val="004D2965"/>
    <w:rsid w:val="004D2D9D"/>
    <w:rsid w:val="004D51A3"/>
    <w:rsid w:val="004E6C1C"/>
    <w:rsid w:val="004F4B45"/>
    <w:rsid w:val="005023F3"/>
    <w:rsid w:val="00505A08"/>
    <w:rsid w:val="0051029D"/>
    <w:rsid w:val="00512D31"/>
    <w:rsid w:val="00520BA6"/>
    <w:rsid w:val="005364DD"/>
    <w:rsid w:val="00541139"/>
    <w:rsid w:val="00547FB7"/>
    <w:rsid w:val="00555744"/>
    <w:rsid w:val="00556561"/>
    <w:rsid w:val="00565469"/>
    <w:rsid w:val="0057028F"/>
    <w:rsid w:val="00571670"/>
    <w:rsid w:val="005717A5"/>
    <w:rsid w:val="005750D8"/>
    <w:rsid w:val="00586DBD"/>
    <w:rsid w:val="00591F57"/>
    <w:rsid w:val="005923C2"/>
    <w:rsid w:val="005949E3"/>
    <w:rsid w:val="00595F0B"/>
    <w:rsid w:val="00596073"/>
    <w:rsid w:val="00597707"/>
    <w:rsid w:val="005A75C9"/>
    <w:rsid w:val="005B184B"/>
    <w:rsid w:val="005B187D"/>
    <w:rsid w:val="005B37A9"/>
    <w:rsid w:val="005D5679"/>
    <w:rsid w:val="005F015E"/>
    <w:rsid w:val="005F35D6"/>
    <w:rsid w:val="0061317E"/>
    <w:rsid w:val="006139F3"/>
    <w:rsid w:val="006232DC"/>
    <w:rsid w:val="0063094F"/>
    <w:rsid w:val="006344D4"/>
    <w:rsid w:val="00635B54"/>
    <w:rsid w:val="00643CDF"/>
    <w:rsid w:val="00650565"/>
    <w:rsid w:val="006549E1"/>
    <w:rsid w:val="006640A1"/>
    <w:rsid w:val="00671F47"/>
    <w:rsid w:val="006767A2"/>
    <w:rsid w:val="006A3B72"/>
    <w:rsid w:val="006B2B77"/>
    <w:rsid w:val="006C1BBB"/>
    <w:rsid w:val="006C4A76"/>
    <w:rsid w:val="006D67F3"/>
    <w:rsid w:val="006E6078"/>
    <w:rsid w:val="006F1FFF"/>
    <w:rsid w:val="006F2406"/>
    <w:rsid w:val="006F3819"/>
    <w:rsid w:val="006F3DA7"/>
    <w:rsid w:val="006F6D10"/>
    <w:rsid w:val="00700151"/>
    <w:rsid w:val="0070665E"/>
    <w:rsid w:val="00712B94"/>
    <w:rsid w:val="0071658D"/>
    <w:rsid w:val="00717352"/>
    <w:rsid w:val="007209D9"/>
    <w:rsid w:val="00733FF6"/>
    <w:rsid w:val="0073545A"/>
    <w:rsid w:val="007434E7"/>
    <w:rsid w:val="0074509A"/>
    <w:rsid w:val="007517BA"/>
    <w:rsid w:val="0075465C"/>
    <w:rsid w:val="007653FF"/>
    <w:rsid w:val="00772F28"/>
    <w:rsid w:val="0077782B"/>
    <w:rsid w:val="00790DA9"/>
    <w:rsid w:val="007960B5"/>
    <w:rsid w:val="00796687"/>
    <w:rsid w:val="007B2CA1"/>
    <w:rsid w:val="007C5D27"/>
    <w:rsid w:val="007C5EAF"/>
    <w:rsid w:val="007D0ABC"/>
    <w:rsid w:val="007D42DB"/>
    <w:rsid w:val="007E1D68"/>
    <w:rsid w:val="007E6875"/>
    <w:rsid w:val="008011C5"/>
    <w:rsid w:val="008034C4"/>
    <w:rsid w:val="008042F5"/>
    <w:rsid w:val="008232D4"/>
    <w:rsid w:val="00827866"/>
    <w:rsid w:val="0083477E"/>
    <w:rsid w:val="00834956"/>
    <w:rsid w:val="0084050D"/>
    <w:rsid w:val="00846A48"/>
    <w:rsid w:val="00856C6E"/>
    <w:rsid w:val="00862024"/>
    <w:rsid w:val="0086428D"/>
    <w:rsid w:val="00886959"/>
    <w:rsid w:val="00893A34"/>
    <w:rsid w:val="008A36E1"/>
    <w:rsid w:val="008A37A7"/>
    <w:rsid w:val="008A4C5D"/>
    <w:rsid w:val="008A7AB4"/>
    <w:rsid w:val="008B0736"/>
    <w:rsid w:val="008C1F5A"/>
    <w:rsid w:val="008D18D0"/>
    <w:rsid w:val="008D4FA9"/>
    <w:rsid w:val="008E2629"/>
    <w:rsid w:val="008E4806"/>
    <w:rsid w:val="008F023E"/>
    <w:rsid w:val="008F2946"/>
    <w:rsid w:val="008F2CED"/>
    <w:rsid w:val="008F74E6"/>
    <w:rsid w:val="00902C63"/>
    <w:rsid w:val="00904121"/>
    <w:rsid w:val="00907EBF"/>
    <w:rsid w:val="00913D0F"/>
    <w:rsid w:val="00915CCA"/>
    <w:rsid w:val="00916F73"/>
    <w:rsid w:val="009354D0"/>
    <w:rsid w:val="00941720"/>
    <w:rsid w:val="009441FE"/>
    <w:rsid w:val="00950B06"/>
    <w:rsid w:val="00952298"/>
    <w:rsid w:val="00952ACA"/>
    <w:rsid w:val="00953C37"/>
    <w:rsid w:val="00970069"/>
    <w:rsid w:val="009721EB"/>
    <w:rsid w:val="009741FE"/>
    <w:rsid w:val="009769D1"/>
    <w:rsid w:val="00980B05"/>
    <w:rsid w:val="00984A4A"/>
    <w:rsid w:val="00994D60"/>
    <w:rsid w:val="009A08CE"/>
    <w:rsid w:val="009A525D"/>
    <w:rsid w:val="009B706E"/>
    <w:rsid w:val="009C1E72"/>
    <w:rsid w:val="009C423A"/>
    <w:rsid w:val="009E79ED"/>
    <w:rsid w:val="009F6675"/>
    <w:rsid w:val="009F7344"/>
    <w:rsid w:val="00A07596"/>
    <w:rsid w:val="00A17A08"/>
    <w:rsid w:val="00A2072C"/>
    <w:rsid w:val="00A21E81"/>
    <w:rsid w:val="00A261C9"/>
    <w:rsid w:val="00A314D3"/>
    <w:rsid w:val="00A53362"/>
    <w:rsid w:val="00A56A45"/>
    <w:rsid w:val="00A60673"/>
    <w:rsid w:val="00A61878"/>
    <w:rsid w:val="00A62EE7"/>
    <w:rsid w:val="00A64EF1"/>
    <w:rsid w:val="00A67231"/>
    <w:rsid w:val="00A818DE"/>
    <w:rsid w:val="00A851FF"/>
    <w:rsid w:val="00AA2CA8"/>
    <w:rsid w:val="00AA6E6A"/>
    <w:rsid w:val="00AB2A61"/>
    <w:rsid w:val="00AB6914"/>
    <w:rsid w:val="00AC1872"/>
    <w:rsid w:val="00AC21EE"/>
    <w:rsid w:val="00AC6B14"/>
    <w:rsid w:val="00AD13D0"/>
    <w:rsid w:val="00AD23B0"/>
    <w:rsid w:val="00AD631F"/>
    <w:rsid w:val="00AE21FF"/>
    <w:rsid w:val="00AE3D76"/>
    <w:rsid w:val="00AF17D8"/>
    <w:rsid w:val="00AF1F18"/>
    <w:rsid w:val="00AF7135"/>
    <w:rsid w:val="00B04FA8"/>
    <w:rsid w:val="00B0726E"/>
    <w:rsid w:val="00B16EF3"/>
    <w:rsid w:val="00B219D1"/>
    <w:rsid w:val="00B2776D"/>
    <w:rsid w:val="00B36C33"/>
    <w:rsid w:val="00B37F99"/>
    <w:rsid w:val="00B4005A"/>
    <w:rsid w:val="00B4397F"/>
    <w:rsid w:val="00B57C27"/>
    <w:rsid w:val="00B602B9"/>
    <w:rsid w:val="00B64B3D"/>
    <w:rsid w:val="00B66810"/>
    <w:rsid w:val="00B72125"/>
    <w:rsid w:val="00B733DE"/>
    <w:rsid w:val="00B760C8"/>
    <w:rsid w:val="00B81FA4"/>
    <w:rsid w:val="00B84DE9"/>
    <w:rsid w:val="00B86034"/>
    <w:rsid w:val="00B8794C"/>
    <w:rsid w:val="00B909CD"/>
    <w:rsid w:val="00B93B6A"/>
    <w:rsid w:val="00B95EF4"/>
    <w:rsid w:val="00BB61E5"/>
    <w:rsid w:val="00BB6509"/>
    <w:rsid w:val="00BC043D"/>
    <w:rsid w:val="00BC0E42"/>
    <w:rsid w:val="00BC1FDC"/>
    <w:rsid w:val="00BC2349"/>
    <w:rsid w:val="00BC248C"/>
    <w:rsid w:val="00BD5DD1"/>
    <w:rsid w:val="00BD69A3"/>
    <w:rsid w:val="00BE52EB"/>
    <w:rsid w:val="00C01EC0"/>
    <w:rsid w:val="00C212D2"/>
    <w:rsid w:val="00C226AE"/>
    <w:rsid w:val="00C2270F"/>
    <w:rsid w:val="00C244EE"/>
    <w:rsid w:val="00C319A4"/>
    <w:rsid w:val="00C32AE5"/>
    <w:rsid w:val="00C42446"/>
    <w:rsid w:val="00C56C95"/>
    <w:rsid w:val="00C62E30"/>
    <w:rsid w:val="00C66280"/>
    <w:rsid w:val="00C72224"/>
    <w:rsid w:val="00C75706"/>
    <w:rsid w:val="00C76A9C"/>
    <w:rsid w:val="00C9232B"/>
    <w:rsid w:val="00CA068F"/>
    <w:rsid w:val="00CA4815"/>
    <w:rsid w:val="00CB05C1"/>
    <w:rsid w:val="00CC1725"/>
    <w:rsid w:val="00CE5C46"/>
    <w:rsid w:val="00CF2F31"/>
    <w:rsid w:val="00CF6562"/>
    <w:rsid w:val="00D05401"/>
    <w:rsid w:val="00D1507A"/>
    <w:rsid w:val="00D17DC2"/>
    <w:rsid w:val="00D219A1"/>
    <w:rsid w:val="00D21A58"/>
    <w:rsid w:val="00D22F93"/>
    <w:rsid w:val="00D23ABC"/>
    <w:rsid w:val="00D41DDB"/>
    <w:rsid w:val="00D5688A"/>
    <w:rsid w:val="00D5743A"/>
    <w:rsid w:val="00D65E8B"/>
    <w:rsid w:val="00D73448"/>
    <w:rsid w:val="00D7558A"/>
    <w:rsid w:val="00D7790C"/>
    <w:rsid w:val="00D82BFE"/>
    <w:rsid w:val="00D86284"/>
    <w:rsid w:val="00D90947"/>
    <w:rsid w:val="00D90F54"/>
    <w:rsid w:val="00D971AD"/>
    <w:rsid w:val="00DB2992"/>
    <w:rsid w:val="00DB2D4B"/>
    <w:rsid w:val="00DC2300"/>
    <w:rsid w:val="00DC4AAE"/>
    <w:rsid w:val="00DC5980"/>
    <w:rsid w:val="00DC64A6"/>
    <w:rsid w:val="00DD2B46"/>
    <w:rsid w:val="00DD3400"/>
    <w:rsid w:val="00DD3642"/>
    <w:rsid w:val="00DE0C88"/>
    <w:rsid w:val="00DE7501"/>
    <w:rsid w:val="00DF2BC7"/>
    <w:rsid w:val="00DF320B"/>
    <w:rsid w:val="00DF3F63"/>
    <w:rsid w:val="00E03CF6"/>
    <w:rsid w:val="00E06ED6"/>
    <w:rsid w:val="00E0752E"/>
    <w:rsid w:val="00E114B4"/>
    <w:rsid w:val="00E1233F"/>
    <w:rsid w:val="00E26A79"/>
    <w:rsid w:val="00E30B4D"/>
    <w:rsid w:val="00E529E5"/>
    <w:rsid w:val="00E55C8C"/>
    <w:rsid w:val="00E8287F"/>
    <w:rsid w:val="00E92B62"/>
    <w:rsid w:val="00E9333B"/>
    <w:rsid w:val="00EB4C2F"/>
    <w:rsid w:val="00EC2625"/>
    <w:rsid w:val="00ED0DDF"/>
    <w:rsid w:val="00EE0FE5"/>
    <w:rsid w:val="00EE2E52"/>
    <w:rsid w:val="00EF5C61"/>
    <w:rsid w:val="00EF6160"/>
    <w:rsid w:val="00F07246"/>
    <w:rsid w:val="00F1000D"/>
    <w:rsid w:val="00F11041"/>
    <w:rsid w:val="00F23E4D"/>
    <w:rsid w:val="00F30BFA"/>
    <w:rsid w:val="00F311A4"/>
    <w:rsid w:val="00F476AF"/>
    <w:rsid w:val="00F521D0"/>
    <w:rsid w:val="00F60B66"/>
    <w:rsid w:val="00F6562C"/>
    <w:rsid w:val="00F65B83"/>
    <w:rsid w:val="00F8292E"/>
    <w:rsid w:val="00F82C2C"/>
    <w:rsid w:val="00F85913"/>
    <w:rsid w:val="00F91AF6"/>
    <w:rsid w:val="00FA7392"/>
    <w:rsid w:val="00FB6A33"/>
    <w:rsid w:val="00FC1221"/>
    <w:rsid w:val="00FC2B31"/>
    <w:rsid w:val="00FD4D6E"/>
    <w:rsid w:val="00FD6383"/>
    <w:rsid w:val="00FD7A94"/>
    <w:rsid w:val="00FE7737"/>
    <w:rsid w:val="00FF4F82"/>
    <w:rsid w:val="00FF5BC8"/>
    <w:rsid w:val="085CE8A3"/>
    <w:rsid w:val="0A23093A"/>
    <w:rsid w:val="12B4C074"/>
    <w:rsid w:val="1A091D35"/>
    <w:rsid w:val="23673D44"/>
    <w:rsid w:val="23FE8EBF"/>
    <w:rsid w:val="381D42E7"/>
    <w:rsid w:val="4319BC5C"/>
    <w:rsid w:val="451C55B1"/>
    <w:rsid w:val="4E089805"/>
    <w:rsid w:val="51F9B90C"/>
    <w:rsid w:val="62E47E4A"/>
    <w:rsid w:val="6C395FBC"/>
    <w:rsid w:val="6DCF43EC"/>
    <w:rsid w:val="6ECF5424"/>
    <w:rsid w:val="7FD80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1436C51-1DF0-A44B-8F0E-F241E1EB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customStyle="1" w:styleId="Default">
    <w:name w:val="Default"/>
    <w:rsid w:val="00BE52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E52EB"/>
    <w:rPr>
      <w:color w:val="CE372F" w:themeColor="followedHyperlink"/>
      <w:u w:val="single"/>
    </w:rPr>
  </w:style>
  <w:style w:type="paragraph" w:styleId="NormalWeb">
    <w:name w:val="Normal (Web)"/>
    <w:basedOn w:val="Normal"/>
    <w:uiPriority w:val="99"/>
    <w:unhideWhenUsed/>
    <w:rsid w:val="00CF2F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semiHidden/>
    <w:qFormat/>
    <w:rsid w:val="00CF2F3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55656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556561"/>
  </w:style>
  <w:style w:type="paragraph" w:styleId="BalloonText">
    <w:name w:val="Balloon Text"/>
    <w:basedOn w:val="Normal"/>
    <w:link w:val="BalloonTextChar"/>
    <w:uiPriority w:val="99"/>
    <w:semiHidden/>
    <w:unhideWhenUsed/>
    <w:rsid w:val="00C66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5082">
      <w:bodyDiv w:val="1"/>
      <w:marLeft w:val="0"/>
      <w:marRight w:val="0"/>
      <w:marTop w:val="0"/>
      <w:marBottom w:val="0"/>
      <w:divBdr>
        <w:top w:val="none" w:sz="0" w:space="0" w:color="auto"/>
        <w:left w:val="none" w:sz="0" w:space="0" w:color="auto"/>
        <w:bottom w:val="none" w:sz="0" w:space="0" w:color="auto"/>
        <w:right w:val="none" w:sz="0" w:space="0" w:color="auto"/>
      </w:divBdr>
    </w:div>
    <w:div w:id="976836422">
      <w:bodyDiv w:val="1"/>
      <w:marLeft w:val="0"/>
      <w:marRight w:val="0"/>
      <w:marTop w:val="0"/>
      <w:marBottom w:val="0"/>
      <w:divBdr>
        <w:top w:val="none" w:sz="0" w:space="0" w:color="auto"/>
        <w:left w:val="none" w:sz="0" w:space="0" w:color="auto"/>
        <w:bottom w:val="none" w:sz="0" w:space="0" w:color="auto"/>
        <w:right w:val="none" w:sz="0" w:space="0" w:color="auto"/>
      </w:divBdr>
    </w:div>
    <w:div w:id="1661613534">
      <w:bodyDiv w:val="1"/>
      <w:marLeft w:val="0"/>
      <w:marRight w:val="0"/>
      <w:marTop w:val="0"/>
      <w:marBottom w:val="0"/>
      <w:divBdr>
        <w:top w:val="none" w:sz="0" w:space="0" w:color="auto"/>
        <w:left w:val="none" w:sz="0" w:space="0" w:color="auto"/>
        <w:bottom w:val="none" w:sz="0" w:space="0" w:color="auto"/>
        <w:right w:val="none" w:sz="0" w:space="0" w:color="auto"/>
      </w:divBdr>
    </w:div>
    <w:div w:id="18622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uts.edu.au/about/uts-governance/academic-freedom-and-freedom-speech" TargetMode="External"/><Relationship Id="rId26" Type="http://schemas.openxmlformats.org/officeDocument/2006/relationships/hyperlink" Target="https://www.uts.edu.au/about/locations-facilities/biologics-innovation-facility" TargetMode="External"/><Relationship Id="rId3" Type="http://schemas.openxmlformats.org/officeDocument/2006/relationships/customXml" Target="../customXml/item3.xml"/><Relationship Id="rId21" Type="http://schemas.openxmlformats.org/officeDocument/2006/relationships/hyperlink" Target="https://www.uts.edu.au/about/uts-vision/initiatives/social-justice-uts/student-access-and-pathwa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ts.edu.au/about/leadership-governance/governance/privacy-uts/data-breaches" TargetMode="External"/><Relationship Id="rId25" Type="http://schemas.openxmlformats.org/officeDocument/2006/relationships/hyperlink" Target="https://www.uts.edu.au/about/locations-facilities/data-arena"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ts.edu.au/about/leadership-governance/governance/speak-up/foreign-interference-and-foreign-bribery" TargetMode="External"/><Relationship Id="rId20" Type="http://schemas.openxmlformats.org/officeDocument/2006/relationships/hyperlink" Target="https://www.uts.edu.au/about/leadership-governance/policies/a-z/indigenous-education-and-research-strateg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echlab.uts.edu.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ts.edu.au/help-support/safety-uts" TargetMode="External"/><Relationship Id="rId23" Type="http://schemas.openxmlformats.org/officeDocument/2006/relationships/hyperlink" Target="https://www.uts.edu.au/research/explore/approach-strategy/research-strateg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ts.edu.au/about/uts-vision/initiatives/eradicating-modern-slaver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s.edu.au/about/uts-vision/uts-2030" TargetMode="External"/><Relationship Id="rId22" Type="http://schemas.openxmlformats.org/officeDocument/2006/relationships/hyperlink" Target="https://www.uts.edu.au/sites/default/files/2020-07/Access%20and%20Inclusion%20Plan%202020-2024.pdf" TargetMode="External"/><Relationship Id="rId27" Type="http://schemas.openxmlformats.org/officeDocument/2006/relationships/hyperlink" Target="https://www.uts.edu.au/for-students/alumni/your-alumni-communit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A818787E-2693-40E9-8FC3-3946FA0890AC}">
  <ds:schemaRefs>
    <ds:schemaRef ds:uri="http://schemas.openxmlformats.org/officeDocument/2006/bibliography"/>
  </ds:schemaRefs>
</ds:datastoreItem>
</file>

<file path=customXml/itemProps2.xml><?xml version="1.0" encoding="utf-8"?>
<ds:datastoreItem xmlns:ds="http://schemas.openxmlformats.org/officeDocument/2006/customXml" ds:itemID="{DD198971-769C-402F-8DF9-22579D234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D8D836FB-0FEA-4EB6-8C1F-B6512B7A70B1}">
  <ds:schemaRefs>
    <ds:schemaRef ds:uri="fea52c8c-9806-4a1c-8ca9-6928160f6c09"/>
    <ds:schemaRef ds:uri="http://purl.org/dc/terms/"/>
    <ds:schemaRef ds:uri="http://schemas.microsoft.com/office/2006/metadata/properties"/>
    <ds:schemaRef ds:uri="6e75ac5a-1f9e-40aa-9df5-998dd543a947"/>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2287</Words>
  <Characters>14413</Characters>
  <Application>Microsoft Office Word</Application>
  <DocSecurity>0</DocSecurity>
  <Lines>273</Lines>
  <Paragraphs>135</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16613</CharactersWithSpaces>
  <SharedDoc>false</SharedDoc>
  <HLinks>
    <vt:vector size="66" baseType="variant">
      <vt:variant>
        <vt:i4>7733370</vt:i4>
      </vt:variant>
      <vt:variant>
        <vt:i4>27</vt:i4>
      </vt:variant>
      <vt:variant>
        <vt:i4>0</vt:i4>
      </vt:variant>
      <vt:variant>
        <vt:i4>5</vt:i4>
      </vt:variant>
      <vt:variant>
        <vt:lpwstr>https://www.uts.edu.au/research/explore/approach-strategy/research-strategy</vt:lpwstr>
      </vt:variant>
      <vt:variant>
        <vt:lpwstr/>
      </vt:variant>
      <vt:variant>
        <vt:i4>2424883</vt:i4>
      </vt:variant>
      <vt:variant>
        <vt:i4>24</vt:i4>
      </vt:variant>
      <vt:variant>
        <vt:i4>0</vt:i4>
      </vt:variant>
      <vt:variant>
        <vt:i4>5</vt:i4>
      </vt:variant>
      <vt:variant>
        <vt:lpwstr>https://www.uts.edu.au/sites/default/files/2020-07/Access and Inclusion Plan 2020-2024.pdf</vt:lpwstr>
      </vt:variant>
      <vt:variant>
        <vt:lpwstr/>
      </vt:variant>
      <vt:variant>
        <vt:i4>2490478</vt:i4>
      </vt:variant>
      <vt:variant>
        <vt:i4>21</vt:i4>
      </vt:variant>
      <vt:variant>
        <vt:i4>0</vt:i4>
      </vt:variant>
      <vt:variant>
        <vt:i4>5</vt:i4>
      </vt:variant>
      <vt:variant>
        <vt:lpwstr>https://www.uts.edu.au/about/uts-vision/initiatives/social-justice-uts/student-access-and-pathways</vt:lpwstr>
      </vt:variant>
      <vt:variant>
        <vt:lpwstr/>
      </vt:variant>
      <vt:variant>
        <vt:i4>7995428</vt:i4>
      </vt:variant>
      <vt:variant>
        <vt:i4>18</vt:i4>
      </vt:variant>
      <vt:variant>
        <vt:i4>0</vt:i4>
      </vt:variant>
      <vt:variant>
        <vt:i4>5</vt:i4>
      </vt:variant>
      <vt:variant>
        <vt:lpwstr>https://www.uts.edu.au/about/leadership-governance/policies/a-z/indigenous-education-and-research-strategy</vt:lpwstr>
      </vt:variant>
      <vt:variant>
        <vt:lpwstr/>
      </vt:variant>
      <vt:variant>
        <vt:i4>6553651</vt:i4>
      </vt:variant>
      <vt:variant>
        <vt:i4>15</vt:i4>
      </vt:variant>
      <vt:variant>
        <vt:i4>0</vt:i4>
      </vt:variant>
      <vt:variant>
        <vt:i4>5</vt:i4>
      </vt:variant>
      <vt:variant>
        <vt:lpwstr>https://www.uts.edu.au/about/uts-vision/initiatives/eradicating-modern-slavery</vt:lpwstr>
      </vt:variant>
      <vt:variant>
        <vt:lpwstr/>
      </vt:variant>
      <vt:variant>
        <vt:i4>6684769</vt:i4>
      </vt:variant>
      <vt:variant>
        <vt:i4>12</vt:i4>
      </vt:variant>
      <vt:variant>
        <vt:i4>0</vt:i4>
      </vt:variant>
      <vt:variant>
        <vt:i4>5</vt:i4>
      </vt:variant>
      <vt:variant>
        <vt:lpwstr>https://www.uts.edu.au/about/uts-governance/academic-freedom-and-freedom-speech</vt:lpwstr>
      </vt:variant>
      <vt:variant>
        <vt:lpwstr/>
      </vt:variant>
      <vt:variant>
        <vt:i4>3735595</vt:i4>
      </vt:variant>
      <vt:variant>
        <vt:i4>9</vt:i4>
      </vt:variant>
      <vt:variant>
        <vt:i4>0</vt:i4>
      </vt:variant>
      <vt:variant>
        <vt:i4>5</vt:i4>
      </vt:variant>
      <vt:variant>
        <vt:lpwstr>https://www.uts.edu.au/about/leadership-governance/governance/privacy-uts/data-breaches</vt:lpwstr>
      </vt:variant>
      <vt:variant>
        <vt:lpwstr/>
      </vt:variant>
      <vt:variant>
        <vt:i4>3539041</vt:i4>
      </vt:variant>
      <vt:variant>
        <vt:i4>6</vt:i4>
      </vt:variant>
      <vt:variant>
        <vt:i4>0</vt:i4>
      </vt:variant>
      <vt:variant>
        <vt:i4>5</vt:i4>
      </vt:variant>
      <vt:variant>
        <vt:lpwstr>https://www.uts.edu.au/about/leadership-governance/governance/speak-up/foreign-interference-and-foreign-bribery</vt:lpwstr>
      </vt:variant>
      <vt:variant>
        <vt:lpwstr/>
      </vt:variant>
      <vt:variant>
        <vt:i4>2555949</vt:i4>
      </vt:variant>
      <vt:variant>
        <vt:i4>3</vt:i4>
      </vt:variant>
      <vt:variant>
        <vt:i4>0</vt:i4>
      </vt:variant>
      <vt:variant>
        <vt:i4>5</vt:i4>
      </vt:variant>
      <vt:variant>
        <vt:lpwstr>https://www.uts.edu.au/help-support/safety-uts</vt:lpwstr>
      </vt:variant>
      <vt:variant>
        <vt:lpwstr/>
      </vt:variant>
      <vt:variant>
        <vt:i4>5046288</vt:i4>
      </vt:variant>
      <vt:variant>
        <vt:i4>0</vt:i4>
      </vt:variant>
      <vt:variant>
        <vt:i4>0</vt:i4>
      </vt:variant>
      <vt:variant>
        <vt:i4>5</vt:i4>
      </vt:variant>
      <vt:variant>
        <vt:lpwstr>https://www.uts.edu.au/about/uts-vision/uts-2030</vt:lpwstr>
      </vt:variant>
      <vt:variant>
        <vt:lpwstr/>
      </vt:variant>
      <vt:variant>
        <vt:i4>3801195</vt:i4>
      </vt:variant>
      <vt:variant>
        <vt:i4>0</vt:i4>
      </vt:variant>
      <vt:variant>
        <vt:i4>0</vt:i4>
      </vt:variant>
      <vt:variant>
        <vt:i4>5</vt:i4>
      </vt:variant>
      <vt:variant>
        <vt:lpwstr>https://www.uts.edu.au/for-industry/solutions-capabilities/commercialisation-and-ip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2025-12-01T05:44:00Z</cp:lastPrinted>
  <dcterms:created xsi:type="dcterms:W3CDTF">2025-11-23T23:28:00Z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MSIP_Label_51a6c3db-1667-4f49-995a-8b9973972958_Enabled">
    <vt:lpwstr>true</vt:lpwstr>
  </property>
  <property fmtid="{D5CDD505-2E9C-101B-9397-08002B2CF9AE}" pid="15" name="MSIP_Label_51a6c3db-1667-4f49-995a-8b9973972958_SetDate">
    <vt:lpwstr>2025-10-07T09:53:11Z</vt:lpwstr>
  </property>
  <property fmtid="{D5CDD505-2E9C-101B-9397-08002B2CF9AE}" pid="16" name="MSIP_Label_51a6c3db-1667-4f49-995a-8b9973972958_Method">
    <vt:lpwstr>Standard</vt:lpwstr>
  </property>
  <property fmtid="{D5CDD505-2E9C-101B-9397-08002B2CF9AE}" pid="17" name="MSIP_Label_51a6c3db-1667-4f49-995a-8b9973972958_Name">
    <vt:lpwstr>UTS-Internal</vt:lpwstr>
  </property>
  <property fmtid="{D5CDD505-2E9C-101B-9397-08002B2CF9AE}" pid="18" name="MSIP_Label_51a6c3db-1667-4f49-995a-8b9973972958_SiteId">
    <vt:lpwstr>e8911c26-cf9f-4a9c-878e-527807be8791</vt:lpwstr>
  </property>
  <property fmtid="{D5CDD505-2E9C-101B-9397-08002B2CF9AE}" pid="19" name="MSIP_Label_51a6c3db-1667-4f49-995a-8b9973972958_ActionId">
    <vt:lpwstr>aa374aec-aef2-4596-b020-84a362e0beb7</vt:lpwstr>
  </property>
  <property fmtid="{D5CDD505-2E9C-101B-9397-08002B2CF9AE}" pid="20" name="MSIP_Label_51a6c3db-1667-4f49-995a-8b9973972958_ContentBits">
    <vt:lpwstr>0</vt:lpwstr>
  </property>
  <property fmtid="{D5CDD505-2E9C-101B-9397-08002B2CF9AE}" pid="21" name="MSIP_Label_51a6c3db-1667-4f49-995a-8b9973972958_Tag">
    <vt:lpwstr>50, 3, 0, 1</vt:lpwstr>
  </property>
  <property fmtid="{D5CDD505-2E9C-101B-9397-08002B2CF9AE}" pid="22" name="docLang">
    <vt:lpwstr>en</vt:lpwstr>
  </property>
</Properties>
</file>