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05A53611" w:rsidR="00107DD5" w:rsidRDefault="00221D8F" w:rsidP="00CA4815">
      <w:r w:rsidRPr="00CA4815">
        <w:rPr>
          <w:b/>
          <w:bCs/>
          <w:noProof/>
        </w:rPr>
        <w:drawing>
          <wp:anchor distT="0" distB="0" distL="114300" distR="114300" simplePos="0" relativeHeight="251658240" behindDoc="1" locked="1" layoutInCell="1" allowOverlap="1" wp14:anchorId="4A1B45CD" wp14:editId="20009D82">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2F45109A" w:rsidR="001B109C" w:rsidRPr="001B109C" w:rsidRDefault="001B109C" w:rsidP="001B109C">
      <w:pPr>
        <w:pStyle w:val="Heading1"/>
        <w:spacing w:before="480"/>
        <w:rPr>
          <w:sz w:val="22"/>
          <w:szCs w:val="22"/>
        </w:rPr>
      </w:pPr>
    </w:p>
    <w:tbl>
      <w:tblPr>
        <w:tblStyle w:val="TableGrid"/>
        <w:tblW w:w="5000" w:type="pct"/>
        <w:tblInd w:w="-147" w:type="dxa"/>
        <w:tblLook w:val="01E0" w:firstRow="1" w:lastRow="1" w:firstColumn="1" w:lastColumn="1" w:noHBand="0" w:noVBand="0"/>
      </w:tblPr>
      <w:tblGrid>
        <w:gridCol w:w="9016"/>
      </w:tblGrid>
      <w:tr w:rsidR="001B109C" w:rsidRPr="00E41388" w14:paraId="3BCD4E03" w14:textId="77777777" w:rsidTr="00F62117">
        <w:tc>
          <w:tcPr>
            <w:tcW w:w="5000" w:type="pct"/>
            <w:tcBorders>
              <w:bottom w:val="single" w:sz="4" w:space="0" w:color="auto"/>
            </w:tcBorders>
          </w:tcPr>
          <w:p w14:paraId="26FC6577" w14:textId="603B7263" w:rsidR="001B109C" w:rsidRPr="00AE3AEE" w:rsidRDefault="001B109C" w:rsidP="00AE3AEE">
            <w:pPr>
              <w:pStyle w:val="Heading4"/>
              <w:spacing w:before="0"/>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3B6691">
              <w:t>University of Southern Queensland</w:t>
            </w:r>
          </w:p>
        </w:tc>
      </w:tr>
      <w:tr w:rsidR="001B109C" w:rsidRPr="00E41388" w14:paraId="2126955C" w14:textId="77777777" w:rsidTr="00F62117">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0F62117">
        <w:tc>
          <w:tcPr>
            <w:tcW w:w="5000" w:type="pct"/>
            <w:tcBorders>
              <w:bottom w:val="single" w:sz="4" w:space="0" w:color="auto"/>
            </w:tcBorders>
          </w:tcPr>
          <w:p w14:paraId="603CAB15" w14:textId="4E9E5FE6"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64BA65CA" w:rsidR="001B109C" w:rsidRPr="00F34B1E" w:rsidRDefault="001B109C">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00F62117">
        <w:tc>
          <w:tcPr>
            <w:tcW w:w="5000" w:type="pct"/>
          </w:tcPr>
          <w:p w14:paraId="43C124C8" w14:textId="55208677" w:rsidR="001B109C" w:rsidRPr="005A293D" w:rsidRDefault="00F30BFA" w:rsidP="00F30BFA">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F62117">
        <w:tc>
          <w:tcPr>
            <w:tcW w:w="5000" w:type="pct"/>
            <w:tcBorders>
              <w:bottom w:val="single" w:sz="4" w:space="0" w:color="auto"/>
            </w:tcBorders>
          </w:tcPr>
          <w:p w14:paraId="78F5A341" w14:textId="1DD49604" w:rsidR="00341A1E" w:rsidRDefault="00782665" w:rsidP="00F72EC4">
            <w:pPr>
              <w:pStyle w:val="NormalIndent"/>
              <w:spacing w:before="0"/>
              <w:ind w:left="0"/>
              <w:rPr>
                <w:rFonts w:asciiTheme="minorHAnsi" w:hAnsiTheme="minorHAnsi" w:cstheme="minorHAnsi"/>
                <w:szCs w:val="22"/>
              </w:rPr>
            </w:pPr>
            <w:r>
              <w:rPr>
                <w:rFonts w:asciiTheme="minorHAnsi" w:hAnsiTheme="minorHAnsi" w:cstheme="minorHAnsi"/>
                <w:szCs w:val="22"/>
              </w:rPr>
              <w:t>The University of Southern</w:t>
            </w:r>
            <w:r w:rsidR="000C0B32">
              <w:rPr>
                <w:rFonts w:asciiTheme="minorHAnsi" w:hAnsiTheme="minorHAnsi" w:cstheme="minorHAnsi"/>
                <w:szCs w:val="22"/>
              </w:rPr>
              <w:t xml:space="preserve"> Queensland’s (</w:t>
            </w:r>
            <w:proofErr w:type="spellStart"/>
            <w:r w:rsidR="000C0B32">
              <w:rPr>
                <w:rFonts w:asciiTheme="minorHAnsi" w:hAnsiTheme="minorHAnsi" w:cstheme="minorHAnsi"/>
                <w:szCs w:val="22"/>
              </w:rPr>
              <w:t>UniSQ</w:t>
            </w:r>
            <w:proofErr w:type="spellEnd"/>
            <w:r w:rsidR="000C0B32">
              <w:rPr>
                <w:rFonts w:asciiTheme="minorHAnsi" w:hAnsiTheme="minorHAnsi" w:cstheme="minorHAnsi"/>
                <w:szCs w:val="22"/>
              </w:rPr>
              <w:t xml:space="preserve">) vision is to be Australia’s most transformative </w:t>
            </w:r>
            <w:r w:rsidR="00DA65C4">
              <w:rPr>
                <w:rFonts w:asciiTheme="minorHAnsi" w:hAnsiTheme="minorHAnsi" w:cstheme="minorHAnsi"/>
                <w:szCs w:val="22"/>
              </w:rPr>
              <w:t>u</w:t>
            </w:r>
            <w:r w:rsidR="000C0B32">
              <w:rPr>
                <w:rFonts w:asciiTheme="minorHAnsi" w:hAnsiTheme="minorHAnsi" w:cstheme="minorHAnsi"/>
                <w:szCs w:val="22"/>
              </w:rPr>
              <w:t>niversity, where ambition, community, creativity and excellence lead to a better tomorrow</w:t>
            </w:r>
            <w:r w:rsidR="007149E8">
              <w:rPr>
                <w:rFonts w:asciiTheme="minorHAnsi" w:hAnsiTheme="minorHAnsi" w:cstheme="minorHAnsi"/>
                <w:szCs w:val="22"/>
              </w:rPr>
              <w:t>. Our mission is to support the evolving needs of our students and communities, working together to foster industry-</w:t>
            </w:r>
            <w:r w:rsidR="00F87CCA" w:rsidRPr="00F72EC4">
              <w:rPr>
                <w:rFonts w:asciiTheme="minorHAnsi" w:hAnsiTheme="minorHAnsi" w:cstheme="minorBidi"/>
              </w:rPr>
              <w:t xml:space="preserve">connected learners, create opportunities, and address present and future challenges. </w:t>
            </w:r>
          </w:p>
          <w:p w14:paraId="2FE651A3" w14:textId="73A37F6D" w:rsidR="0053260E" w:rsidRDefault="00341A1E" w:rsidP="0C06DBED">
            <w:pPr>
              <w:pStyle w:val="NormalIndent"/>
              <w:spacing w:before="0" w:after="0"/>
              <w:ind w:left="0"/>
              <w:rPr>
                <w:rFonts w:asciiTheme="minorHAnsi" w:hAnsiTheme="minorHAnsi" w:cstheme="minorHAnsi"/>
                <w:szCs w:val="22"/>
              </w:rPr>
            </w:pPr>
            <w:r>
              <w:rPr>
                <w:rFonts w:asciiTheme="minorHAnsi" w:hAnsiTheme="minorHAnsi" w:cstheme="minorHAnsi"/>
                <w:szCs w:val="22"/>
              </w:rPr>
              <w:t>In the Compact period, the University</w:t>
            </w:r>
            <w:r w:rsidR="00487686">
              <w:rPr>
                <w:rFonts w:asciiTheme="minorHAnsi" w:hAnsiTheme="minorHAnsi" w:cstheme="minorHAnsi"/>
                <w:szCs w:val="22"/>
              </w:rPr>
              <w:t>’s</w:t>
            </w:r>
            <w:r>
              <w:rPr>
                <w:rFonts w:asciiTheme="minorHAnsi" w:hAnsiTheme="minorHAnsi" w:cstheme="minorHAnsi"/>
                <w:szCs w:val="22"/>
              </w:rPr>
              <w:t xml:space="preserve"> focus </w:t>
            </w:r>
            <w:r w:rsidR="00487686">
              <w:rPr>
                <w:rFonts w:asciiTheme="minorHAnsi" w:hAnsiTheme="minorHAnsi" w:cstheme="minorHAnsi"/>
                <w:szCs w:val="22"/>
              </w:rPr>
              <w:t xml:space="preserve">will be </w:t>
            </w:r>
            <w:r>
              <w:rPr>
                <w:rFonts w:asciiTheme="minorHAnsi" w:hAnsiTheme="minorHAnsi" w:cstheme="minorHAnsi"/>
                <w:szCs w:val="22"/>
              </w:rPr>
              <w:t xml:space="preserve">on four strategic pillars </w:t>
            </w:r>
            <w:r w:rsidR="0053260E">
              <w:rPr>
                <w:rFonts w:asciiTheme="minorHAnsi" w:hAnsiTheme="minorHAnsi" w:cstheme="minorHAnsi"/>
                <w:szCs w:val="22"/>
              </w:rPr>
              <w:t xml:space="preserve">as outlined in the </w:t>
            </w:r>
            <w:r w:rsidR="00487686">
              <w:rPr>
                <w:rFonts w:asciiTheme="minorHAnsi" w:hAnsiTheme="minorHAnsi" w:cstheme="minorHAnsi"/>
                <w:szCs w:val="22"/>
              </w:rPr>
              <w:t xml:space="preserve">draft </w:t>
            </w:r>
            <w:hyperlink r:id="rId14" w:history="1">
              <w:proofErr w:type="spellStart"/>
              <w:r w:rsidR="0053260E" w:rsidRPr="00267653">
                <w:rPr>
                  <w:rStyle w:val="Hyperlink"/>
                  <w:rFonts w:asciiTheme="minorHAnsi" w:hAnsiTheme="minorHAnsi" w:cstheme="minorHAnsi"/>
                  <w:szCs w:val="22"/>
                </w:rPr>
                <w:t>UniSQ</w:t>
              </w:r>
              <w:proofErr w:type="spellEnd"/>
              <w:r w:rsidR="0053260E" w:rsidRPr="00267653">
                <w:rPr>
                  <w:rStyle w:val="Hyperlink"/>
                  <w:rFonts w:asciiTheme="minorHAnsi" w:hAnsiTheme="minorHAnsi" w:cstheme="minorHAnsi"/>
                  <w:szCs w:val="22"/>
                </w:rPr>
                <w:t xml:space="preserve"> Statement of Strategic Ambition</w:t>
              </w:r>
              <w:r w:rsidR="00487686">
                <w:rPr>
                  <w:rStyle w:val="Hyperlink"/>
                  <w:rFonts w:asciiTheme="minorHAnsi" w:hAnsiTheme="minorHAnsi" w:cstheme="minorHAnsi"/>
                  <w:szCs w:val="22"/>
                </w:rPr>
                <w:t>:</w:t>
              </w:r>
              <w:r w:rsidR="0053260E" w:rsidRPr="00267653">
                <w:rPr>
                  <w:rStyle w:val="Hyperlink"/>
                  <w:rFonts w:asciiTheme="minorHAnsi" w:hAnsiTheme="minorHAnsi" w:cstheme="minorHAnsi"/>
                  <w:szCs w:val="22"/>
                </w:rPr>
                <w:t xml:space="preserve"> </w:t>
              </w:r>
            </w:hyperlink>
            <w:r w:rsidR="00F5716B" w:rsidDel="00F5716B">
              <w:rPr>
                <w:rFonts w:asciiTheme="minorHAnsi" w:hAnsiTheme="minorHAnsi" w:cstheme="minorHAnsi"/>
                <w:szCs w:val="22"/>
              </w:rPr>
              <w:t xml:space="preserve"> </w:t>
            </w:r>
          </w:p>
          <w:p w14:paraId="183AFE5D" w14:textId="4D6E070E" w:rsidR="001B109C" w:rsidRDefault="0053260E" w:rsidP="00C24A30">
            <w:pPr>
              <w:pStyle w:val="NormalIndent"/>
              <w:numPr>
                <w:ilvl w:val="0"/>
                <w:numId w:val="21"/>
              </w:numPr>
              <w:spacing w:before="0" w:after="0"/>
              <w:ind w:left="357" w:hanging="357"/>
              <w:rPr>
                <w:rFonts w:asciiTheme="minorHAnsi" w:hAnsiTheme="minorHAnsi" w:cstheme="minorHAnsi"/>
                <w:szCs w:val="22"/>
              </w:rPr>
            </w:pPr>
            <w:r>
              <w:rPr>
                <w:rFonts w:asciiTheme="minorHAnsi" w:hAnsiTheme="minorHAnsi" w:cstheme="minorHAnsi"/>
                <w:szCs w:val="22"/>
              </w:rPr>
              <w:t>Empowering Learning</w:t>
            </w:r>
          </w:p>
          <w:p w14:paraId="65F0BA79" w14:textId="0E850499" w:rsidR="0053260E" w:rsidRDefault="0053260E" w:rsidP="00C24A30">
            <w:pPr>
              <w:pStyle w:val="NormalIndent"/>
              <w:numPr>
                <w:ilvl w:val="0"/>
                <w:numId w:val="21"/>
              </w:numPr>
              <w:spacing w:before="0" w:after="0"/>
              <w:ind w:left="357" w:hanging="357"/>
              <w:rPr>
                <w:rFonts w:asciiTheme="minorHAnsi" w:hAnsiTheme="minorHAnsi" w:cstheme="minorHAnsi"/>
                <w:szCs w:val="22"/>
              </w:rPr>
            </w:pPr>
            <w:r>
              <w:rPr>
                <w:rFonts w:asciiTheme="minorHAnsi" w:hAnsiTheme="minorHAnsi" w:cstheme="minorHAnsi"/>
                <w:szCs w:val="22"/>
              </w:rPr>
              <w:t xml:space="preserve">Thriving </w:t>
            </w:r>
            <w:r w:rsidR="004964C9">
              <w:rPr>
                <w:rFonts w:asciiTheme="minorHAnsi" w:hAnsiTheme="minorHAnsi" w:cstheme="minorHAnsi"/>
                <w:szCs w:val="22"/>
              </w:rPr>
              <w:t>C</w:t>
            </w:r>
            <w:r>
              <w:rPr>
                <w:rFonts w:asciiTheme="minorHAnsi" w:hAnsiTheme="minorHAnsi" w:cstheme="minorHAnsi"/>
                <w:szCs w:val="22"/>
              </w:rPr>
              <w:t>ommunities</w:t>
            </w:r>
          </w:p>
          <w:p w14:paraId="696F76FA" w14:textId="327F3461" w:rsidR="0053260E" w:rsidRDefault="0053260E" w:rsidP="00C24A30">
            <w:pPr>
              <w:pStyle w:val="NormalIndent"/>
              <w:numPr>
                <w:ilvl w:val="0"/>
                <w:numId w:val="21"/>
              </w:numPr>
              <w:spacing w:before="0" w:after="0"/>
              <w:ind w:left="357" w:hanging="357"/>
              <w:rPr>
                <w:rFonts w:asciiTheme="minorHAnsi" w:hAnsiTheme="minorHAnsi" w:cstheme="minorHAnsi"/>
                <w:szCs w:val="22"/>
              </w:rPr>
            </w:pPr>
            <w:r>
              <w:rPr>
                <w:rFonts w:asciiTheme="minorHAnsi" w:hAnsiTheme="minorHAnsi" w:cstheme="minorHAnsi"/>
                <w:szCs w:val="22"/>
              </w:rPr>
              <w:t xml:space="preserve">Industry and </w:t>
            </w:r>
            <w:r w:rsidR="004964C9">
              <w:rPr>
                <w:rFonts w:asciiTheme="minorHAnsi" w:hAnsiTheme="minorHAnsi" w:cstheme="minorHAnsi"/>
                <w:szCs w:val="22"/>
              </w:rPr>
              <w:t>Globally Connected</w:t>
            </w:r>
          </w:p>
          <w:p w14:paraId="11DCC092" w14:textId="61BA6648" w:rsidR="0016713C" w:rsidRDefault="004964C9" w:rsidP="00F72EC4">
            <w:pPr>
              <w:pStyle w:val="NormalIndent"/>
              <w:numPr>
                <w:ilvl w:val="0"/>
                <w:numId w:val="21"/>
              </w:numPr>
              <w:spacing w:before="0"/>
              <w:ind w:left="357" w:hanging="357"/>
              <w:rPr>
                <w:rFonts w:asciiTheme="minorHAnsi" w:hAnsiTheme="minorHAnsi" w:cstheme="minorHAnsi"/>
                <w:szCs w:val="22"/>
              </w:rPr>
            </w:pPr>
            <w:r>
              <w:rPr>
                <w:rFonts w:asciiTheme="minorHAnsi" w:hAnsiTheme="minorHAnsi" w:cstheme="minorHAnsi"/>
                <w:szCs w:val="22"/>
              </w:rPr>
              <w:t xml:space="preserve">Discovery. Creativity. Impact. </w:t>
            </w:r>
          </w:p>
          <w:p w14:paraId="36DD1252" w14:textId="53E0DC49" w:rsidR="0016713C" w:rsidRPr="008E093B" w:rsidRDefault="00F22F34" w:rsidP="00F72EC4">
            <w:pPr>
              <w:pStyle w:val="NormalIndent"/>
              <w:spacing w:before="0"/>
              <w:ind w:left="0"/>
              <w:rPr>
                <w:rFonts w:asciiTheme="minorHAnsi" w:hAnsiTheme="minorHAnsi" w:cstheme="minorHAnsi"/>
                <w:szCs w:val="22"/>
              </w:rPr>
            </w:pPr>
            <w:r>
              <w:rPr>
                <w:rFonts w:asciiTheme="minorHAnsi" w:hAnsiTheme="minorHAnsi" w:cstheme="minorHAnsi"/>
                <w:szCs w:val="22"/>
              </w:rPr>
              <w:t>The</w:t>
            </w:r>
            <w:r w:rsidR="008E093B" w:rsidRPr="008E093B">
              <w:rPr>
                <w:rFonts w:asciiTheme="minorHAnsi" w:hAnsiTheme="minorHAnsi" w:cstheme="minorHAnsi"/>
                <w:szCs w:val="22"/>
              </w:rPr>
              <w:t xml:space="preserve"> University measures </w:t>
            </w:r>
            <w:r w:rsidR="008A7DA6">
              <w:rPr>
                <w:rFonts w:asciiTheme="minorHAnsi" w:hAnsiTheme="minorHAnsi" w:cstheme="minorHAnsi"/>
                <w:szCs w:val="22"/>
              </w:rPr>
              <w:t>and reports on</w:t>
            </w:r>
            <w:r w:rsidR="008E093B" w:rsidRPr="008E093B">
              <w:rPr>
                <w:rFonts w:asciiTheme="minorHAnsi" w:hAnsiTheme="minorHAnsi" w:cstheme="minorHAnsi"/>
                <w:szCs w:val="22"/>
              </w:rPr>
              <w:t xml:space="preserve"> its </w:t>
            </w:r>
            <w:r w:rsidR="00FD6DBD">
              <w:rPr>
                <w:rFonts w:asciiTheme="minorHAnsi" w:hAnsiTheme="minorHAnsi" w:cstheme="minorHAnsi"/>
                <w:szCs w:val="22"/>
              </w:rPr>
              <w:t>strategic</w:t>
            </w:r>
            <w:r w:rsidR="008E093B" w:rsidRPr="008E093B">
              <w:rPr>
                <w:rFonts w:asciiTheme="minorHAnsi" w:hAnsiTheme="minorHAnsi" w:cstheme="minorHAnsi"/>
                <w:szCs w:val="22"/>
              </w:rPr>
              <w:t xml:space="preserve"> performance </w:t>
            </w:r>
            <w:r w:rsidR="008A7DA6">
              <w:rPr>
                <w:rFonts w:asciiTheme="minorHAnsi" w:hAnsiTheme="minorHAnsi" w:cstheme="minorHAnsi"/>
                <w:szCs w:val="22"/>
              </w:rPr>
              <w:t xml:space="preserve">annually </w:t>
            </w:r>
            <w:r w:rsidR="008E093B" w:rsidRPr="008E093B">
              <w:rPr>
                <w:rFonts w:asciiTheme="minorHAnsi" w:hAnsiTheme="minorHAnsi" w:cstheme="minorHAnsi"/>
                <w:szCs w:val="22"/>
              </w:rPr>
              <w:t>against Key Result Indicators (KRIs). Critical quantitative measures include student population growth and participation, student experience and employment outcomes (QILT surveys), student progression, retention, and completion rates, research quality standards, research income and outputs, international rankings, and a range of diversity and sustainability metrics.</w:t>
            </w:r>
          </w:p>
          <w:p w14:paraId="4BF685B1" w14:textId="3034A985" w:rsidR="00A877A8" w:rsidRDefault="008E093B" w:rsidP="00F72EC4">
            <w:pPr>
              <w:pStyle w:val="NormalIndent"/>
              <w:spacing w:before="0"/>
              <w:ind w:left="0"/>
              <w:rPr>
                <w:rFonts w:asciiTheme="minorHAnsi" w:hAnsiTheme="minorHAnsi" w:cstheme="minorHAnsi"/>
                <w:szCs w:val="22"/>
              </w:rPr>
            </w:pPr>
            <w:r w:rsidRPr="008E093B">
              <w:rPr>
                <w:rFonts w:asciiTheme="minorHAnsi" w:hAnsiTheme="minorHAnsi" w:cstheme="minorHAnsi"/>
                <w:szCs w:val="22"/>
              </w:rPr>
              <w:t>The University has implemented policy, procedures, and processes across the organisation to ensure an appropriate response to national and sector priorities, and will focus in 202</w:t>
            </w:r>
            <w:r w:rsidR="00964CEA">
              <w:rPr>
                <w:rFonts w:asciiTheme="minorHAnsi" w:hAnsiTheme="minorHAnsi" w:cstheme="minorHAnsi"/>
                <w:szCs w:val="22"/>
              </w:rPr>
              <w:t>5 and 2026</w:t>
            </w:r>
            <w:r w:rsidRPr="008E093B">
              <w:rPr>
                <w:rFonts w:asciiTheme="minorHAnsi" w:hAnsiTheme="minorHAnsi" w:cstheme="minorHAnsi"/>
                <w:szCs w:val="22"/>
              </w:rPr>
              <w:t xml:space="preserve"> on continuing to address the following important areas:</w:t>
            </w:r>
          </w:p>
          <w:p w14:paraId="4D6C6926" w14:textId="54B45511" w:rsidR="00FC3A0E" w:rsidRPr="00FC3A0E" w:rsidRDefault="00A877A8" w:rsidP="009877B3">
            <w:pPr>
              <w:pStyle w:val="NormalIndent"/>
              <w:numPr>
                <w:ilvl w:val="0"/>
                <w:numId w:val="22"/>
              </w:numPr>
              <w:spacing w:before="0" w:after="0"/>
              <w:ind w:left="357" w:hanging="357"/>
              <w:rPr>
                <w:rFonts w:asciiTheme="minorHAnsi" w:hAnsiTheme="minorHAnsi" w:cstheme="minorHAnsi"/>
                <w:i/>
                <w:iCs/>
                <w:szCs w:val="22"/>
              </w:rPr>
            </w:pPr>
            <w:r w:rsidRPr="00FC3A0E">
              <w:rPr>
                <w:rFonts w:asciiTheme="minorHAnsi" w:hAnsiTheme="minorHAnsi" w:cstheme="minorHAnsi"/>
                <w:i/>
                <w:iCs/>
                <w:szCs w:val="22"/>
              </w:rPr>
              <w:t>Addressing workforce and skill needs</w:t>
            </w:r>
          </w:p>
          <w:p w14:paraId="3B2E8E3E" w14:textId="2C0B76FC" w:rsidR="00FC3A0E" w:rsidRPr="00520F26" w:rsidRDefault="00A877A8" w:rsidP="00F72EC4">
            <w:pPr>
              <w:pStyle w:val="NormalIndent"/>
              <w:spacing w:before="0"/>
              <w:ind w:left="357"/>
              <w:rPr>
                <w:rFonts w:asciiTheme="minorHAnsi" w:hAnsiTheme="minorHAnsi" w:cstheme="minorBidi"/>
              </w:rPr>
            </w:pPr>
            <w:r w:rsidRPr="3727B7E5">
              <w:rPr>
                <w:rFonts w:asciiTheme="minorHAnsi" w:hAnsiTheme="minorHAnsi" w:cstheme="minorBidi"/>
              </w:rPr>
              <w:t xml:space="preserve">The University is addressing this priority area through the development of flexible learning and industry-relevant programs. </w:t>
            </w:r>
            <w:r w:rsidR="32F386CF" w:rsidRPr="3727B7E5">
              <w:rPr>
                <w:rFonts w:asciiTheme="minorHAnsi" w:hAnsiTheme="minorHAnsi" w:cstheme="minorBidi"/>
              </w:rPr>
              <w:t xml:space="preserve">We partner with our Health </w:t>
            </w:r>
            <w:r w:rsidR="00EA0AAB">
              <w:rPr>
                <w:rFonts w:asciiTheme="minorHAnsi" w:hAnsiTheme="minorHAnsi" w:cstheme="minorBidi"/>
              </w:rPr>
              <w:t>and</w:t>
            </w:r>
            <w:r w:rsidR="32F386CF" w:rsidRPr="3727B7E5">
              <w:rPr>
                <w:rFonts w:asciiTheme="minorHAnsi" w:hAnsiTheme="minorHAnsi" w:cstheme="minorBidi"/>
              </w:rPr>
              <w:t xml:space="preserve"> Hospital Service partners </w:t>
            </w:r>
            <w:r w:rsidR="6FB2E3CB" w:rsidRPr="3727B7E5">
              <w:rPr>
                <w:rFonts w:asciiTheme="minorHAnsi" w:hAnsiTheme="minorHAnsi" w:cstheme="minorBidi"/>
              </w:rPr>
              <w:t xml:space="preserve">as we </w:t>
            </w:r>
            <w:r w:rsidR="00573278">
              <w:rPr>
                <w:rFonts w:asciiTheme="minorHAnsi" w:hAnsiTheme="minorHAnsi" w:cstheme="minorBidi"/>
              </w:rPr>
              <w:t>introduce</w:t>
            </w:r>
            <w:r w:rsidR="32F386CF" w:rsidRPr="3727B7E5">
              <w:rPr>
                <w:rFonts w:asciiTheme="minorHAnsi" w:hAnsiTheme="minorHAnsi" w:cstheme="minorBidi"/>
              </w:rPr>
              <w:t xml:space="preserve"> new allied health programs</w:t>
            </w:r>
            <w:r w:rsidR="02E228C6" w:rsidRPr="3727B7E5">
              <w:rPr>
                <w:rFonts w:asciiTheme="minorHAnsi" w:hAnsiTheme="minorHAnsi" w:cstheme="minorBidi"/>
              </w:rPr>
              <w:t xml:space="preserve"> </w:t>
            </w:r>
            <w:r w:rsidR="78B3BB58" w:rsidRPr="3727B7E5">
              <w:rPr>
                <w:rFonts w:asciiTheme="minorHAnsi" w:hAnsiTheme="minorHAnsi" w:cstheme="minorBidi"/>
              </w:rPr>
              <w:t>with a focus on interprofessional prac</w:t>
            </w:r>
            <w:r w:rsidR="3F344C95" w:rsidRPr="3727B7E5">
              <w:rPr>
                <w:rFonts w:asciiTheme="minorHAnsi" w:hAnsiTheme="minorHAnsi" w:cstheme="minorBidi"/>
              </w:rPr>
              <w:t>tice and rural/regional healthcare</w:t>
            </w:r>
            <w:r w:rsidR="65EB6FE2" w:rsidRPr="3727B7E5">
              <w:rPr>
                <w:rFonts w:asciiTheme="minorHAnsi" w:hAnsiTheme="minorHAnsi" w:cstheme="minorBidi"/>
              </w:rPr>
              <w:t xml:space="preserve"> and prepar</w:t>
            </w:r>
            <w:r w:rsidR="0373CFE0" w:rsidRPr="3727B7E5">
              <w:rPr>
                <w:rFonts w:asciiTheme="minorHAnsi" w:hAnsiTheme="minorHAnsi" w:cstheme="minorBidi"/>
              </w:rPr>
              <w:t>e</w:t>
            </w:r>
            <w:r w:rsidR="65EB6FE2" w:rsidRPr="3727B7E5">
              <w:rPr>
                <w:rFonts w:asciiTheme="minorHAnsi" w:hAnsiTheme="minorHAnsi" w:cstheme="minorBidi"/>
              </w:rPr>
              <w:t xml:space="preserve"> for the introduction of pharmacy in 2027.</w:t>
            </w:r>
            <w:r w:rsidR="180020DC" w:rsidRPr="3727B7E5">
              <w:rPr>
                <w:rFonts w:asciiTheme="minorHAnsi" w:hAnsiTheme="minorHAnsi" w:cstheme="minorBidi"/>
              </w:rPr>
              <w:t xml:space="preserve"> We continue to transform our undergraduate engineering programs </w:t>
            </w:r>
            <w:r w:rsidR="4FAFAFF5" w:rsidRPr="3727B7E5">
              <w:rPr>
                <w:rFonts w:asciiTheme="minorHAnsi" w:hAnsiTheme="minorHAnsi" w:cstheme="minorBidi"/>
              </w:rPr>
              <w:t xml:space="preserve">to address </w:t>
            </w:r>
            <w:r w:rsidR="328F3087" w:rsidRPr="3727B7E5">
              <w:rPr>
                <w:rFonts w:asciiTheme="minorHAnsi" w:hAnsiTheme="minorHAnsi" w:cstheme="minorBidi"/>
              </w:rPr>
              <w:t>industry’s changing expectations and needs from this important cohort. We are expanding pathways into our programs through</w:t>
            </w:r>
            <w:r w:rsidR="49DED61F" w:rsidRPr="3727B7E5">
              <w:rPr>
                <w:rFonts w:asciiTheme="minorHAnsi" w:hAnsiTheme="minorHAnsi" w:cstheme="minorBidi"/>
              </w:rPr>
              <w:t xml:space="preserve"> reviewing our Recognition of Prior Learning processes and through partnerships with TAFE, Schools and industry.</w:t>
            </w:r>
          </w:p>
          <w:p w14:paraId="20D49E8A" w14:textId="0413BA24" w:rsidR="00A877A8" w:rsidRPr="00FC3A0E" w:rsidRDefault="00A877A8" w:rsidP="009877B3">
            <w:pPr>
              <w:pStyle w:val="NormalIndent"/>
              <w:numPr>
                <w:ilvl w:val="0"/>
                <w:numId w:val="22"/>
              </w:numPr>
              <w:spacing w:before="0" w:after="0"/>
              <w:ind w:left="357" w:hanging="357"/>
              <w:rPr>
                <w:rFonts w:asciiTheme="minorHAnsi" w:hAnsiTheme="minorHAnsi" w:cstheme="minorHAnsi"/>
                <w:i/>
                <w:iCs/>
                <w:szCs w:val="22"/>
              </w:rPr>
            </w:pPr>
            <w:r w:rsidRPr="00FC3A0E">
              <w:rPr>
                <w:rFonts w:asciiTheme="minorHAnsi" w:hAnsiTheme="minorHAnsi" w:cstheme="minorHAnsi"/>
                <w:i/>
                <w:iCs/>
                <w:szCs w:val="22"/>
              </w:rPr>
              <w:lastRenderedPageBreak/>
              <w:t>Ensuring student and staff safety</w:t>
            </w:r>
          </w:p>
          <w:p w14:paraId="7687FFB9" w14:textId="408731FC" w:rsidR="00FC3A0E" w:rsidRPr="00F72EC4" w:rsidRDefault="00507748" w:rsidP="00F72EC4">
            <w:pPr>
              <w:pStyle w:val="NormalIndent"/>
              <w:spacing w:before="0"/>
              <w:ind w:left="357"/>
              <w:rPr>
                <w:rFonts w:asciiTheme="minorHAnsi" w:hAnsiTheme="minorHAnsi" w:cstheme="minorBidi"/>
              </w:rPr>
            </w:pPr>
            <w:proofErr w:type="spellStart"/>
            <w:r w:rsidRPr="00507748">
              <w:rPr>
                <w:rFonts w:asciiTheme="minorHAnsi" w:hAnsiTheme="minorHAnsi" w:cstheme="minorBidi"/>
              </w:rPr>
              <w:t>UniSQ’s</w:t>
            </w:r>
            <w:proofErr w:type="spellEnd"/>
            <w:r w:rsidRPr="00507748">
              <w:rPr>
                <w:rFonts w:asciiTheme="minorHAnsi" w:hAnsiTheme="minorHAnsi" w:cstheme="minorBidi"/>
              </w:rPr>
              <w:t xml:space="preserve"> </w:t>
            </w:r>
            <w:hyperlink r:id="rId15" w:history="1">
              <w:r w:rsidRPr="0056505F">
                <w:rPr>
                  <w:rStyle w:val="Hyperlink"/>
                  <w:rFonts w:asciiTheme="minorHAnsi" w:hAnsiTheme="minorHAnsi" w:cstheme="minorBidi"/>
                </w:rPr>
                <w:t>Safer Communities</w:t>
              </w:r>
            </w:hyperlink>
            <w:r w:rsidRPr="00507748">
              <w:rPr>
                <w:rFonts w:asciiTheme="minorHAnsi" w:hAnsiTheme="minorHAnsi" w:cstheme="minorBidi"/>
              </w:rPr>
              <w:t xml:space="preserve"> Action Plan is being reviewed to align with the institution-wide strategy to prevent and respond to gender-based violence. The University’s Health, Safety and Wellbeing Strategy, along with policies like the </w:t>
            </w:r>
            <w:hyperlink r:id="rId16" w:history="1">
              <w:r w:rsidRPr="00507748">
                <w:rPr>
                  <w:rStyle w:val="Hyperlink"/>
                  <w:rFonts w:asciiTheme="minorHAnsi" w:hAnsiTheme="minorHAnsi" w:cstheme="minorBidi"/>
                </w:rPr>
                <w:t>WHS Policy</w:t>
              </w:r>
            </w:hyperlink>
            <w:r w:rsidRPr="00507748">
              <w:rPr>
                <w:rFonts w:asciiTheme="minorHAnsi" w:hAnsiTheme="minorHAnsi" w:cstheme="minorBidi"/>
              </w:rPr>
              <w:t>, reflect a strong commitment to physical and psychological safety. Supported by the Safety Management System, which ensures legislative compliance and continuous improvement, safety and wellbeing are embedded in daily operations through inclusive participation and shared responsibility.</w:t>
            </w:r>
          </w:p>
          <w:p w14:paraId="10AFEA43" w14:textId="7E755698" w:rsidR="00A877A8" w:rsidRPr="00FC3A0E" w:rsidRDefault="00A877A8" w:rsidP="009877B3">
            <w:pPr>
              <w:pStyle w:val="NormalIndent"/>
              <w:numPr>
                <w:ilvl w:val="0"/>
                <w:numId w:val="22"/>
              </w:numPr>
              <w:spacing w:before="0" w:after="0"/>
              <w:ind w:left="357" w:hanging="357"/>
              <w:rPr>
                <w:rFonts w:asciiTheme="minorHAnsi" w:hAnsiTheme="minorHAnsi" w:cstheme="minorHAnsi"/>
                <w:i/>
                <w:iCs/>
                <w:szCs w:val="22"/>
              </w:rPr>
            </w:pPr>
            <w:r w:rsidRPr="00FC3A0E">
              <w:rPr>
                <w:rFonts w:asciiTheme="minorHAnsi" w:hAnsiTheme="minorHAnsi" w:cstheme="minorHAnsi"/>
                <w:i/>
                <w:iCs/>
                <w:szCs w:val="22"/>
              </w:rPr>
              <w:t>Countering foreign interference</w:t>
            </w:r>
          </w:p>
          <w:p w14:paraId="7CE8200A" w14:textId="68AB11F1" w:rsidR="00FC3A0E" w:rsidRPr="00F72EC4" w:rsidRDefault="00A877A8" w:rsidP="00F72EC4">
            <w:pPr>
              <w:pStyle w:val="NormalIndent"/>
              <w:spacing w:before="0"/>
              <w:ind w:left="357"/>
              <w:rPr>
                <w:rFonts w:asciiTheme="minorHAnsi" w:hAnsiTheme="minorHAnsi" w:cstheme="minorHAnsi"/>
                <w:i/>
                <w:szCs w:val="22"/>
              </w:rPr>
            </w:pPr>
            <w:r w:rsidRPr="00A877A8">
              <w:rPr>
                <w:rFonts w:asciiTheme="minorHAnsi" w:hAnsiTheme="minorHAnsi" w:cstheme="minorHAnsi"/>
                <w:szCs w:val="22"/>
              </w:rPr>
              <w:t xml:space="preserve">Implementation of the University’s approach to </w:t>
            </w:r>
            <w:hyperlink r:id="rId17" w:history="1">
              <w:r w:rsidRPr="002B211D">
                <w:rPr>
                  <w:rStyle w:val="Hyperlink"/>
                  <w:rFonts w:asciiTheme="minorHAnsi" w:hAnsiTheme="minorHAnsi" w:cstheme="minorHAnsi"/>
                  <w:szCs w:val="22"/>
                </w:rPr>
                <w:t>National Security</w:t>
              </w:r>
            </w:hyperlink>
            <w:r w:rsidRPr="00A877A8">
              <w:rPr>
                <w:rFonts w:asciiTheme="minorHAnsi" w:hAnsiTheme="minorHAnsi" w:cstheme="minorHAnsi"/>
                <w:szCs w:val="22"/>
              </w:rPr>
              <w:t>, inclusive of due diligence processes, staff education and communication activities</w:t>
            </w:r>
            <w:r w:rsidR="00754AB5">
              <w:rPr>
                <w:rFonts w:asciiTheme="minorHAnsi" w:hAnsiTheme="minorHAnsi" w:cstheme="minorHAnsi"/>
                <w:szCs w:val="22"/>
              </w:rPr>
              <w:t xml:space="preserve"> in accordance with the </w:t>
            </w:r>
            <w:r w:rsidR="00D9065E" w:rsidRPr="00D9065E">
              <w:rPr>
                <w:rFonts w:asciiTheme="minorHAnsi" w:hAnsiTheme="minorHAnsi" w:cstheme="minorHAnsi"/>
                <w:szCs w:val="22"/>
              </w:rPr>
              <w:t>Guidelines to Counter Foreign Interference in the Australian University Sector</w:t>
            </w:r>
            <w:r w:rsidRPr="00A877A8">
              <w:rPr>
                <w:rFonts w:asciiTheme="minorHAnsi" w:hAnsiTheme="minorHAnsi" w:cstheme="minorHAnsi"/>
                <w:szCs w:val="22"/>
              </w:rPr>
              <w:t>.</w:t>
            </w:r>
          </w:p>
          <w:p w14:paraId="03EC7920" w14:textId="77777777" w:rsidR="00FC3A0E" w:rsidRPr="004359D0" w:rsidRDefault="00A877A8" w:rsidP="009877B3">
            <w:pPr>
              <w:pStyle w:val="NormalIndent"/>
              <w:numPr>
                <w:ilvl w:val="0"/>
                <w:numId w:val="22"/>
              </w:numPr>
              <w:spacing w:before="0" w:after="0"/>
              <w:ind w:left="357" w:hanging="357"/>
              <w:rPr>
                <w:rFonts w:asciiTheme="minorHAnsi" w:hAnsiTheme="minorHAnsi" w:cstheme="minorHAnsi"/>
                <w:i/>
                <w:iCs/>
                <w:szCs w:val="22"/>
              </w:rPr>
            </w:pPr>
            <w:r w:rsidRPr="004359D0">
              <w:rPr>
                <w:rFonts w:asciiTheme="minorHAnsi" w:hAnsiTheme="minorHAnsi" w:cstheme="minorHAnsi"/>
                <w:i/>
                <w:iCs/>
                <w:szCs w:val="22"/>
              </w:rPr>
              <w:t>Cyber and data security</w:t>
            </w:r>
          </w:p>
          <w:p w14:paraId="36155DD3" w14:textId="20D1B4F9" w:rsidR="004359D0" w:rsidRDefault="00A877A8" w:rsidP="00F72EC4">
            <w:pPr>
              <w:pStyle w:val="NormalIndent"/>
              <w:spacing w:before="0"/>
              <w:ind w:left="357"/>
              <w:rPr>
                <w:rFonts w:asciiTheme="minorHAnsi" w:hAnsiTheme="minorHAnsi" w:cstheme="minorHAnsi"/>
                <w:i/>
                <w:iCs/>
                <w:szCs w:val="22"/>
              </w:rPr>
            </w:pPr>
            <w:r w:rsidRPr="00FC3A0E">
              <w:rPr>
                <w:rFonts w:asciiTheme="minorHAnsi" w:hAnsiTheme="minorHAnsi" w:cstheme="minorHAnsi"/>
                <w:szCs w:val="22"/>
              </w:rPr>
              <w:t xml:space="preserve">In accordance with the University’s </w:t>
            </w:r>
            <w:hyperlink r:id="rId18" w:history="1">
              <w:r w:rsidRPr="0050186C">
                <w:rPr>
                  <w:rStyle w:val="Hyperlink"/>
                  <w:rFonts w:asciiTheme="minorHAnsi" w:hAnsiTheme="minorHAnsi" w:cstheme="minorHAnsi"/>
                  <w:szCs w:val="22"/>
                </w:rPr>
                <w:t>Cyber Security Strategy 2021-2025</w:t>
              </w:r>
            </w:hyperlink>
            <w:r w:rsidRPr="00FC3A0E">
              <w:rPr>
                <w:rFonts w:asciiTheme="minorHAnsi" w:hAnsiTheme="minorHAnsi" w:cstheme="minorHAnsi"/>
                <w:szCs w:val="22"/>
              </w:rPr>
              <w:t xml:space="preserve"> plan, there will be continued investment in mitigating cyber security threats and vulnerability and maturing our </w:t>
            </w:r>
            <w:hyperlink r:id="rId19" w:history="1">
              <w:r w:rsidRPr="007A217D">
                <w:rPr>
                  <w:rStyle w:val="Hyperlink"/>
                  <w:rFonts w:asciiTheme="minorHAnsi" w:hAnsiTheme="minorHAnsi" w:cstheme="minorHAnsi"/>
                  <w:szCs w:val="22"/>
                </w:rPr>
                <w:t>cyber security</w:t>
              </w:r>
            </w:hyperlink>
            <w:r w:rsidRPr="00FC3A0E">
              <w:rPr>
                <w:rFonts w:asciiTheme="minorHAnsi" w:hAnsiTheme="minorHAnsi" w:cstheme="minorHAnsi"/>
                <w:szCs w:val="22"/>
              </w:rPr>
              <w:t xml:space="preserve"> posture. </w:t>
            </w:r>
            <w:r w:rsidR="0075771C">
              <w:rPr>
                <w:rFonts w:asciiTheme="minorHAnsi" w:hAnsiTheme="minorHAnsi" w:cstheme="minorHAnsi"/>
                <w:szCs w:val="22"/>
              </w:rPr>
              <w:t xml:space="preserve">A revised </w:t>
            </w:r>
            <w:r w:rsidR="0090435B">
              <w:rPr>
                <w:rFonts w:asciiTheme="minorHAnsi" w:hAnsiTheme="minorHAnsi" w:cstheme="minorHAnsi"/>
                <w:szCs w:val="22"/>
              </w:rPr>
              <w:t xml:space="preserve">Cyber Security Strategy encompassing 2026-2028 </w:t>
            </w:r>
            <w:r w:rsidR="00013230">
              <w:rPr>
                <w:rFonts w:asciiTheme="minorHAnsi" w:hAnsiTheme="minorHAnsi" w:cstheme="minorHAnsi"/>
                <w:szCs w:val="22"/>
              </w:rPr>
              <w:t>is being formulated in partnership with industry peers</w:t>
            </w:r>
            <w:r w:rsidR="00EA2014">
              <w:rPr>
                <w:rFonts w:asciiTheme="minorHAnsi" w:hAnsiTheme="minorHAnsi" w:cstheme="minorHAnsi"/>
                <w:szCs w:val="22"/>
              </w:rPr>
              <w:t xml:space="preserve"> </w:t>
            </w:r>
            <w:r w:rsidR="003E5954">
              <w:rPr>
                <w:rFonts w:asciiTheme="minorHAnsi" w:hAnsiTheme="minorHAnsi" w:cstheme="minorHAnsi"/>
                <w:szCs w:val="22"/>
              </w:rPr>
              <w:t xml:space="preserve">who are in a similar strategy cycle. </w:t>
            </w:r>
            <w:r w:rsidRPr="00FC3A0E">
              <w:rPr>
                <w:rFonts w:asciiTheme="minorHAnsi" w:hAnsiTheme="minorHAnsi" w:cstheme="minorHAnsi"/>
                <w:szCs w:val="22"/>
              </w:rPr>
              <w:t>This will involve continued expansion and use of external threat intelligence services to implement real-world informed, protective and preventative controls before they are experienced in our environment.</w:t>
            </w:r>
          </w:p>
          <w:p w14:paraId="33E68C79" w14:textId="55CD0A6A" w:rsidR="00A877A8" w:rsidRPr="00C24A30" w:rsidRDefault="00A877A8" w:rsidP="009877B3">
            <w:pPr>
              <w:pStyle w:val="NormalIndent"/>
              <w:numPr>
                <w:ilvl w:val="0"/>
                <w:numId w:val="22"/>
              </w:numPr>
              <w:spacing w:before="0" w:after="0"/>
              <w:ind w:left="357" w:hanging="357"/>
              <w:rPr>
                <w:rFonts w:asciiTheme="minorHAnsi" w:hAnsiTheme="minorHAnsi" w:cstheme="minorHAnsi"/>
                <w:i/>
                <w:szCs w:val="22"/>
              </w:rPr>
            </w:pPr>
            <w:r w:rsidRPr="004359D0">
              <w:rPr>
                <w:rFonts w:asciiTheme="minorHAnsi" w:hAnsiTheme="minorHAnsi" w:cstheme="minorHAnsi"/>
                <w:i/>
                <w:iCs/>
                <w:szCs w:val="22"/>
              </w:rPr>
              <w:t>Upholding freedom of speech and academic freedom</w:t>
            </w:r>
          </w:p>
          <w:p w14:paraId="2C91A87B" w14:textId="52C29C2A" w:rsidR="001B109C" w:rsidRPr="00893DF3" w:rsidRDefault="00A877A8" w:rsidP="00B95172">
            <w:pPr>
              <w:pStyle w:val="NormalIndent"/>
              <w:spacing w:before="0" w:after="0"/>
              <w:ind w:left="357"/>
              <w:rPr>
                <w:rFonts w:asciiTheme="minorHAnsi" w:hAnsiTheme="minorHAnsi" w:cstheme="minorHAnsi"/>
                <w:szCs w:val="22"/>
              </w:rPr>
            </w:pPr>
            <w:r w:rsidRPr="00A877A8">
              <w:rPr>
                <w:rFonts w:asciiTheme="minorHAnsi" w:hAnsiTheme="minorHAnsi" w:cstheme="minorHAnsi"/>
                <w:szCs w:val="22"/>
              </w:rPr>
              <w:t xml:space="preserve">The University remains committed to the principles outlined in </w:t>
            </w:r>
            <w:r w:rsidR="00B3512D">
              <w:rPr>
                <w:rFonts w:asciiTheme="minorHAnsi" w:hAnsiTheme="minorHAnsi" w:cstheme="minorHAnsi"/>
                <w:szCs w:val="22"/>
              </w:rPr>
              <w:t xml:space="preserve">the </w:t>
            </w:r>
            <w:hyperlink r:id="rId20" w:history="1">
              <w:r w:rsidR="00D85016" w:rsidRPr="003711EB">
                <w:rPr>
                  <w:rStyle w:val="Hyperlink"/>
                  <w:rFonts w:asciiTheme="minorHAnsi" w:hAnsiTheme="minorHAnsi" w:cstheme="minorHAnsi"/>
                  <w:szCs w:val="22"/>
                </w:rPr>
                <w:t>Academic Freedom and Freedom of Speech Policy</w:t>
              </w:r>
            </w:hyperlink>
            <w:r w:rsidR="00D85016" w:rsidRPr="00D85016">
              <w:rPr>
                <w:rFonts w:asciiTheme="minorHAnsi" w:hAnsiTheme="minorHAnsi" w:cstheme="minorHAnsi"/>
                <w:szCs w:val="22"/>
              </w:rPr>
              <w:t xml:space="preserve"> </w:t>
            </w:r>
            <w:r w:rsidRPr="00A877A8">
              <w:rPr>
                <w:rFonts w:asciiTheme="minorHAnsi" w:hAnsiTheme="minorHAnsi" w:cstheme="minorHAnsi"/>
                <w:szCs w:val="22"/>
              </w:rPr>
              <w:t xml:space="preserve">and to continued integration across </w:t>
            </w:r>
            <w:r w:rsidR="00FA3083">
              <w:rPr>
                <w:rFonts w:asciiTheme="minorHAnsi" w:hAnsiTheme="minorHAnsi" w:cstheme="minorHAnsi"/>
                <w:szCs w:val="22"/>
              </w:rPr>
              <w:t>U</w:t>
            </w:r>
            <w:r w:rsidRPr="00A877A8">
              <w:rPr>
                <w:rFonts w:asciiTheme="minorHAnsi" w:hAnsiTheme="minorHAnsi" w:cstheme="minorHAnsi"/>
                <w:szCs w:val="22"/>
              </w:rPr>
              <w:t>niversity business.</w:t>
            </w:r>
          </w:p>
        </w:tc>
      </w:tr>
      <w:tr w:rsidR="001B109C" w:rsidRPr="00E41388" w14:paraId="0EA45E0C" w14:textId="77777777" w:rsidTr="00F62117">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0F62117">
        <w:tc>
          <w:tcPr>
            <w:tcW w:w="5000" w:type="pct"/>
          </w:tcPr>
          <w:p w14:paraId="2F25E11E" w14:textId="3E7480AA" w:rsidR="00120872" w:rsidRPr="00F72EC4" w:rsidRDefault="00DE1F5E" w:rsidP="00F72EC4">
            <w:pPr>
              <w:pStyle w:val="NormalIndent"/>
              <w:spacing w:before="0"/>
              <w:ind w:left="0"/>
              <w:rPr>
                <w:rFonts w:cstheme="minorBidi"/>
              </w:rPr>
            </w:pPr>
            <w:bookmarkStart w:id="0" w:name="_Hlk150338733"/>
            <w:bookmarkStart w:id="1" w:name="_Hlk150338471"/>
            <w:proofErr w:type="spellStart"/>
            <w:r w:rsidRPr="3727B7E5">
              <w:rPr>
                <w:rFonts w:cstheme="minorBidi"/>
              </w:rPr>
              <w:t>UniSQ’s</w:t>
            </w:r>
            <w:proofErr w:type="spellEnd"/>
            <w:r w:rsidRPr="3727B7E5">
              <w:rPr>
                <w:rFonts w:cstheme="minorBidi"/>
              </w:rPr>
              <w:t xml:space="preserve"> commitment to equity in higher education is demonstrated through its Higher Education Continuity Guarantee Equity Plan, which sets out targeted initiatives to strengthen access, participation, and student success for underrepresented cohorts. Key measures include expanded financial support for low-SES students, greater outreach to regional schools, enhanced transition and wellbeing services, curriculum redesign informed by universal design for learning, and improved transport and facilities. These initiatives are achieving measurable impact: in 2025, First Nations student participation rose to 7%; regional and remote enrolments increased to 46%; and low-SES enrolments remained stable at 30.5%. Satisfaction levels among first-in-family and low-SES students were comparable to, or higher than, the broader student body, while the satisfaction gap for students with disability continued to narrow – reflecting meaningful progress in inclusive support.</w:t>
            </w:r>
          </w:p>
          <w:p w14:paraId="64FEDA4D" w14:textId="77777777" w:rsidR="00DE1F5E" w:rsidRPr="00DE1F5E" w:rsidRDefault="00DE1F5E" w:rsidP="008C256B">
            <w:pPr>
              <w:pStyle w:val="NormalIndent"/>
              <w:spacing w:before="0" w:after="0"/>
              <w:ind w:left="0"/>
              <w:rPr>
                <w:rFonts w:cstheme="minorHAnsi"/>
              </w:rPr>
            </w:pPr>
            <w:r w:rsidRPr="00DE1F5E">
              <w:rPr>
                <w:rFonts w:eastAsia="Aptos" w:cstheme="minorHAnsi"/>
                <w:b/>
              </w:rPr>
              <w:t xml:space="preserve">Targets </w:t>
            </w:r>
          </w:p>
          <w:p w14:paraId="4377C96C" w14:textId="415A5FC5" w:rsidR="00B71D22" w:rsidRPr="00F72EC4" w:rsidRDefault="00DE1F5E" w:rsidP="00F72EC4">
            <w:pPr>
              <w:pStyle w:val="NormalIndent"/>
              <w:spacing w:before="0"/>
              <w:ind w:left="0"/>
              <w:rPr>
                <w:rFonts w:cstheme="minorBidi"/>
                <w:szCs w:val="22"/>
              </w:rPr>
            </w:pPr>
            <w:proofErr w:type="spellStart"/>
            <w:r w:rsidRPr="3727B7E5">
              <w:rPr>
                <w:rFonts w:eastAsia="Aptos" w:cstheme="minorBidi"/>
              </w:rPr>
              <w:t>UniSQ</w:t>
            </w:r>
            <w:proofErr w:type="spellEnd"/>
            <w:r w:rsidR="1684B604" w:rsidRPr="3727B7E5">
              <w:rPr>
                <w:rFonts w:eastAsia="Aptos" w:cstheme="minorBidi"/>
              </w:rPr>
              <w:t xml:space="preserve"> is achieving targets identified in its</w:t>
            </w:r>
            <w:r w:rsidRPr="3727B7E5">
              <w:rPr>
                <w:rFonts w:eastAsia="Aptos" w:cstheme="minorBidi"/>
              </w:rPr>
              <w:t xml:space="preserve"> </w:t>
            </w:r>
            <w:hyperlink r:id="rId21" w:history="1">
              <w:r w:rsidRPr="00997386">
                <w:rPr>
                  <w:rStyle w:val="Hyperlink"/>
                  <w:rFonts w:eastAsia="Aptos" w:cstheme="minorBidi"/>
                </w:rPr>
                <w:t>Strategic Plan 202</w:t>
              </w:r>
              <w:r w:rsidR="00E27B7A" w:rsidRPr="00997386">
                <w:rPr>
                  <w:rStyle w:val="Hyperlink"/>
                  <w:rFonts w:eastAsia="Aptos" w:cstheme="minorBidi"/>
                </w:rPr>
                <w:t>1</w:t>
              </w:r>
              <w:r w:rsidRPr="00997386">
                <w:rPr>
                  <w:rStyle w:val="Hyperlink"/>
                  <w:rFonts w:eastAsia="Aptos" w:cstheme="minorBidi"/>
                </w:rPr>
                <w:t>-2025</w:t>
              </w:r>
            </w:hyperlink>
            <w:r w:rsidRPr="3727B7E5">
              <w:rPr>
                <w:rFonts w:eastAsia="Aptos" w:cstheme="minorBidi"/>
              </w:rPr>
              <w:t xml:space="preserve"> </w:t>
            </w:r>
            <w:r w:rsidR="0C60E035" w:rsidRPr="3727B7E5">
              <w:rPr>
                <w:rFonts w:eastAsia="Aptos" w:cstheme="minorBidi"/>
              </w:rPr>
              <w:t xml:space="preserve">such as to </w:t>
            </w:r>
            <w:r w:rsidR="57FD0C72" w:rsidRPr="3727B7E5">
              <w:rPr>
                <w:rFonts w:cstheme="minorBidi"/>
              </w:rPr>
              <w:t>increase</w:t>
            </w:r>
            <w:r w:rsidRPr="3727B7E5">
              <w:rPr>
                <w:rFonts w:cstheme="minorBidi"/>
              </w:rPr>
              <w:t xml:space="preserve"> access and participation rates to 4.5% First Nations students and 46% students from a regional or remote background. </w:t>
            </w:r>
          </w:p>
          <w:p w14:paraId="33444D64" w14:textId="77777777" w:rsidR="00DE1F5E" w:rsidRPr="00DE1F5E" w:rsidRDefault="00DE1F5E" w:rsidP="008C256B">
            <w:pPr>
              <w:pStyle w:val="NormalIndent"/>
              <w:spacing w:before="0" w:after="0"/>
              <w:ind w:left="0"/>
              <w:rPr>
                <w:rFonts w:cstheme="minorHAnsi"/>
              </w:rPr>
            </w:pPr>
            <w:r w:rsidRPr="00DE1F5E">
              <w:rPr>
                <w:rFonts w:cstheme="minorHAnsi"/>
              </w:rPr>
              <w:t xml:space="preserve">These opportunity targets are complemented by outcomes targets: </w:t>
            </w:r>
          </w:p>
          <w:p w14:paraId="5E59B278" w14:textId="77777777" w:rsidR="00DE1F5E" w:rsidRPr="00DE1F5E" w:rsidRDefault="00DE1F5E" w:rsidP="002F3FDC">
            <w:pPr>
              <w:pStyle w:val="NormalIndent"/>
              <w:numPr>
                <w:ilvl w:val="0"/>
                <w:numId w:val="23"/>
              </w:numPr>
              <w:spacing w:before="0" w:after="0"/>
              <w:ind w:left="357" w:hanging="357"/>
              <w:rPr>
                <w:rFonts w:cstheme="minorHAnsi"/>
              </w:rPr>
            </w:pPr>
            <w:r w:rsidRPr="00DE1F5E">
              <w:rPr>
                <w:rFonts w:cstheme="minorHAnsi"/>
              </w:rPr>
              <w:t>improve the nine-year cohort completion rate for undergraduate students to 60%; and</w:t>
            </w:r>
          </w:p>
          <w:p w14:paraId="25078883" w14:textId="3A12479A" w:rsidR="00DE1F5E" w:rsidRPr="00DE1F5E" w:rsidRDefault="00DE1F5E" w:rsidP="00F72EC4">
            <w:pPr>
              <w:pStyle w:val="NormalIndent"/>
              <w:numPr>
                <w:ilvl w:val="0"/>
                <w:numId w:val="23"/>
              </w:numPr>
              <w:spacing w:before="0"/>
              <w:ind w:left="357" w:hanging="357"/>
              <w:rPr>
                <w:rFonts w:cstheme="minorHAnsi"/>
              </w:rPr>
            </w:pPr>
            <w:r w:rsidRPr="00DE1F5E">
              <w:rPr>
                <w:rFonts w:cstheme="minorHAnsi"/>
              </w:rPr>
              <w:t xml:space="preserve">improve student retention to 85% and progression rates to 88%. The University’s </w:t>
            </w:r>
            <w:hyperlink r:id="rId22">
              <w:r w:rsidR="00CC6E7E" w:rsidRPr="459551B5">
                <w:rPr>
                  <w:rStyle w:val="Hyperlink"/>
                  <w:rFonts w:eastAsiaTheme="minorEastAsia"/>
                  <w:color w:val="467886"/>
                </w:rPr>
                <w:t>Education Plan (2022-2025)</w:t>
              </w:r>
            </w:hyperlink>
            <w:r w:rsidRPr="00DE1F5E">
              <w:rPr>
                <w:rFonts w:cstheme="minorHAnsi"/>
              </w:rPr>
              <w:t xml:space="preserve"> has three key and three enabling strategies that support achievement of these targets. </w:t>
            </w:r>
          </w:p>
          <w:p w14:paraId="2D0CE1C8" w14:textId="25ACCD5F" w:rsidR="00DE1F5E" w:rsidRPr="00DE1F5E" w:rsidRDefault="00FE5014" w:rsidP="008C256B">
            <w:pPr>
              <w:pStyle w:val="NormalIndent"/>
              <w:spacing w:before="0" w:after="0"/>
              <w:ind w:left="0"/>
              <w:rPr>
                <w:rFonts w:cstheme="minorHAnsi"/>
              </w:rPr>
            </w:pPr>
            <w:r>
              <w:rPr>
                <w:rFonts w:eastAsia="Calibri" w:cstheme="minorHAnsi"/>
                <w:b/>
              </w:rPr>
              <w:t>A</w:t>
            </w:r>
            <w:r w:rsidR="00DE1F5E" w:rsidRPr="00DE1F5E">
              <w:rPr>
                <w:rFonts w:eastAsia="Calibri" w:cstheme="minorHAnsi"/>
                <w:b/>
              </w:rPr>
              <w:t>chieved</w:t>
            </w:r>
            <w:r>
              <w:rPr>
                <w:rFonts w:eastAsia="Calibri" w:cstheme="minorHAnsi"/>
                <w:b/>
              </w:rPr>
              <w:t xml:space="preserve"> by</w:t>
            </w:r>
            <w:r w:rsidR="00DE1F5E" w:rsidRPr="00DE1F5E">
              <w:rPr>
                <w:rFonts w:eastAsia="Calibri" w:cstheme="minorHAnsi"/>
                <w:b/>
              </w:rPr>
              <w:t xml:space="preserve">: </w:t>
            </w:r>
          </w:p>
          <w:p w14:paraId="623E877A" w14:textId="77777777" w:rsidR="00DE1F5E" w:rsidRPr="00DE1F5E" w:rsidRDefault="00DE1F5E" w:rsidP="002F3FDC">
            <w:pPr>
              <w:pStyle w:val="NormalIndent"/>
              <w:numPr>
                <w:ilvl w:val="0"/>
                <w:numId w:val="23"/>
              </w:numPr>
              <w:spacing w:before="0" w:after="0"/>
              <w:ind w:left="357" w:hanging="357"/>
              <w:rPr>
                <w:rFonts w:cstheme="minorHAnsi"/>
              </w:rPr>
            </w:pPr>
            <w:r w:rsidRPr="00DE1F5E">
              <w:rPr>
                <w:rFonts w:cstheme="minorHAnsi"/>
              </w:rPr>
              <w:t xml:space="preserve">Expanding access through a broad range of equity scholarships and bursaries for students from low-SES, and rural and remote backgrounds and for First Nations students. </w:t>
            </w:r>
          </w:p>
          <w:p w14:paraId="13E03AA6" w14:textId="77777777" w:rsidR="00DE1F5E" w:rsidRPr="00DE1F5E" w:rsidRDefault="00DE1F5E" w:rsidP="002F3FDC">
            <w:pPr>
              <w:pStyle w:val="NormalIndent"/>
              <w:numPr>
                <w:ilvl w:val="0"/>
                <w:numId w:val="23"/>
              </w:numPr>
              <w:spacing w:before="0" w:after="0"/>
              <w:ind w:left="357" w:hanging="357"/>
              <w:rPr>
                <w:rFonts w:cstheme="minorHAnsi"/>
              </w:rPr>
            </w:pPr>
            <w:r w:rsidRPr="00DE1F5E">
              <w:rPr>
                <w:rFonts w:cstheme="minorHAnsi"/>
              </w:rPr>
              <w:t xml:space="preserve">Strengthening partnerships with regional primary and secondary schools to build skills and aspirations among underrepresented cohorts, including regional, rural and remote, and First Nations students. </w:t>
            </w:r>
          </w:p>
          <w:p w14:paraId="1C36B84A" w14:textId="77777777" w:rsidR="00DE1F5E" w:rsidRPr="00DE1F5E" w:rsidRDefault="00DE1F5E" w:rsidP="002F3FDC">
            <w:pPr>
              <w:pStyle w:val="NormalIndent"/>
              <w:numPr>
                <w:ilvl w:val="0"/>
                <w:numId w:val="23"/>
              </w:numPr>
              <w:spacing w:before="0" w:after="0"/>
              <w:ind w:left="357" w:hanging="357"/>
              <w:rPr>
                <w:rFonts w:cstheme="minorHAnsi"/>
              </w:rPr>
            </w:pPr>
            <w:r w:rsidRPr="00DE1F5E">
              <w:rPr>
                <w:rFonts w:cstheme="minorHAnsi"/>
              </w:rPr>
              <w:lastRenderedPageBreak/>
              <w:t xml:space="preserve">Delivering career education programs tailored for local primary and secondary school students, parents and carers, educators and community members from underrepresented groups. </w:t>
            </w:r>
          </w:p>
          <w:p w14:paraId="7A48BB62" w14:textId="1B8FC187" w:rsidR="00DE1F5E" w:rsidRPr="00DE1F5E" w:rsidRDefault="00DE1F5E" w:rsidP="002F3FDC">
            <w:pPr>
              <w:pStyle w:val="NormalIndent"/>
              <w:numPr>
                <w:ilvl w:val="0"/>
                <w:numId w:val="23"/>
              </w:numPr>
              <w:spacing w:before="0" w:after="0"/>
              <w:ind w:left="357" w:hanging="357"/>
              <w:rPr>
                <w:rFonts w:cstheme="minorBidi"/>
              </w:rPr>
            </w:pPr>
            <w:r w:rsidRPr="3727B7E5">
              <w:rPr>
                <w:rFonts w:cstheme="minorBidi"/>
              </w:rPr>
              <w:t xml:space="preserve">Assigning dedicated senior executive leadership to foster strong relationships with school principals and their teams. </w:t>
            </w:r>
          </w:p>
          <w:p w14:paraId="534989E6" w14:textId="331498E9" w:rsidR="00DE1F5E" w:rsidRPr="00DE1F5E" w:rsidRDefault="00DE1F5E" w:rsidP="002F3FDC">
            <w:pPr>
              <w:pStyle w:val="NormalIndent"/>
              <w:numPr>
                <w:ilvl w:val="0"/>
                <w:numId w:val="23"/>
              </w:numPr>
              <w:spacing w:before="0" w:after="0"/>
              <w:ind w:left="357" w:hanging="357"/>
              <w:rPr>
                <w:rFonts w:cstheme="minorBidi"/>
              </w:rPr>
            </w:pPr>
            <w:r w:rsidRPr="3727B7E5">
              <w:rPr>
                <w:rFonts w:cstheme="minorBidi"/>
              </w:rPr>
              <w:t>Providing inclusive</w:t>
            </w:r>
            <w:r w:rsidR="2B1EAC6D" w:rsidRPr="3727B7E5">
              <w:rPr>
                <w:rFonts w:cstheme="minorBidi"/>
              </w:rPr>
              <w:t>,</w:t>
            </w:r>
            <w:r w:rsidRPr="3727B7E5">
              <w:rPr>
                <w:rFonts w:cstheme="minorBidi"/>
              </w:rPr>
              <w:t xml:space="preserve"> holistic support throughout the student journey – covering decision-making, transition, health and wellbeing, academic skills, career education, success advising, and peer mentoring to support diverse student needs. </w:t>
            </w:r>
          </w:p>
          <w:p w14:paraId="473C1A97" w14:textId="77777777" w:rsidR="00DE1F5E" w:rsidRPr="00DE1F5E" w:rsidRDefault="00DE1F5E" w:rsidP="002F3FDC">
            <w:pPr>
              <w:pStyle w:val="NormalIndent"/>
              <w:numPr>
                <w:ilvl w:val="0"/>
                <w:numId w:val="23"/>
              </w:numPr>
              <w:spacing w:before="0" w:after="0"/>
              <w:ind w:left="357" w:hanging="357"/>
              <w:rPr>
                <w:rFonts w:cstheme="minorHAnsi"/>
              </w:rPr>
            </w:pPr>
            <w:r w:rsidRPr="00DE1F5E">
              <w:rPr>
                <w:rFonts w:cstheme="minorHAnsi"/>
              </w:rPr>
              <w:t xml:space="preserve">Offering flexible learning options via the Flexible Academic Calendar, including in pathways programs, designed to meet the needs of students with disabilities, caring responsibilities, and those from low-SES backgrounds. </w:t>
            </w:r>
          </w:p>
          <w:p w14:paraId="6E4CDD0D" w14:textId="647A4AAD" w:rsidR="00DE1F5E" w:rsidRPr="00DE1F5E" w:rsidRDefault="00DE1F5E" w:rsidP="00F72EC4">
            <w:pPr>
              <w:pStyle w:val="NormalIndent"/>
              <w:numPr>
                <w:ilvl w:val="0"/>
                <w:numId w:val="23"/>
              </w:numPr>
              <w:spacing w:before="0"/>
              <w:ind w:left="357" w:hanging="357"/>
              <w:rPr>
                <w:rFonts w:cstheme="minorHAnsi"/>
              </w:rPr>
            </w:pPr>
            <w:r w:rsidRPr="00DE1F5E">
              <w:rPr>
                <w:rFonts w:cstheme="minorHAnsi"/>
              </w:rPr>
              <w:t>Coordinating, monitoring, and aligning widening participation initiatives through collaboration with Queensland universities, Regional University Study Hubs, Suburban University Study Hubs,</w:t>
            </w:r>
            <w:r w:rsidR="008B4B8E">
              <w:rPr>
                <w:rFonts w:cstheme="minorHAnsi"/>
              </w:rPr>
              <w:t xml:space="preserve"> </w:t>
            </w:r>
            <w:r w:rsidRPr="00DE1F5E">
              <w:rPr>
                <w:rFonts w:cstheme="minorHAnsi"/>
              </w:rPr>
              <w:t xml:space="preserve">and internally via </w:t>
            </w:r>
            <w:proofErr w:type="spellStart"/>
            <w:r w:rsidRPr="00DE1F5E">
              <w:rPr>
                <w:rFonts w:cstheme="minorHAnsi"/>
              </w:rPr>
              <w:t>UniSQ’s</w:t>
            </w:r>
            <w:proofErr w:type="spellEnd"/>
            <w:r w:rsidRPr="00DE1F5E">
              <w:rPr>
                <w:rFonts w:cstheme="minorHAnsi"/>
              </w:rPr>
              <w:t xml:space="preserve"> Student Success and Retention Committee, underpinned by the new Future Students Strategy.</w:t>
            </w:r>
          </w:p>
          <w:p w14:paraId="15C91EEE" w14:textId="54BA65EB" w:rsidR="00DE1F5E" w:rsidRPr="00DE1F5E" w:rsidRDefault="00FE5014" w:rsidP="008C256B">
            <w:pPr>
              <w:pStyle w:val="NormalIndent"/>
              <w:spacing w:before="0" w:after="0"/>
              <w:ind w:left="0"/>
              <w:rPr>
                <w:rFonts w:cstheme="minorHAnsi"/>
              </w:rPr>
            </w:pPr>
            <w:r>
              <w:rPr>
                <w:rFonts w:eastAsia="Calibri" w:cstheme="minorHAnsi"/>
                <w:b/>
              </w:rPr>
              <w:t>M</w:t>
            </w:r>
            <w:r w:rsidR="00DE1F5E" w:rsidRPr="00DE1F5E">
              <w:rPr>
                <w:rFonts w:eastAsia="Calibri" w:cstheme="minorHAnsi"/>
                <w:b/>
              </w:rPr>
              <w:t>easured</w:t>
            </w:r>
            <w:r>
              <w:rPr>
                <w:rFonts w:eastAsia="Calibri" w:cstheme="minorHAnsi"/>
                <w:b/>
              </w:rPr>
              <w:t xml:space="preserve"> by</w:t>
            </w:r>
            <w:r w:rsidR="00DE1F5E" w:rsidRPr="00DE1F5E">
              <w:rPr>
                <w:rFonts w:eastAsia="Calibri" w:cstheme="minorHAnsi"/>
                <w:b/>
              </w:rPr>
              <w:t xml:space="preserve">: </w:t>
            </w:r>
          </w:p>
          <w:p w14:paraId="628EAA70" w14:textId="07D16106" w:rsidR="00DE1F5E" w:rsidRPr="00DE1F5E" w:rsidRDefault="00DE1F5E" w:rsidP="00F72EC4">
            <w:pPr>
              <w:pStyle w:val="NormalIndent"/>
              <w:spacing w:before="0"/>
              <w:ind w:left="0"/>
              <w:rPr>
                <w:rFonts w:cstheme="minorBidi"/>
              </w:rPr>
            </w:pPr>
            <w:proofErr w:type="spellStart"/>
            <w:r w:rsidRPr="3727B7E5">
              <w:rPr>
                <w:rFonts w:cstheme="minorBidi"/>
              </w:rPr>
              <w:t>UniSQ</w:t>
            </w:r>
            <w:proofErr w:type="spellEnd"/>
            <w:r w:rsidRPr="3727B7E5">
              <w:rPr>
                <w:rFonts w:cstheme="minorBidi"/>
              </w:rPr>
              <w:t xml:space="preserve"> monitors performance through a combination of institutional data and sector-wide </w:t>
            </w:r>
            <w:r w:rsidR="004F376D">
              <w:rPr>
                <w:rFonts w:cstheme="minorBidi"/>
              </w:rPr>
              <w:t>instruments</w:t>
            </w:r>
            <w:r w:rsidRPr="3727B7E5">
              <w:rPr>
                <w:rFonts w:cstheme="minorBidi"/>
              </w:rPr>
              <w:t xml:space="preserve">, drawing on national surveys </w:t>
            </w:r>
            <w:r w:rsidR="1EF227A6" w:rsidRPr="3727B7E5">
              <w:rPr>
                <w:rFonts w:cstheme="minorBidi"/>
              </w:rPr>
              <w:t>(e.g.</w:t>
            </w:r>
            <w:proofErr w:type="gramStart"/>
            <w:r w:rsidR="00B96AAC">
              <w:rPr>
                <w:rFonts w:cstheme="minorBidi"/>
              </w:rPr>
              <w:t>,</w:t>
            </w:r>
            <w:r w:rsidR="1EF227A6" w:rsidRPr="3727B7E5">
              <w:rPr>
                <w:rFonts w:cstheme="minorBidi"/>
              </w:rPr>
              <w:t xml:space="preserve"> </w:t>
            </w:r>
            <w:r w:rsidRPr="3727B7E5">
              <w:rPr>
                <w:rFonts w:cstheme="minorBidi"/>
              </w:rPr>
              <w:t xml:space="preserve"> SES</w:t>
            </w:r>
            <w:proofErr w:type="gramEnd"/>
            <w:r w:rsidRPr="3727B7E5">
              <w:rPr>
                <w:rFonts w:cstheme="minorBidi"/>
              </w:rPr>
              <w:t>, GOS, GOS-L, ESS</w:t>
            </w:r>
            <w:r w:rsidR="6B891403" w:rsidRPr="3727B7E5">
              <w:rPr>
                <w:rFonts w:cstheme="minorBidi"/>
              </w:rPr>
              <w:t>)</w:t>
            </w:r>
            <w:r w:rsidRPr="3727B7E5">
              <w:rPr>
                <w:rFonts w:cstheme="minorBidi"/>
              </w:rPr>
              <w:t xml:space="preserve"> as well as international measures </w:t>
            </w:r>
            <w:r w:rsidR="06E387D3" w:rsidRPr="3727B7E5">
              <w:rPr>
                <w:rFonts w:cstheme="minorBidi"/>
              </w:rPr>
              <w:t>(e.g.</w:t>
            </w:r>
            <w:r w:rsidR="00B96AAC">
              <w:rPr>
                <w:rFonts w:cstheme="minorBidi"/>
              </w:rPr>
              <w:t>,</w:t>
            </w:r>
            <w:r w:rsidRPr="3727B7E5">
              <w:rPr>
                <w:rFonts w:cstheme="minorBidi"/>
              </w:rPr>
              <w:t xml:space="preserve"> ISB</w:t>
            </w:r>
            <w:r w:rsidR="4EE021DC" w:rsidRPr="3727B7E5">
              <w:rPr>
                <w:rFonts w:cstheme="minorBidi"/>
              </w:rPr>
              <w:t xml:space="preserve">, </w:t>
            </w:r>
            <w:r w:rsidRPr="3727B7E5">
              <w:rPr>
                <w:rFonts w:cstheme="minorBidi"/>
              </w:rPr>
              <w:t>Times Higher Education Impact Rankings</w:t>
            </w:r>
            <w:r w:rsidR="2BCDA914" w:rsidRPr="3727B7E5">
              <w:rPr>
                <w:rFonts w:cstheme="minorBidi"/>
              </w:rPr>
              <w:t>)</w:t>
            </w:r>
            <w:r w:rsidRPr="3727B7E5">
              <w:rPr>
                <w:rFonts w:cstheme="minorBidi"/>
              </w:rPr>
              <w:t xml:space="preserve">. Evaluation is undertaken at multiple levels - University, discipline, program, and course – using both quantitative and qualitative metrics. Benchmarking incorporates disaggregated data for equity groups identified in the HECG Equity Plan, with cohort-specific reporting guiding continuous improvement and targeted support strategies. </w:t>
            </w:r>
          </w:p>
          <w:p w14:paraId="22B87A46" w14:textId="7ACCCA0D" w:rsidR="001B109C" w:rsidRPr="00893DF3" w:rsidRDefault="00DE1F5E" w:rsidP="00893DF3">
            <w:pPr>
              <w:pStyle w:val="NormalIndent"/>
              <w:spacing w:before="0" w:after="0"/>
              <w:ind w:left="0"/>
              <w:rPr>
                <w:rFonts w:cstheme="minorBidi"/>
              </w:rPr>
            </w:pPr>
            <w:proofErr w:type="spellStart"/>
            <w:r w:rsidRPr="3727B7E5">
              <w:rPr>
                <w:rFonts w:cstheme="minorBidi"/>
              </w:rPr>
              <w:t>UniSQ</w:t>
            </w:r>
            <w:proofErr w:type="spellEnd"/>
            <w:r w:rsidRPr="3727B7E5">
              <w:rPr>
                <w:rFonts w:cstheme="minorBidi"/>
              </w:rPr>
              <w:t xml:space="preserve"> is adopting the Student Equity in Higher Education Evaluation Framework (SEHEEF) to assess the impact and effectiveness of equity initiatives across the student lifecycle. </w:t>
            </w:r>
            <w:bookmarkEnd w:id="0"/>
            <w:bookmarkEnd w:id="1"/>
          </w:p>
        </w:tc>
      </w:tr>
      <w:tr w:rsidR="001B109C" w:rsidRPr="00E41388" w14:paraId="39ADE404" w14:textId="77777777" w:rsidTr="00F62117">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00F62117">
        <w:tc>
          <w:tcPr>
            <w:tcW w:w="5000" w:type="pct"/>
            <w:tcBorders>
              <w:bottom w:val="single" w:sz="4" w:space="0" w:color="auto"/>
            </w:tcBorders>
          </w:tcPr>
          <w:p w14:paraId="79FDC578" w14:textId="44AE183B" w:rsidR="24FBE8AC" w:rsidRPr="00F72EC4" w:rsidRDefault="24FBE8AC" w:rsidP="00F72EC4">
            <w:pPr>
              <w:spacing w:after="120" w:line="220" w:lineRule="atLeast"/>
              <w:rPr>
                <w:rFonts w:eastAsiaTheme="minorEastAsia"/>
                <w:color w:val="000000" w:themeColor="text1"/>
              </w:rPr>
            </w:pPr>
            <w:proofErr w:type="spellStart"/>
            <w:r w:rsidRPr="459551B5">
              <w:rPr>
                <w:rFonts w:eastAsiaTheme="minorEastAsia"/>
                <w:color w:val="000000" w:themeColor="text1"/>
              </w:rPr>
              <w:t>UniSQ</w:t>
            </w:r>
            <w:proofErr w:type="spellEnd"/>
            <w:r w:rsidRPr="459551B5">
              <w:rPr>
                <w:rFonts w:eastAsiaTheme="minorEastAsia"/>
                <w:color w:val="000000" w:themeColor="text1"/>
              </w:rPr>
              <w:t xml:space="preserve"> </w:t>
            </w:r>
            <w:r w:rsidR="6CAE016F" w:rsidRPr="3727B7E5">
              <w:rPr>
                <w:rFonts w:eastAsiaTheme="minorEastAsia"/>
                <w:color w:val="000000" w:themeColor="text1"/>
              </w:rPr>
              <w:t>embraces</w:t>
            </w:r>
            <w:r w:rsidRPr="459551B5">
              <w:rPr>
                <w:rFonts w:eastAsiaTheme="minorEastAsia"/>
                <w:color w:val="000000" w:themeColor="text1"/>
              </w:rPr>
              <w:t xml:space="preserve"> innovative, research-informed approaches to learning and teaching</w:t>
            </w:r>
            <w:r w:rsidRPr="3727B7E5">
              <w:rPr>
                <w:rFonts w:eastAsiaTheme="minorEastAsia"/>
                <w:color w:val="000000" w:themeColor="text1"/>
              </w:rPr>
              <w:t>.</w:t>
            </w:r>
            <w:r w:rsidRPr="459551B5">
              <w:rPr>
                <w:rFonts w:eastAsiaTheme="minorEastAsia"/>
                <w:color w:val="000000" w:themeColor="text1"/>
              </w:rPr>
              <w:t xml:space="preserve"> Continuous cycles of course and program improvement are guided by institutional policies and procedures</w:t>
            </w:r>
            <w:r w:rsidR="321D984B" w:rsidRPr="3727B7E5">
              <w:rPr>
                <w:rFonts w:eastAsiaTheme="minorEastAsia"/>
                <w:color w:val="000000" w:themeColor="text1"/>
              </w:rPr>
              <w:t>, our academic quality framework,</w:t>
            </w:r>
            <w:r w:rsidRPr="459551B5">
              <w:rPr>
                <w:rFonts w:eastAsiaTheme="minorEastAsia"/>
                <w:color w:val="000000" w:themeColor="text1"/>
              </w:rPr>
              <w:t xml:space="preserve"> and strategic initiatives as </w:t>
            </w:r>
            <w:r w:rsidRPr="459551B5">
              <w:rPr>
                <w:rFonts w:eastAsiaTheme="minorEastAsia"/>
              </w:rPr>
              <w:t xml:space="preserve">outlined in the </w:t>
            </w:r>
            <w:hyperlink r:id="rId23">
              <w:r w:rsidRPr="459551B5">
                <w:rPr>
                  <w:rStyle w:val="Hyperlink"/>
                  <w:rFonts w:eastAsiaTheme="minorEastAsia"/>
                  <w:color w:val="467886"/>
                </w:rPr>
                <w:t>Education Plan (2022-2025)</w:t>
              </w:r>
            </w:hyperlink>
            <w:r w:rsidRPr="459551B5">
              <w:rPr>
                <w:rFonts w:eastAsiaTheme="minorEastAsia"/>
              </w:rPr>
              <w:t xml:space="preserve">. </w:t>
            </w:r>
            <w:r w:rsidRPr="3727B7E5">
              <w:rPr>
                <w:rFonts w:eastAsiaTheme="minorEastAsia"/>
                <w:color w:val="000000" w:themeColor="text1"/>
              </w:rPr>
              <w:t xml:space="preserve"> </w:t>
            </w:r>
            <w:r w:rsidRPr="459551B5">
              <w:rPr>
                <w:rFonts w:eastAsiaTheme="minorEastAsia"/>
                <w:color w:val="000000" w:themeColor="text1"/>
              </w:rPr>
              <w:t xml:space="preserve">  </w:t>
            </w:r>
          </w:p>
          <w:p w14:paraId="15E6C6A8" w14:textId="24C5A66C" w:rsidR="24FBE8AC" w:rsidRDefault="3E064201" w:rsidP="3727B7E5">
            <w:pPr>
              <w:spacing w:after="0" w:line="220" w:lineRule="atLeast"/>
              <w:rPr>
                <w:rFonts w:eastAsiaTheme="minorEastAsia"/>
                <w:b/>
                <w:color w:val="000000" w:themeColor="text1"/>
                <w:sz w:val="20"/>
                <w:szCs w:val="20"/>
              </w:rPr>
            </w:pPr>
            <w:r w:rsidRPr="3727B7E5">
              <w:rPr>
                <w:rFonts w:eastAsiaTheme="minorEastAsia"/>
                <w:b/>
                <w:bCs/>
                <w:color w:val="000000" w:themeColor="text1"/>
              </w:rPr>
              <w:t>Key priorities for the next 12 months include</w:t>
            </w:r>
            <w:r w:rsidR="00800715">
              <w:rPr>
                <w:rFonts w:eastAsiaTheme="minorEastAsia"/>
                <w:b/>
                <w:bCs/>
                <w:color w:val="000000" w:themeColor="text1"/>
              </w:rPr>
              <w:t>:</w:t>
            </w:r>
          </w:p>
          <w:p w14:paraId="0A773F65" w14:textId="33FE9B8B" w:rsidR="24FBE8AC" w:rsidRDefault="24FBE8AC" w:rsidP="002F3FDC">
            <w:pPr>
              <w:pStyle w:val="ListParagraph"/>
              <w:numPr>
                <w:ilvl w:val="0"/>
                <w:numId w:val="26"/>
              </w:numPr>
              <w:spacing w:after="0" w:line="220" w:lineRule="atLeast"/>
              <w:ind w:left="357" w:hanging="357"/>
              <w:rPr>
                <w:rFonts w:eastAsiaTheme="minorEastAsia"/>
                <w:i/>
                <w:color w:val="000000" w:themeColor="text1"/>
              </w:rPr>
            </w:pPr>
            <w:r w:rsidRPr="3727B7E5">
              <w:rPr>
                <w:rFonts w:eastAsiaTheme="minorEastAsia"/>
                <w:b/>
                <w:bCs/>
                <w:color w:val="000000" w:themeColor="text1"/>
              </w:rPr>
              <w:t>Assessment:</w:t>
            </w:r>
            <w:r w:rsidRPr="3727B7E5">
              <w:rPr>
                <w:rFonts w:eastAsiaTheme="minorEastAsia"/>
                <w:color w:val="000000" w:themeColor="text1"/>
              </w:rPr>
              <w:t xml:space="preserve"> </w:t>
            </w:r>
          </w:p>
          <w:p w14:paraId="57ED1E12" w14:textId="546B87A5" w:rsidR="24FBE8AC" w:rsidRDefault="24FBE8AC" w:rsidP="00366054">
            <w:pPr>
              <w:pStyle w:val="ListParagraph"/>
              <w:numPr>
                <w:ilvl w:val="1"/>
                <w:numId w:val="26"/>
              </w:numPr>
              <w:spacing w:after="0" w:line="220" w:lineRule="atLeast"/>
              <w:ind w:left="714" w:hanging="357"/>
              <w:rPr>
                <w:rFonts w:eastAsiaTheme="minorEastAsia"/>
                <w:color w:val="000000" w:themeColor="text1"/>
              </w:rPr>
            </w:pPr>
            <w:r w:rsidRPr="459551B5">
              <w:rPr>
                <w:rFonts w:eastAsiaTheme="minorEastAsia"/>
                <w:color w:val="000000" w:themeColor="text1"/>
              </w:rPr>
              <w:t>Strengthen</w:t>
            </w:r>
            <w:r w:rsidR="006A02AC">
              <w:rPr>
                <w:rFonts w:eastAsiaTheme="minorEastAsia"/>
                <w:color w:val="000000" w:themeColor="text1"/>
              </w:rPr>
              <w:t>ing</w:t>
            </w:r>
            <w:r w:rsidRPr="459551B5">
              <w:rPr>
                <w:rFonts w:eastAsiaTheme="minorEastAsia"/>
                <w:color w:val="000000" w:themeColor="text1"/>
              </w:rPr>
              <w:t xml:space="preserve"> discipline relevant assessment designs.</w:t>
            </w:r>
          </w:p>
          <w:p w14:paraId="3C82D085" w14:textId="034865D8" w:rsidR="24FBE8AC" w:rsidRDefault="24FBE8AC" w:rsidP="00366054">
            <w:pPr>
              <w:pStyle w:val="ListParagraph"/>
              <w:numPr>
                <w:ilvl w:val="1"/>
                <w:numId w:val="26"/>
              </w:numPr>
              <w:spacing w:after="0" w:line="220" w:lineRule="atLeast"/>
              <w:ind w:left="714" w:hanging="357"/>
              <w:rPr>
                <w:rFonts w:eastAsiaTheme="minorEastAsia"/>
                <w:color w:val="000000" w:themeColor="text1"/>
              </w:rPr>
            </w:pPr>
            <w:r w:rsidRPr="459551B5">
              <w:rPr>
                <w:rFonts w:eastAsiaTheme="minorEastAsia"/>
                <w:color w:val="000000" w:themeColor="text1"/>
              </w:rPr>
              <w:t>Improv</w:t>
            </w:r>
            <w:r w:rsidR="006A02AC">
              <w:rPr>
                <w:rFonts w:eastAsiaTheme="minorEastAsia"/>
                <w:color w:val="000000" w:themeColor="text1"/>
              </w:rPr>
              <w:t>ing</w:t>
            </w:r>
            <w:r w:rsidRPr="459551B5">
              <w:rPr>
                <w:rFonts w:eastAsiaTheme="minorEastAsia"/>
                <w:color w:val="000000" w:themeColor="text1"/>
              </w:rPr>
              <w:t xml:space="preserve"> quality of feedback to students</w:t>
            </w:r>
            <w:r w:rsidR="0083622D">
              <w:rPr>
                <w:rFonts w:eastAsiaTheme="minorEastAsia"/>
                <w:color w:val="000000" w:themeColor="text1"/>
              </w:rPr>
              <w:t>.</w:t>
            </w:r>
          </w:p>
          <w:p w14:paraId="61BD2BB4" w14:textId="0194F6A4" w:rsidR="24FBE8AC" w:rsidRDefault="24FBE8AC" w:rsidP="00366054">
            <w:pPr>
              <w:pStyle w:val="ListParagraph"/>
              <w:numPr>
                <w:ilvl w:val="1"/>
                <w:numId w:val="26"/>
              </w:numPr>
              <w:spacing w:after="0" w:line="220" w:lineRule="atLeast"/>
              <w:ind w:left="714" w:hanging="357"/>
              <w:rPr>
                <w:rFonts w:eastAsiaTheme="minorEastAsia"/>
                <w:color w:val="000000" w:themeColor="text1"/>
              </w:rPr>
            </w:pPr>
            <w:r w:rsidRPr="459551B5">
              <w:rPr>
                <w:rFonts w:eastAsiaTheme="minorEastAsia"/>
                <w:color w:val="000000" w:themeColor="text1"/>
              </w:rPr>
              <w:t>Facilitat</w:t>
            </w:r>
            <w:r w:rsidR="002A734E">
              <w:rPr>
                <w:rFonts w:eastAsiaTheme="minorEastAsia"/>
                <w:color w:val="000000" w:themeColor="text1"/>
              </w:rPr>
              <w:t>ing</w:t>
            </w:r>
            <w:r w:rsidRPr="459551B5">
              <w:rPr>
                <w:rFonts w:eastAsiaTheme="minorEastAsia"/>
                <w:color w:val="000000" w:themeColor="text1"/>
              </w:rPr>
              <w:t xml:space="preserve"> high quality, digital assessment.</w:t>
            </w:r>
          </w:p>
          <w:p w14:paraId="034813EB" w14:textId="28867799" w:rsidR="24FBE8AC" w:rsidRDefault="24FBE8AC" w:rsidP="00366054">
            <w:pPr>
              <w:pStyle w:val="ListParagraph"/>
              <w:numPr>
                <w:ilvl w:val="1"/>
                <w:numId w:val="26"/>
              </w:numPr>
              <w:spacing w:after="0" w:line="220" w:lineRule="atLeast"/>
              <w:ind w:left="714" w:hanging="357"/>
              <w:rPr>
                <w:rFonts w:eastAsiaTheme="minorEastAsia"/>
                <w:color w:val="000000" w:themeColor="text1"/>
              </w:rPr>
            </w:pPr>
            <w:r w:rsidRPr="459551B5">
              <w:rPr>
                <w:rFonts w:eastAsiaTheme="minorEastAsia"/>
                <w:color w:val="000000" w:themeColor="text1"/>
              </w:rPr>
              <w:t>Ensur</w:t>
            </w:r>
            <w:r w:rsidR="002A734E">
              <w:rPr>
                <w:rFonts w:eastAsiaTheme="minorEastAsia"/>
                <w:color w:val="000000" w:themeColor="text1"/>
              </w:rPr>
              <w:t>ing</w:t>
            </w:r>
            <w:r w:rsidRPr="459551B5">
              <w:rPr>
                <w:rFonts w:eastAsiaTheme="minorEastAsia"/>
                <w:color w:val="000000" w:themeColor="text1"/>
              </w:rPr>
              <w:t xml:space="preserve"> assessment</w:t>
            </w:r>
            <w:r w:rsidR="00216A3F">
              <w:rPr>
                <w:rFonts w:eastAsiaTheme="minorEastAsia"/>
                <w:color w:val="000000" w:themeColor="text1"/>
              </w:rPr>
              <w:t>s</w:t>
            </w:r>
            <w:r w:rsidRPr="459551B5">
              <w:rPr>
                <w:rFonts w:eastAsiaTheme="minorEastAsia"/>
                <w:color w:val="000000" w:themeColor="text1"/>
              </w:rPr>
              <w:t xml:space="preserve"> scaffold student learning. </w:t>
            </w:r>
          </w:p>
          <w:p w14:paraId="3E19F66B" w14:textId="43CB4ED0" w:rsidR="24FBE8AC" w:rsidRDefault="24FBE8AC" w:rsidP="00366054">
            <w:pPr>
              <w:pStyle w:val="ListParagraph"/>
              <w:numPr>
                <w:ilvl w:val="1"/>
                <w:numId w:val="26"/>
              </w:numPr>
              <w:spacing w:after="0" w:line="220" w:lineRule="atLeast"/>
              <w:ind w:left="714" w:hanging="357"/>
              <w:rPr>
                <w:rFonts w:eastAsiaTheme="minorEastAsia"/>
                <w:color w:val="000000" w:themeColor="text1"/>
              </w:rPr>
            </w:pPr>
            <w:r w:rsidRPr="459551B5">
              <w:rPr>
                <w:rFonts w:eastAsiaTheme="minorEastAsia"/>
                <w:color w:val="000000" w:themeColor="text1"/>
              </w:rPr>
              <w:t>Design</w:t>
            </w:r>
            <w:r w:rsidR="008C7E7D">
              <w:rPr>
                <w:rFonts w:eastAsiaTheme="minorEastAsia"/>
                <w:color w:val="000000" w:themeColor="text1"/>
              </w:rPr>
              <w:t>ing</w:t>
            </w:r>
            <w:r w:rsidRPr="459551B5">
              <w:rPr>
                <w:rFonts w:eastAsiaTheme="minorEastAsia"/>
                <w:color w:val="000000" w:themeColor="text1"/>
              </w:rPr>
              <w:t xml:space="preserve"> assessment to minimise academic integrity risks.</w:t>
            </w:r>
          </w:p>
          <w:p w14:paraId="31046147" w14:textId="349D9070" w:rsidR="24FBE8AC" w:rsidRPr="002F3FDC" w:rsidRDefault="24FBE8AC" w:rsidP="002F3FDC">
            <w:pPr>
              <w:pStyle w:val="ListParagraph"/>
              <w:numPr>
                <w:ilvl w:val="0"/>
                <w:numId w:val="26"/>
              </w:numPr>
              <w:spacing w:after="0" w:line="220" w:lineRule="atLeast"/>
              <w:ind w:left="357" w:hanging="357"/>
              <w:rPr>
                <w:rFonts w:eastAsiaTheme="minorEastAsia"/>
                <w:b/>
                <w:color w:val="000000" w:themeColor="text1"/>
              </w:rPr>
            </w:pPr>
            <w:r w:rsidRPr="3727B7E5">
              <w:rPr>
                <w:rFonts w:eastAsiaTheme="minorEastAsia"/>
                <w:b/>
                <w:bCs/>
                <w:color w:val="000000" w:themeColor="text1"/>
              </w:rPr>
              <w:t>First-Year Experience:</w:t>
            </w:r>
            <w:r w:rsidRPr="002F3FDC">
              <w:rPr>
                <w:rFonts w:eastAsiaTheme="minorEastAsia"/>
                <w:b/>
                <w:color w:val="000000" w:themeColor="text1"/>
              </w:rPr>
              <w:t xml:space="preserve"> </w:t>
            </w:r>
          </w:p>
          <w:p w14:paraId="3E85ABF4" w14:textId="43D193D4" w:rsidR="24FBE8AC" w:rsidRDefault="006D7CBA" w:rsidP="00366054">
            <w:pPr>
              <w:pStyle w:val="ListParagraph"/>
              <w:numPr>
                <w:ilvl w:val="1"/>
                <w:numId w:val="26"/>
              </w:numPr>
              <w:spacing w:after="0" w:line="220" w:lineRule="atLeast"/>
              <w:ind w:left="714" w:hanging="357"/>
              <w:rPr>
                <w:rFonts w:eastAsiaTheme="minorEastAsia"/>
                <w:color w:val="000000" w:themeColor="text1"/>
              </w:rPr>
            </w:pPr>
            <w:r>
              <w:rPr>
                <w:rFonts w:eastAsiaTheme="minorEastAsia"/>
                <w:color w:val="000000" w:themeColor="text1"/>
              </w:rPr>
              <w:t>Ensuring</w:t>
            </w:r>
            <w:r w:rsidRPr="459551B5">
              <w:rPr>
                <w:rFonts w:eastAsiaTheme="minorEastAsia"/>
                <w:color w:val="000000" w:themeColor="text1"/>
              </w:rPr>
              <w:t xml:space="preserve"> </w:t>
            </w:r>
            <w:r w:rsidR="24FBE8AC" w:rsidRPr="459551B5">
              <w:rPr>
                <w:rFonts w:eastAsiaTheme="minorEastAsia"/>
                <w:color w:val="000000" w:themeColor="text1"/>
              </w:rPr>
              <w:t>a strategic approach to first-year initiatives that support transition into and through university.</w:t>
            </w:r>
          </w:p>
          <w:p w14:paraId="6569BF75" w14:textId="57370613" w:rsidR="24FBE8AC" w:rsidRDefault="00B16C2B" w:rsidP="00366054">
            <w:pPr>
              <w:pStyle w:val="ListParagraph"/>
              <w:numPr>
                <w:ilvl w:val="1"/>
                <w:numId w:val="26"/>
              </w:numPr>
              <w:spacing w:after="0" w:line="220" w:lineRule="atLeast"/>
              <w:ind w:left="714" w:hanging="357"/>
              <w:rPr>
                <w:rFonts w:eastAsiaTheme="minorEastAsia"/>
                <w:color w:val="000000" w:themeColor="text1"/>
              </w:rPr>
            </w:pPr>
            <w:r>
              <w:rPr>
                <w:rFonts w:eastAsiaTheme="minorEastAsia"/>
                <w:color w:val="000000" w:themeColor="text1"/>
              </w:rPr>
              <w:t>S</w:t>
            </w:r>
            <w:r w:rsidR="24FBE8AC" w:rsidRPr="459551B5">
              <w:rPr>
                <w:rFonts w:eastAsiaTheme="minorEastAsia"/>
                <w:color w:val="000000" w:themeColor="text1"/>
              </w:rPr>
              <w:t>upport</w:t>
            </w:r>
            <w:r>
              <w:rPr>
                <w:rFonts w:eastAsiaTheme="minorEastAsia"/>
                <w:color w:val="000000" w:themeColor="text1"/>
              </w:rPr>
              <w:t>ing</w:t>
            </w:r>
            <w:r w:rsidR="24FBE8AC" w:rsidRPr="459551B5">
              <w:rPr>
                <w:rFonts w:eastAsiaTheme="minorEastAsia"/>
                <w:color w:val="000000" w:themeColor="text1"/>
              </w:rPr>
              <w:t xml:space="preserve"> student success</w:t>
            </w:r>
            <w:r>
              <w:rPr>
                <w:rFonts w:eastAsiaTheme="minorEastAsia"/>
                <w:color w:val="000000" w:themeColor="text1"/>
              </w:rPr>
              <w:t xml:space="preserve"> through </w:t>
            </w:r>
            <w:r w:rsidR="00CA6927">
              <w:rPr>
                <w:rFonts w:eastAsiaTheme="minorEastAsia"/>
                <w:color w:val="000000" w:themeColor="text1"/>
              </w:rPr>
              <w:t>curriculum</w:t>
            </w:r>
            <w:r w:rsidR="24FBE8AC" w:rsidRPr="459551B5">
              <w:rPr>
                <w:rFonts w:eastAsiaTheme="minorEastAsia"/>
                <w:color w:val="000000" w:themeColor="text1"/>
              </w:rPr>
              <w:t>.</w:t>
            </w:r>
          </w:p>
          <w:p w14:paraId="2006617C" w14:textId="1744C081" w:rsidR="24FBE8AC" w:rsidRDefault="00521636" w:rsidP="00366054">
            <w:pPr>
              <w:pStyle w:val="ListParagraph"/>
              <w:numPr>
                <w:ilvl w:val="1"/>
                <w:numId w:val="26"/>
              </w:numPr>
              <w:spacing w:after="0" w:line="220" w:lineRule="atLeast"/>
              <w:ind w:left="714" w:hanging="357"/>
              <w:rPr>
                <w:rFonts w:eastAsiaTheme="minorEastAsia"/>
                <w:color w:val="000000" w:themeColor="text1"/>
              </w:rPr>
            </w:pPr>
            <w:r>
              <w:rPr>
                <w:rFonts w:eastAsiaTheme="minorEastAsia"/>
                <w:color w:val="000000" w:themeColor="text1"/>
              </w:rPr>
              <w:t xml:space="preserve">Fostering </w:t>
            </w:r>
            <w:r w:rsidR="24FBE8AC" w:rsidRPr="459551B5">
              <w:rPr>
                <w:rFonts w:eastAsiaTheme="minorEastAsia"/>
                <w:color w:val="000000" w:themeColor="text1"/>
              </w:rPr>
              <w:t>belonging to the University and program cohort.</w:t>
            </w:r>
          </w:p>
          <w:p w14:paraId="4A7E7299" w14:textId="557E40B2" w:rsidR="1CD10DFC" w:rsidRDefault="1CD10DFC" w:rsidP="00366054">
            <w:pPr>
              <w:pStyle w:val="ListParagraph"/>
              <w:numPr>
                <w:ilvl w:val="1"/>
                <w:numId w:val="26"/>
              </w:numPr>
              <w:spacing w:after="0" w:line="220" w:lineRule="atLeast"/>
              <w:ind w:left="714" w:hanging="357"/>
            </w:pPr>
            <w:r w:rsidRPr="3727B7E5">
              <w:t xml:space="preserve">Enhancing transition </w:t>
            </w:r>
            <w:r w:rsidRPr="5F8416D9">
              <w:t>support</w:t>
            </w:r>
            <w:r w:rsidR="002BF0E4" w:rsidRPr="5F8416D9">
              <w:t xml:space="preserve"> </w:t>
            </w:r>
            <w:r w:rsidRPr="5F8416D9">
              <w:t xml:space="preserve">through </w:t>
            </w:r>
            <w:r w:rsidRPr="3727B7E5">
              <w:t>comprehensive digital orientation</w:t>
            </w:r>
            <w:r w:rsidR="00072AC2">
              <w:t xml:space="preserve"> </w:t>
            </w:r>
            <w:r w:rsidRPr="3727B7E5">
              <w:t>includ</w:t>
            </w:r>
            <w:r w:rsidR="00B46CBC">
              <w:t>ing</w:t>
            </w:r>
            <w:r w:rsidRPr="3727B7E5">
              <w:t xml:space="preserve">: </w:t>
            </w:r>
          </w:p>
          <w:p w14:paraId="5BBF4B23" w14:textId="77777777" w:rsidR="1CD10DFC" w:rsidRDefault="1CD10DFC" w:rsidP="00280680">
            <w:pPr>
              <w:pStyle w:val="NormalIndent"/>
              <w:numPr>
                <w:ilvl w:val="0"/>
                <w:numId w:val="32"/>
              </w:numPr>
              <w:spacing w:before="0" w:after="0"/>
              <w:rPr>
                <w:rFonts w:asciiTheme="minorHAnsi" w:hAnsiTheme="minorHAnsi" w:cstheme="minorBidi"/>
              </w:rPr>
            </w:pPr>
            <w:r w:rsidRPr="3727B7E5">
              <w:rPr>
                <w:rFonts w:asciiTheme="minorHAnsi" w:hAnsiTheme="minorHAnsi" w:cstheme="minorBidi"/>
              </w:rPr>
              <w:t xml:space="preserve">personalised study support and mentoring </w:t>
            </w:r>
            <w:proofErr w:type="gramStart"/>
            <w:r w:rsidRPr="3727B7E5">
              <w:rPr>
                <w:rFonts w:asciiTheme="minorHAnsi" w:hAnsiTheme="minorHAnsi" w:cstheme="minorBidi"/>
              </w:rPr>
              <w:t>plans;</w:t>
            </w:r>
            <w:proofErr w:type="gramEnd"/>
            <w:r w:rsidRPr="3727B7E5">
              <w:rPr>
                <w:rFonts w:asciiTheme="minorHAnsi" w:hAnsiTheme="minorHAnsi" w:cstheme="minorBidi"/>
              </w:rPr>
              <w:t xml:space="preserve"> </w:t>
            </w:r>
          </w:p>
          <w:p w14:paraId="5DAC4B18" w14:textId="020609C0" w:rsidR="1CD10DFC" w:rsidRDefault="1CD10DFC" w:rsidP="00280680">
            <w:pPr>
              <w:pStyle w:val="NormalIndent"/>
              <w:numPr>
                <w:ilvl w:val="0"/>
                <w:numId w:val="32"/>
              </w:numPr>
              <w:spacing w:before="0" w:after="0"/>
              <w:rPr>
                <w:rFonts w:asciiTheme="minorHAnsi" w:hAnsiTheme="minorHAnsi" w:cstheme="minorBidi"/>
              </w:rPr>
            </w:pPr>
            <w:r w:rsidRPr="3727B7E5">
              <w:rPr>
                <w:rFonts w:asciiTheme="minorHAnsi" w:hAnsiTheme="minorHAnsi" w:cstheme="minorBidi"/>
              </w:rPr>
              <w:t xml:space="preserve">early intervention for students showing signs of disengagement (e.g., low LMS access); and </w:t>
            </w:r>
          </w:p>
          <w:p w14:paraId="5BF61F36" w14:textId="61890B11" w:rsidR="3727B7E5" w:rsidRPr="00C804DF" w:rsidRDefault="1CD10DFC" w:rsidP="00280680">
            <w:pPr>
              <w:pStyle w:val="NormalIndent"/>
              <w:numPr>
                <w:ilvl w:val="0"/>
                <w:numId w:val="32"/>
              </w:numPr>
              <w:spacing w:before="0" w:after="0"/>
              <w:rPr>
                <w:rFonts w:asciiTheme="minorHAnsi" w:hAnsiTheme="minorHAnsi" w:cstheme="minorBidi"/>
              </w:rPr>
            </w:pPr>
            <w:r w:rsidRPr="3727B7E5">
              <w:rPr>
                <w:rFonts w:asciiTheme="minorHAnsi" w:hAnsiTheme="minorHAnsi" w:cstheme="minorBidi"/>
              </w:rPr>
              <w:t>continued monitoring of progression following release of results.</w:t>
            </w:r>
          </w:p>
          <w:p w14:paraId="291CCEC5" w14:textId="287C2800" w:rsidR="24FBE8AC" w:rsidRDefault="24FBE8AC" w:rsidP="002F3FDC">
            <w:pPr>
              <w:pStyle w:val="ListParagraph"/>
              <w:numPr>
                <w:ilvl w:val="0"/>
                <w:numId w:val="26"/>
              </w:numPr>
              <w:spacing w:after="0" w:line="220" w:lineRule="atLeast"/>
              <w:ind w:left="357" w:hanging="357"/>
              <w:rPr>
                <w:rFonts w:eastAsiaTheme="minorEastAsia"/>
                <w:color w:val="000000" w:themeColor="text1"/>
              </w:rPr>
            </w:pPr>
            <w:r w:rsidRPr="00DC4723">
              <w:rPr>
                <w:rFonts w:eastAsiaTheme="minorEastAsia"/>
                <w:b/>
                <w:bCs/>
                <w:color w:val="000000" w:themeColor="text1"/>
              </w:rPr>
              <w:t xml:space="preserve">Professional Learning: </w:t>
            </w:r>
            <w:r w:rsidRPr="459551B5">
              <w:rPr>
                <w:rFonts w:eastAsiaTheme="minorEastAsia"/>
                <w:color w:val="000000" w:themeColor="text1"/>
              </w:rPr>
              <w:t>Offer</w:t>
            </w:r>
            <w:r w:rsidR="00521636">
              <w:rPr>
                <w:rFonts w:eastAsiaTheme="minorEastAsia"/>
                <w:color w:val="000000" w:themeColor="text1"/>
              </w:rPr>
              <w:t>ing</w:t>
            </w:r>
            <w:r w:rsidRPr="459551B5">
              <w:rPr>
                <w:rFonts w:eastAsiaTheme="minorEastAsia"/>
                <w:color w:val="000000" w:themeColor="text1"/>
              </w:rPr>
              <w:t xml:space="preserve"> comprehensive academic development </w:t>
            </w:r>
            <w:r w:rsidR="3BD216F3" w:rsidRPr="3727B7E5">
              <w:rPr>
                <w:rFonts w:eastAsiaTheme="minorEastAsia"/>
                <w:color w:val="000000" w:themeColor="text1"/>
              </w:rPr>
              <w:t>that supports staff in the adoption of innovative teaching practices</w:t>
            </w:r>
            <w:r w:rsidRPr="459551B5">
              <w:rPr>
                <w:rFonts w:eastAsiaTheme="minorEastAsia"/>
                <w:color w:val="000000" w:themeColor="text1"/>
              </w:rPr>
              <w:t>.</w:t>
            </w:r>
          </w:p>
          <w:p w14:paraId="3B374F66" w14:textId="320F8617" w:rsidR="24FBE8AC" w:rsidRDefault="24FBE8AC" w:rsidP="00366054">
            <w:pPr>
              <w:pStyle w:val="ListParagraph"/>
              <w:numPr>
                <w:ilvl w:val="1"/>
                <w:numId w:val="26"/>
              </w:numPr>
              <w:spacing w:after="0" w:line="220" w:lineRule="atLeast"/>
              <w:ind w:left="714" w:hanging="357"/>
              <w:rPr>
                <w:rFonts w:eastAsiaTheme="minorEastAsia"/>
                <w:color w:val="000000" w:themeColor="text1"/>
              </w:rPr>
            </w:pPr>
            <w:r w:rsidRPr="459551B5">
              <w:rPr>
                <w:rFonts w:eastAsiaTheme="minorEastAsia"/>
                <w:color w:val="000000" w:themeColor="text1"/>
              </w:rPr>
              <w:t>Implement</w:t>
            </w:r>
            <w:r w:rsidR="00521636">
              <w:rPr>
                <w:rFonts w:eastAsiaTheme="minorEastAsia"/>
                <w:color w:val="000000" w:themeColor="text1"/>
              </w:rPr>
              <w:t>ing</w:t>
            </w:r>
            <w:r w:rsidRPr="459551B5">
              <w:rPr>
                <w:rFonts w:eastAsiaTheme="minorEastAsia"/>
                <w:color w:val="000000" w:themeColor="text1"/>
              </w:rPr>
              <w:t xml:space="preserve"> professional learning aligned to learning and teaching priorities.</w:t>
            </w:r>
          </w:p>
          <w:p w14:paraId="278D8DD5" w14:textId="42D6ECDF" w:rsidR="24FBE8AC" w:rsidRDefault="24FBE8AC" w:rsidP="00366054">
            <w:pPr>
              <w:pStyle w:val="ListParagraph"/>
              <w:numPr>
                <w:ilvl w:val="1"/>
                <w:numId w:val="26"/>
              </w:numPr>
              <w:spacing w:after="0" w:line="220" w:lineRule="atLeast"/>
              <w:ind w:left="714" w:hanging="357"/>
              <w:rPr>
                <w:rFonts w:eastAsiaTheme="minorEastAsia"/>
                <w:color w:val="000000" w:themeColor="text1"/>
              </w:rPr>
            </w:pPr>
            <w:r w:rsidRPr="459551B5">
              <w:rPr>
                <w:rFonts w:eastAsiaTheme="minorEastAsia"/>
                <w:color w:val="000000" w:themeColor="text1"/>
              </w:rPr>
              <w:lastRenderedPageBreak/>
              <w:t>Foster</w:t>
            </w:r>
            <w:r w:rsidR="00521636">
              <w:rPr>
                <w:rFonts w:eastAsiaTheme="minorEastAsia"/>
                <w:color w:val="000000" w:themeColor="text1"/>
              </w:rPr>
              <w:t>ing</w:t>
            </w:r>
            <w:r w:rsidRPr="459551B5">
              <w:rPr>
                <w:rFonts w:eastAsiaTheme="minorEastAsia"/>
                <w:color w:val="000000" w:themeColor="text1"/>
              </w:rPr>
              <w:t xml:space="preserve"> an environment celebrat</w:t>
            </w:r>
            <w:r w:rsidR="0004585A">
              <w:rPr>
                <w:rFonts w:eastAsiaTheme="minorEastAsia"/>
                <w:color w:val="000000" w:themeColor="text1"/>
              </w:rPr>
              <w:t>ing</w:t>
            </w:r>
            <w:r w:rsidRPr="459551B5">
              <w:rPr>
                <w:rFonts w:eastAsiaTheme="minorEastAsia"/>
                <w:color w:val="000000" w:themeColor="text1"/>
              </w:rPr>
              <w:t xml:space="preserve"> learning and teaching excellence. </w:t>
            </w:r>
          </w:p>
          <w:p w14:paraId="7332A2AE" w14:textId="0C9DB2B5" w:rsidR="24FBE8AC" w:rsidRPr="00366054" w:rsidRDefault="24FBE8AC" w:rsidP="00366054">
            <w:pPr>
              <w:pStyle w:val="ListParagraph"/>
              <w:numPr>
                <w:ilvl w:val="0"/>
                <w:numId w:val="26"/>
              </w:numPr>
              <w:spacing w:after="0" w:line="220" w:lineRule="atLeast"/>
              <w:ind w:left="357" w:hanging="357"/>
              <w:rPr>
                <w:rFonts w:eastAsiaTheme="minorEastAsia"/>
                <w:b/>
                <w:color w:val="000000" w:themeColor="text1"/>
              </w:rPr>
            </w:pPr>
            <w:r w:rsidRPr="459551B5">
              <w:rPr>
                <w:rFonts w:eastAsiaTheme="minorEastAsia"/>
                <w:b/>
                <w:color w:val="000000" w:themeColor="text1"/>
              </w:rPr>
              <w:t>Work-Integrated Learning:</w:t>
            </w:r>
            <w:r w:rsidRPr="00366054">
              <w:rPr>
                <w:rFonts w:eastAsiaTheme="minorEastAsia"/>
                <w:b/>
                <w:color w:val="000000" w:themeColor="text1"/>
              </w:rPr>
              <w:t xml:space="preserve"> </w:t>
            </w:r>
          </w:p>
          <w:p w14:paraId="698CF01C" w14:textId="47AD55B2" w:rsidR="24FBE8AC" w:rsidRDefault="24FBE8AC" w:rsidP="00366054">
            <w:pPr>
              <w:pStyle w:val="ListParagraph"/>
              <w:numPr>
                <w:ilvl w:val="1"/>
                <w:numId w:val="26"/>
              </w:numPr>
              <w:spacing w:after="0" w:line="220" w:lineRule="atLeast"/>
              <w:ind w:left="714" w:hanging="357"/>
              <w:rPr>
                <w:rFonts w:eastAsiaTheme="minorEastAsia"/>
                <w:color w:val="000000" w:themeColor="text1"/>
              </w:rPr>
            </w:pPr>
            <w:r w:rsidRPr="459551B5">
              <w:rPr>
                <w:rFonts w:eastAsiaTheme="minorEastAsia"/>
                <w:color w:val="000000" w:themeColor="text1"/>
              </w:rPr>
              <w:t>Develop</w:t>
            </w:r>
            <w:r w:rsidR="00521636">
              <w:rPr>
                <w:rFonts w:eastAsiaTheme="minorEastAsia"/>
                <w:color w:val="000000" w:themeColor="text1"/>
              </w:rPr>
              <w:t>ing</w:t>
            </w:r>
            <w:r w:rsidRPr="459551B5">
              <w:rPr>
                <w:rFonts w:eastAsiaTheme="minorEastAsia"/>
                <w:color w:val="000000" w:themeColor="text1"/>
              </w:rPr>
              <w:t xml:space="preserve"> a framework to guide Work-Integrated Learning (WIL</w:t>
            </w:r>
            <w:r w:rsidRPr="3727B7E5">
              <w:rPr>
                <w:rFonts w:eastAsiaTheme="minorEastAsia"/>
                <w:color w:val="000000" w:themeColor="text1"/>
              </w:rPr>
              <w:t>)</w:t>
            </w:r>
            <w:r w:rsidR="6B7601CE" w:rsidRPr="3727B7E5">
              <w:rPr>
                <w:rFonts w:eastAsiaTheme="minorEastAsia"/>
                <w:color w:val="000000" w:themeColor="text1"/>
              </w:rPr>
              <w:t xml:space="preserve"> and ensuring WIL is embedded across all programs</w:t>
            </w:r>
            <w:r w:rsidRPr="3727B7E5">
              <w:rPr>
                <w:rFonts w:eastAsiaTheme="minorEastAsia"/>
                <w:color w:val="000000" w:themeColor="text1"/>
              </w:rPr>
              <w:t>.</w:t>
            </w:r>
            <w:r w:rsidRPr="459551B5">
              <w:rPr>
                <w:rFonts w:eastAsiaTheme="minorEastAsia"/>
                <w:color w:val="000000" w:themeColor="text1"/>
              </w:rPr>
              <w:t xml:space="preserve"> </w:t>
            </w:r>
          </w:p>
          <w:p w14:paraId="1F90EDDE" w14:textId="605936DF" w:rsidR="459551B5" w:rsidRPr="00FE5014" w:rsidRDefault="24FBE8AC" w:rsidP="00366054">
            <w:pPr>
              <w:pStyle w:val="ListParagraph"/>
              <w:numPr>
                <w:ilvl w:val="1"/>
                <w:numId w:val="26"/>
              </w:numPr>
              <w:spacing w:after="0" w:line="220" w:lineRule="atLeast"/>
              <w:ind w:left="714" w:hanging="357"/>
              <w:rPr>
                <w:rFonts w:eastAsiaTheme="minorEastAsia"/>
                <w:color w:val="000000" w:themeColor="text1"/>
              </w:rPr>
            </w:pPr>
            <w:r w:rsidRPr="459551B5">
              <w:rPr>
                <w:rFonts w:eastAsiaTheme="minorEastAsia"/>
                <w:color w:val="000000" w:themeColor="text1"/>
              </w:rPr>
              <w:t>Collaborat</w:t>
            </w:r>
            <w:r w:rsidR="00521636">
              <w:rPr>
                <w:rFonts w:eastAsiaTheme="minorEastAsia"/>
                <w:color w:val="000000" w:themeColor="text1"/>
              </w:rPr>
              <w:t>ing</w:t>
            </w:r>
            <w:r w:rsidRPr="459551B5">
              <w:rPr>
                <w:rFonts w:eastAsiaTheme="minorEastAsia"/>
                <w:color w:val="000000" w:themeColor="text1"/>
              </w:rPr>
              <w:t xml:space="preserve"> with industry to co-create meaning</w:t>
            </w:r>
            <w:r w:rsidR="08681757" w:rsidRPr="459551B5">
              <w:rPr>
                <w:rFonts w:eastAsiaTheme="minorEastAsia"/>
                <w:color w:val="000000" w:themeColor="text1"/>
              </w:rPr>
              <w:t>ful</w:t>
            </w:r>
            <w:r w:rsidRPr="459551B5">
              <w:rPr>
                <w:rFonts w:eastAsiaTheme="minorEastAsia"/>
                <w:color w:val="000000" w:themeColor="text1"/>
              </w:rPr>
              <w:t xml:space="preserve"> WIL experiences</w:t>
            </w:r>
            <w:r w:rsidR="0497A77F" w:rsidRPr="3727B7E5">
              <w:rPr>
                <w:rFonts w:eastAsiaTheme="minorEastAsia"/>
                <w:color w:val="000000" w:themeColor="text1"/>
              </w:rPr>
              <w:t xml:space="preserve"> and to adapt programs in response to industry needs</w:t>
            </w:r>
            <w:r w:rsidRPr="459551B5">
              <w:rPr>
                <w:rFonts w:eastAsiaTheme="minorEastAsia"/>
                <w:color w:val="000000" w:themeColor="text1"/>
              </w:rPr>
              <w:t xml:space="preserve">. </w:t>
            </w:r>
          </w:p>
          <w:p w14:paraId="6BA95500" w14:textId="05DB66F0" w:rsidR="24FBE8AC" w:rsidRDefault="24FBE8AC" w:rsidP="009263C5">
            <w:pPr>
              <w:spacing w:after="0" w:line="220" w:lineRule="atLeast"/>
              <w:rPr>
                <w:rFonts w:eastAsiaTheme="minorEastAsia"/>
                <w:b/>
                <w:color w:val="000000" w:themeColor="text1"/>
                <w:sz w:val="20"/>
                <w:szCs w:val="20"/>
              </w:rPr>
            </w:pPr>
            <w:r w:rsidRPr="459551B5">
              <w:rPr>
                <w:rFonts w:eastAsiaTheme="minorEastAsia"/>
                <w:b/>
                <w:color w:val="000000" w:themeColor="text1"/>
              </w:rPr>
              <w:t>Measured by:</w:t>
            </w:r>
          </w:p>
          <w:p w14:paraId="01E01CD3" w14:textId="173A005F" w:rsidR="008F442E" w:rsidRPr="00F72EC4" w:rsidRDefault="24FBE8AC" w:rsidP="00F72EC4">
            <w:pPr>
              <w:pStyle w:val="NormalIndent"/>
              <w:spacing w:before="0"/>
              <w:ind w:left="0"/>
              <w:rPr>
                <w:rFonts w:asciiTheme="minorHAnsi" w:eastAsiaTheme="minorEastAsia" w:hAnsiTheme="minorHAnsi" w:cstheme="minorBidi"/>
                <w:szCs w:val="22"/>
              </w:rPr>
            </w:pPr>
            <w:proofErr w:type="spellStart"/>
            <w:r w:rsidRPr="459551B5">
              <w:rPr>
                <w:rFonts w:asciiTheme="minorHAnsi" w:eastAsiaTheme="minorEastAsia" w:hAnsiTheme="minorHAnsi" w:cstheme="minorBidi"/>
                <w:szCs w:val="22"/>
              </w:rPr>
              <w:t>UniSQ</w:t>
            </w:r>
            <w:proofErr w:type="spellEnd"/>
            <w:r w:rsidRPr="459551B5">
              <w:rPr>
                <w:rFonts w:asciiTheme="minorHAnsi" w:eastAsiaTheme="minorEastAsia" w:hAnsiTheme="minorHAnsi" w:cstheme="minorBidi"/>
                <w:szCs w:val="22"/>
              </w:rPr>
              <w:t xml:space="preserve"> monitors learning and teaching quality in a variety </w:t>
            </w:r>
            <w:r w:rsidR="007200FE">
              <w:rPr>
                <w:rFonts w:asciiTheme="minorHAnsi" w:eastAsiaTheme="minorEastAsia" w:hAnsiTheme="minorHAnsi" w:cstheme="minorBidi"/>
                <w:szCs w:val="22"/>
              </w:rPr>
              <w:t>of</w:t>
            </w:r>
            <w:r w:rsidRPr="459551B5">
              <w:rPr>
                <w:rFonts w:asciiTheme="minorHAnsi" w:eastAsiaTheme="minorEastAsia" w:hAnsiTheme="minorHAnsi" w:cstheme="minorBidi"/>
                <w:szCs w:val="22"/>
              </w:rPr>
              <w:t xml:space="preserve"> ways. Student surveys are used at both the mid</w:t>
            </w:r>
            <w:r w:rsidR="00746B80">
              <w:rPr>
                <w:rFonts w:asciiTheme="minorHAnsi" w:eastAsiaTheme="minorEastAsia" w:hAnsiTheme="minorHAnsi" w:cstheme="minorBidi"/>
                <w:szCs w:val="22"/>
              </w:rPr>
              <w:t>-</w:t>
            </w:r>
            <w:r w:rsidRPr="459551B5">
              <w:rPr>
                <w:rFonts w:asciiTheme="minorHAnsi" w:eastAsiaTheme="minorEastAsia" w:hAnsiTheme="minorHAnsi" w:cstheme="minorBidi"/>
                <w:szCs w:val="22"/>
              </w:rPr>
              <w:t xml:space="preserve"> and end</w:t>
            </w:r>
            <w:r w:rsidR="00746B80">
              <w:rPr>
                <w:rFonts w:asciiTheme="minorHAnsi" w:eastAsiaTheme="minorEastAsia" w:hAnsiTheme="minorHAnsi" w:cstheme="minorBidi"/>
                <w:szCs w:val="22"/>
              </w:rPr>
              <w:t>-</w:t>
            </w:r>
            <w:r w:rsidRPr="459551B5">
              <w:rPr>
                <w:rFonts w:asciiTheme="minorHAnsi" w:eastAsiaTheme="minorEastAsia" w:hAnsiTheme="minorHAnsi" w:cstheme="minorBidi"/>
                <w:szCs w:val="22"/>
              </w:rPr>
              <w:t xml:space="preserve"> point of most courses</w:t>
            </w:r>
            <w:r w:rsidR="004A6828">
              <w:rPr>
                <w:rFonts w:asciiTheme="minorHAnsi" w:eastAsiaTheme="minorEastAsia" w:hAnsiTheme="minorHAnsi" w:cstheme="minorBidi"/>
                <w:szCs w:val="22"/>
              </w:rPr>
              <w:t xml:space="preserve"> to obtain information regarding </w:t>
            </w:r>
            <w:r w:rsidR="00746B80">
              <w:rPr>
                <w:rFonts w:asciiTheme="minorHAnsi" w:eastAsiaTheme="minorEastAsia" w:hAnsiTheme="minorHAnsi" w:cstheme="minorBidi"/>
                <w:szCs w:val="22"/>
              </w:rPr>
              <w:t>satisfaction</w:t>
            </w:r>
            <w:r w:rsidR="004A6828">
              <w:rPr>
                <w:rFonts w:asciiTheme="minorHAnsi" w:eastAsiaTheme="minorEastAsia" w:hAnsiTheme="minorHAnsi" w:cstheme="minorBidi"/>
                <w:szCs w:val="22"/>
              </w:rPr>
              <w:t xml:space="preserve"> levels and</w:t>
            </w:r>
            <w:r w:rsidR="00747CE1">
              <w:rPr>
                <w:rFonts w:asciiTheme="minorHAnsi" w:eastAsiaTheme="minorEastAsia" w:hAnsiTheme="minorHAnsi" w:cstheme="minorBidi"/>
                <w:szCs w:val="22"/>
              </w:rPr>
              <w:t xml:space="preserve"> </w:t>
            </w:r>
            <w:r w:rsidR="00746B80">
              <w:rPr>
                <w:rFonts w:asciiTheme="minorHAnsi" w:eastAsiaTheme="minorEastAsia" w:hAnsiTheme="minorHAnsi" w:cstheme="minorBidi"/>
                <w:szCs w:val="22"/>
              </w:rPr>
              <w:t>engagement with learning opportunities</w:t>
            </w:r>
            <w:r w:rsidRPr="459551B5">
              <w:rPr>
                <w:rFonts w:asciiTheme="minorHAnsi" w:eastAsiaTheme="minorEastAsia" w:hAnsiTheme="minorHAnsi" w:cstheme="minorBidi"/>
                <w:szCs w:val="22"/>
              </w:rPr>
              <w:t>. The mid-point survey serves as an early intervention tool enabling potential issues to be identified and rectified early in a course. Course Action Plans are completed at the end of a teaching period. These plans triangulate student feedback and other key course metrics (e.g., progression data) and focus of continuous course improvement.  Programs under</w:t>
            </w:r>
            <w:r w:rsidR="003D45C4">
              <w:rPr>
                <w:rFonts w:asciiTheme="minorHAnsi" w:eastAsiaTheme="minorEastAsia" w:hAnsiTheme="minorHAnsi" w:cstheme="minorBidi"/>
                <w:szCs w:val="22"/>
              </w:rPr>
              <w:t>go</w:t>
            </w:r>
            <w:r w:rsidRPr="459551B5">
              <w:rPr>
                <w:rFonts w:asciiTheme="minorHAnsi" w:eastAsiaTheme="minorEastAsia" w:hAnsiTheme="minorHAnsi" w:cstheme="minorBidi"/>
                <w:szCs w:val="22"/>
              </w:rPr>
              <w:t xml:space="preserve"> annual review, interim review, and comprehensive reviews, where data such as student progression and retention are explicitly examined, as well as admission information, and student outcome metrics.  </w:t>
            </w:r>
          </w:p>
          <w:p w14:paraId="429E9907" w14:textId="55953114" w:rsidR="08FA435B" w:rsidRPr="00F72EC4" w:rsidRDefault="00433DDB" w:rsidP="00F72EC4">
            <w:pPr>
              <w:spacing w:after="120" w:line="220" w:lineRule="atLeast"/>
              <w:rPr>
                <w:rFonts w:eastAsiaTheme="minorEastAsia"/>
                <w:lang w:eastAsia="en-AU"/>
              </w:rPr>
            </w:pPr>
            <w:r>
              <w:rPr>
                <w:rFonts w:eastAsiaTheme="minorEastAsia"/>
                <w:lang w:eastAsia="en-AU"/>
              </w:rPr>
              <w:t>Data related to</w:t>
            </w:r>
            <w:r w:rsidR="003A47CA">
              <w:rPr>
                <w:rFonts w:eastAsiaTheme="minorEastAsia"/>
                <w:lang w:eastAsia="en-AU"/>
              </w:rPr>
              <w:t xml:space="preserve"> </w:t>
            </w:r>
            <w:r w:rsidR="00D50525">
              <w:rPr>
                <w:rFonts w:eastAsiaTheme="minorEastAsia"/>
                <w:lang w:eastAsia="en-AU"/>
              </w:rPr>
              <w:t xml:space="preserve">student </w:t>
            </w:r>
            <w:r w:rsidR="002071A4">
              <w:rPr>
                <w:rFonts w:eastAsiaTheme="minorEastAsia"/>
                <w:lang w:eastAsia="en-AU"/>
              </w:rPr>
              <w:t xml:space="preserve">satisfaction, student </w:t>
            </w:r>
            <w:r w:rsidR="00D50525">
              <w:rPr>
                <w:rFonts w:eastAsiaTheme="minorEastAsia"/>
                <w:lang w:eastAsia="en-AU"/>
              </w:rPr>
              <w:t xml:space="preserve">outcomes, and </w:t>
            </w:r>
            <w:r w:rsidR="003A47CA">
              <w:rPr>
                <w:rFonts w:eastAsiaTheme="minorEastAsia"/>
                <w:lang w:eastAsia="en-AU"/>
              </w:rPr>
              <w:t xml:space="preserve">course and </w:t>
            </w:r>
            <w:r w:rsidR="005D44FF">
              <w:rPr>
                <w:rFonts w:eastAsiaTheme="minorEastAsia"/>
                <w:lang w:eastAsia="en-AU"/>
              </w:rPr>
              <w:t xml:space="preserve">program quality </w:t>
            </w:r>
            <w:r w:rsidR="00D50525">
              <w:rPr>
                <w:rFonts w:eastAsiaTheme="minorEastAsia"/>
                <w:lang w:eastAsia="en-AU"/>
              </w:rPr>
              <w:t xml:space="preserve">assurance </w:t>
            </w:r>
            <w:r w:rsidR="004B2A78">
              <w:rPr>
                <w:rFonts w:eastAsiaTheme="minorEastAsia"/>
                <w:lang w:eastAsia="en-AU"/>
              </w:rPr>
              <w:t>is</w:t>
            </w:r>
            <w:r w:rsidR="00D50525">
              <w:rPr>
                <w:rFonts w:eastAsiaTheme="minorEastAsia"/>
                <w:lang w:eastAsia="en-AU"/>
              </w:rPr>
              <w:t xml:space="preserve"> available to staff </w:t>
            </w:r>
            <w:r w:rsidR="24FBE8AC" w:rsidRPr="459551B5">
              <w:rPr>
                <w:rFonts w:eastAsiaTheme="minorEastAsia"/>
                <w:lang w:eastAsia="en-AU"/>
              </w:rPr>
              <w:t>through institutional dashboards</w:t>
            </w:r>
            <w:r w:rsidR="00563A5D">
              <w:rPr>
                <w:rFonts w:eastAsiaTheme="minorEastAsia"/>
                <w:lang w:eastAsia="en-AU"/>
              </w:rPr>
              <w:t xml:space="preserve">. The </w:t>
            </w:r>
            <w:r w:rsidR="00FA3083">
              <w:rPr>
                <w:rFonts w:eastAsiaTheme="minorEastAsia"/>
                <w:lang w:eastAsia="en-AU"/>
              </w:rPr>
              <w:t>U</w:t>
            </w:r>
            <w:r w:rsidR="00563A5D">
              <w:rPr>
                <w:rFonts w:eastAsiaTheme="minorEastAsia"/>
                <w:lang w:eastAsia="en-AU"/>
              </w:rPr>
              <w:t xml:space="preserve">niversity governance </w:t>
            </w:r>
            <w:r w:rsidR="00563A5D" w:rsidRPr="0CDCED3B">
              <w:rPr>
                <w:rFonts w:eastAsiaTheme="minorEastAsia"/>
                <w:lang w:eastAsia="en-AU"/>
              </w:rPr>
              <w:t>process</w:t>
            </w:r>
            <w:r w:rsidR="0FA7CCFE" w:rsidRPr="0CDCED3B">
              <w:rPr>
                <w:rFonts w:eastAsiaTheme="minorEastAsia"/>
                <w:lang w:eastAsia="en-AU"/>
              </w:rPr>
              <w:t>es</w:t>
            </w:r>
            <w:r w:rsidR="00563A5D" w:rsidRPr="3727B7E5">
              <w:rPr>
                <w:rFonts w:eastAsiaTheme="minorEastAsia"/>
                <w:lang w:eastAsia="en-AU"/>
              </w:rPr>
              <w:t xml:space="preserve"> </w:t>
            </w:r>
            <w:r w:rsidR="0FA7CCFE" w:rsidRPr="73A1705C">
              <w:rPr>
                <w:rFonts w:eastAsiaTheme="minorEastAsia"/>
                <w:lang w:eastAsia="en-AU"/>
              </w:rPr>
              <w:t>and Heads of Schools</w:t>
            </w:r>
            <w:r w:rsidR="00563A5D" w:rsidRPr="73A1705C">
              <w:rPr>
                <w:rFonts w:eastAsiaTheme="minorEastAsia"/>
                <w:lang w:eastAsia="en-AU"/>
              </w:rPr>
              <w:t xml:space="preserve"> </w:t>
            </w:r>
            <w:r w:rsidR="00C5669F" w:rsidRPr="3727B7E5">
              <w:rPr>
                <w:rFonts w:eastAsiaTheme="minorEastAsia"/>
                <w:lang w:eastAsia="en-AU"/>
              </w:rPr>
              <w:t>monitor</w:t>
            </w:r>
            <w:r w:rsidR="00DE679D">
              <w:rPr>
                <w:rFonts w:eastAsiaTheme="minorEastAsia"/>
                <w:lang w:eastAsia="en-AU"/>
              </w:rPr>
              <w:t xml:space="preserve"> </w:t>
            </w:r>
            <w:r w:rsidR="00253455">
              <w:rPr>
                <w:rFonts w:eastAsiaTheme="minorEastAsia"/>
                <w:lang w:eastAsia="en-AU"/>
              </w:rPr>
              <w:t xml:space="preserve">course and program quality </w:t>
            </w:r>
            <w:r w:rsidR="00DE679D">
              <w:rPr>
                <w:rFonts w:eastAsiaTheme="minorEastAsia"/>
                <w:lang w:eastAsia="en-AU"/>
              </w:rPr>
              <w:t>and</w:t>
            </w:r>
            <w:r w:rsidR="24FBE8AC" w:rsidRPr="459551B5">
              <w:rPr>
                <w:rFonts w:eastAsiaTheme="minorEastAsia"/>
                <w:lang w:eastAsia="en-AU"/>
              </w:rPr>
              <w:t xml:space="preserve"> ensure continuous improvement in teaching quality and student outcomes.</w:t>
            </w:r>
          </w:p>
          <w:p w14:paraId="3AB9E29A" w14:textId="18A91043" w:rsidR="005E326D" w:rsidRPr="005E326D" w:rsidRDefault="005E326D" w:rsidP="005E326D">
            <w:pPr>
              <w:pStyle w:val="NormalIndent"/>
              <w:spacing w:before="0" w:after="0"/>
              <w:ind w:left="0"/>
              <w:rPr>
                <w:rFonts w:asciiTheme="minorHAnsi" w:hAnsiTheme="minorHAnsi" w:cstheme="minorBidi"/>
                <w:b/>
              </w:rPr>
            </w:pPr>
            <w:r w:rsidRPr="3727B7E5">
              <w:rPr>
                <w:rFonts w:asciiTheme="minorHAnsi" w:hAnsiTheme="minorHAnsi" w:cstheme="minorBidi"/>
                <w:b/>
              </w:rPr>
              <w:t>Improved student progression and success</w:t>
            </w:r>
          </w:p>
          <w:p w14:paraId="08371008" w14:textId="77777777" w:rsidR="005E326D" w:rsidRPr="005E326D" w:rsidRDefault="005E326D" w:rsidP="005E326D">
            <w:pPr>
              <w:pStyle w:val="NormalIndent"/>
              <w:spacing w:before="0" w:after="0"/>
              <w:ind w:left="0"/>
              <w:rPr>
                <w:rFonts w:asciiTheme="minorHAnsi" w:hAnsiTheme="minorHAnsi" w:cstheme="minorHAnsi"/>
                <w:b/>
                <w:bCs/>
                <w:iCs/>
                <w:szCs w:val="22"/>
              </w:rPr>
            </w:pPr>
            <w:r w:rsidRPr="005E326D">
              <w:rPr>
                <w:rFonts w:asciiTheme="minorHAnsi" w:hAnsiTheme="minorHAnsi" w:cstheme="minorHAnsi"/>
                <w:b/>
                <w:bCs/>
                <w:iCs/>
                <w:szCs w:val="22"/>
              </w:rPr>
              <w:t>Achieved by:</w:t>
            </w:r>
          </w:p>
          <w:p w14:paraId="436EAD77" w14:textId="72656A2E" w:rsidR="005E326D" w:rsidRPr="005E326D" w:rsidRDefault="005E326D" w:rsidP="005E326D">
            <w:pPr>
              <w:pStyle w:val="NormalIndent"/>
              <w:spacing w:before="0" w:after="0"/>
              <w:ind w:left="0"/>
              <w:rPr>
                <w:rFonts w:asciiTheme="minorHAnsi" w:hAnsiTheme="minorHAnsi" w:cstheme="minorBidi"/>
              </w:rPr>
            </w:pPr>
            <w:proofErr w:type="spellStart"/>
            <w:r w:rsidRPr="7E9AECA1">
              <w:rPr>
                <w:rFonts w:asciiTheme="minorHAnsi" w:hAnsiTheme="minorHAnsi" w:cstheme="minorBidi"/>
              </w:rPr>
              <w:t>UniSQ</w:t>
            </w:r>
            <w:proofErr w:type="spellEnd"/>
            <w:r w:rsidRPr="7E9AECA1">
              <w:rPr>
                <w:rFonts w:asciiTheme="minorHAnsi" w:hAnsiTheme="minorHAnsi" w:cstheme="minorBidi"/>
              </w:rPr>
              <w:t xml:space="preserve"> continues to strengthen its early intervention strategies to maximise student success. The </w:t>
            </w:r>
            <w:hyperlink r:id="rId24" w:history="1">
              <w:r w:rsidRPr="00A06A75">
                <w:rPr>
                  <w:rStyle w:val="Hyperlink"/>
                  <w:rFonts w:asciiTheme="minorHAnsi" w:hAnsiTheme="minorHAnsi" w:cstheme="minorBidi"/>
                </w:rPr>
                <w:t>Student Success Advising</w:t>
              </w:r>
            </w:hyperlink>
            <w:r w:rsidRPr="00A06A75">
              <w:rPr>
                <w:rFonts w:asciiTheme="minorHAnsi" w:hAnsiTheme="minorHAnsi" w:cstheme="minorBidi"/>
              </w:rPr>
              <w:t xml:space="preserve"> team</w:t>
            </w:r>
            <w:r w:rsidRPr="7E9AECA1">
              <w:rPr>
                <w:rFonts w:asciiTheme="minorHAnsi" w:hAnsiTheme="minorHAnsi" w:cstheme="minorBidi"/>
              </w:rPr>
              <w:t xml:space="preserve"> monitors indicators </w:t>
            </w:r>
            <w:r w:rsidR="00D4020C">
              <w:rPr>
                <w:rFonts w:asciiTheme="minorHAnsi" w:hAnsiTheme="minorHAnsi" w:cstheme="minorBidi"/>
              </w:rPr>
              <w:t xml:space="preserve">(e.g., </w:t>
            </w:r>
            <w:r w:rsidRPr="7E9AECA1">
              <w:rPr>
                <w:rFonts w:asciiTheme="minorHAnsi" w:hAnsiTheme="minorHAnsi" w:cstheme="minorBidi"/>
              </w:rPr>
              <w:t>LMS activity,  academic referrals</w:t>
            </w:r>
            <w:r w:rsidR="00D4020C">
              <w:rPr>
                <w:rFonts w:asciiTheme="minorHAnsi" w:hAnsiTheme="minorHAnsi" w:cstheme="minorBidi"/>
              </w:rPr>
              <w:t>)</w:t>
            </w:r>
            <w:r w:rsidRPr="7E9AECA1">
              <w:rPr>
                <w:rFonts w:asciiTheme="minorHAnsi" w:hAnsiTheme="minorHAnsi" w:cstheme="minorBidi"/>
              </w:rPr>
              <w:t xml:space="preserve"> to identify students who may benefit from proactive and personalised support. Outreach is delivered via phone, email, and SMS, and tailored to each student’s circumstances includ</w:t>
            </w:r>
            <w:r w:rsidR="003F6F93">
              <w:rPr>
                <w:rFonts w:asciiTheme="minorHAnsi" w:hAnsiTheme="minorHAnsi" w:cstheme="minorBidi"/>
              </w:rPr>
              <w:t>ing</w:t>
            </w:r>
            <w:r w:rsidRPr="7E9AECA1">
              <w:rPr>
                <w:rFonts w:asciiTheme="minorHAnsi" w:hAnsiTheme="minorHAnsi" w:cstheme="minorBidi"/>
              </w:rPr>
              <w:t xml:space="preserve">: </w:t>
            </w:r>
          </w:p>
          <w:p w14:paraId="08018EAB" w14:textId="5B329F30" w:rsidR="005E326D" w:rsidRPr="005E326D" w:rsidRDefault="005E326D" w:rsidP="008871F3">
            <w:pPr>
              <w:pStyle w:val="NormalIndent"/>
              <w:numPr>
                <w:ilvl w:val="0"/>
                <w:numId w:val="24"/>
              </w:numPr>
              <w:spacing w:before="0" w:after="0"/>
              <w:ind w:left="357" w:hanging="357"/>
              <w:rPr>
                <w:rFonts w:asciiTheme="minorHAnsi" w:hAnsiTheme="minorHAnsi" w:cstheme="minorHAnsi"/>
                <w:iCs/>
                <w:szCs w:val="22"/>
              </w:rPr>
            </w:pPr>
            <w:r w:rsidRPr="005E326D">
              <w:rPr>
                <w:rFonts w:asciiTheme="minorHAnsi" w:hAnsiTheme="minorHAnsi" w:cstheme="minorHAnsi"/>
                <w:iCs/>
                <w:szCs w:val="22"/>
              </w:rPr>
              <w:t xml:space="preserve">academic improvement </w:t>
            </w:r>
            <w:proofErr w:type="gramStart"/>
            <w:r w:rsidRPr="005E326D">
              <w:rPr>
                <w:rFonts w:asciiTheme="minorHAnsi" w:hAnsiTheme="minorHAnsi" w:cstheme="minorHAnsi"/>
                <w:iCs/>
                <w:szCs w:val="22"/>
              </w:rPr>
              <w:t>plans;</w:t>
            </w:r>
            <w:proofErr w:type="gramEnd"/>
            <w:r w:rsidRPr="005E326D">
              <w:rPr>
                <w:rFonts w:asciiTheme="minorHAnsi" w:hAnsiTheme="minorHAnsi" w:cstheme="minorHAnsi"/>
                <w:iCs/>
                <w:szCs w:val="22"/>
              </w:rPr>
              <w:t xml:space="preserve"> </w:t>
            </w:r>
          </w:p>
          <w:p w14:paraId="3ECAE0D5" w14:textId="77777777" w:rsidR="005E326D" w:rsidRPr="005E326D" w:rsidRDefault="005E326D" w:rsidP="008871F3">
            <w:pPr>
              <w:pStyle w:val="NormalIndent"/>
              <w:numPr>
                <w:ilvl w:val="0"/>
                <w:numId w:val="24"/>
              </w:numPr>
              <w:spacing w:before="0" w:after="0"/>
              <w:ind w:left="357" w:hanging="357"/>
              <w:rPr>
                <w:rFonts w:asciiTheme="minorHAnsi" w:hAnsiTheme="minorHAnsi" w:cstheme="minorHAnsi"/>
                <w:iCs/>
                <w:szCs w:val="22"/>
              </w:rPr>
            </w:pPr>
            <w:r w:rsidRPr="005E326D">
              <w:rPr>
                <w:rFonts w:asciiTheme="minorHAnsi" w:hAnsiTheme="minorHAnsi" w:cstheme="minorHAnsi"/>
                <w:iCs/>
                <w:szCs w:val="22"/>
              </w:rPr>
              <w:t xml:space="preserve">referrals to academic, wellbeing, and administrative </w:t>
            </w:r>
            <w:proofErr w:type="gramStart"/>
            <w:r w:rsidRPr="005E326D">
              <w:rPr>
                <w:rFonts w:asciiTheme="minorHAnsi" w:hAnsiTheme="minorHAnsi" w:cstheme="minorHAnsi"/>
                <w:iCs/>
                <w:szCs w:val="22"/>
              </w:rPr>
              <w:t>services;</w:t>
            </w:r>
            <w:proofErr w:type="gramEnd"/>
            <w:r w:rsidRPr="005E326D">
              <w:rPr>
                <w:rFonts w:asciiTheme="minorHAnsi" w:hAnsiTheme="minorHAnsi" w:cstheme="minorHAnsi"/>
                <w:iCs/>
                <w:szCs w:val="22"/>
              </w:rPr>
              <w:t xml:space="preserve"> </w:t>
            </w:r>
          </w:p>
          <w:p w14:paraId="08201364" w14:textId="4A5E061F" w:rsidR="005E326D" w:rsidRPr="005E326D" w:rsidRDefault="005E326D" w:rsidP="008871F3">
            <w:pPr>
              <w:pStyle w:val="NormalIndent"/>
              <w:numPr>
                <w:ilvl w:val="0"/>
                <w:numId w:val="24"/>
              </w:numPr>
              <w:spacing w:before="0" w:after="0"/>
              <w:ind w:left="357" w:hanging="357"/>
              <w:rPr>
                <w:rFonts w:asciiTheme="minorHAnsi" w:hAnsiTheme="minorHAnsi" w:cstheme="minorHAnsi"/>
                <w:iCs/>
                <w:szCs w:val="22"/>
              </w:rPr>
            </w:pPr>
            <w:r w:rsidRPr="005E326D">
              <w:rPr>
                <w:rFonts w:asciiTheme="minorHAnsi" w:hAnsiTheme="minorHAnsi" w:cstheme="minorHAnsi"/>
                <w:iCs/>
                <w:szCs w:val="22"/>
              </w:rPr>
              <w:t xml:space="preserve">coaching to navigate the </w:t>
            </w:r>
            <w:r w:rsidR="005070C2">
              <w:rPr>
                <w:rFonts w:asciiTheme="minorHAnsi" w:hAnsiTheme="minorHAnsi" w:cstheme="minorHAnsi"/>
                <w:iCs/>
                <w:szCs w:val="22"/>
              </w:rPr>
              <w:t>U</w:t>
            </w:r>
            <w:r w:rsidRPr="005E326D">
              <w:rPr>
                <w:rFonts w:asciiTheme="minorHAnsi" w:hAnsiTheme="minorHAnsi" w:cstheme="minorHAnsi"/>
                <w:iCs/>
                <w:szCs w:val="22"/>
              </w:rPr>
              <w:t xml:space="preserve">niversity learning </w:t>
            </w:r>
            <w:proofErr w:type="gramStart"/>
            <w:r w:rsidRPr="005E326D">
              <w:rPr>
                <w:rFonts w:asciiTheme="minorHAnsi" w:hAnsiTheme="minorHAnsi" w:cstheme="minorHAnsi"/>
                <w:iCs/>
                <w:szCs w:val="22"/>
              </w:rPr>
              <w:t>environment;</w:t>
            </w:r>
            <w:proofErr w:type="gramEnd"/>
            <w:r w:rsidRPr="005E326D">
              <w:rPr>
                <w:rFonts w:asciiTheme="minorHAnsi" w:hAnsiTheme="minorHAnsi" w:cstheme="minorHAnsi"/>
                <w:iCs/>
                <w:szCs w:val="22"/>
              </w:rPr>
              <w:t xml:space="preserve"> </w:t>
            </w:r>
          </w:p>
          <w:p w14:paraId="519485CB" w14:textId="77777777" w:rsidR="005E326D" w:rsidRPr="005E326D" w:rsidRDefault="005E326D" w:rsidP="008871F3">
            <w:pPr>
              <w:pStyle w:val="NormalIndent"/>
              <w:numPr>
                <w:ilvl w:val="0"/>
                <w:numId w:val="24"/>
              </w:numPr>
              <w:spacing w:before="0" w:after="0"/>
              <w:ind w:left="357" w:hanging="357"/>
              <w:rPr>
                <w:rFonts w:asciiTheme="minorHAnsi" w:hAnsiTheme="minorHAnsi" w:cstheme="minorHAnsi"/>
                <w:iCs/>
                <w:szCs w:val="22"/>
              </w:rPr>
            </w:pPr>
            <w:r w:rsidRPr="005E326D">
              <w:rPr>
                <w:rFonts w:asciiTheme="minorHAnsi" w:hAnsiTheme="minorHAnsi" w:cstheme="minorHAnsi"/>
                <w:iCs/>
                <w:szCs w:val="22"/>
              </w:rPr>
              <w:t xml:space="preserve">assistance in building peer networks; and </w:t>
            </w:r>
          </w:p>
          <w:p w14:paraId="49DDABDD" w14:textId="77777777" w:rsidR="005E326D" w:rsidRDefault="005E326D" w:rsidP="008871F3">
            <w:pPr>
              <w:pStyle w:val="NormalIndent"/>
              <w:numPr>
                <w:ilvl w:val="0"/>
                <w:numId w:val="24"/>
              </w:numPr>
              <w:spacing w:before="0" w:after="0"/>
              <w:ind w:left="357" w:hanging="357"/>
              <w:rPr>
                <w:rFonts w:asciiTheme="minorHAnsi" w:hAnsiTheme="minorHAnsi" w:cstheme="minorHAnsi"/>
                <w:iCs/>
                <w:szCs w:val="22"/>
              </w:rPr>
            </w:pPr>
            <w:r w:rsidRPr="005E326D">
              <w:rPr>
                <w:rFonts w:asciiTheme="minorHAnsi" w:hAnsiTheme="minorHAnsi" w:cstheme="minorHAnsi"/>
                <w:iCs/>
                <w:szCs w:val="22"/>
              </w:rPr>
              <w:t xml:space="preserve">guidance with Academic Misconduct and Academic Progression processes.  </w:t>
            </w:r>
          </w:p>
          <w:p w14:paraId="5817256F" w14:textId="77777777" w:rsidR="005E326D" w:rsidRPr="005E326D" w:rsidRDefault="005E326D" w:rsidP="005E326D">
            <w:pPr>
              <w:pStyle w:val="NormalIndent"/>
              <w:spacing w:before="0" w:after="0"/>
              <w:ind w:left="0"/>
              <w:rPr>
                <w:rFonts w:asciiTheme="minorHAnsi" w:hAnsiTheme="minorHAnsi" w:cstheme="minorHAnsi"/>
                <w:b/>
                <w:bCs/>
                <w:iCs/>
                <w:szCs w:val="22"/>
              </w:rPr>
            </w:pPr>
            <w:r w:rsidRPr="005E326D">
              <w:rPr>
                <w:rFonts w:asciiTheme="minorHAnsi" w:hAnsiTheme="minorHAnsi" w:cstheme="minorHAnsi"/>
                <w:b/>
                <w:bCs/>
                <w:iCs/>
                <w:szCs w:val="22"/>
              </w:rPr>
              <w:t>Measured by:</w:t>
            </w:r>
          </w:p>
          <w:p w14:paraId="74D1FDC7" w14:textId="5EA4209D" w:rsidR="001B109C" w:rsidRPr="00893DF3" w:rsidRDefault="005E326D">
            <w:pPr>
              <w:pStyle w:val="NormalIndent"/>
              <w:spacing w:before="0" w:after="0"/>
              <w:ind w:left="0"/>
              <w:rPr>
                <w:rFonts w:asciiTheme="minorHAnsi" w:hAnsiTheme="minorHAnsi" w:cstheme="minorHAnsi"/>
                <w:iCs/>
                <w:szCs w:val="22"/>
              </w:rPr>
            </w:pPr>
            <w:r w:rsidRPr="005E326D">
              <w:rPr>
                <w:rFonts w:asciiTheme="minorHAnsi" w:hAnsiTheme="minorHAnsi" w:cstheme="minorHAnsi"/>
                <w:iCs/>
                <w:szCs w:val="22"/>
              </w:rPr>
              <w:t xml:space="preserve">Increases in progression rates and course completions. Outcomes for </w:t>
            </w:r>
            <w:r w:rsidRPr="005E326D">
              <w:rPr>
                <w:rFonts w:cstheme="minorHAnsi"/>
                <w:iCs/>
              </w:rPr>
              <w:t>equity groups identified in the HECG Equity Plan</w:t>
            </w:r>
            <w:r w:rsidRPr="005E326D">
              <w:rPr>
                <w:rFonts w:asciiTheme="minorHAnsi" w:hAnsiTheme="minorHAnsi" w:cstheme="minorHAnsi"/>
                <w:iCs/>
                <w:szCs w:val="22"/>
              </w:rPr>
              <w:t xml:space="preserve"> are measured using the SEHEEF. </w:t>
            </w:r>
          </w:p>
        </w:tc>
      </w:tr>
      <w:tr w:rsidR="001B109C" w:rsidRPr="00E41388" w14:paraId="3EB68E1B" w14:textId="77777777" w:rsidTr="00F62117">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00F62117">
        <w:tc>
          <w:tcPr>
            <w:tcW w:w="5000" w:type="pct"/>
          </w:tcPr>
          <w:p w14:paraId="53CE5004" w14:textId="6D3DA366" w:rsidR="001B109C" w:rsidRPr="00583B49" w:rsidRDefault="7FABDAAE" w:rsidP="00F72EC4">
            <w:pPr>
              <w:spacing w:after="120" w:line="220" w:lineRule="atLeast"/>
            </w:pPr>
            <w:proofErr w:type="spellStart"/>
            <w:r w:rsidRPr="008F442E">
              <w:rPr>
                <w:rFonts w:eastAsia="Aptos" w:cstheme="minorHAnsi"/>
              </w:rPr>
              <w:t>UniSQ</w:t>
            </w:r>
            <w:proofErr w:type="spellEnd"/>
            <w:r w:rsidRPr="008F442E">
              <w:rPr>
                <w:rFonts w:eastAsia="Aptos" w:cstheme="minorHAnsi"/>
              </w:rPr>
              <w:t xml:space="preserve"> continues to advance its research agenda by striking a balance between fundamental, knowledge-driven inquiry that deepens disciplinary expertise and applied, translatable research that addresses pressing soci</w:t>
            </w:r>
            <w:r w:rsidR="4ADE0B63" w:rsidRPr="008F442E">
              <w:rPr>
                <w:rFonts w:eastAsia="Aptos" w:cstheme="minorHAnsi"/>
              </w:rPr>
              <w:t>etal</w:t>
            </w:r>
            <w:r w:rsidRPr="008F442E">
              <w:rPr>
                <w:rFonts w:eastAsia="Aptos" w:cstheme="minorHAnsi"/>
              </w:rPr>
              <w:t xml:space="preserve"> challenges. This dual focus ensures that </w:t>
            </w:r>
            <w:proofErr w:type="spellStart"/>
            <w:r w:rsidRPr="008F442E">
              <w:rPr>
                <w:rFonts w:eastAsia="Aptos" w:cstheme="minorHAnsi"/>
              </w:rPr>
              <w:t>UniSQ</w:t>
            </w:r>
            <w:proofErr w:type="spellEnd"/>
            <w:r w:rsidRPr="008F442E">
              <w:rPr>
                <w:rFonts w:eastAsia="Aptos" w:cstheme="minorHAnsi"/>
              </w:rPr>
              <w:t xml:space="preserve"> contributes to the global body of knowledge while delivering tangible benefits for local, national, and international communities.</w:t>
            </w:r>
          </w:p>
          <w:p w14:paraId="467313FA" w14:textId="6BDBD89E" w:rsidR="001B109C" w:rsidRPr="00583B49" w:rsidRDefault="7FABDAAE" w:rsidP="008F442E">
            <w:pPr>
              <w:spacing w:after="0" w:line="220" w:lineRule="atLeast"/>
            </w:pPr>
            <w:r w:rsidRPr="008F442E">
              <w:rPr>
                <w:rFonts w:eastAsia="Aptos" w:cstheme="minorHAnsi"/>
                <w:b/>
              </w:rPr>
              <w:t>1. Improving Research and Fostering Innovation</w:t>
            </w:r>
          </w:p>
          <w:p w14:paraId="3DCC40D2" w14:textId="59D0BFA3" w:rsidR="001B109C" w:rsidRPr="00583B49" w:rsidRDefault="7FABDAAE" w:rsidP="00F72EC4">
            <w:pPr>
              <w:spacing w:after="120" w:line="220" w:lineRule="atLeast"/>
            </w:pPr>
            <w:r w:rsidRPr="00FE5014">
              <w:rPr>
                <w:rFonts w:eastAsia="Aptos" w:cstheme="minorHAnsi"/>
                <w:b/>
                <w:iCs/>
              </w:rPr>
              <w:t>Achieved by:</w:t>
            </w:r>
            <w:r w:rsidR="001B109C">
              <w:br/>
            </w:r>
            <w:proofErr w:type="spellStart"/>
            <w:r w:rsidRPr="008F442E">
              <w:rPr>
                <w:rFonts w:eastAsia="Aptos" w:cstheme="minorHAnsi"/>
              </w:rPr>
              <w:t>UniSQ</w:t>
            </w:r>
            <w:proofErr w:type="spellEnd"/>
            <w:r w:rsidRPr="008F442E">
              <w:rPr>
                <w:rFonts w:eastAsia="Aptos" w:cstheme="minorHAnsi"/>
              </w:rPr>
              <w:t xml:space="preserve"> has recently restructured its organisation to strengthen research and education. This configuration aligns research strengths with emerging opportunities, promotes interdisciplinarity, and streamlines support services. It also positions </w:t>
            </w:r>
            <w:proofErr w:type="spellStart"/>
            <w:r w:rsidRPr="008F442E">
              <w:rPr>
                <w:rFonts w:eastAsia="Aptos" w:cstheme="minorHAnsi"/>
              </w:rPr>
              <w:t>UniSQ</w:t>
            </w:r>
            <w:proofErr w:type="spellEnd"/>
            <w:r w:rsidRPr="008F442E">
              <w:rPr>
                <w:rFonts w:eastAsia="Aptos" w:cstheme="minorHAnsi"/>
              </w:rPr>
              <w:t xml:space="preserve"> for anticipated funding shifts arising, such as the Strategic Education and Research Development (SERD) Review, and other national reviews and strategies, all expected to prioritise collaboration with industry and other universities. </w:t>
            </w:r>
            <w:proofErr w:type="spellStart"/>
            <w:r w:rsidRPr="008F442E">
              <w:rPr>
                <w:rFonts w:eastAsia="Aptos" w:cstheme="minorHAnsi"/>
              </w:rPr>
              <w:t>UniSQ</w:t>
            </w:r>
            <w:proofErr w:type="spellEnd"/>
            <w:r w:rsidRPr="008F442E">
              <w:rPr>
                <w:rFonts w:eastAsia="Aptos" w:cstheme="minorHAnsi"/>
              </w:rPr>
              <w:t xml:space="preserve"> is well-placed to respond, with a strong record of industry engagement through initiatives such as the </w:t>
            </w:r>
            <w:hyperlink r:id="rId25" w:history="1">
              <w:r w:rsidRPr="00535C07">
                <w:rPr>
                  <w:rStyle w:val="Hyperlink"/>
                  <w:rFonts w:eastAsia="Aptos" w:cstheme="minorHAnsi"/>
                </w:rPr>
                <w:t xml:space="preserve">Trailblazer </w:t>
              </w:r>
              <w:proofErr w:type="spellStart"/>
              <w:r w:rsidRPr="00535C07">
                <w:rPr>
                  <w:rStyle w:val="Hyperlink"/>
                  <w:rFonts w:eastAsia="Aptos" w:cstheme="minorHAnsi"/>
                </w:rPr>
                <w:t>iLAuNCH</w:t>
              </w:r>
              <w:proofErr w:type="spellEnd"/>
              <w:r w:rsidRPr="00535C07">
                <w:rPr>
                  <w:rStyle w:val="Hyperlink"/>
                  <w:rFonts w:eastAsia="Aptos" w:cstheme="minorHAnsi"/>
                </w:rPr>
                <w:t xml:space="preserve"> Hub</w:t>
              </w:r>
            </w:hyperlink>
            <w:r w:rsidRPr="008F442E">
              <w:rPr>
                <w:rFonts w:eastAsia="Aptos" w:cstheme="minorHAnsi"/>
              </w:rPr>
              <w:t xml:space="preserve"> and </w:t>
            </w:r>
            <w:hyperlink r:id="rId26" w:history="1">
              <w:r w:rsidR="003102D0" w:rsidRPr="003102D0">
                <w:rPr>
                  <w:rStyle w:val="Hyperlink"/>
                  <w:rFonts w:eastAsia="Aptos" w:cstheme="minorHAnsi"/>
                </w:rPr>
                <w:t>SQNNSW Innovation Hub</w:t>
              </w:r>
            </w:hyperlink>
            <w:r w:rsidRPr="008F442E">
              <w:rPr>
                <w:rFonts w:eastAsia="Aptos" w:cstheme="minorHAnsi"/>
              </w:rPr>
              <w:t>.</w:t>
            </w:r>
          </w:p>
          <w:p w14:paraId="059EA9BD" w14:textId="0139F4C8" w:rsidR="001B109C" w:rsidRPr="00583B49" w:rsidRDefault="7FABDAAE" w:rsidP="008F442E">
            <w:pPr>
              <w:spacing w:after="0" w:line="220" w:lineRule="atLeast"/>
            </w:pPr>
            <w:r w:rsidRPr="008F442E">
              <w:rPr>
                <w:rFonts w:eastAsia="Aptos" w:cstheme="minorHAnsi"/>
              </w:rPr>
              <w:lastRenderedPageBreak/>
              <w:t xml:space="preserve">Looking ahead, </w:t>
            </w:r>
            <w:proofErr w:type="spellStart"/>
            <w:r w:rsidRPr="008F442E">
              <w:rPr>
                <w:rFonts w:eastAsia="Aptos" w:cstheme="minorHAnsi"/>
              </w:rPr>
              <w:t>UniSQ</w:t>
            </w:r>
            <w:proofErr w:type="spellEnd"/>
            <w:r w:rsidRPr="008F442E">
              <w:rPr>
                <w:rFonts w:eastAsia="Aptos" w:cstheme="minorHAnsi"/>
              </w:rPr>
              <w:t xml:space="preserve"> will operate through four Research Institutes aligned with its flagship areas, each addressing large-scale problems of societal significance:</w:t>
            </w:r>
          </w:p>
          <w:p w14:paraId="1F597C7B" w14:textId="3E0A0012" w:rsidR="001B109C" w:rsidRPr="008F442E" w:rsidRDefault="7FABDAAE" w:rsidP="008871F3">
            <w:pPr>
              <w:pStyle w:val="ListParagraph"/>
              <w:numPr>
                <w:ilvl w:val="0"/>
                <w:numId w:val="1"/>
              </w:numPr>
              <w:spacing w:after="0" w:line="220" w:lineRule="atLeast"/>
              <w:ind w:left="357" w:hanging="357"/>
              <w:rPr>
                <w:rFonts w:eastAsia="Aptos" w:cstheme="minorHAnsi"/>
              </w:rPr>
            </w:pPr>
            <w:r w:rsidRPr="008F442E">
              <w:rPr>
                <w:rFonts w:eastAsia="Aptos" w:cstheme="minorHAnsi"/>
              </w:rPr>
              <w:t>Agriculture, Climate and the Environment</w:t>
            </w:r>
          </w:p>
          <w:p w14:paraId="46388BD2" w14:textId="65F8FD2E" w:rsidR="001B109C" w:rsidRPr="008F442E" w:rsidRDefault="7FABDAAE" w:rsidP="008871F3">
            <w:pPr>
              <w:pStyle w:val="ListParagraph"/>
              <w:numPr>
                <w:ilvl w:val="0"/>
                <w:numId w:val="1"/>
              </w:numPr>
              <w:spacing w:after="0" w:line="220" w:lineRule="atLeast"/>
              <w:ind w:left="357" w:hanging="357"/>
              <w:rPr>
                <w:rFonts w:eastAsia="Aptos" w:cstheme="minorHAnsi"/>
              </w:rPr>
            </w:pPr>
            <w:r w:rsidRPr="008F442E">
              <w:rPr>
                <w:rFonts w:eastAsia="Aptos" w:cstheme="minorHAnsi"/>
              </w:rPr>
              <w:t>Health</w:t>
            </w:r>
          </w:p>
          <w:p w14:paraId="1062562D" w14:textId="278AB405" w:rsidR="001B109C" w:rsidRPr="008F442E" w:rsidRDefault="7FABDAAE" w:rsidP="008871F3">
            <w:pPr>
              <w:pStyle w:val="ListParagraph"/>
              <w:numPr>
                <w:ilvl w:val="0"/>
                <w:numId w:val="1"/>
              </w:numPr>
              <w:spacing w:after="0" w:line="220" w:lineRule="atLeast"/>
              <w:ind w:left="357" w:hanging="357"/>
              <w:rPr>
                <w:rFonts w:eastAsia="Aptos" w:cstheme="minorHAnsi"/>
              </w:rPr>
            </w:pPr>
            <w:r w:rsidRPr="008F442E">
              <w:rPr>
                <w:rFonts w:eastAsia="Aptos" w:cstheme="minorHAnsi"/>
              </w:rPr>
              <w:t>Space, Defence and Advanced Technologies</w:t>
            </w:r>
          </w:p>
          <w:p w14:paraId="5AC1E9AE" w14:textId="37C3150D" w:rsidR="001B109C" w:rsidRPr="00F72EC4" w:rsidRDefault="7FABDAAE" w:rsidP="00F72EC4">
            <w:pPr>
              <w:pStyle w:val="ListParagraph"/>
              <w:numPr>
                <w:ilvl w:val="0"/>
                <w:numId w:val="1"/>
              </w:numPr>
              <w:spacing w:after="120" w:line="220" w:lineRule="atLeast"/>
              <w:ind w:left="357" w:hanging="357"/>
              <w:rPr>
                <w:rFonts w:eastAsia="Aptos" w:cstheme="minorHAnsi"/>
              </w:rPr>
            </w:pPr>
            <w:r w:rsidRPr="008F442E">
              <w:rPr>
                <w:rFonts w:eastAsia="Aptos" w:cstheme="minorHAnsi"/>
              </w:rPr>
              <w:t>Thriving Communities and Regional Development</w:t>
            </w:r>
          </w:p>
          <w:p w14:paraId="4A50D801" w14:textId="4F9B063B" w:rsidR="001B109C" w:rsidRPr="00583B49" w:rsidRDefault="7FABDAAE" w:rsidP="00F72EC4">
            <w:pPr>
              <w:spacing w:after="120" w:line="220" w:lineRule="atLeast"/>
            </w:pPr>
            <w:r w:rsidRPr="008F442E">
              <w:rPr>
                <w:rFonts w:eastAsia="Aptos" w:cstheme="minorHAnsi"/>
              </w:rPr>
              <w:t xml:space="preserve">The Institutes will lead </w:t>
            </w:r>
            <w:r w:rsidR="005070C2">
              <w:rPr>
                <w:rFonts w:eastAsia="Aptos" w:cstheme="minorHAnsi"/>
              </w:rPr>
              <w:t>U</w:t>
            </w:r>
            <w:r w:rsidRPr="008F442E">
              <w:rPr>
                <w:rFonts w:eastAsia="Aptos" w:cstheme="minorHAnsi"/>
              </w:rPr>
              <w:t xml:space="preserve">niversity-wide strategies, drive innovation and commercialisation, foster partnerships with end-users towards translatable outcomes and support Research Centres and programs. For example, </w:t>
            </w:r>
            <w:r w:rsidRPr="00D84207">
              <w:rPr>
                <w:rFonts w:eastAsia="Aptos" w:cstheme="minorHAnsi"/>
              </w:rPr>
              <w:t>health research</w:t>
            </w:r>
            <w:r w:rsidRPr="008F442E">
              <w:rPr>
                <w:rFonts w:eastAsia="Aptos" w:cstheme="minorHAnsi"/>
              </w:rPr>
              <w:t xml:space="preserve"> is improving chronic disease management and regional health access; </w:t>
            </w:r>
            <w:r w:rsidRPr="00D84207">
              <w:rPr>
                <w:rFonts w:eastAsia="Aptos" w:cstheme="minorHAnsi"/>
              </w:rPr>
              <w:t>space and defence research</w:t>
            </w:r>
            <w:r w:rsidRPr="008F442E">
              <w:rPr>
                <w:rFonts w:eastAsia="Aptos" w:cstheme="minorHAnsi"/>
              </w:rPr>
              <w:t xml:space="preserve"> is advancing communications and national security; </w:t>
            </w:r>
            <w:r w:rsidRPr="00D84207">
              <w:rPr>
                <w:rFonts w:eastAsia="Aptos" w:cstheme="minorHAnsi"/>
              </w:rPr>
              <w:t xml:space="preserve">rural and regional development research </w:t>
            </w:r>
            <w:r w:rsidRPr="008F442E">
              <w:rPr>
                <w:rFonts w:eastAsia="Aptos" w:cstheme="minorHAnsi"/>
              </w:rPr>
              <w:t xml:space="preserve">is enhancing economic resilience; and </w:t>
            </w:r>
            <w:r w:rsidRPr="00D84207">
              <w:rPr>
                <w:rFonts w:eastAsia="Aptos" w:cstheme="minorHAnsi"/>
              </w:rPr>
              <w:t>agricultural and climate research</w:t>
            </w:r>
            <w:r w:rsidRPr="008F442E">
              <w:rPr>
                <w:rFonts w:eastAsia="Aptos" w:cstheme="minorHAnsi"/>
              </w:rPr>
              <w:t xml:space="preserve"> is enabling sustainable land use and adaptation.</w:t>
            </w:r>
          </w:p>
          <w:p w14:paraId="56C8DF31" w14:textId="74ACE7E0" w:rsidR="001B109C" w:rsidRPr="00583B49" w:rsidRDefault="7FABDAAE" w:rsidP="00F72EC4">
            <w:pPr>
              <w:spacing w:after="120" w:line="220" w:lineRule="atLeast"/>
            </w:pPr>
            <w:r w:rsidRPr="00FE5014">
              <w:rPr>
                <w:rFonts w:eastAsia="Aptos" w:cstheme="minorHAnsi"/>
                <w:b/>
                <w:iCs/>
              </w:rPr>
              <w:t>Measured by:</w:t>
            </w:r>
            <w:r w:rsidR="001B109C">
              <w:br/>
            </w:r>
            <w:r w:rsidRPr="008F442E">
              <w:rPr>
                <w:rFonts w:eastAsia="Aptos" w:cstheme="minorHAnsi"/>
                <w:b/>
              </w:rPr>
              <w:t>I</w:t>
            </w:r>
            <w:r w:rsidRPr="008F442E">
              <w:rPr>
                <w:rFonts w:eastAsia="Aptos" w:cstheme="minorHAnsi"/>
              </w:rPr>
              <w:t>ncreased proportion of research active academics; quality research outputs per academic; growth in research income.</w:t>
            </w:r>
          </w:p>
          <w:p w14:paraId="6048A078" w14:textId="3FC3F911" w:rsidR="001B109C" w:rsidRPr="00583B49" w:rsidRDefault="7FABDAAE" w:rsidP="008F442E">
            <w:pPr>
              <w:spacing w:after="0" w:line="220" w:lineRule="atLeast"/>
            </w:pPr>
            <w:r w:rsidRPr="008F442E">
              <w:rPr>
                <w:rFonts w:eastAsia="Aptos" w:cstheme="minorHAnsi"/>
                <w:b/>
              </w:rPr>
              <w:t>2. Supporting Research Training</w:t>
            </w:r>
          </w:p>
          <w:p w14:paraId="647F81E9" w14:textId="6D7E5C6D" w:rsidR="001B109C" w:rsidRPr="00583B49" w:rsidRDefault="7FABDAAE" w:rsidP="00F72EC4">
            <w:pPr>
              <w:spacing w:after="120" w:line="220" w:lineRule="atLeast"/>
            </w:pPr>
            <w:r w:rsidRPr="00FE5014">
              <w:rPr>
                <w:rFonts w:eastAsia="Aptos" w:cstheme="minorHAnsi"/>
                <w:b/>
                <w:iCs/>
              </w:rPr>
              <w:t>Achieved by:</w:t>
            </w:r>
            <w:r w:rsidR="001B109C">
              <w:br/>
            </w:r>
            <w:proofErr w:type="spellStart"/>
            <w:r w:rsidRPr="008F442E">
              <w:rPr>
                <w:rFonts w:eastAsia="Aptos" w:cstheme="minorHAnsi"/>
              </w:rPr>
              <w:t>UniSQ</w:t>
            </w:r>
            <w:proofErr w:type="spellEnd"/>
            <w:r w:rsidRPr="008F442E">
              <w:rPr>
                <w:rFonts w:eastAsia="Aptos" w:cstheme="minorHAnsi"/>
              </w:rPr>
              <w:t xml:space="preserve"> remains committed to developing the next generation of researchers. Early Career Researchers benefit from </w:t>
            </w:r>
            <w:r w:rsidR="00573656">
              <w:rPr>
                <w:rFonts w:eastAsia="Aptos" w:cstheme="minorHAnsi"/>
              </w:rPr>
              <w:t xml:space="preserve">a </w:t>
            </w:r>
            <w:r w:rsidRPr="008F442E">
              <w:rPr>
                <w:rFonts w:eastAsia="Aptos" w:cstheme="minorHAnsi"/>
              </w:rPr>
              <w:t>Research Skill Development Framework, which focuses on the development of skills for research, management of research, career planning, and researcher self-care. Higher Degree by Research (HDR) students access growing opportunities for industry engagement, supported through industry PhD scholarships. These programs equip candidates with advanced research skills and practical experience, preparing them for careers within and beyond academia.</w:t>
            </w:r>
          </w:p>
          <w:p w14:paraId="4F50E70B" w14:textId="308BFAE9" w:rsidR="001B109C" w:rsidRPr="00583B49" w:rsidRDefault="7FABDAAE" w:rsidP="00F72EC4">
            <w:pPr>
              <w:spacing w:after="120" w:line="220" w:lineRule="atLeast"/>
            </w:pPr>
            <w:r w:rsidRPr="00FE5014">
              <w:rPr>
                <w:rFonts w:eastAsia="Aptos" w:cstheme="minorHAnsi"/>
                <w:b/>
                <w:iCs/>
              </w:rPr>
              <w:t>Measured by:</w:t>
            </w:r>
            <w:r w:rsidR="001B109C">
              <w:br/>
            </w:r>
            <w:r w:rsidRPr="008F442E">
              <w:rPr>
                <w:rFonts w:eastAsia="Aptos" w:cstheme="minorHAnsi"/>
              </w:rPr>
              <w:t>HDR enrolments and timely completions; growth in HDR industry placements.</w:t>
            </w:r>
          </w:p>
          <w:p w14:paraId="260E2CBB" w14:textId="63A28421" w:rsidR="001B109C" w:rsidRPr="00583B49" w:rsidRDefault="7FABDAAE" w:rsidP="008F442E">
            <w:pPr>
              <w:spacing w:after="0" w:line="220" w:lineRule="atLeast"/>
            </w:pPr>
            <w:r w:rsidRPr="008F442E">
              <w:rPr>
                <w:rFonts w:eastAsia="Aptos" w:cstheme="minorHAnsi"/>
                <w:b/>
              </w:rPr>
              <w:t>3. Fostering Commercialisation and Impact</w:t>
            </w:r>
          </w:p>
          <w:p w14:paraId="3FE88112" w14:textId="762A5E0C" w:rsidR="001B109C" w:rsidRPr="00583B49" w:rsidRDefault="7FABDAAE" w:rsidP="00F72EC4">
            <w:pPr>
              <w:spacing w:after="120" w:line="220" w:lineRule="atLeast"/>
            </w:pPr>
            <w:r w:rsidRPr="00FE5014">
              <w:rPr>
                <w:rFonts w:eastAsia="Aptos" w:cstheme="minorHAnsi"/>
                <w:b/>
                <w:iCs/>
              </w:rPr>
              <w:t>Achieved by:</w:t>
            </w:r>
            <w:r w:rsidR="001B109C">
              <w:br/>
            </w:r>
            <w:proofErr w:type="spellStart"/>
            <w:r w:rsidRPr="008F442E">
              <w:rPr>
                <w:rFonts w:eastAsia="Aptos" w:cstheme="minorHAnsi"/>
              </w:rPr>
              <w:t>UniSQ</w:t>
            </w:r>
            <w:proofErr w:type="spellEnd"/>
            <w:r w:rsidRPr="008F442E">
              <w:rPr>
                <w:rFonts w:eastAsia="Aptos" w:cstheme="minorHAnsi"/>
              </w:rPr>
              <w:t xml:space="preserve"> is expanding its commercialisation capacity. Following the reset of the </w:t>
            </w:r>
            <w:hyperlink r:id="rId27" w:history="1">
              <w:r w:rsidRPr="00245B1C">
                <w:rPr>
                  <w:rStyle w:val="Hyperlink"/>
                  <w:rFonts w:eastAsia="Aptos" w:cstheme="minorHAnsi"/>
                </w:rPr>
                <w:t>Intellectual Property (IP) Policy</w:t>
              </w:r>
            </w:hyperlink>
            <w:r w:rsidRPr="008F442E">
              <w:rPr>
                <w:rFonts w:eastAsia="Aptos" w:cstheme="minorHAnsi"/>
              </w:rPr>
              <w:t>, new processes, systems and incentives are encouraging staff to identify IP opportunities and build industry pathways. The aim is to strengthen the IP commercialisation pipeline while increasing HDR placements with innovation-focused organisations.</w:t>
            </w:r>
          </w:p>
          <w:p w14:paraId="4AA5BB08" w14:textId="5E7D5B92" w:rsidR="001B109C" w:rsidRPr="00583B49" w:rsidRDefault="7FABDAAE" w:rsidP="00F72EC4">
            <w:pPr>
              <w:spacing w:after="120" w:line="220" w:lineRule="atLeast"/>
            </w:pPr>
            <w:r w:rsidRPr="008F442E">
              <w:rPr>
                <w:rFonts w:eastAsia="Aptos" w:cstheme="minorHAnsi"/>
              </w:rPr>
              <w:t xml:space="preserve">A defining feature of </w:t>
            </w:r>
            <w:proofErr w:type="spellStart"/>
            <w:r w:rsidRPr="008F442E">
              <w:rPr>
                <w:rFonts w:eastAsia="Aptos" w:cstheme="minorHAnsi"/>
              </w:rPr>
              <w:t>UniSQ’s</w:t>
            </w:r>
            <w:proofErr w:type="spellEnd"/>
            <w:r w:rsidRPr="008F442E">
              <w:rPr>
                <w:rFonts w:eastAsia="Aptos" w:cstheme="minorHAnsi"/>
              </w:rPr>
              <w:t xml:space="preserve"> approach is deep engagement with end-users. Current initiatives include the establishment of innovation precincts with local industry. Designed as collaborative ecosystems, these precincts bring together talent, infrastructure, and resources to foster co-created solutions, accelerate translation into practice, and support regional innovation economies. A key example is </w:t>
            </w:r>
            <w:proofErr w:type="spellStart"/>
            <w:r w:rsidRPr="008F442E">
              <w:rPr>
                <w:rFonts w:eastAsia="Aptos" w:cstheme="minorHAnsi"/>
              </w:rPr>
              <w:t>UniSQ’s</w:t>
            </w:r>
            <w:proofErr w:type="spellEnd"/>
            <w:r w:rsidRPr="008F442E">
              <w:rPr>
                <w:rFonts w:eastAsia="Aptos" w:cstheme="minorHAnsi"/>
              </w:rPr>
              <w:t xml:space="preserve"> </w:t>
            </w:r>
            <w:hyperlink r:id="rId28" w:history="1">
              <w:r w:rsidRPr="005C488A">
                <w:rPr>
                  <w:rStyle w:val="Hyperlink"/>
                  <w:rFonts w:eastAsia="Aptos" w:cstheme="minorHAnsi"/>
                </w:rPr>
                <w:t>National Cryogenic Electronics Measurement Facility</w:t>
              </w:r>
            </w:hyperlink>
            <w:r w:rsidRPr="008F442E">
              <w:rPr>
                <w:rFonts w:eastAsia="Aptos" w:cstheme="minorHAnsi"/>
              </w:rPr>
              <w:t xml:space="preserve"> based at the University’s Springfield Campus, which is Australia’s first industry-accessible facility of its kind.  </w:t>
            </w:r>
          </w:p>
          <w:p w14:paraId="40DA31C2" w14:textId="6E065C89" w:rsidR="001B109C" w:rsidRPr="00E57778" w:rsidRDefault="7FABDAAE" w:rsidP="00E57778">
            <w:pPr>
              <w:spacing w:after="0" w:line="220" w:lineRule="atLeast"/>
            </w:pPr>
            <w:r w:rsidRPr="00FE5014">
              <w:rPr>
                <w:rFonts w:eastAsia="Aptos" w:cstheme="minorHAnsi"/>
                <w:b/>
                <w:iCs/>
              </w:rPr>
              <w:t>Measured by:</w:t>
            </w:r>
            <w:r w:rsidR="001B109C">
              <w:br/>
            </w:r>
            <w:r w:rsidRPr="008F442E">
              <w:rPr>
                <w:rFonts w:eastAsia="Aptos" w:cstheme="minorHAnsi"/>
              </w:rPr>
              <w:t>Growth in strategic industry partnerships; increased IP disclosures and protection procedures; increased Category 3 funding.</w:t>
            </w:r>
          </w:p>
        </w:tc>
      </w:tr>
      <w:tr w:rsidR="001B109C" w:rsidRPr="00E41388" w14:paraId="23C06863" w14:textId="77777777" w:rsidTr="00F62117">
        <w:tc>
          <w:tcPr>
            <w:tcW w:w="5000" w:type="pct"/>
          </w:tcPr>
          <w:p w14:paraId="451DCFF9" w14:textId="44D87A7C" w:rsidR="001B109C" w:rsidRPr="00E169EE" w:rsidRDefault="00F30BFA" w:rsidP="00C55BCD">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00F62117">
        <w:tc>
          <w:tcPr>
            <w:tcW w:w="5000" w:type="pct"/>
          </w:tcPr>
          <w:p w14:paraId="40A665F4" w14:textId="135457E6" w:rsidR="5F25E873" w:rsidRDefault="79CA7B00" w:rsidP="00F72EC4">
            <w:pPr>
              <w:spacing w:after="120" w:line="220" w:lineRule="atLeast"/>
              <w:rPr>
                <w:rFonts w:eastAsia="Aptos"/>
              </w:rPr>
            </w:pPr>
            <w:proofErr w:type="spellStart"/>
            <w:r w:rsidRPr="787C584B">
              <w:rPr>
                <w:rFonts w:eastAsia="Aptos"/>
              </w:rPr>
              <w:t>UniSQ</w:t>
            </w:r>
            <w:proofErr w:type="spellEnd"/>
            <w:r w:rsidRPr="787C584B">
              <w:rPr>
                <w:rFonts w:eastAsia="Aptos"/>
              </w:rPr>
              <w:t xml:space="preserve"> partners with industry through mission-aligned collaborations that mobilise the University’s expertise to drive economic growth and regional prosperity. Our aim is to make industry engagement the engine of student completions and job creation in priority fields—connecting employers with talent and solutions and serving as a bridge between Vocational Education and Training (VET) and Higher Education (HE) so the workforce can move fluidly between sectors.</w:t>
            </w:r>
          </w:p>
          <w:p w14:paraId="3F5ECF88" w14:textId="3BA0C1F5" w:rsidR="5F25E873" w:rsidRPr="00F72EC4" w:rsidRDefault="79CA7B00" w:rsidP="00F72EC4">
            <w:pPr>
              <w:spacing w:after="120" w:line="220" w:lineRule="atLeast"/>
            </w:pPr>
            <w:r w:rsidRPr="787C584B">
              <w:rPr>
                <w:rFonts w:eastAsia="Aptos"/>
              </w:rPr>
              <w:lastRenderedPageBreak/>
              <w:t xml:space="preserve">To ensure consistency and scale, </w:t>
            </w:r>
            <w:proofErr w:type="spellStart"/>
            <w:r w:rsidRPr="787C584B">
              <w:rPr>
                <w:rFonts w:eastAsia="Aptos"/>
              </w:rPr>
              <w:t>UniSQ</w:t>
            </w:r>
            <w:proofErr w:type="spellEnd"/>
            <w:r w:rsidRPr="787C584B">
              <w:rPr>
                <w:rFonts w:eastAsia="Aptos"/>
              </w:rPr>
              <w:t xml:space="preserve"> is developing a </w:t>
            </w:r>
            <w:proofErr w:type="gramStart"/>
            <w:r w:rsidR="00EE5948">
              <w:rPr>
                <w:rFonts w:eastAsia="Aptos"/>
              </w:rPr>
              <w:t>U</w:t>
            </w:r>
            <w:r w:rsidRPr="787C584B">
              <w:rPr>
                <w:rFonts w:eastAsia="Aptos"/>
              </w:rPr>
              <w:t>niversity</w:t>
            </w:r>
            <w:proofErr w:type="gramEnd"/>
            <w:r w:rsidRPr="787C584B">
              <w:rPr>
                <w:rFonts w:eastAsia="Aptos"/>
              </w:rPr>
              <w:t>-wide Partnership Framework (“Partner of Choice”) to set standards for selecting and stewarding partnerships, codify benefits measurement, and foster strategic, whole-of-</w:t>
            </w:r>
            <w:r w:rsidR="0009465D">
              <w:rPr>
                <w:rFonts w:eastAsia="Aptos"/>
              </w:rPr>
              <w:t>U</w:t>
            </w:r>
            <w:r w:rsidRPr="787C584B">
              <w:rPr>
                <w:rFonts w:eastAsia="Aptos"/>
              </w:rPr>
              <w:t>niversity alliances.</w:t>
            </w:r>
          </w:p>
          <w:p w14:paraId="1E7ECE43" w14:textId="35C10CF3" w:rsidR="79CA7B00" w:rsidRDefault="79CA7B00" w:rsidP="5F25E873">
            <w:pPr>
              <w:spacing w:after="0" w:line="220" w:lineRule="atLeast"/>
              <w:rPr>
                <w:rFonts w:eastAsia="Aptos"/>
                <w:b/>
                <w:bCs/>
              </w:rPr>
            </w:pPr>
            <w:r w:rsidRPr="00FA09F5">
              <w:rPr>
                <w:rFonts w:eastAsia="Aptos"/>
                <w:b/>
                <w:bCs/>
              </w:rPr>
              <w:t>Priority 1: Place-based Talent and Service Pathways</w:t>
            </w:r>
          </w:p>
          <w:p w14:paraId="3689199B" w14:textId="0F4FF096" w:rsidR="79CA7B00" w:rsidRDefault="79CA7B00" w:rsidP="787C584B">
            <w:pPr>
              <w:spacing w:after="0" w:line="220" w:lineRule="atLeast"/>
              <w:rPr>
                <w:rFonts w:eastAsia="Aptos"/>
              </w:rPr>
            </w:pPr>
            <w:r w:rsidRPr="787C584B">
              <w:rPr>
                <w:rFonts w:eastAsia="Aptos"/>
              </w:rPr>
              <w:t>We are using our campuses as industry–university collaboration spaces, where workforce demand, supervised practice, future workforce development, innovation and employment are planned together.</w:t>
            </w:r>
          </w:p>
          <w:p w14:paraId="3B12D134" w14:textId="0521001C" w:rsidR="79CA7B00" w:rsidRDefault="79CA7B00" w:rsidP="008871F3">
            <w:pPr>
              <w:pStyle w:val="ListParagraph"/>
              <w:numPr>
                <w:ilvl w:val="0"/>
                <w:numId w:val="30"/>
              </w:numPr>
              <w:spacing w:after="0" w:line="220" w:lineRule="atLeast"/>
              <w:ind w:left="357" w:hanging="357"/>
              <w:rPr>
                <w:rFonts w:eastAsia="Aptos"/>
              </w:rPr>
            </w:pPr>
            <w:r w:rsidRPr="787C584B">
              <w:rPr>
                <w:rFonts w:eastAsia="Aptos"/>
              </w:rPr>
              <w:t>Partners co-design competency profiles and assessments based on emerging needs.</w:t>
            </w:r>
          </w:p>
          <w:p w14:paraId="030222FD" w14:textId="34431BBD" w:rsidR="79CA7B00" w:rsidRDefault="79CA7B00" w:rsidP="008871F3">
            <w:pPr>
              <w:pStyle w:val="ListParagraph"/>
              <w:numPr>
                <w:ilvl w:val="0"/>
                <w:numId w:val="30"/>
              </w:numPr>
              <w:spacing w:after="0" w:line="220" w:lineRule="atLeast"/>
              <w:ind w:left="357" w:hanging="357"/>
              <w:rPr>
                <w:rFonts w:eastAsia="Aptos"/>
              </w:rPr>
            </w:pPr>
            <w:proofErr w:type="spellStart"/>
            <w:r w:rsidRPr="787C584B">
              <w:rPr>
                <w:rFonts w:eastAsia="Aptos"/>
              </w:rPr>
              <w:t>UniSQ</w:t>
            </w:r>
            <w:proofErr w:type="spellEnd"/>
            <w:r w:rsidRPr="787C584B">
              <w:rPr>
                <w:rFonts w:eastAsia="Aptos"/>
              </w:rPr>
              <w:t xml:space="preserve"> aligns curricula, micro-credentials, and student development to ensure learning translates into verified capability.</w:t>
            </w:r>
          </w:p>
          <w:p w14:paraId="74B41411" w14:textId="71173D0D" w:rsidR="5F25E873" w:rsidRPr="00F72EC4" w:rsidRDefault="79CA7B00" w:rsidP="00F72EC4">
            <w:pPr>
              <w:spacing w:after="120" w:line="220" w:lineRule="atLeast"/>
            </w:pPr>
            <w:r w:rsidRPr="787C584B">
              <w:rPr>
                <w:rFonts w:eastAsia="Aptos"/>
              </w:rPr>
              <w:t xml:space="preserve">This model shortens time to productive employment, accelerates uptake of new practices and technologies, and supports managed growth in our </w:t>
            </w:r>
            <w:r w:rsidR="005205F2">
              <w:rPr>
                <w:rFonts w:eastAsia="Aptos"/>
              </w:rPr>
              <w:t>d</w:t>
            </w:r>
            <w:r w:rsidRPr="787C584B">
              <w:rPr>
                <w:rFonts w:eastAsia="Aptos"/>
              </w:rPr>
              <w:t xml:space="preserve">omestic </w:t>
            </w:r>
            <w:r w:rsidR="005205F2">
              <w:rPr>
                <w:rFonts w:eastAsia="Aptos"/>
              </w:rPr>
              <w:t>s</w:t>
            </w:r>
            <w:r w:rsidRPr="787C584B">
              <w:rPr>
                <w:rFonts w:eastAsia="Aptos"/>
              </w:rPr>
              <w:t xml:space="preserve">tudent </w:t>
            </w:r>
            <w:r w:rsidR="005205F2">
              <w:rPr>
                <w:rFonts w:eastAsia="Aptos"/>
              </w:rPr>
              <w:t>p</w:t>
            </w:r>
            <w:r w:rsidRPr="787C584B">
              <w:rPr>
                <w:rFonts w:eastAsia="Aptos"/>
              </w:rPr>
              <w:t>rofile.</w:t>
            </w:r>
          </w:p>
          <w:p w14:paraId="493EDB3C" w14:textId="585A627E" w:rsidR="79CA7B00" w:rsidRDefault="79CA7B00" w:rsidP="5F25E873">
            <w:pPr>
              <w:spacing w:after="0" w:line="220" w:lineRule="atLeast"/>
              <w:rPr>
                <w:rFonts w:eastAsia="Aptos"/>
                <w:b/>
                <w:bCs/>
              </w:rPr>
            </w:pPr>
            <w:r w:rsidRPr="00FA09F5">
              <w:rPr>
                <w:rFonts w:eastAsia="Aptos"/>
                <w:b/>
                <w:bCs/>
              </w:rPr>
              <w:t>Priority 2: Seamless VET–HE Progression</w:t>
            </w:r>
          </w:p>
          <w:p w14:paraId="15960F69" w14:textId="287AF90D" w:rsidR="79CA7B00" w:rsidRDefault="79CA7B00" w:rsidP="5F25E873">
            <w:pPr>
              <w:spacing w:after="0" w:line="220" w:lineRule="atLeast"/>
            </w:pPr>
            <w:r w:rsidRPr="787C584B">
              <w:rPr>
                <w:rFonts w:eastAsia="Aptos"/>
              </w:rPr>
              <w:t xml:space="preserve">Through our alliance with VET providers, </w:t>
            </w:r>
            <w:proofErr w:type="spellStart"/>
            <w:r w:rsidRPr="787C584B">
              <w:rPr>
                <w:rFonts w:eastAsia="Aptos"/>
              </w:rPr>
              <w:t>UniSQ</w:t>
            </w:r>
            <w:proofErr w:type="spellEnd"/>
            <w:r w:rsidRPr="787C584B">
              <w:rPr>
                <w:rFonts w:eastAsia="Aptos"/>
              </w:rPr>
              <w:t xml:space="preserve"> has:</w:t>
            </w:r>
          </w:p>
          <w:p w14:paraId="31EB0EE3" w14:textId="363B431F" w:rsidR="79CA7B00" w:rsidRDefault="79CA7B00" w:rsidP="008871F3">
            <w:pPr>
              <w:pStyle w:val="ListParagraph"/>
              <w:numPr>
                <w:ilvl w:val="0"/>
                <w:numId w:val="29"/>
              </w:numPr>
              <w:spacing w:after="0" w:line="220" w:lineRule="atLeast"/>
              <w:ind w:left="357" w:hanging="357"/>
              <w:rPr>
                <w:rFonts w:eastAsia="Aptos"/>
              </w:rPr>
            </w:pPr>
            <w:r w:rsidRPr="787C584B">
              <w:rPr>
                <w:rFonts w:eastAsia="Aptos"/>
              </w:rPr>
              <w:t>Established guaranteed credit maps and dual-entry pathways.</w:t>
            </w:r>
          </w:p>
          <w:p w14:paraId="202D2B40" w14:textId="5E696A34" w:rsidR="79CA7B00" w:rsidRDefault="79CA7B00" w:rsidP="008871F3">
            <w:pPr>
              <w:pStyle w:val="ListParagraph"/>
              <w:numPr>
                <w:ilvl w:val="0"/>
                <w:numId w:val="29"/>
              </w:numPr>
              <w:spacing w:after="0" w:line="220" w:lineRule="atLeast"/>
              <w:ind w:left="357" w:hanging="357"/>
              <w:rPr>
                <w:rFonts w:eastAsia="Aptos"/>
              </w:rPr>
            </w:pPr>
            <w:r w:rsidRPr="787C584B">
              <w:rPr>
                <w:rFonts w:eastAsia="Aptos"/>
              </w:rPr>
              <w:t xml:space="preserve">Begun exploring co-designed, co-delivered degrees in priority occupations with </w:t>
            </w:r>
            <w:hyperlink r:id="rId29" w:history="1">
              <w:r w:rsidRPr="00FB7C83">
                <w:rPr>
                  <w:rStyle w:val="Hyperlink"/>
                  <w:rFonts w:eastAsia="Aptos"/>
                </w:rPr>
                <w:t>TAFE Queensland</w:t>
              </w:r>
            </w:hyperlink>
            <w:r w:rsidR="001D29C6" w:rsidRPr="00007676">
              <w:rPr>
                <w:rFonts w:eastAsia="Aptos"/>
              </w:rPr>
              <w:t xml:space="preserve"> as part of the </w:t>
            </w:r>
            <w:hyperlink r:id="rId30" w:history="1">
              <w:r w:rsidR="001D29C6" w:rsidRPr="00216C45">
                <w:rPr>
                  <w:rStyle w:val="Hyperlink"/>
                  <w:rFonts w:eastAsia="Aptos"/>
                </w:rPr>
                <w:t>Southern Queensland Education Alliance</w:t>
              </w:r>
            </w:hyperlink>
            <w:r w:rsidRPr="00007676">
              <w:rPr>
                <w:rFonts w:eastAsia="Aptos"/>
              </w:rPr>
              <w:t>.</w:t>
            </w:r>
          </w:p>
          <w:p w14:paraId="3E5CC3F7" w14:textId="39E6CE3E" w:rsidR="5F25E873" w:rsidRPr="00F72EC4" w:rsidRDefault="79CA7B00" w:rsidP="00F72EC4">
            <w:pPr>
              <w:spacing w:after="120" w:line="220" w:lineRule="atLeast"/>
            </w:pPr>
            <w:r w:rsidRPr="787C584B">
              <w:rPr>
                <w:rFonts w:eastAsia="Aptos"/>
              </w:rPr>
              <w:t xml:space="preserve">This approach reduces time to competence, supports portable recognition, and enables earn-and-learn models that align with the </w:t>
            </w:r>
            <w:r w:rsidRPr="00C053A4">
              <w:rPr>
                <w:rFonts w:eastAsia="Aptos"/>
              </w:rPr>
              <w:t>Australian Government’s Tertiary Education Harmonisation</w:t>
            </w:r>
            <w:r w:rsidRPr="787C584B">
              <w:rPr>
                <w:rFonts w:eastAsia="Aptos"/>
              </w:rPr>
              <w:t xml:space="preserve"> agenda and </w:t>
            </w:r>
            <w:hyperlink r:id="rId31">
              <w:r w:rsidRPr="787C584B">
                <w:rPr>
                  <w:rStyle w:val="Hyperlink"/>
                  <w:rFonts w:eastAsia="Aptos"/>
                </w:rPr>
                <w:t>Jobs and Skills Australia</w:t>
              </w:r>
            </w:hyperlink>
            <w:r w:rsidRPr="787C584B">
              <w:rPr>
                <w:rFonts w:eastAsia="Aptos"/>
              </w:rPr>
              <w:t xml:space="preserve"> workforce roadmaps.</w:t>
            </w:r>
          </w:p>
          <w:p w14:paraId="178023F4" w14:textId="106D6D62" w:rsidR="79CA7B00" w:rsidRDefault="79CA7B00" w:rsidP="787C584B">
            <w:pPr>
              <w:spacing w:after="0" w:line="220" w:lineRule="atLeast"/>
              <w:rPr>
                <w:rFonts w:eastAsia="Aptos"/>
                <w:b/>
                <w:bCs/>
              </w:rPr>
            </w:pPr>
            <w:r w:rsidRPr="00FA09F5">
              <w:rPr>
                <w:rFonts w:eastAsia="Aptos"/>
                <w:b/>
                <w:bCs/>
              </w:rPr>
              <w:t>Priority 3: Industry-Led Capability Uplift</w:t>
            </w:r>
          </w:p>
          <w:p w14:paraId="55F86F93" w14:textId="0F50255F" w:rsidR="79CA7B00" w:rsidRDefault="79CA7B00" w:rsidP="5F25E873">
            <w:pPr>
              <w:spacing w:after="0" w:line="220" w:lineRule="atLeast"/>
            </w:pPr>
            <w:r w:rsidRPr="787C584B">
              <w:rPr>
                <w:rFonts w:eastAsia="Aptos"/>
              </w:rPr>
              <w:t>Industry drives capability building through authentic, assessed work:</w:t>
            </w:r>
          </w:p>
          <w:p w14:paraId="44DB1197" w14:textId="336DDC83" w:rsidR="79CA7B00" w:rsidRDefault="79CA7B00" w:rsidP="008871F3">
            <w:pPr>
              <w:pStyle w:val="ListParagraph"/>
              <w:numPr>
                <w:ilvl w:val="0"/>
                <w:numId w:val="28"/>
              </w:numPr>
              <w:spacing w:after="0" w:line="220" w:lineRule="atLeast"/>
              <w:ind w:left="357" w:hanging="357"/>
              <w:rPr>
                <w:rFonts w:eastAsia="Aptos"/>
              </w:rPr>
            </w:pPr>
            <w:r w:rsidRPr="787C584B">
              <w:rPr>
                <w:rFonts w:eastAsia="Aptos"/>
              </w:rPr>
              <w:t>Digital Work Integrated Learning (WIL) connects regional and rural Small and Medium Enterprises (SMEs) with student teams working on live projects in Industry 4.0-aligned fields.</w:t>
            </w:r>
          </w:p>
          <w:p w14:paraId="474E6FF5" w14:textId="650EC17F" w:rsidR="79CA7B00" w:rsidRDefault="79CA7B00" w:rsidP="008871F3">
            <w:pPr>
              <w:pStyle w:val="ListParagraph"/>
              <w:numPr>
                <w:ilvl w:val="0"/>
                <w:numId w:val="28"/>
              </w:numPr>
              <w:spacing w:after="0" w:line="220" w:lineRule="atLeast"/>
              <w:ind w:left="357" w:hanging="357"/>
              <w:rPr>
                <w:rFonts w:eastAsia="Aptos"/>
              </w:rPr>
            </w:pPr>
            <w:r w:rsidRPr="787C584B">
              <w:rPr>
                <w:rFonts w:eastAsia="Aptos"/>
              </w:rPr>
              <w:t>Extended internships embed industry as co-assessor, aligning graduate capability with workplace standards.</w:t>
            </w:r>
          </w:p>
          <w:p w14:paraId="6E3F35B1" w14:textId="3A6738F3" w:rsidR="5F25E873" w:rsidRDefault="79CA7B00" w:rsidP="00F72EC4">
            <w:pPr>
              <w:pStyle w:val="ListParagraph"/>
              <w:numPr>
                <w:ilvl w:val="0"/>
                <w:numId w:val="28"/>
              </w:numPr>
              <w:spacing w:after="120" w:line="220" w:lineRule="atLeast"/>
              <w:ind w:left="357" w:hanging="357"/>
              <w:rPr>
                <w:rFonts w:eastAsia="Aptos"/>
              </w:rPr>
            </w:pPr>
            <w:r w:rsidRPr="787C584B">
              <w:rPr>
                <w:rFonts w:eastAsia="Aptos"/>
              </w:rPr>
              <w:t>Recognition of prior and concurrent workplace learning allows employees to gain academic credit for their skills.</w:t>
            </w:r>
          </w:p>
          <w:p w14:paraId="3A3932F8" w14:textId="46950EB9" w:rsidR="79CA7B00" w:rsidRDefault="79CA7B00" w:rsidP="787C584B">
            <w:pPr>
              <w:spacing w:after="0" w:line="220" w:lineRule="atLeast"/>
              <w:rPr>
                <w:rFonts w:eastAsia="Aptos"/>
                <w:b/>
                <w:bCs/>
              </w:rPr>
            </w:pPr>
            <w:r w:rsidRPr="00FA09F5">
              <w:rPr>
                <w:rFonts w:eastAsia="Aptos"/>
                <w:b/>
                <w:bCs/>
              </w:rPr>
              <w:t xml:space="preserve">Examples of </w:t>
            </w:r>
            <w:proofErr w:type="spellStart"/>
            <w:r w:rsidRPr="00FA09F5">
              <w:rPr>
                <w:rFonts w:eastAsia="Aptos"/>
                <w:b/>
                <w:bCs/>
              </w:rPr>
              <w:t>UniSQ</w:t>
            </w:r>
            <w:proofErr w:type="spellEnd"/>
            <w:r w:rsidRPr="00FA09F5">
              <w:rPr>
                <w:rFonts w:eastAsia="Aptos"/>
                <w:b/>
                <w:bCs/>
              </w:rPr>
              <w:t xml:space="preserve"> Partnerships</w:t>
            </w:r>
          </w:p>
          <w:p w14:paraId="4768CFB5" w14:textId="4BE63994" w:rsidR="79CA7B00" w:rsidRDefault="087A3D77" w:rsidP="008871F3">
            <w:pPr>
              <w:pStyle w:val="ListParagraph"/>
              <w:numPr>
                <w:ilvl w:val="0"/>
                <w:numId w:val="27"/>
              </w:numPr>
              <w:spacing w:after="0" w:line="220" w:lineRule="atLeast"/>
              <w:ind w:left="357" w:hanging="357"/>
              <w:rPr>
                <w:rFonts w:eastAsia="Aptos"/>
              </w:rPr>
            </w:pPr>
            <w:r w:rsidRPr="787C584B">
              <w:rPr>
                <w:rFonts w:eastAsia="Aptos"/>
              </w:rPr>
              <w:t>Southern Queensland Rural Centre for Health Education Research (SQRCHER)</w:t>
            </w:r>
            <w:r w:rsidR="79CA7B00" w:rsidRPr="787C584B">
              <w:rPr>
                <w:rFonts w:eastAsia="Aptos"/>
              </w:rPr>
              <w:t xml:space="preserve"> – regional health workforce collaboration with Darling Downs Health, Queensland Health, Local Government Authorities (LGAs), private hospitals and </w:t>
            </w:r>
            <w:hyperlink r:id="rId32" w:history="1">
              <w:r w:rsidR="79CA7B00" w:rsidRPr="787C584B">
                <w:rPr>
                  <w:rStyle w:val="Hyperlink"/>
                  <w:rFonts w:eastAsia="Aptos"/>
                </w:rPr>
                <w:t>SQRH</w:t>
              </w:r>
            </w:hyperlink>
            <w:r w:rsidR="79CA7B00" w:rsidRPr="787C584B">
              <w:rPr>
                <w:rFonts w:eastAsia="Aptos"/>
              </w:rPr>
              <w:t>.</w:t>
            </w:r>
          </w:p>
          <w:p w14:paraId="0633FAEE" w14:textId="64012D5E" w:rsidR="79CA7B00" w:rsidRDefault="79CA7B00" w:rsidP="008871F3">
            <w:pPr>
              <w:pStyle w:val="ListParagraph"/>
              <w:numPr>
                <w:ilvl w:val="0"/>
                <w:numId w:val="27"/>
              </w:numPr>
              <w:spacing w:after="0" w:line="220" w:lineRule="atLeast"/>
              <w:ind w:left="357" w:hanging="357"/>
              <w:rPr>
                <w:rFonts w:eastAsia="Aptos"/>
              </w:rPr>
            </w:pPr>
            <w:r w:rsidRPr="787C584B">
              <w:rPr>
                <w:rFonts w:eastAsia="Aptos"/>
              </w:rPr>
              <w:t xml:space="preserve">Ipswich Integrated Health </w:t>
            </w:r>
            <w:r w:rsidR="009001B5">
              <w:rPr>
                <w:rFonts w:eastAsia="Aptos"/>
              </w:rPr>
              <w:t>and</w:t>
            </w:r>
            <w:r w:rsidRPr="787C584B">
              <w:rPr>
                <w:rFonts w:eastAsia="Aptos"/>
              </w:rPr>
              <w:t xml:space="preserve"> Community Precinct (IIHCP) – growing supervision capacity and building health education aspiration.</w:t>
            </w:r>
          </w:p>
          <w:p w14:paraId="6B6AAED4" w14:textId="12C5E1DE" w:rsidR="79CA7B00" w:rsidRDefault="79CA7B00" w:rsidP="008871F3">
            <w:pPr>
              <w:pStyle w:val="ListParagraph"/>
              <w:numPr>
                <w:ilvl w:val="0"/>
                <w:numId w:val="27"/>
              </w:numPr>
              <w:spacing w:after="0" w:line="220" w:lineRule="atLeast"/>
              <w:ind w:left="357" w:hanging="357"/>
              <w:rPr>
                <w:rFonts w:eastAsia="Aptos"/>
              </w:rPr>
            </w:pPr>
            <w:hyperlink r:id="rId33" w:history="1">
              <w:r w:rsidRPr="787C584B">
                <w:rPr>
                  <w:rStyle w:val="Hyperlink"/>
                  <w:rFonts w:eastAsia="Aptos"/>
                </w:rPr>
                <w:t>Toowoomba Surat Basin Enterprise</w:t>
              </w:r>
            </w:hyperlink>
            <w:r w:rsidRPr="787C584B">
              <w:rPr>
                <w:rFonts w:eastAsia="Aptos"/>
              </w:rPr>
              <w:t xml:space="preserve"> Memorandum of Understanding – gateway to SME, agriculture and net-zero industries.</w:t>
            </w:r>
          </w:p>
          <w:p w14:paraId="5DB95129" w14:textId="78D0821E" w:rsidR="79CA7B00" w:rsidRDefault="79CA7B00" w:rsidP="008871F3">
            <w:pPr>
              <w:pStyle w:val="ListParagraph"/>
              <w:numPr>
                <w:ilvl w:val="0"/>
                <w:numId w:val="27"/>
              </w:numPr>
              <w:spacing w:after="0" w:line="220" w:lineRule="atLeast"/>
              <w:ind w:left="357" w:hanging="357"/>
              <w:rPr>
                <w:rFonts w:eastAsia="Aptos"/>
              </w:rPr>
            </w:pPr>
            <w:r w:rsidRPr="787C584B">
              <w:rPr>
                <w:rFonts w:eastAsia="Aptos"/>
              </w:rPr>
              <w:t>Partnerships with Toowoomba, Ipswich and Springfield Chambers of Commerce.</w:t>
            </w:r>
          </w:p>
          <w:p w14:paraId="72EA2E61" w14:textId="539C2F30" w:rsidR="79CA7B00" w:rsidRDefault="79CA7B00" w:rsidP="008871F3">
            <w:pPr>
              <w:pStyle w:val="ListParagraph"/>
              <w:numPr>
                <w:ilvl w:val="0"/>
                <w:numId w:val="27"/>
              </w:numPr>
              <w:spacing w:after="0" w:line="220" w:lineRule="atLeast"/>
              <w:ind w:left="357" w:hanging="357"/>
              <w:rPr>
                <w:rFonts w:eastAsia="Aptos"/>
              </w:rPr>
            </w:pPr>
            <w:r w:rsidRPr="787C584B">
              <w:rPr>
                <w:rFonts w:eastAsia="Aptos"/>
              </w:rPr>
              <w:t>Academic partnership with the Ipswich Museum (Queensland Museum Network) – co-designed STEM learning experiences.</w:t>
            </w:r>
          </w:p>
          <w:p w14:paraId="0098D850" w14:textId="350AD3B9" w:rsidR="79CA7B00" w:rsidRDefault="79CA7B00" w:rsidP="008871F3">
            <w:pPr>
              <w:pStyle w:val="ListParagraph"/>
              <w:numPr>
                <w:ilvl w:val="0"/>
                <w:numId w:val="27"/>
              </w:numPr>
              <w:spacing w:after="0" w:line="220" w:lineRule="atLeast"/>
              <w:ind w:left="357" w:hanging="357"/>
              <w:rPr>
                <w:rFonts w:eastAsia="Aptos"/>
              </w:rPr>
            </w:pPr>
            <w:hyperlink r:id="rId34" w:history="1">
              <w:r w:rsidRPr="001279AA">
                <w:rPr>
                  <w:rStyle w:val="Hyperlink"/>
                  <w:rFonts w:eastAsia="Aptos"/>
                </w:rPr>
                <w:t>Charleville Nursing</w:t>
              </w:r>
            </w:hyperlink>
            <w:r w:rsidRPr="787C584B">
              <w:rPr>
                <w:rFonts w:eastAsia="Aptos"/>
              </w:rPr>
              <w:t xml:space="preserve"> with </w:t>
            </w:r>
            <w:hyperlink r:id="rId35" w:history="1">
              <w:r w:rsidRPr="000E4AF1">
                <w:rPr>
                  <w:rStyle w:val="Hyperlink"/>
                  <w:rFonts w:eastAsia="Aptos"/>
                </w:rPr>
                <w:t>South West Hospital and Health Service (SWHHS)</w:t>
              </w:r>
            </w:hyperlink>
            <w:r w:rsidRPr="787C584B">
              <w:rPr>
                <w:rFonts w:eastAsia="Aptos"/>
              </w:rPr>
              <w:t xml:space="preserve"> and </w:t>
            </w:r>
            <w:hyperlink r:id="rId36" w:history="1">
              <w:r w:rsidRPr="787C584B">
                <w:rPr>
                  <w:rStyle w:val="Hyperlink"/>
                  <w:rFonts w:eastAsia="Aptos"/>
                </w:rPr>
                <w:t>SQRH</w:t>
              </w:r>
            </w:hyperlink>
            <w:r w:rsidRPr="787C584B">
              <w:rPr>
                <w:rFonts w:eastAsia="Aptos"/>
              </w:rPr>
              <w:t>.</w:t>
            </w:r>
          </w:p>
          <w:p w14:paraId="4B89F194" w14:textId="23D3AE55" w:rsidR="79CA7B00" w:rsidRDefault="79CA7B00" w:rsidP="008871F3">
            <w:pPr>
              <w:pStyle w:val="ListParagraph"/>
              <w:numPr>
                <w:ilvl w:val="0"/>
                <w:numId w:val="27"/>
              </w:numPr>
              <w:spacing w:after="0" w:line="220" w:lineRule="atLeast"/>
              <w:ind w:left="357" w:hanging="357"/>
              <w:rPr>
                <w:rFonts w:eastAsia="Aptos"/>
              </w:rPr>
            </w:pPr>
            <w:hyperlink r:id="rId37">
              <w:r w:rsidRPr="787C584B">
                <w:rPr>
                  <w:rStyle w:val="Hyperlink"/>
                  <w:rFonts w:eastAsia="Aptos"/>
                </w:rPr>
                <w:t>Southern Queensland Education Alliance</w:t>
              </w:r>
            </w:hyperlink>
            <w:r w:rsidRPr="787C584B">
              <w:rPr>
                <w:rFonts w:eastAsia="Aptos"/>
              </w:rPr>
              <w:t xml:space="preserve"> – cross-sector collaboration.</w:t>
            </w:r>
          </w:p>
          <w:p w14:paraId="2963F231" w14:textId="6177AE7D" w:rsidR="79CA7B00" w:rsidRDefault="79CA7B00" w:rsidP="008871F3">
            <w:pPr>
              <w:pStyle w:val="ListParagraph"/>
              <w:numPr>
                <w:ilvl w:val="0"/>
                <w:numId w:val="27"/>
              </w:numPr>
              <w:spacing w:after="0" w:line="220" w:lineRule="atLeast"/>
              <w:ind w:left="357" w:hanging="357"/>
              <w:rPr>
                <w:rFonts w:eastAsia="Aptos"/>
              </w:rPr>
            </w:pPr>
            <w:r w:rsidRPr="787C584B">
              <w:rPr>
                <w:rFonts w:eastAsia="Aptos"/>
              </w:rPr>
              <w:t>Veterans Cybersecurity Pathway – recognition of service credentials with paid industry placements.</w:t>
            </w:r>
          </w:p>
          <w:p w14:paraId="6465FC91" w14:textId="0308E5F1" w:rsidR="001B109C" w:rsidRPr="00E57778" w:rsidRDefault="5DCB440F" w:rsidP="008871F3">
            <w:pPr>
              <w:pStyle w:val="ListParagraph"/>
              <w:numPr>
                <w:ilvl w:val="0"/>
                <w:numId w:val="27"/>
              </w:numPr>
              <w:spacing w:after="0" w:line="220" w:lineRule="atLeast"/>
              <w:ind w:left="357" w:hanging="357"/>
              <w:rPr>
                <w:rFonts w:eastAsia="Aptos"/>
              </w:rPr>
            </w:pPr>
            <w:r w:rsidRPr="787C584B">
              <w:rPr>
                <w:rFonts w:eastAsia="Aptos"/>
              </w:rPr>
              <w:t xml:space="preserve">Professional </w:t>
            </w:r>
            <w:r w:rsidR="79CA7B00" w:rsidRPr="787C584B">
              <w:rPr>
                <w:rFonts w:eastAsia="Aptos"/>
              </w:rPr>
              <w:t>Services Pathway –</w:t>
            </w:r>
            <w:r w:rsidRPr="787C584B">
              <w:rPr>
                <w:rFonts w:eastAsia="Aptos"/>
              </w:rPr>
              <w:t xml:space="preserve"> paid study-work integration in accounting</w:t>
            </w:r>
            <w:r w:rsidR="79CA7B00" w:rsidRPr="787C584B">
              <w:rPr>
                <w:rFonts w:eastAsia="Aptos"/>
              </w:rPr>
              <w:t>, mapping</w:t>
            </w:r>
            <w:r w:rsidRPr="787C584B">
              <w:rPr>
                <w:rFonts w:eastAsia="Aptos"/>
              </w:rPr>
              <w:t xml:space="preserve"> workplace learning to credit.</w:t>
            </w: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50E7497B" w:rsidR="001B109C" w:rsidRPr="00E114B4" w:rsidRDefault="002C293F">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3F8D7DA9" w:rsidR="001B109C" w:rsidRPr="00E114B4" w:rsidRDefault="00BD37A6">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110BE957" w:rsidR="001B109C" w:rsidRPr="00E114B4" w:rsidRDefault="00B74749">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7A6F8CA0" w:rsidR="001B109C" w:rsidRPr="00E114B4" w:rsidRDefault="002A34A8">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0FCBB4CB" w:rsidR="001B109C" w:rsidRPr="002636B2" w:rsidRDefault="002636B2">
            <w:pPr>
              <w:pBdr>
                <w:bottom w:val="single" w:sz="12" w:space="1" w:color="auto"/>
              </w:pBdr>
              <w:rPr>
                <w:rFonts w:cstheme="minorHAnsi"/>
              </w:rPr>
            </w:pPr>
            <w:r>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05D1F793" w:rsidR="001B109C" w:rsidRPr="00E169EE" w:rsidRDefault="009728BD">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UNIVERSITY OF SOUTHERN QUEENSLAND</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42FE5B33" w:rsidR="001B109C" w:rsidRPr="00E169EE" w:rsidRDefault="009728BD">
            <w:pPr>
              <w:pBdr>
                <w:bottom w:val="single" w:sz="12" w:space="1" w:color="auto"/>
              </w:pBdr>
              <w:rPr>
                <w:rFonts w:cstheme="minorHAnsi"/>
                <w:b/>
                <w:bCs/>
              </w:rPr>
            </w:pPr>
            <w:r>
              <w:rPr>
                <w:rFonts w:cstheme="minorHAnsi"/>
                <w:b/>
                <w:bCs/>
              </w:rPr>
              <w:t>Professor Karen Nelson</w:t>
            </w:r>
          </w:p>
          <w:p w14:paraId="3120FAF4" w14:textId="66AC440C" w:rsidR="001B109C" w:rsidRPr="00E169EE" w:rsidRDefault="001B109C">
            <w:pPr>
              <w:rPr>
                <w:rFonts w:cstheme="minorHAnsi"/>
              </w:rPr>
            </w:pPr>
            <w:r w:rsidRPr="00E169EE">
              <w:rPr>
                <w:rFonts w:cstheme="minorHAnsi"/>
              </w:rPr>
              <w:t>Full name (please print)</w:t>
            </w:r>
          </w:p>
        </w:tc>
        <w:tc>
          <w:tcPr>
            <w:tcW w:w="4508" w:type="dxa"/>
          </w:tcPr>
          <w:p w14:paraId="59483E94" w14:textId="21E79266" w:rsidR="001B109C" w:rsidRPr="002F4604" w:rsidRDefault="009728BD">
            <w:pPr>
              <w:pBdr>
                <w:bottom w:val="single" w:sz="12" w:space="1" w:color="auto"/>
              </w:pBdr>
              <w:rPr>
                <w:rFonts w:cstheme="minorHAnsi"/>
                <w:b/>
                <w:bCs/>
              </w:rPr>
            </w:pPr>
            <w:r>
              <w:rPr>
                <w:rFonts w:cstheme="minorHAnsi"/>
                <w:b/>
                <w:bCs/>
              </w:rPr>
              <w:t>Ms Kathy Pingel</w:t>
            </w:r>
          </w:p>
          <w:p w14:paraId="439588BC" w14:textId="1D865FD2"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6319E3AB" w:rsidR="001B109C" w:rsidRPr="00E169EE" w:rsidRDefault="009728BD">
            <w:pPr>
              <w:pBdr>
                <w:bottom w:val="single" w:sz="12" w:space="1" w:color="auto"/>
              </w:pBdr>
              <w:spacing w:after="0"/>
              <w:rPr>
                <w:rFonts w:cstheme="minorHAnsi"/>
                <w:b/>
                <w:bCs/>
              </w:rPr>
            </w:pPr>
            <w:r>
              <w:rPr>
                <w:rFonts w:cstheme="minorHAnsi"/>
                <w:b/>
                <w:bCs/>
              </w:rPr>
              <w:t>Vice-Chancellor</w:t>
            </w:r>
          </w:p>
          <w:p w14:paraId="231ABA73" w14:textId="2427D029" w:rsidR="001B109C" w:rsidRPr="00E169EE" w:rsidRDefault="001B109C">
            <w:pPr>
              <w:spacing w:after="0"/>
              <w:rPr>
                <w:rFonts w:cstheme="minorHAnsi"/>
              </w:rPr>
            </w:pPr>
            <w:r w:rsidRPr="00E169EE">
              <w:rPr>
                <w:rFonts w:cstheme="minorHAnsi"/>
              </w:rPr>
              <w:t>Position</w:t>
            </w:r>
          </w:p>
          <w:p w14:paraId="536F9855" w14:textId="6F76C53C" w:rsidR="001B109C" w:rsidRPr="00E169EE" w:rsidRDefault="001B109C">
            <w:pPr>
              <w:spacing w:after="0"/>
              <w:rPr>
                <w:rFonts w:cstheme="minorHAnsi"/>
              </w:rPr>
            </w:pPr>
          </w:p>
        </w:tc>
        <w:tc>
          <w:tcPr>
            <w:tcW w:w="4508" w:type="dxa"/>
          </w:tcPr>
          <w:p w14:paraId="7B33C473" w14:textId="58A326F9" w:rsidR="001B109C" w:rsidRPr="002F4604" w:rsidRDefault="009728BD">
            <w:pPr>
              <w:pBdr>
                <w:bottom w:val="single" w:sz="12" w:space="1" w:color="auto"/>
              </w:pBdr>
              <w:spacing w:after="0"/>
              <w:rPr>
                <w:rFonts w:cstheme="minorHAnsi"/>
                <w:b/>
                <w:bCs/>
              </w:rPr>
            </w:pPr>
            <w:r>
              <w:rPr>
                <w:rFonts w:cstheme="minorHAnsi"/>
                <w:b/>
                <w:bCs/>
              </w:rPr>
              <w:t>Senior Executive Officer</w:t>
            </w:r>
          </w:p>
          <w:p w14:paraId="0C046C3D" w14:textId="33BE5583" w:rsidR="001B109C" w:rsidRPr="002F4604" w:rsidRDefault="001B109C">
            <w:pPr>
              <w:spacing w:after="0"/>
              <w:rPr>
                <w:rFonts w:cstheme="minorHAnsi"/>
              </w:rPr>
            </w:pPr>
            <w:r w:rsidRPr="002F4604">
              <w:rPr>
                <w:rFonts w:cstheme="minorHAnsi"/>
              </w:rPr>
              <w:t>Position or profession of witness (please print)</w:t>
            </w:r>
          </w:p>
        </w:tc>
      </w:tr>
      <w:tr w:rsidR="001B109C" w:rsidRPr="00E169EE" w14:paraId="51440CFB" w14:textId="77777777">
        <w:trPr>
          <w:trHeight w:val="80"/>
        </w:trPr>
        <w:tc>
          <w:tcPr>
            <w:tcW w:w="4508" w:type="dxa"/>
          </w:tcPr>
          <w:p w14:paraId="7583F948" w14:textId="34A3BDFF" w:rsidR="001B109C" w:rsidRPr="00E169EE" w:rsidRDefault="001B109C">
            <w:pPr>
              <w:pBdr>
                <w:bottom w:val="single" w:sz="12" w:space="1" w:color="auto"/>
              </w:pBdr>
              <w:spacing w:after="0"/>
              <w:rPr>
                <w:rFonts w:cstheme="minorHAnsi"/>
                <w:b/>
                <w:bCs/>
              </w:rPr>
            </w:pPr>
          </w:p>
          <w:p w14:paraId="62FF4341" w14:textId="77777777" w:rsidR="001B109C" w:rsidRPr="00E169EE" w:rsidRDefault="001B109C">
            <w:pPr>
              <w:spacing w:after="0"/>
              <w:rPr>
                <w:rFonts w:cstheme="minorHAnsi"/>
              </w:rPr>
            </w:pPr>
            <w:r w:rsidRPr="00E169EE">
              <w:rPr>
                <w:rFonts w:cstheme="minorHAnsi"/>
              </w:rPr>
              <w:t>Signature</w:t>
            </w:r>
          </w:p>
        </w:tc>
        <w:tc>
          <w:tcPr>
            <w:tcW w:w="4508" w:type="dxa"/>
          </w:tcPr>
          <w:p w14:paraId="75C3F771" w14:textId="34FFD252" w:rsidR="001B109C" w:rsidRPr="002F4604" w:rsidRDefault="001B109C">
            <w:pPr>
              <w:pBdr>
                <w:bottom w:val="single" w:sz="12" w:space="1" w:color="auto"/>
              </w:pBdr>
              <w:spacing w:after="0"/>
              <w:rPr>
                <w:rFonts w:cstheme="minorHAnsi"/>
                <w:b/>
                <w:bCs/>
              </w:rPr>
            </w:pPr>
          </w:p>
          <w:p w14:paraId="79F89A4A" w14:textId="77777777" w:rsidR="001B109C" w:rsidRPr="002F4604" w:rsidRDefault="001B109C">
            <w:pPr>
              <w:spacing w:after="0"/>
              <w:rPr>
                <w:rFonts w:cstheme="minorHAnsi"/>
              </w:rPr>
            </w:pPr>
            <w:r w:rsidRPr="002F4604">
              <w:rPr>
                <w:rFonts w:cstheme="minorHAnsi"/>
              </w:rPr>
              <w:t>Signature</w:t>
            </w:r>
          </w:p>
        </w:tc>
      </w:tr>
    </w:tbl>
    <w:p w14:paraId="3AB2DC04" w14:textId="77777777" w:rsidR="001B109C" w:rsidRPr="00285733" w:rsidRDefault="001B109C" w:rsidP="001B109C"/>
    <w:p w14:paraId="695743CA" w14:textId="77777777" w:rsidR="002636B2" w:rsidRPr="00E169EE" w:rsidRDefault="002636B2" w:rsidP="002636B2">
      <w:pPr>
        <w:pBdr>
          <w:bottom w:val="single" w:sz="12" w:space="1" w:color="auto"/>
        </w:pBdr>
        <w:ind w:left="142" w:right="4490"/>
        <w:rPr>
          <w:rFonts w:cstheme="minorHAnsi"/>
          <w:b/>
          <w:bCs/>
        </w:rPr>
      </w:pPr>
      <w:r>
        <w:rPr>
          <w:rFonts w:cstheme="minorHAnsi"/>
          <w:b/>
          <w:bCs/>
        </w:rPr>
        <w:t>11 November 2025</w:t>
      </w:r>
    </w:p>
    <w:p w14:paraId="7F0711AD" w14:textId="660DCD1B" w:rsidR="001B109C" w:rsidRPr="001B109C" w:rsidRDefault="002636B2" w:rsidP="002636B2">
      <w:pPr>
        <w:pStyle w:val="NormalIndent"/>
        <w:spacing w:line="240" w:lineRule="auto"/>
        <w:ind w:left="0"/>
        <w:rPr>
          <w:rFonts w:asciiTheme="minorHAnsi" w:hAnsiTheme="minorHAnsi" w:cstheme="minorHAnsi"/>
          <w:szCs w:val="22"/>
        </w:rPr>
      </w:pPr>
      <w:r>
        <w:rPr>
          <w:rFonts w:cstheme="minorHAnsi"/>
        </w:rPr>
        <w:t xml:space="preserve">  </w:t>
      </w:r>
      <w:r w:rsidRPr="00E169EE">
        <w:rPr>
          <w:rFonts w:cstheme="minorHAnsi"/>
        </w:rPr>
        <w:t>Date</w:t>
      </w:r>
    </w:p>
    <w:sectPr w:rsidR="001B109C" w:rsidRPr="001B109C" w:rsidSect="009E572F">
      <w:footerReference w:type="default" r:id="rId38"/>
      <w:footerReference w:type="first" r:id="rId39"/>
      <w:pgSz w:w="11906" w:h="16838"/>
      <w:pgMar w:top="1223" w:right="1440" w:bottom="108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5F08" w14:textId="77777777" w:rsidR="006F3344" w:rsidRDefault="006F3344" w:rsidP="000A6228">
      <w:pPr>
        <w:spacing w:after="0" w:line="240" w:lineRule="auto"/>
      </w:pPr>
      <w:r>
        <w:separator/>
      </w:r>
    </w:p>
  </w:endnote>
  <w:endnote w:type="continuationSeparator" w:id="0">
    <w:p w14:paraId="4D8E03C8" w14:textId="77777777" w:rsidR="006F3344" w:rsidRDefault="006F3344" w:rsidP="000A6228">
      <w:pPr>
        <w:spacing w:after="0" w:line="240" w:lineRule="auto"/>
      </w:pPr>
      <w:r>
        <w:continuationSeparator/>
      </w:r>
    </w:p>
  </w:endnote>
  <w:endnote w:type="continuationNotice" w:id="1">
    <w:p w14:paraId="5206D6FA" w14:textId="77777777" w:rsidR="006F3344" w:rsidRDefault="006F3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53B95D11" w14:textId="4689479A" w:rsidR="006C1BBB" w:rsidRPr="009877B3" w:rsidRDefault="0029618B" w:rsidP="009877B3">
        <w:pPr>
          <w:pStyle w:val="Footer"/>
          <w:pBdr>
            <w:top w:val="single" w:sz="4" w:space="1" w:color="D9D9D9" w:themeColor="background1" w:themeShade="D9"/>
          </w:pBdr>
          <w:rPr>
            <w:b/>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C99A" w14:textId="54739228" w:rsidR="0029618B" w:rsidRPr="009877B3" w:rsidRDefault="002636B2" w:rsidP="009877B3">
    <w:pPr>
      <w:pStyle w:val="Footer"/>
      <w:pBdr>
        <w:top w:val="single" w:sz="4" w:space="1" w:color="D9D9D9" w:themeColor="background1" w:themeShade="D9"/>
      </w:pBdr>
      <w:rPr>
        <w:b/>
      </w:rPr>
    </w:pPr>
    <w:sdt>
      <w:sdtPr>
        <w:id w:val="595140194"/>
        <w:docPartObj>
          <w:docPartGallery w:val="Page Numbers (Bottom of Page)"/>
          <w:docPartUnique/>
        </w:docPartObj>
      </w:sdtPr>
      <w:sdtEndPr>
        <w:rPr>
          <w:color w:val="7F7F7F" w:themeColor="background1" w:themeShade="7F"/>
          <w:spacing w:val="60"/>
        </w:rPr>
      </w:sdtEndPr>
      <w:sdtContent>
        <w:r w:rsidR="0029618B">
          <w:fldChar w:fldCharType="begin"/>
        </w:r>
        <w:r w:rsidR="0029618B">
          <w:instrText xml:space="preserve"> PAGE   \* MERGEFORMAT </w:instrText>
        </w:r>
        <w:r w:rsidR="0029618B">
          <w:fldChar w:fldCharType="separate"/>
        </w:r>
        <w:r w:rsidR="0029618B">
          <w:rPr>
            <w:b/>
            <w:bCs/>
            <w:noProof/>
          </w:rPr>
          <w:t>2</w:t>
        </w:r>
        <w:r w:rsidR="0029618B">
          <w:rPr>
            <w:b/>
            <w:bCs/>
            <w:noProof/>
          </w:rPr>
          <w:fldChar w:fldCharType="end"/>
        </w:r>
        <w:r w:rsidR="0029618B">
          <w:rPr>
            <w:b/>
            <w:bCs/>
          </w:rPr>
          <w:t xml:space="preserve"> | </w:t>
        </w:r>
        <w:r w:rsidR="0029618B">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1BE9" w14:textId="77777777" w:rsidR="006F3344" w:rsidRDefault="006F3344" w:rsidP="000A6228">
      <w:pPr>
        <w:spacing w:after="0" w:line="240" w:lineRule="auto"/>
      </w:pPr>
      <w:r>
        <w:separator/>
      </w:r>
    </w:p>
  </w:footnote>
  <w:footnote w:type="continuationSeparator" w:id="0">
    <w:p w14:paraId="769E8E8C" w14:textId="77777777" w:rsidR="006F3344" w:rsidRDefault="006F3344" w:rsidP="000A6228">
      <w:pPr>
        <w:spacing w:after="0" w:line="240" w:lineRule="auto"/>
      </w:pPr>
      <w:r>
        <w:continuationSeparator/>
      </w:r>
    </w:p>
  </w:footnote>
  <w:footnote w:type="continuationNotice" w:id="1">
    <w:p w14:paraId="258F7E0A" w14:textId="77777777" w:rsidR="006F3344" w:rsidRDefault="006F33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C881AA"/>
    <w:multiLevelType w:val="hybridMultilevel"/>
    <w:tmpl w:val="F260ECDC"/>
    <w:lvl w:ilvl="0" w:tplc="64B4C1E6">
      <w:start w:val="1"/>
      <w:numFmt w:val="bullet"/>
      <w:lvlText w:val="·"/>
      <w:lvlJc w:val="left"/>
      <w:pPr>
        <w:ind w:left="1080" w:hanging="360"/>
      </w:pPr>
      <w:rPr>
        <w:rFonts w:ascii="Symbol" w:hAnsi="Symbol" w:hint="default"/>
      </w:rPr>
    </w:lvl>
    <w:lvl w:ilvl="1" w:tplc="366C4B4A">
      <w:start w:val="1"/>
      <w:numFmt w:val="bullet"/>
      <w:lvlText w:val="o"/>
      <w:lvlJc w:val="left"/>
      <w:pPr>
        <w:ind w:left="1800" w:hanging="360"/>
      </w:pPr>
      <w:rPr>
        <w:rFonts w:ascii="Symbol" w:hAnsi="Symbol" w:hint="default"/>
      </w:rPr>
    </w:lvl>
    <w:lvl w:ilvl="2" w:tplc="EB166BAE">
      <w:start w:val="1"/>
      <w:numFmt w:val="bullet"/>
      <w:lvlText w:val=""/>
      <w:lvlJc w:val="left"/>
      <w:pPr>
        <w:ind w:left="2520" w:hanging="360"/>
      </w:pPr>
      <w:rPr>
        <w:rFonts w:ascii="Wingdings" w:hAnsi="Wingdings" w:hint="default"/>
      </w:rPr>
    </w:lvl>
    <w:lvl w:ilvl="3" w:tplc="8E4800C4">
      <w:start w:val="1"/>
      <w:numFmt w:val="bullet"/>
      <w:lvlText w:val=""/>
      <w:lvlJc w:val="left"/>
      <w:pPr>
        <w:ind w:left="3240" w:hanging="360"/>
      </w:pPr>
      <w:rPr>
        <w:rFonts w:ascii="Symbol" w:hAnsi="Symbol" w:hint="default"/>
      </w:rPr>
    </w:lvl>
    <w:lvl w:ilvl="4" w:tplc="BDA84C42">
      <w:start w:val="1"/>
      <w:numFmt w:val="bullet"/>
      <w:lvlText w:val="o"/>
      <w:lvlJc w:val="left"/>
      <w:pPr>
        <w:ind w:left="3960" w:hanging="360"/>
      </w:pPr>
      <w:rPr>
        <w:rFonts w:ascii="Courier New" w:hAnsi="Courier New" w:hint="default"/>
      </w:rPr>
    </w:lvl>
    <w:lvl w:ilvl="5" w:tplc="0EA632B4">
      <w:start w:val="1"/>
      <w:numFmt w:val="bullet"/>
      <w:lvlText w:val=""/>
      <w:lvlJc w:val="left"/>
      <w:pPr>
        <w:ind w:left="4680" w:hanging="360"/>
      </w:pPr>
      <w:rPr>
        <w:rFonts w:ascii="Wingdings" w:hAnsi="Wingdings" w:hint="default"/>
      </w:rPr>
    </w:lvl>
    <w:lvl w:ilvl="6" w:tplc="7548CAF0">
      <w:start w:val="1"/>
      <w:numFmt w:val="bullet"/>
      <w:lvlText w:val=""/>
      <w:lvlJc w:val="left"/>
      <w:pPr>
        <w:ind w:left="5400" w:hanging="360"/>
      </w:pPr>
      <w:rPr>
        <w:rFonts w:ascii="Symbol" w:hAnsi="Symbol" w:hint="default"/>
      </w:rPr>
    </w:lvl>
    <w:lvl w:ilvl="7" w:tplc="CFBAA2EA">
      <w:start w:val="1"/>
      <w:numFmt w:val="bullet"/>
      <w:lvlText w:val="o"/>
      <w:lvlJc w:val="left"/>
      <w:pPr>
        <w:ind w:left="6120" w:hanging="360"/>
      </w:pPr>
      <w:rPr>
        <w:rFonts w:ascii="Courier New" w:hAnsi="Courier New" w:hint="default"/>
      </w:rPr>
    </w:lvl>
    <w:lvl w:ilvl="8" w:tplc="99CE20E8">
      <w:start w:val="1"/>
      <w:numFmt w:val="bullet"/>
      <w:lvlText w:val=""/>
      <w:lvlJc w:val="left"/>
      <w:pPr>
        <w:ind w:left="684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B36D96"/>
    <w:multiLevelType w:val="hybridMultilevel"/>
    <w:tmpl w:val="5DBC9334"/>
    <w:lvl w:ilvl="0" w:tplc="FA0C445E">
      <w:start w:val="2024"/>
      <w:numFmt w:val="bullet"/>
      <w:lvlText w:val=""/>
      <w:lvlJc w:val="left"/>
      <w:pPr>
        <w:ind w:left="1080" w:hanging="360"/>
      </w:pPr>
      <w:rPr>
        <w:rFonts w:ascii="Symbol" w:eastAsia="Times New Roman" w:hAnsi="Symbol"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0D6A76A3"/>
    <w:multiLevelType w:val="hybridMultilevel"/>
    <w:tmpl w:val="FFFFFFFF"/>
    <w:lvl w:ilvl="0" w:tplc="2D683E14">
      <w:start w:val="1"/>
      <w:numFmt w:val="bullet"/>
      <w:lvlText w:val=""/>
      <w:lvlJc w:val="left"/>
      <w:pPr>
        <w:ind w:left="720" w:hanging="360"/>
      </w:pPr>
      <w:rPr>
        <w:rFonts w:ascii="Symbol" w:hAnsi="Symbol" w:hint="default"/>
      </w:rPr>
    </w:lvl>
    <w:lvl w:ilvl="1" w:tplc="ED44FECA">
      <w:start w:val="1"/>
      <w:numFmt w:val="bullet"/>
      <w:lvlText w:val="o"/>
      <w:lvlJc w:val="left"/>
      <w:pPr>
        <w:ind w:left="1440" w:hanging="360"/>
      </w:pPr>
      <w:rPr>
        <w:rFonts w:ascii="Courier New" w:hAnsi="Courier New" w:hint="default"/>
      </w:rPr>
    </w:lvl>
    <w:lvl w:ilvl="2" w:tplc="570277B6">
      <w:start w:val="1"/>
      <w:numFmt w:val="bullet"/>
      <w:lvlText w:val=""/>
      <w:lvlJc w:val="left"/>
      <w:pPr>
        <w:ind w:left="2160" w:hanging="360"/>
      </w:pPr>
      <w:rPr>
        <w:rFonts w:ascii="Wingdings" w:hAnsi="Wingdings" w:hint="default"/>
      </w:rPr>
    </w:lvl>
    <w:lvl w:ilvl="3" w:tplc="DEDC3F0A">
      <w:start w:val="1"/>
      <w:numFmt w:val="bullet"/>
      <w:lvlText w:val=""/>
      <w:lvlJc w:val="left"/>
      <w:pPr>
        <w:ind w:left="2880" w:hanging="360"/>
      </w:pPr>
      <w:rPr>
        <w:rFonts w:ascii="Symbol" w:hAnsi="Symbol" w:hint="default"/>
      </w:rPr>
    </w:lvl>
    <w:lvl w:ilvl="4" w:tplc="B5E6D052">
      <w:start w:val="1"/>
      <w:numFmt w:val="bullet"/>
      <w:lvlText w:val="o"/>
      <w:lvlJc w:val="left"/>
      <w:pPr>
        <w:ind w:left="3600" w:hanging="360"/>
      </w:pPr>
      <w:rPr>
        <w:rFonts w:ascii="Courier New" w:hAnsi="Courier New" w:hint="default"/>
      </w:rPr>
    </w:lvl>
    <w:lvl w:ilvl="5" w:tplc="9814BA98">
      <w:start w:val="1"/>
      <w:numFmt w:val="bullet"/>
      <w:lvlText w:val=""/>
      <w:lvlJc w:val="left"/>
      <w:pPr>
        <w:ind w:left="4320" w:hanging="360"/>
      </w:pPr>
      <w:rPr>
        <w:rFonts w:ascii="Wingdings" w:hAnsi="Wingdings" w:hint="default"/>
      </w:rPr>
    </w:lvl>
    <w:lvl w:ilvl="6" w:tplc="082A80CE">
      <w:start w:val="1"/>
      <w:numFmt w:val="bullet"/>
      <w:lvlText w:val=""/>
      <w:lvlJc w:val="left"/>
      <w:pPr>
        <w:ind w:left="5040" w:hanging="360"/>
      </w:pPr>
      <w:rPr>
        <w:rFonts w:ascii="Symbol" w:hAnsi="Symbol" w:hint="default"/>
      </w:rPr>
    </w:lvl>
    <w:lvl w:ilvl="7" w:tplc="FF8E772E">
      <w:start w:val="1"/>
      <w:numFmt w:val="bullet"/>
      <w:lvlText w:val="o"/>
      <w:lvlJc w:val="left"/>
      <w:pPr>
        <w:ind w:left="5760" w:hanging="360"/>
      </w:pPr>
      <w:rPr>
        <w:rFonts w:ascii="Courier New" w:hAnsi="Courier New" w:hint="default"/>
      </w:rPr>
    </w:lvl>
    <w:lvl w:ilvl="8" w:tplc="900A608C">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8C3952"/>
    <w:multiLevelType w:val="hybridMultilevel"/>
    <w:tmpl w:val="59FC8C5A"/>
    <w:lvl w:ilvl="0" w:tplc="0C090001">
      <w:start w:val="1"/>
      <w:numFmt w:val="bullet"/>
      <w:lvlText w:val=""/>
      <w:lvlJc w:val="left"/>
      <w:pPr>
        <w:ind w:left="413" w:hanging="360"/>
      </w:pPr>
      <w:rPr>
        <w:rFonts w:ascii="Symbol" w:hAnsi="Symbol" w:hint="default"/>
      </w:rPr>
    </w:lvl>
    <w:lvl w:ilvl="1" w:tplc="0C090003" w:tentative="1">
      <w:start w:val="1"/>
      <w:numFmt w:val="bullet"/>
      <w:lvlText w:val="o"/>
      <w:lvlJc w:val="left"/>
      <w:pPr>
        <w:ind w:left="1133" w:hanging="360"/>
      </w:pPr>
      <w:rPr>
        <w:rFonts w:ascii="Courier New" w:hAnsi="Courier New" w:cs="Courier New" w:hint="default"/>
      </w:rPr>
    </w:lvl>
    <w:lvl w:ilvl="2" w:tplc="0C090005" w:tentative="1">
      <w:start w:val="1"/>
      <w:numFmt w:val="bullet"/>
      <w:lvlText w:val=""/>
      <w:lvlJc w:val="left"/>
      <w:pPr>
        <w:ind w:left="1853" w:hanging="360"/>
      </w:pPr>
      <w:rPr>
        <w:rFonts w:ascii="Wingdings" w:hAnsi="Wingdings" w:hint="default"/>
      </w:rPr>
    </w:lvl>
    <w:lvl w:ilvl="3" w:tplc="0C090001" w:tentative="1">
      <w:start w:val="1"/>
      <w:numFmt w:val="bullet"/>
      <w:lvlText w:val=""/>
      <w:lvlJc w:val="left"/>
      <w:pPr>
        <w:ind w:left="2573" w:hanging="360"/>
      </w:pPr>
      <w:rPr>
        <w:rFonts w:ascii="Symbol" w:hAnsi="Symbol" w:hint="default"/>
      </w:rPr>
    </w:lvl>
    <w:lvl w:ilvl="4" w:tplc="0C090003" w:tentative="1">
      <w:start w:val="1"/>
      <w:numFmt w:val="bullet"/>
      <w:lvlText w:val="o"/>
      <w:lvlJc w:val="left"/>
      <w:pPr>
        <w:ind w:left="3293" w:hanging="360"/>
      </w:pPr>
      <w:rPr>
        <w:rFonts w:ascii="Courier New" w:hAnsi="Courier New" w:cs="Courier New" w:hint="default"/>
      </w:rPr>
    </w:lvl>
    <w:lvl w:ilvl="5" w:tplc="0C090005" w:tentative="1">
      <w:start w:val="1"/>
      <w:numFmt w:val="bullet"/>
      <w:lvlText w:val=""/>
      <w:lvlJc w:val="left"/>
      <w:pPr>
        <w:ind w:left="4013" w:hanging="360"/>
      </w:pPr>
      <w:rPr>
        <w:rFonts w:ascii="Wingdings" w:hAnsi="Wingdings" w:hint="default"/>
      </w:rPr>
    </w:lvl>
    <w:lvl w:ilvl="6" w:tplc="0C090001" w:tentative="1">
      <w:start w:val="1"/>
      <w:numFmt w:val="bullet"/>
      <w:lvlText w:val=""/>
      <w:lvlJc w:val="left"/>
      <w:pPr>
        <w:ind w:left="4733" w:hanging="360"/>
      </w:pPr>
      <w:rPr>
        <w:rFonts w:ascii="Symbol" w:hAnsi="Symbol" w:hint="default"/>
      </w:rPr>
    </w:lvl>
    <w:lvl w:ilvl="7" w:tplc="0C090003" w:tentative="1">
      <w:start w:val="1"/>
      <w:numFmt w:val="bullet"/>
      <w:lvlText w:val="o"/>
      <w:lvlJc w:val="left"/>
      <w:pPr>
        <w:ind w:left="5453" w:hanging="360"/>
      </w:pPr>
      <w:rPr>
        <w:rFonts w:ascii="Courier New" w:hAnsi="Courier New" w:cs="Courier New" w:hint="default"/>
      </w:rPr>
    </w:lvl>
    <w:lvl w:ilvl="8" w:tplc="0C090005" w:tentative="1">
      <w:start w:val="1"/>
      <w:numFmt w:val="bullet"/>
      <w:lvlText w:val=""/>
      <w:lvlJc w:val="left"/>
      <w:pPr>
        <w:ind w:left="6173" w:hanging="360"/>
      </w:pPr>
      <w:rPr>
        <w:rFonts w:ascii="Wingdings" w:hAnsi="Wingding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2A2471"/>
    <w:multiLevelType w:val="hybridMultilevel"/>
    <w:tmpl w:val="42EA6EDA"/>
    <w:lvl w:ilvl="0" w:tplc="0C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9" w15:restartNumberingAfterBreak="0">
    <w:nsid w:val="32381365"/>
    <w:multiLevelType w:val="hybridMultilevel"/>
    <w:tmpl w:val="FFFFFFFF"/>
    <w:lvl w:ilvl="0" w:tplc="7D9A09B8">
      <w:start w:val="1"/>
      <w:numFmt w:val="bullet"/>
      <w:lvlText w:val=""/>
      <w:lvlJc w:val="left"/>
      <w:pPr>
        <w:ind w:left="720" w:hanging="360"/>
      </w:pPr>
      <w:rPr>
        <w:rFonts w:ascii="Symbol" w:hAnsi="Symbol" w:hint="default"/>
      </w:rPr>
    </w:lvl>
    <w:lvl w:ilvl="1" w:tplc="2DD6E9FA">
      <w:start w:val="1"/>
      <w:numFmt w:val="bullet"/>
      <w:lvlText w:val="o"/>
      <w:lvlJc w:val="left"/>
      <w:pPr>
        <w:ind w:left="1440" w:hanging="360"/>
      </w:pPr>
      <w:rPr>
        <w:rFonts w:ascii="Courier New" w:hAnsi="Courier New" w:hint="default"/>
      </w:rPr>
    </w:lvl>
    <w:lvl w:ilvl="2" w:tplc="B7EEBD70">
      <w:start w:val="1"/>
      <w:numFmt w:val="bullet"/>
      <w:lvlText w:val=""/>
      <w:lvlJc w:val="left"/>
      <w:pPr>
        <w:ind w:left="2160" w:hanging="360"/>
      </w:pPr>
      <w:rPr>
        <w:rFonts w:ascii="Wingdings" w:hAnsi="Wingdings" w:hint="default"/>
      </w:rPr>
    </w:lvl>
    <w:lvl w:ilvl="3" w:tplc="2B6AFB4E">
      <w:start w:val="1"/>
      <w:numFmt w:val="bullet"/>
      <w:lvlText w:val=""/>
      <w:lvlJc w:val="left"/>
      <w:pPr>
        <w:ind w:left="2880" w:hanging="360"/>
      </w:pPr>
      <w:rPr>
        <w:rFonts w:ascii="Symbol" w:hAnsi="Symbol" w:hint="default"/>
      </w:rPr>
    </w:lvl>
    <w:lvl w:ilvl="4" w:tplc="93B2AB6E">
      <w:start w:val="1"/>
      <w:numFmt w:val="bullet"/>
      <w:lvlText w:val="o"/>
      <w:lvlJc w:val="left"/>
      <w:pPr>
        <w:ind w:left="3600" w:hanging="360"/>
      </w:pPr>
      <w:rPr>
        <w:rFonts w:ascii="Courier New" w:hAnsi="Courier New" w:hint="default"/>
      </w:rPr>
    </w:lvl>
    <w:lvl w:ilvl="5" w:tplc="42A4E1A0">
      <w:start w:val="1"/>
      <w:numFmt w:val="bullet"/>
      <w:lvlText w:val=""/>
      <w:lvlJc w:val="left"/>
      <w:pPr>
        <w:ind w:left="4320" w:hanging="360"/>
      </w:pPr>
      <w:rPr>
        <w:rFonts w:ascii="Wingdings" w:hAnsi="Wingdings" w:hint="default"/>
      </w:rPr>
    </w:lvl>
    <w:lvl w:ilvl="6" w:tplc="3D56814C">
      <w:start w:val="1"/>
      <w:numFmt w:val="bullet"/>
      <w:lvlText w:val=""/>
      <w:lvlJc w:val="left"/>
      <w:pPr>
        <w:ind w:left="5040" w:hanging="360"/>
      </w:pPr>
      <w:rPr>
        <w:rFonts w:ascii="Symbol" w:hAnsi="Symbol" w:hint="default"/>
      </w:rPr>
    </w:lvl>
    <w:lvl w:ilvl="7" w:tplc="D3F84FAA">
      <w:start w:val="1"/>
      <w:numFmt w:val="bullet"/>
      <w:lvlText w:val="o"/>
      <w:lvlJc w:val="left"/>
      <w:pPr>
        <w:ind w:left="5760" w:hanging="360"/>
      </w:pPr>
      <w:rPr>
        <w:rFonts w:ascii="Courier New" w:hAnsi="Courier New" w:hint="default"/>
      </w:rPr>
    </w:lvl>
    <w:lvl w:ilvl="8" w:tplc="A8042252">
      <w:start w:val="1"/>
      <w:numFmt w:val="bullet"/>
      <w:lvlText w:val=""/>
      <w:lvlJc w:val="left"/>
      <w:pPr>
        <w:ind w:left="6480" w:hanging="360"/>
      </w:pPr>
      <w:rPr>
        <w:rFonts w:ascii="Wingdings" w:hAnsi="Wingding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9DDD73"/>
    <w:multiLevelType w:val="hybridMultilevel"/>
    <w:tmpl w:val="FFFFFFFF"/>
    <w:lvl w:ilvl="0" w:tplc="F8D8FC22">
      <w:start w:val="1"/>
      <w:numFmt w:val="bullet"/>
      <w:lvlText w:val=""/>
      <w:lvlJc w:val="left"/>
      <w:pPr>
        <w:ind w:left="720" w:hanging="360"/>
      </w:pPr>
      <w:rPr>
        <w:rFonts w:ascii="Symbol" w:hAnsi="Symbol" w:hint="default"/>
      </w:rPr>
    </w:lvl>
    <w:lvl w:ilvl="1" w:tplc="43184088">
      <w:start w:val="1"/>
      <w:numFmt w:val="bullet"/>
      <w:lvlText w:val="o"/>
      <w:lvlJc w:val="left"/>
      <w:pPr>
        <w:ind w:left="1440" w:hanging="360"/>
      </w:pPr>
      <w:rPr>
        <w:rFonts w:ascii="Courier New" w:hAnsi="Courier New" w:hint="default"/>
      </w:rPr>
    </w:lvl>
    <w:lvl w:ilvl="2" w:tplc="003EA866">
      <w:start w:val="1"/>
      <w:numFmt w:val="bullet"/>
      <w:lvlText w:val=""/>
      <w:lvlJc w:val="left"/>
      <w:pPr>
        <w:ind w:left="2160" w:hanging="360"/>
      </w:pPr>
      <w:rPr>
        <w:rFonts w:ascii="Wingdings" w:hAnsi="Wingdings" w:hint="default"/>
      </w:rPr>
    </w:lvl>
    <w:lvl w:ilvl="3" w:tplc="D422CC5A">
      <w:start w:val="1"/>
      <w:numFmt w:val="bullet"/>
      <w:lvlText w:val=""/>
      <w:lvlJc w:val="left"/>
      <w:pPr>
        <w:ind w:left="2880" w:hanging="360"/>
      </w:pPr>
      <w:rPr>
        <w:rFonts w:ascii="Symbol" w:hAnsi="Symbol" w:hint="default"/>
      </w:rPr>
    </w:lvl>
    <w:lvl w:ilvl="4" w:tplc="20E2DF42">
      <w:start w:val="1"/>
      <w:numFmt w:val="bullet"/>
      <w:lvlText w:val="o"/>
      <w:lvlJc w:val="left"/>
      <w:pPr>
        <w:ind w:left="3600" w:hanging="360"/>
      </w:pPr>
      <w:rPr>
        <w:rFonts w:ascii="Courier New" w:hAnsi="Courier New" w:hint="default"/>
      </w:rPr>
    </w:lvl>
    <w:lvl w:ilvl="5" w:tplc="A24A6C7C">
      <w:start w:val="1"/>
      <w:numFmt w:val="bullet"/>
      <w:lvlText w:val=""/>
      <w:lvlJc w:val="left"/>
      <w:pPr>
        <w:ind w:left="4320" w:hanging="360"/>
      </w:pPr>
      <w:rPr>
        <w:rFonts w:ascii="Wingdings" w:hAnsi="Wingdings" w:hint="default"/>
      </w:rPr>
    </w:lvl>
    <w:lvl w:ilvl="6" w:tplc="5232A256">
      <w:start w:val="1"/>
      <w:numFmt w:val="bullet"/>
      <w:lvlText w:val=""/>
      <w:lvlJc w:val="left"/>
      <w:pPr>
        <w:ind w:left="5040" w:hanging="360"/>
      </w:pPr>
      <w:rPr>
        <w:rFonts w:ascii="Symbol" w:hAnsi="Symbol" w:hint="default"/>
      </w:rPr>
    </w:lvl>
    <w:lvl w:ilvl="7" w:tplc="6798A7CA">
      <w:start w:val="1"/>
      <w:numFmt w:val="bullet"/>
      <w:lvlText w:val="o"/>
      <w:lvlJc w:val="left"/>
      <w:pPr>
        <w:ind w:left="5760" w:hanging="360"/>
      </w:pPr>
      <w:rPr>
        <w:rFonts w:ascii="Courier New" w:hAnsi="Courier New" w:hint="default"/>
      </w:rPr>
    </w:lvl>
    <w:lvl w:ilvl="8" w:tplc="60005602">
      <w:start w:val="1"/>
      <w:numFmt w:val="bullet"/>
      <w:lvlText w:val=""/>
      <w:lvlJc w:val="left"/>
      <w:pPr>
        <w:ind w:left="6480" w:hanging="360"/>
      </w:pPr>
      <w:rPr>
        <w:rFonts w:ascii="Wingdings" w:hAnsi="Wingdings" w:hint="default"/>
      </w:rPr>
    </w:lvl>
  </w:abstractNum>
  <w:abstractNum w:abstractNumId="22" w15:restartNumberingAfterBreak="0">
    <w:nsid w:val="43CFF79D"/>
    <w:multiLevelType w:val="hybridMultilevel"/>
    <w:tmpl w:val="FFFFFFFF"/>
    <w:lvl w:ilvl="0" w:tplc="4170E87A">
      <w:start w:val="1"/>
      <w:numFmt w:val="bullet"/>
      <w:lvlText w:val=""/>
      <w:lvlJc w:val="left"/>
      <w:pPr>
        <w:ind w:left="720" w:hanging="360"/>
      </w:pPr>
      <w:rPr>
        <w:rFonts w:ascii="Symbol" w:hAnsi="Symbol" w:hint="default"/>
      </w:rPr>
    </w:lvl>
    <w:lvl w:ilvl="1" w:tplc="40B00566">
      <w:start w:val="1"/>
      <w:numFmt w:val="bullet"/>
      <w:lvlText w:val="o"/>
      <w:lvlJc w:val="left"/>
      <w:pPr>
        <w:ind w:left="1440" w:hanging="360"/>
      </w:pPr>
      <w:rPr>
        <w:rFonts w:ascii="Courier New" w:hAnsi="Courier New" w:hint="default"/>
      </w:rPr>
    </w:lvl>
    <w:lvl w:ilvl="2" w:tplc="9AA63E60">
      <w:start w:val="1"/>
      <w:numFmt w:val="bullet"/>
      <w:lvlText w:val=""/>
      <w:lvlJc w:val="left"/>
      <w:pPr>
        <w:ind w:left="2160" w:hanging="360"/>
      </w:pPr>
      <w:rPr>
        <w:rFonts w:ascii="Wingdings" w:hAnsi="Wingdings" w:hint="default"/>
      </w:rPr>
    </w:lvl>
    <w:lvl w:ilvl="3" w:tplc="3E50D1E0">
      <w:start w:val="1"/>
      <w:numFmt w:val="bullet"/>
      <w:lvlText w:val=""/>
      <w:lvlJc w:val="left"/>
      <w:pPr>
        <w:ind w:left="2880" w:hanging="360"/>
      </w:pPr>
      <w:rPr>
        <w:rFonts w:ascii="Symbol" w:hAnsi="Symbol" w:hint="default"/>
      </w:rPr>
    </w:lvl>
    <w:lvl w:ilvl="4" w:tplc="F4E4622E">
      <w:start w:val="1"/>
      <w:numFmt w:val="bullet"/>
      <w:lvlText w:val="o"/>
      <w:lvlJc w:val="left"/>
      <w:pPr>
        <w:ind w:left="3600" w:hanging="360"/>
      </w:pPr>
      <w:rPr>
        <w:rFonts w:ascii="Courier New" w:hAnsi="Courier New" w:hint="default"/>
      </w:rPr>
    </w:lvl>
    <w:lvl w:ilvl="5" w:tplc="0FA0B3C0">
      <w:start w:val="1"/>
      <w:numFmt w:val="bullet"/>
      <w:lvlText w:val=""/>
      <w:lvlJc w:val="left"/>
      <w:pPr>
        <w:ind w:left="4320" w:hanging="360"/>
      </w:pPr>
      <w:rPr>
        <w:rFonts w:ascii="Wingdings" w:hAnsi="Wingdings" w:hint="default"/>
      </w:rPr>
    </w:lvl>
    <w:lvl w:ilvl="6" w:tplc="6466FE5E">
      <w:start w:val="1"/>
      <w:numFmt w:val="bullet"/>
      <w:lvlText w:val=""/>
      <w:lvlJc w:val="left"/>
      <w:pPr>
        <w:ind w:left="5040" w:hanging="360"/>
      </w:pPr>
      <w:rPr>
        <w:rFonts w:ascii="Symbol" w:hAnsi="Symbol" w:hint="default"/>
      </w:rPr>
    </w:lvl>
    <w:lvl w:ilvl="7" w:tplc="0E02D058">
      <w:start w:val="1"/>
      <w:numFmt w:val="bullet"/>
      <w:lvlText w:val="o"/>
      <w:lvlJc w:val="left"/>
      <w:pPr>
        <w:ind w:left="5760" w:hanging="360"/>
      </w:pPr>
      <w:rPr>
        <w:rFonts w:ascii="Courier New" w:hAnsi="Courier New" w:hint="default"/>
      </w:rPr>
    </w:lvl>
    <w:lvl w:ilvl="8" w:tplc="5F5A9B30">
      <w:start w:val="1"/>
      <w:numFmt w:val="bullet"/>
      <w:lvlText w:val=""/>
      <w:lvlJc w:val="left"/>
      <w:pPr>
        <w:ind w:left="6480" w:hanging="360"/>
      </w:pPr>
      <w:rPr>
        <w:rFonts w:ascii="Wingdings" w:hAnsi="Wingdings" w:hint="default"/>
      </w:rPr>
    </w:lvl>
  </w:abstractNum>
  <w:abstractNum w:abstractNumId="23" w15:restartNumberingAfterBreak="0">
    <w:nsid w:val="490E5B60"/>
    <w:multiLevelType w:val="hybridMultilevel"/>
    <w:tmpl w:val="623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1BA8E3"/>
    <w:multiLevelType w:val="hybridMultilevel"/>
    <w:tmpl w:val="FFFFFFFF"/>
    <w:lvl w:ilvl="0" w:tplc="DD268EC2">
      <w:start w:val="1"/>
      <w:numFmt w:val="bullet"/>
      <w:lvlText w:val=""/>
      <w:lvlJc w:val="left"/>
      <w:pPr>
        <w:ind w:left="720" w:hanging="360"/>
      </w:pPr>
      <w:rPr>
        <w:rFonts w:ascii="Symbol" w:hAnsi="Symbol" w:hint="default"/>
      </w:rPr>
    </w:lvl>
    <w:lvl w:ilvl="1" w:tplc="3DF68624">
      <w:start w:val="1"/>
      <w:numFmt w:val="bullet"/>
      <w:lvlText w:val="o"/>
      <w:lvlJc w:val="left"/>
      <w:pPr>
        <w:ind w:left="1440" w:hanging="360"/>
      </w:pPr>
      <w:rPr>
        <w:rFonts w:ascii="Courier New" w:hAnsi="Courier New" w:hint="default"/>
      </w:rPr>
    </w:lvl>
    <w:lvl w:ilvl="2" w:tplc="AB461738">
      <w:start w:val="1"/>
      <w:numFmt w:val="bullet"/>
      <w:lvlText w:val=""/>
      <w:lvlJc w:val="left"/>
      <w:pPr>
        <w:ind w:left="2160" w:hanging="360"/>
      </w:pPr>
      <w:rPr>
        <w:rFonts w:ascii="Wingdings" w:hAnsi="Wingdings" w:hint="default"/>
      </w:rPr>
    </w:lvl>
    <w:lvl w:ilvl="3" w:tplc="065C5FE2">
      <w:start w:val="1"/>
      <w:numFmt w:val="bullet"/>
      <w:lvlText w:val=""/>
      <w:lvlJc w:val="left"/>
      <w:pPr>
        <w:ind w:left="2880" w:hanging="360"/>
      </w:pPr>
      <w:rPr>
        <w:rFonts w:ascii="Symbol" w:hAnsi="Symbol" w:hint="default"/>
      </w:rPr>
    </w:lvl>
    <w:lvl w:ilvl="4" w:tplc="F342F2EC">
      <w:start w:val="1"/>
      <w:numFmt w:val="bullet"/>
      <w:lvlText w:val="o"/>
      <w:lvlJc w:val="left"/>
      <w:pPr>
        <w:ind w:left="3600" w:hanging="360"/>
      </w:pPr>
      <w:rPr>
        <w:rFonts w:ascii="Courier New" w:hAnsi="Courier New" w:hint="default"/>
      </w:rPr>
    </w:lvl>
    <w:lvl w:ilvl="5" w:tplc="DF30BA84">
      <w:start w:val="1"/>
      <w:numFmt w:val="bullet"/>
      <w:lvlText w:val=""/>
      <w:lvlJc w:val="left"/>
      <w:pPr>
        <w:ind w:left="4320" w:hanging="360"/>
      </w:pPr>
      <w:rPr>
        <w:rFonts w:ascii="Wingdings" w:hAnsi="Wingdings" w:hint="default"/>
      </w:rPr>
    </w:lvl>
    <w:lvl w:ilvl="6" w:tplc="EB104B9A">
      <w:start w:val="1"/>
      <w:numFmt w:val="bullet"/>
      <w:lvlText w:val=""/>
      <w:lvlJc w:val="left"/>
      <w:pPr>
        <w:ind w:left="5040" w:hanging="360"/>
      </w:pPr>
      <w:rPr>
        <w:rFonts w:ascii="Symbol" w:hAnsi="Symbol" w:hint="default"/>
      </w:rPr>
    </w:lvl>
    <w:lvl w:ilvl="7" w:tplc="BD142A30">
      <w:start w:val="1"/>
      <w:numFmt w:val="bullet"/>
      <w:lvlText w:val="o"/>
      <w:lvlJc w:val="left"/>
      <w:pPr>
        <w:ind w:left="5760" w:hanging="360"/>
      </w:pPr>
      <w:rPr>
        <w:rFonts w:ascii="Courier New" w:hAnsi="Courier New" w:hint="default"/>
      </w:rPr>
    </w:lvl>
    <w:lvl w:ilvl="8" w:tplc="BEE4D7EC">
      <w:start w:val="1"/>
      <w:numFmt w:val="bullet"/>
      <w:lvlText w:val=""/>
      <w:lvlJc w:val="left"/>
      <w:pPr>
        <w:ind w:left="6480" w:hanging="360"/>
      </w:pPr>
      <w:rPr>
        <w:rFonts w:ascii="Wingdings" w:hAnsi="Wingdings" w:hint="default"/>
      </w:rPr>
    </w:lvl>
  </w:abstractNum>
  <w:abstractNum w:abstractNumId="25" w15:restartNumberingAfterBreak="0">
    <w:nsid w:val="59880268"/>
    <w:multiLevelType w:val="hybridMultilevel"/>
    <w:tmpl w:val="12441196"/>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57" w:hanging="360"/>
      </w:pPr>
      <w:rPr>
        <w:rFonts w:ascii="Courier New" w:hAnsi="Courier New" w:cs="Courier New" w:hint="default"/>
      </w:rPr>
    </w:lvl>
    <w:lvl w:ilvl="2" w:tplc="0C090005" w:tentative="1">
      <w:start w:val="1"/>
      <w:numFmt w:val="bullet"/>
      <w:lvlText w:val=""/>
      <w:lvlJc w:val="left"/>
      <w:pPr>
        <w:ind w:left="777" w:hanging="360"/>
      </w:pPr>
      <w:rPr>
        <w:rFonts w:ascii="Wingdings" w:hAnsi="Wingdings" w:hint="default"/>
      </w:rPr>
    </w:lvl>
    <w:lvl w:ilvl="3" w:tplc="0C090001" w:tentative="1">
      <w:start w:val="1"/>
      <w:numFmt w:val="bullet"/>
      <w:lvlText w:val=""/>
      <w:lvlJc w:val="left"/>
      <w:pPr>
        <w:ind w:left="1497" w:hanging="360"/>
      </w:pPr>
      <w:rPr>
        <w:rFonts w:ascii="Symbol" w:hAnsi="Symbol" w:hint="default"/>
      </w:rPr>
    </w:lvl>
    <w:lvl w:ilvl="4" w:tplc="0C090003" w:tentative="1">
      <w:start w:val="1"/>
      <w:numFmt w:val="bullet"/>
      <w:lvlText w:val="o"/>
      <w:lvlJc w:val="left"/>
      <w:pPr>
        <w:ind w:left="2217" w:hanging="360"/>
      </w:pPr>
      <w:rPr>
        <w:rFonts w:ascii="Courier New" w:hAnsi="Courier New" w:cs="Courier New" w:hint="default"/>
      </w:rPr>
    </w:lvl>
    <w:lvl w:ilvl="5" w:tplc="0C090005" w:tentative="1">
      <w:start w:val="1"/>
      <w:numFmt w:val="bullet"/>
      <w:lvlText w:val=""/>
      <w:lvlJc w:val="left"/>
      <w:pPr>
        <w:ind w:left="2937" w:hanging="360"/>
      </w:pPr>
      <w:rPr>
        <w:rFonts w:ascii="Wingdings" w:hAnsi="Wingdings" w:hint="default"/>
      </w:rPr>
    </w:lvl>
    <w:lvl w:ilvl="6" w:tplc="0C090001" w:tentative="1">
      <w:start w:val="1"/>
      <w:numFmt w:val="bullet"/>
      <w:lvlText w:val=""/>
      <w:lvlJc w:val="left"/>
      <w:pPr>
        <w:ind w:left="3657" w:hanging="360"/>
      </w:pPr>
      <w:rPr>
        <w:rFonts w:ascii="Symbol" w:hAnsi="Symbol" w:hint="default"/>
      </w:rPr>
    </w:lvl>
    <w:lvl w:ilvl="7" w:tplc="0C090003" w:tentative="1">
      <w:start w:val="1"/>
      <w:numFmt w:val="bullet"/>
      <w:lvlText w:val="o"/>
      <w:lvlJc w:val="left"/>
      <w:pPr>
        <w:ind w:left="4377" w:hanging="360"/>
      </w:pPr>
      <w:rPr>
        <w:rFonts w:ascii="Courier New" w:hAnsi="Courier New" w:cs="Courier New" w:hint="default"/>
      </w:rPr>
    </w:lvl>
    <w:lvl w:ilvl="8" w:tplc="0C090005" w:tentative="1">
      <w:start w:val="1"/>
      <w:numFmt w:val="bullet"/>
      <w:lvlText w:val=""/>
      <w:lvlJc w:val="left"/>
      <w:pPr>
        <w:ind w:left="5097" w:hanging="360"/>
      </w:pPr>
      <w:rPr>
        <w:rFonts w:ascii="Wingdings" w:hAnsi="Wingdings" w:hint="default"/>
      </w:rPr>
    </w:lvl>
  </w:abstractNum>
  <w:abstractNum w:abstractNumId="2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4E02432"/>
    <w:multiLevelType w:val="hybridMultilevel"/>
    <w:tmpl w:val="FEAE1B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0847D0"/>
    <w:multiLevelType w:val="hybridMultilevel"/>
    <w:tmpl w:val="729E7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83415152">
    <w:abstractNumId w:val="22"/>
  </w:num>
  <w:num w:numId="2" w16cid:durableId="579560429">
    <w:abstractNumId w:val="14"/>
  </w:num>
  <w:num w:numId="3" w16cid:durableId="1141925489">
    <w:abstractNumId w:val="5"/>
  </w:num>
  <w:num w:numId="4" w16cid:durableId="1430395506">
    <w:abstractNumId w:val="4"/>
  </w:num>
  <w:num w:numId="5" w16cid:durableId="1762024761">
    <w:abstractNumId w:val="3"/>
  </w:num>
  <w:num w:numId="6" w16cid:durableId="861433996">
    <w:abstractNumId w:val="17"/>
  </w:num>
  <w:num w:numId="7" w16cid:durableId="120733662">
    <w:abstractNumId w:val="2"/>
  </w:num>
  <w:num w:numId="8" w16cid:durableId="2022584168">
    <w:abstractNumId w:val="1"/>
  </w:num>
  <w:num w:numId="9" w16cid:durableId="534267804">
    <w:abstractNumId w:val="0"/>
  </w:num>
  <w:num w:numId="10" w16cid:durableId="1265042610">
    <w:abstractNumId w:val="16"/>
  </w:num>
  <w:num w:numId="11" w16cid:durableId="1943879001">
    <w:abstractNumId w:val="8"/>
  </w:num>
  <w:num w:numId="12" w16cid:durableId="419833051">
    <w:abstractNumId w:val="29"/>
  </w:num>
  <w:num w:numId="13" w16cid:durableId="1758015391">
    <w:abstractNumId w:val="13"/>
  </w:num>
  <w:num w:numId="14"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6572246">
    <w:abstractNumId w:val="11"/>
  </w:num>
  <w:num w:numId="16" w16cid:durableId="928125744">
    <w:abstractNumId w:val="6"/>
  </w:num>
  <w:num w:numId="17" w16cid:durableId="1172835113">
    <w:abstractNumId w:val="30"/>
  </w:num>
  <w:num w:numId="18" w16cid:durableId="1022434231">
    <w:abstractNumId w:val="20"/>
  </w:num>
  <w:num w:numId="19" w16cid:durableId="618417265">
    <w:abstractNumId w:val="9"/>
  </w:num>
  <w:num w:numId="20" w16cid:durableId="271010807">
    <w:abstractNumId w:val="26"/>
  </w:num>
  <w:num w:numId="21" w16cid:durableId="2033453612">
    <w:abstractNumId w:val="25"/>
  </w:num>
  <w:num w:numId="22" w16cid:durableId="131531447">
    <w:abstractNumId w:val="27"/>
  </w:num>
  <w:num w:numId="23" w16cid:durableId="693531708">
    <w:abstractNumId w:val="10"/>
  </w:num>
  <w:num w:numId="24" w16cid:durableId="1164973611">
    <w:abstractNumId w:val="15"/>
  </w:num>
  <w:num w:numId="25" w16cid:durableId="757754335">
    <w:abstractNumId w:val="28"/>
  </w:num>
  <w:num w:numId="26" w16cid:durableId="1399476236">
    <w:abstractNumId w:val="7"/>
  </w:num>
  <w:num w:numId="27" w16cid:durableId="708460050">
    <w:abstractNumId w:val="24"/>
  </w:num>
  <w:num w:numId="28" w16cid:durableId="1840343606">
    <w:abstractNumId w:val="19"/>
  </w:num>
  <w:num w:numId="29" w16cid:durableId="248776893">
    <w:abstractNumId w:val="12"/>
  </w:num>
  <w:num w:numId="30" w16cid:durableId="575867361">
    <w:abstractNumId w:val="21"/>
  </w:num>
  <w:num w:numId="31" w16cid:durableId="254215830">
    <w:abstractNumId w:val="23"/>
  </w:num>
  <w:num w:numId="32" w16cid:durableId="11689069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AD2"/>
    <w:rsid w:val="00007139"/>
    <w:rsid w:val="00007676"/>
    <w:rsid w:val="00012366"/>
    <w:rsid w:val="00013230"/>
    <w:rsid w:val="00016582"/>
    <w:rsid w:val="00021FBE"/>
    <w:rsid w:val="00024C38"/>
    <w:rsid w:val="0002603E"/>
    <w:rsid w:val="00027F11"/>
    <w:rsid w:val="0003118B"/>
    <w:rsid w:val="0004440F"/>
    <w:rsid w:val="0004585A"/>
    <w:rsid w:val="00045E1D"/>
    <w:rsid w:val="00047D4E"/>
    <w:rsid w:val="000521D7"/>
    <w:rsid w:val="000524C3"/>
    <w:rsid w:val="00053040"/>
    <w:rsid w:val="00054585"/>
    <w:rsid w:val="0006077F"/>
    <w:rsid w:val="00065458"/>
    <w:rsid w:val="00067B07"/>
    <w:rsid w:val="000718C1"/>
    <w:rsid w:val="00072AC2"/>
    <w:rsid w:val="0007604C"/>
    <w:rsid w:val="00086800"/>
    <w:rsid w:val="000921EC"/>
    <w:rsid w:val="0009465D"/>
    <w:rsid w:val="00096046"/>
    <w:rsid w:val="000960CF"/>
    <w:rsid w:val="000A0B58"/>
    <w:rsid w:val="000A3A19"/>
    <w:rsid w:val="000A4D3B"/>
    <w:rsid w:val="000A6228"/>
    <w:rsid w:val="000A6C67"/>
    <w:rsid w:val="000B22F6"/>
    <w:rsid w:val="000B3E83"/>
    <w:rsid w:val="000B5D40"/>
    <w:rsid w:val="000B7EC6"/>
    <w:rsid w:val="000C0B32"/>
    <w:rsid w:val="000C31DB"/>
    <w:rsid w:val="000C4246"/>
    <w:rsid w:val="000C6B0B"/>
    <w:rsid w:val="000D101B"/>
    <w:rsid w:val="000D37DA"/>
    <w:rsid w:val="000E4AF1"/>
    <w:rsid w:val="000F7CDB"/>
    <w:rsid w:val="001066F3"/>
    <w:rsid w:val="00107D87"/>
    <w:rsid w:val="00107DD5"/>
    <w:rsid w:val="001141FD"/>
    <w:rsid w:val="00120872"/>
    <w:rsid w:val="00120A1A"/>
    <w:rsid w:val="0012343A"/>
    <w:rsid w:val="001279AA"/>
    <w:rsid w:val="00133A2C"/>
    <w:rsid w:val="00133B8D"/>
    <w:rsid w:val="00135C0B"/>
    <w:rsid w:val="0013611E"/>
    <w:rsid w:val="00140D38"/>
    <w:rsid w:val="00150AC0"/>
    <w:rsid w:val="001511CA"/>
    <w:rsid w:val="001515BF"/>
    <w:rsid w:val="0015549C"/>
    <w:rsid w:val="00155570"/>
    <w:rsid w:val="00160BA4"/>
    <w:rsid w:val="0016713C"/>
    <w:rsid w:val="00167C12"/>
    <w:rsid w:val="00170F3F"/>
    <w:rsid w:val="0017134D"/>
    <w:rsid w:val="00182FE1"/>
    <w:rsid w:val="001843E0"/>
    <w:rsid w:val="0018656F"/>
    <w:rsid w:val="00191384"/>
    <w:rsid w:val="00191578"/>
    <w:rsid w:val="001960F2"/>
    <w:rsid w:val="00196CDA"/>
    <w:rsid w:val="00197DA5"/>
    <w:rsid w:val="001A5BEE"/>
    <w:rsid w:val="001B109C"/>
    <w:rsid w:val="001B2280"/>
    <w:rsid w:val="001B2F53"/>
    <w:rsid w:val="001B6EAF"/>
    <w:rsid w:val="001C1523"/>
    <w:rsid w:val="001C2B2F"/>
    <w:rsid w:val="001C4389"/>
    <w:rsid w:val="001C501D"/>
    <w:rsid w:val="001D0C7E"/>
    <w:rsid w:val="001D2261"/>
    <w:rsid w:val="001D29C6"/>
    <w:rsid w:val="001D42EF"/>
    <w:rsid w:val="001D4328"/>
    <w:rsid w:val="001E3BF1"/>
    <w:rsid w:val="001E4C7D"/>
    <w:rsid w:val="001E6CCB"/>
    <w:rsid w:val="001E6DBC"/>
    <w:rsid w:val="001F62BC"/>
    <w:rsid w:val="001F6C65"/>
    <w:rsid w:val="00201B8C"/>
    <w:rsid w:val="0020693B"/>
    <w:rsid w:val="002071A4"/>
    <w:rsid w:val="0021404E"/>
    <w:rsid w:val="0021416E"/>
    <w:rsid w:val="00216A3F"/>
    <w:rsid w:val="00216C45"/>
    <w:rsid w:val="002173EA"/>
    <w:rsid w:val="00217414"/>
    <w:rsid w:val="00217CF1"/>
    <w:rsid w:val="00221D8F"/>
    <w:rsid w:val="002244CF"/>
    <w:rsid w:val="002272DB"/>
    <w:rsid w:val="00227B99"/>
    <w:rsid w:val="00235752"/>
    <w:rsid w:val="00241CF3"/>
    <w:rsid w:val="002453DA"/>
    <w:rsid w:val="00245B1C"/>
    <w:rsid w:val="00246DCF"/>
    <w:rsid w:val="00252A37"/>
    <w:rsid w:val="00253455"/>
    <w:rsid w:val="0025691F"/>
    <w:rsid w:val="00261ABA"/>
    <w:rsid w:val="002636B2"/>
    <w:rsid w:val="00267277"/>
    <w:rsid w:val="00267653"/>
    <w:rsid w:val="00272AB4"/>
    <w:rsid w:val="00274140"/>
    <w:rsid w:val="0027485F"/>
    <w:rsid w:val="00276047"/>
    <w:rsid w:val="002774CC"/>
    <w:rsid w:val="002775F3"/>
    <w:rsid w:val="00280680"/>
    <w:rsid w:val="00281269"/>
    <w:rsid w:val="00282E9F"/>
    <w:rsid w:val="00291200"/>
    <w:rsid w:val="00294DD8"/>
    <w:rsid w:val="00295B10"/>
    <w:rsid w:val="0029618B"/>
    <w:rsid w:val="002A1FF6"/>
    <w:rsid w:val="002A34A8"/>
    <w:rsid w:val="002A4458"/>
    <w:rsid w:val="002A4A51"/>
    <w:rsid w:val="002A6B15"/>
    <w:rsid w:val="002A734E"/>
    <w:rsid w:val="002B211D"/>
    <w:rsid w:val="002BF0E4"/>
    <w:rsid w:val="002C1F0F"/>
    <w:rsid w:val="002C293F"/>
    <w:rsid w:val="002D1286"/>
    <w:rsid w:val="002D3EFA"/>
    <w:rsid w:val="002D589A"/>
    <w:rsid w:val="002E491A"/>
    <w:rsid w:val="002F1DA1"/>
    <w:rsid w:val="002F2298"/>
    <w:rsid w:val="002F3FDC"/>
    <w:rsid w:val="002F4604"/>
    <w:rsid w:val="002F6BCC"/>
    <w:rsid w:val="00302B28"/>
    <w:rsid w:val="00304890"/>
    <w:rsid w:val="003102D0"/>
    <w:rsid w:val="00313B14"/>
    <w:rsid w:val="003163D7"/>
    <w:rsid w:val="00320221"/>
    <w:rsid w:val="00321018"/>
    <w:rsid w:val="003229A6"/>
    <w:rsid w:val="00333FFD"/>
    <w:rsid w:val="003371EF"/>
    <w:rsid w:val="0033786F"/>
    <w:rsid w:val="00341A1E"/>
    <w:rsid w:val="0034359B"/>
    <w:rsid w:val="00355DE2"/>
    <w:rsid w:val="003637E4"/>
    <w:rsid w:val="00366054"/>
    <w:rsid w:val="00366234"/>
    <w:rsid w:val="003711EB"/>
    <w:rsid w:val="00381F5A"/>
    <w:rsid w:val="00391C26"/>
    <w:rsid w:val="00396A48"/>
    <w:rsid w:val="00397BEF"/>
    <w:rsid w:val="003A3597"/>
    <w:rsid w:val="003A467D"/>
    <w:rsid w:val="003A47CA"/>
    <w:rsid w:val="003A6B49"/>
    <w:rsid w:val="003B56B0"/>
    <w:rsid w:val="003B6691"/>
    <w:rsid w:val="003B7601"/>
    <w:rsid w:val="003C0D7D"/>
    <w:rsid w:val="003C1EF2"/>
    <w:rsid w:val="003D45C4"/>
    <w:rsid w:val="003D5AB4"/>
    <w:rsid w:val="003E5954"/>
    <w:rsid w:val="003F1E41"/>
    <w:rsid w:val="003F472A"/>
    <w:rsid w:val="003F6D61"/>
    <w:rsid w:val="003F6F93"/>
    <w:rsid w:val="003F7B41"/>
    <w:rsid w:val="00400D73"/>
    <w:rsid w:val="0040155D"/>
    <w:rsid w:val="0040569C"/>
    <w:rsid w:val="0041278D"/>
    <w:rsid w:val="004151AE"/>
    <w:rsid w:val="0041713E"/>
    <w:rsid w:val="004179BB"/>
    <w:rsid w:val="00421D3F"/>
    <w:rsid w:val="00421D92"/>
    <w:rsid w:val="00423785"/>
    <w:rsid w:val="0042692C"/>
    <w:rsid w:val="00430106"/>
    <w:rsid w:val="00431638"/>
    <w:rsid w:val="00432AC1"/>
    <w:rsid w:val="00433DDB"/>
    <w:rsid w:val="004359D0"/>
    <w:rsid w:val="00452258"/>
    <w:rsid w:val="00452D26"/>
    <w:rsid w:val="004571F9"/>
    <w:rsid w:val="004614D0"/>
    <w:rsid w:val="0046185F"/>
    <w:rsid w:val="00462848"/>
    <w:rsid w:val="00463568"/>
    <w:rsid w:val="0046485C"/>
    <w:rsid w:val="004676F6"/>
    <w:rsid w:val="00467CCF"/>
    <w:rsid w:val="00473165"/>
    <w:rsid w:val="00474B77"/>
    <w:rsid w:val="0048030B"/>
    <w:rsid w:val="004830C4"/>
    <w:rsid w:val="00487686"/>
    <w:rsid w:val="00491454"/>
    <w:rsid w:val="00492D8C"/>
    <w:rsid w:val="0049333E"/>
    <w:rsid w:val="004956A3"/>
    <w:rsid w:val="004958C3"/>
    <w:rsid w:val="004964C9"/>
    <w:rsid w:val="004A06CD"/>
    <w:rsid w:val="004A355F"/>
    <w:rsid w:val="004A4B6F"/>
    <w:rsid w:val="004A4CF9"/>
    <w:rsid w:val="004A6828"/>
    <w:rsid w:val="004A7191"/>
    <w:rsid w:val="004B16B9"/>
    <w:rsid w:val="004B2A78"/>
    <w:rsid w:val="004B378C"/>
    <w:rsid w:val="004B451F"/>
    <w:rsid w:val="004B76A9"/>
    <w:rsid w:val="004C3905"/>
    <w:rsid w:val="004C4808"/>
    <w:rsid w:val="004C5116"/>
    <w:rsid w:val="004C525F"/>
    <w:rsid w:val="004D2965"/>
    <w:rsid w:val="004D2D9D"/>
    <w:rsid w:val="004D4155"/>
    <w:rsid w:val="004E6C1C"/>
    <w:rsid w:val="004F376D"/>
    <w:rsid w:val="005008AF"/>
    <w:rsid w:val="0050186C"/>
    <w:rsid w:val="005060C3"/>
    <w:rsid w:val="005070C2"/>
    <w:rsid w:val="00507748"/>
    <w:rsid w:val="00511BEC"/>
    <w:rsid w:val="00513A5B"/>
    <w:rsid w:val="005205F2"/>
    <w:rsid w:val="00520BA6"/>
    <w:rsid w:val="00520F26"/>
    <w:rsid w:val="00521636"/>
    <w:rsid w:val="0053260E"/>
    <w:rsid w:val="0053414E"/>
    <w:rsid w:val="005359F9"/>
    <w:rsid w:val="00535C07"/>
    <w:rsid w:val="0053717C"/>
    <w:rsid w:val="00540BEE"/>
    <w:rsid w:val="00541139"/>
    <w:rsid w:val="00546EE0"/>
    <w:rsid w:val="00547FB7"/>
    <w:rsid w:val="005576F1"/>
    <w:rsid w:val="00563A5D"/>
    <w:rsid w:val="005649BC"/>
    <w:rsid w:val="0056505F"/>
    <w:rsid w:val="005663FD"/>
    <w:rsid w:val="0057028F"/>
    <w:rsid w:val="00572083"/>
    <w:rsid w:val="00573278"/>
    <w:rsid w:val="00573656"/>
    <w:rsid w:val="005814E0"/>
    <w:rsid w:val="00581EC4"/>
    <w:rsid w:val="00583C95"/>
    <w:rsid w:val="00591F57"/>
    <w:rsid w:val="0059364F"/>
    <w:rsid w:val="00593D6F"/>
    <w:rsid w:val="00596B98"/>
    <w:rsid w:val="005A105F"/>
    <w:rsid w:val="005A1F14"/>
    <w:rsid w:val="005A293D"/>
    <w:rsid w:val="005A3618"/>
    <w:rsid w:val="005A75C9"/>
    <w:rsid w:val="005B0932"/>
    <w:rsid w:val="005B187D"/>
    <w:rsid w:val="005C13EC"/>
    <w:rsid w:val="005C44D5"/>
    <w:rsid w:val="005C488A"/>
    <w:rsid w:val="005C5D38"/>
    <w:rsid w:val="005C78E1"/>
    <w:rsid w:val="005D0599"/>
    <w:rsid w:val="005D21AF"/>
    <w:rsid w:val="005D44FF"/>
    <w:rsid w:val="005D5B6F"/>
    <w:rsid w:val="005D5DA8"/>
    <w:rsid w:val="005E326D"/>
    <w:rsid w:val="005E32EA"/>
    <w:rsid w:val="005F015E"/>
    <w:rsid w:val="005F136B"/>
    <w:rsid w:val="005F1D22"/>
    <w:rsid w:val="005F228B"/>
    <w:rsid w:val="005F274C"/>
    <w:rsid w:val="005F35D6"/>
    <w:rsid w:val="0060385A"/>
    <w:rsid w:val="006049EC"/>
    <w:rsid w:val="00622585"/>
    <w:rsid w:val="00622A6E"/>
    <w:rsid w:val="006232DC"/>
    <w:rsid w:val="0063094F"/>
    <w:rsid w:val="00632303"/>
    <w:rsid w:val="00633EDF"/>
    <w:rsid w:val="006606AA"/>
    <w:rsid w:val="00667747"/>
    <w:rsid w:val="00673A83"/>
    <w:rsid w:val="00675181"/>
    <w:rsid w:val="0068089C"/>
    <w:rsid w:val="00693627"/>
    <w:rsid w:val="00694570"/>
    <w:rsid w:val="006A02AC"/>
    <w:rsid w:val="006A1F6C"/>
    <w:rsid w:val="006A73B3"/>
    <w:rsid w:val="006A7AFB"/>
    <w:rsid w:val="006B2B77"/>
    <w:rsid w:val="006B7569"/>
    <w:rsid w:val="006B75D6"/>
    <w:rsid w:val="006C0D5E"/>
    <w:rsid w:val="006C13AA"/>
    <w:rsid w:val="006C1BBB"/>
    <w:rsid w:val="006C26A3"/>
    <w:rsid w:val="006C6631"/>
    <w:rsid w:val="006D0E55"/>
    <w:rsid w:val="006D1566"/>
    <w:rsid w:val="006D49D4"/>
    <w:rsid w:val="006D6478"/>
    <w:rsid w:val="006D67F3"/>
    <w:rsid w:val="006D764D"/>
    <w:rsid w:val="006D7CBA"/>
    <w:rsid w:val="006E6078"/>
    <w:rsid w:val="006F1FFF"/>
    <w:rsid w:val="006F2406"/>
    <w:rsid w:val="006F25A4"/>
    <w:rsid w:val="006F3344"/>
    <w:rsid w:val="006F6D10"/>
    <w:rsid w:val="00701A7D"/>
    <w:rsid w:val="00712B94"/>
    <w:rsid w:val="007149E8"/>
    <w:rsid w:val="00714EA8"/>
    <w:rsid w:val="00715BF7"/>
    <w:rsid w:val="00717352"/>
    <w:rsid w:val="007200FE"/>
    <w:rsid w:val="00720835"/>
    <w:rsid w:val="00732D28"/>
    <w:rsid w:val="0073562D"/>
    <w:rsid w:val="00741F98"/>
    <w:rsid w:val="00744CF8"/>
    <w:rsid w:val="00746B80"/>
    <w:rsid w:val="00747CE1"/>
    <w:rsid w:val="007517BA"/>
    <w:rsid w:val="00753C78"/>
    <w:rsid w:val="00753E6F"/>
    <w:rsid w:val="00754AB5"/>
    <w:rsid w:val="007561CF"/>
    <w:rsid w:val="0075771C"/>
    <w:rsid w:val="00760CA4"/>
    <w:rsid w:val="007622CF"/>
    <w:rsid w:val="0076515F"/>
    <w:rsid w:val="00766BA5"/>
    <w:rsid w:val="007711BE"/>
    <w:rsid w:val="0077434C"/>
    <w:rsid w:val="0077782B"/>
    <w:rsid w:val="00777841"/>
    <w:rsid w:val="00781CB6"/>
    <w:rsid w:val="00782665"/>
    <w:rsid w:val="007826A1"/>
    <w:rsid w:val="00782C52"/>
    <w:rsid w:val="00787C1A"/>
    <w:rsid w:val="007912B2"/>
    <w:rsid w:val="00794396"/>
    <w:rsid w:val="007A1D91"/>
    <w:rsid w:val="007A217D"/>
    <w:rsid w:val="007A43A0"/>
    <w:rsid w:val="007A4C77"/>
    <w:rsid w:val="007A7500"/>
    <w:rsid w:val="007B2CA1"/>
    <w:rsid w:val="007C1EC5"/>
    <w:rsid w:val="007C286D"/>
    <w:rsid w:val="007D0ABC"/>
    <w:rsid w:val="007D13AF"/>
    <w:rsid w:val="007D7172"/>
    <w:rsid w:val="007E1D68"/>
    <w:rsid w:val="007F1C95"/>
    <w:rsid w:val="007F75ED"/>
    <w:rsid w:val="00800715"/>
    <w:rsid w:val="008034C4"/>
    <w:rsid w:val="008042F5"/>
    <w:rsid w:val="00811A30"/>
    <w:rsid w:val="00811CDF"/>
    <w:rsid w:val="008136E0"/>
    <w:rsid w:val="0081562D"/>
    <w:rsid w:val="00820164"/>
    <w:rsid w:val="00826658"/>
    <w:rsid w:val="00827F80"/>
    <w:rsid w:val="008316ED"/>
    <w:rsid w:val="00831703"/>
    <w:rsid w:val="00832342"/>
    <w:rsid w:val="0083622D"/>
    <w:rsid w:val="0084166A"/>
    <w:rsid w:val="00853948"/>
    <w:rsid w:val="0086428D"/>
    <w:rsid w:val="00865DAA"/>
    <w:rsid w:val="00866B58"/>
    <w:rsid w:val="00866C07"/>
    <w:rsid w:val="0087107D"/>
    <w:rsid w:val="0087450D"/>
    <w:rsid w:val="00877DFD"/>
    <w:rsid w:val="00881279"/>
    <w:rsid w:val="00885F61"/>
    <w:rsid w:val="00886959"/>
    <w:rsid w:val="008871F3"/>
    <w:rsid w:val="008921AF"/>
    <w:rsid w:val="00893A34"/>
    <w:rsid w:val="00893DF3"/>
    <w:rsid w:val="0089419A"/>
    <w:rsid w:val="008958F9"/>
    <w:rsid w:val="008A1852"/>
    <w:rsid w:val="008A2BB3"/>
    <w:rsid w:val="008A36E1"/>
    <w:rsid w:val="008A37A7"/>
    <w:rsid w:val="008A45BC"/>
    <w:rsid w:val="008A4E5D"/>
    <w:rsid w:val="008A5878"/>
    <w:rsid w:val="008A7AB4"/>
    <w:rsid w:val="008A7DA6"/>
    <w:rsid w:val="008B0736"/>
    <w:rsid w:val="008B16D5"/>
    <w:rsid w:val="008B4B8E"/>
    <w:rsid w:val="008B56F3"/>
    <w:rsid w:val="008B63E4"/>
    <w:rsid w:val="008B684F"/>
    <w:rsid w:val="008C112F"/>
    <w:rsid w:val="008C17E7"/>
    <w:rsid w:val="008C1F5A"/>
    <w:rsid w:val="008C256B"/>
    <w:rsid w:val="008C31B5"/>
    <w:rsid w:val="008C51EF"/>
    <w:rsid w:val="008C7E7D"/>
    <w:rsid w:val="008D1B9C"/>
    <w:rsid w:val="008D4E8D"/>
    <w:rsid w:val="008D4FA9"/>
    <w:rsid w:val="008D5AF7"/>
    <w:rsid w:val="008E093B"/>
    <w:rsid w:val="008E0CC9"/>
    <w:rsid w:val="008E2512"/>
    <w:rsid w:val="008E374D"/>
    <w:rsid w:val="008F25E4"/>
    <w:rsid w:val="008F442E"/>
    <w:rsid w:val="009001B5"/>
    <w:rsid w:val="00903CFC"/>
    <w:rsid w:val="0090435B"/>
    <w:rsid w:val="009048FF"/>
    <w:rsid w:val="00904D39"/>
    <w:rsid w:val="009050F1"/>
    <w:rsid w:val="00907EBF"/>
    <w:rsid w:val="00913D0F"/>
    <w:rsid w:val="00925C46"/>
    <w:rsid w:val="009263C5"/>
    <w:rsid w:val="009272F7"/>
    <w:rsid w:val="009354D0"/>
    <w:rsid w:val="009366AD"/>
    <w:rsid w:val="00936AC9"/>
    <w:rsid w:val="00943134"/>
    <w:rsid w:val="00950B06"/>
    <w:rsid w:val="00957322"/>
    <w:rsid w:val="009575FF"/>
    <w:rsid w:val="00962147"/>
    <w:rsid w:val="00962C93"/>
    <w:rsid w:val="00964CEA"/>
    <w:rsid w:val="00966061"/>
    <w:rsid w:val="00970069"/>
    <w:rsid w:val="00970719"/>
    <w:rsid w:val="009707B8"/>
    <w:rsid w:val="009721EB"/>
    <w:rsid w:val="009728BD"/>
    <w:rsid w:val="009741FE"/>
    <w:rsid w:val="00975D99"/>
    <w:rsid w:val="009769D1"/>
    <w:rsid w:val="00977E04"/>
    <w:rsid w:val="00980B05"/>
    <w:rsid w:val="00983367"/>
    <w:rsid w:val="009877B3"/>
    <w:rsid w:val="0099276D"/>
    <w:rsid w:val="00994D60"/>
    <w:rsid w:val="00997386"/>
    <w:rsid w:val="00997AC9"/>
    <w:rsid w:val="009A037C"/>
    <w:rsid w:val="009A08CE"/>
    <w:rsid w:val="009A20DE"/>
    <w:rsid w:val="009A325E"/>
    <w:rsid w:val="009A6BBB"/>
    <w:rsid w:val="009B0F2C"/>
    <w:rsid w:val="009B706E"/>
    <w:rsid w:val="009B74FF"/>
    <w:rsid w:val="009B7B97"/>
    <w:rsid w:val="009B7C89"/>
    <w:rsid w:val="009B7D43"/>
    <w:rsid w:val="009C02DF"/>
    <w:rsid w:val="009C1E72"/>
    <w:rsid w:val="009C26A3"/>
    <w:rsid w:val="009C423A"/>
    <w:rsid w:val="009C614C"/>
    <w:rsid w:val="009C672F"/>
    <w:rsid w:val="009D5B58"/>
    <w:rsid w:val="009D68E0"/>
    <w:rsid w:val="009D6C05"/>
    <w:rsid w:val="009E572F"/>
    <w:rsid w:val="009E624E"/>
    <w:rsid w:val="009E79ED"/>
    <w:rsid w:val="009F249A"/>
    <w:rsid w:val="009F5D71"/>
    <w:rsid w:val="00A05BB8"/>
    <w:rsid w:val="00A06A75"/>
    <w:rsid w:val="00A07596"/>
    <w:rsid w:val="00A13404"/>
    <w:rsid w:val="00A14658"/>
    <w:rsid w:val="00A17A08"/>
    <w:rsid w:val="00A2072C"/>
    <w:rsid w:val="00A312C1"/>
    <w:rsid w:val="00A314D3"/>
    <w:rsid w:val="00A32CBE"/>
    <w:rsid w:val="00A43AEB"/>
    <w:rsid w:val="00A4614D"/>
    <w:rsid w:val="00A53A8E"/>
    <w:rsid w:val="00A57104"/>
    <w:rsid w:val="00A60673"/>
    <w:rsid w:val="00A60E9B"/>
    <w:rsid w:val="00A665D6"/>
    <w:rsid w:val="00A66DAF"/>
    <w:rsid w:val="00A711EB"/>
    <w:rsid w:val="00A73C11"/>
    <w:rsid w:val="00A8051D"/>
    <w:rsid w:val="00A818DE"/>
    <w:rsid w:val="00A86426"/>
    <w:rsid w:val="00A877A8"/>
    <w:rsid w:val="00A91B41"/>
    <w:rsid w:val="00A93114"/>
    <w:rsid w:val="00A96C68"/>
    <w:rsid w:val="00AA041B"/>
    <w:rsid w:val="00AA4090"/>
    <w:rsid w:val="00AB2A61"/>
    <w:rsid w:val="00AB6362"/>
    <w:rsid w:val="00AC1872"/>
    <w:rsid w:val="00AC21EE"/>
    <w:rsid w:val="00AC312B"/>
    <w:rsid w:val="00AD13D0"/>
    <w:rsid w:val="00AD631F"/>
    <w:rsid w:val="00AE21FF"/>
    <w:rsid w:val="00AE3AEE"/>
    <w:rsid w:val="00AE6688"/>
    <w:rsid w:val="00AF1F18"/>
    <w:rsid w:val="00AF3325"/>
    <w:rsid w:val="00AF58F5"/>
    <w:rsid w:val="00B03755"/>
    <w:rsid w:val="00B04FA8"/>
    <w:rsid w:val="00B05E3F"/>
    <w:rsid w:val="00B0726E"/>
    <w:rsid w:val="00B076A4"/>
    <w:rsid w:val="00B16C2B"/>
    <w:rsid w:val="00B219D1"/>
    <w:rsid w:val="00B22B52"/>
    <w:rsid w:val="00B303D3"/>
    <w:rsid w:val="00B31711"/>
    <w:rsid w:val="00B31BA5"/>
    <w:rsid w:val="00B3512D"/>
    <w:rsid w:val="00B35B1C"/>
    <w:rsid w:val="00B36810"/>
    <w:rsid w:val="00B37F99"/>
    <w:rsid w:val="00B45DA0"/>
    <w:rsid w:val="00B46CBC"/>
    <w:rsid w:val="00B47352"/>
    <w:rsid w:val="00B562A4"/>
    <w:rsid w:val="00B64447"/>
    <w:rsid w:val="00B64B3D"/>
    <w:rsid w:val="00B71D22"/>
    <w:rsid w:val="00B72125"/>
    <w:rsid w:val="00B72D1E"/>
    <w:rsid w:val="00B74407"/>
    <w:rsid w:val="00B74749"/>
    <w:rsid w:val="00B81FA4"/>
    <w:rsid w:val="00B858DC"/>
    <w:rsid w:val="00B8794C"/>
    <w:rsid w:val="00B922A1"/>
    <w:rsid w:val="00B94199"/>
    <w:rsid w:val="00B95172"/>
    <w:rsid w:val="00B95EF4"/>
    <w:rsid w:val="00B96AAC"/>
    <w:rsid w:val="00BB1B18"/>
    <w:rsid w:val="00BB3924"/>
    <w:rsid w:val="00BB41AA"/>
    <w:rsid w:val="00BB6509"/>
    <w:rsid w:val="00BC248C"/>
    <w:rsid w:val="00BD37A6"/>
    <w:rsid w:val="00BD4DA7"/>
    <w:rsid w:val="00BE2392"/>
    <w:rsid w:val="00BE7606"/>
    <w:rsid w:val="00BF6AC4"/>
    <w:rsid w:val="00C00322"/>
    <w:rsid w:val="00C01EC0"/>
    <w:rsid w:val="00C04AEA"/>
    <w:rsid w:val="00C053A4"/>
    <w:rsid w:val="00C07634"/>
    <w:rsid w:val="00C170E0"/>
    <w:rsid w:val="00C212D2"/>
    <w:rsid w:val="00C2270F"/>
    <w:rsid w:val="00C244EE"/>
    <w:rsid w:val="00C24A30"/>
    <w:rsid w:val="00C24C99"/>
    <w:rsid w:val="00C319A4"/>
    <w:rsid w:val="00C32AE5"/>
    <w:rsid w:val="00C34909"/>
    <w:rsid w:val="00C41E82"/>
    <w:rsid w:val="00C44572"/>
    <w:rsid w:val="00C46199"/>
    <w:rsid w:val="00C51F1A"/>
    <w:rsid w:val="00C55BCD"/>
    <w:rsid w:val="00C5669F"/>
    <w:rsid w:val="00C61282"/>
    <w:rsid w:val="00C64A42"/>
    <w:rsid w:val="00C6598B"/>
    <w:rsid w:val="00C6792D"/>
    <w:rsid w:val="00C72224"/>
    <w:rsid w:val="00C75706"/>
    <w:rsid w:val="00C804DF"/>
    <w:rsid w:val="00C850DF"/>
    <w:rsid w:val="00C900B9"/>
    <w:rsid w:val="00C9565C"/>
    <w:rsid w:val="00C96633"/>
    <w:rsid w:val="00CA4815"/>
    <w:rsid w:val="00CA6927"/>
    <w:rsid w:val="00CA79DB"/>
    <w:rsid w:val="00CC03D3"/>
    <w:rsid w:val="00CC1725"/>
    <w:rsid w:val="00CC37BF"/>
    <w:rsid w:val="00CC432F"/>
    <w:rsid w:val="00CC4605"/>
    <w:rsid w:val="00CC4E92"/>
    <w:rsid w:val="00CC66AE"/>
    <w:rsid w:val="00CC6E7E"/>
    <w:rsid w:val="00CD28A8"/>
    <w:rsid w:val="00CE52B4"/>
    <w:rsid w:val="00CF0A43"/>
    <w:rsid w:val="00CF4482"/>
    <w:rsid w:val="00CF542B"/>
    <w:rsid w:val="00CF6562"/>
    <w:rsid w:val="00D01F4A"/>
    <w:rsid w:val="00D10618"/>
    <w:rsid w:val="00D109E0"/>
    <w:rsid w:val="00D15113"/>
    <w:rsid w:val="00D170F1"/>
    <w:rsid w:val="00D22E58"/>
    <w:rsid w:val="00D22F93"/>
    <w:rsid w:val="00D23ABC"/>
    <w:rsid w:val="00D24D46"/>
    <w:rsid w:val="00D27C7E"/>
    <w:rsid w:val="00D27D37"/>
    <w:rsid w:val="00D34BE4"/>
    <w:rsid w:val="00D4020C"/>
    <w:rsid w:val="00D41CDD"/>
    <w:rsid w:val="00D41F73"/>
    <w:rsid w:val="00D448E3"/>
    <w:rsid w:val="00D50525"/>
    <w:rsid w:val="00D50819"/>
    <w:rsid w:val="00D50DFC"/>
    <w:rsid w:val="00D5245C"/>
    <w:rsid w:val="00D53813"/>
    <w:rsid w:val="00D5688A"/>
    <w:rsid w:val="00D65E8B"/>
    <w:rsid w:val="00D661AD"/>
    <w:rsid w:val="00D673CD"/>
    <w:rsid w:val="00D7558A"/>
    <w:rsid w:val="00D7696A"/>
    <w:rsid w:val="00D81301"/>
    <w:rsid w:val="00D82BFE"/>
    <w:rsid w:val="00D84207"/>
    <w:rsid w:val="00D85016"/>
    <w:rsid w:val="00D85C9A"/>
    <w:rsid w:val="00D86284"/>
    <w:rsid w:val="00D872EC"/>
    <w:rsid w:val="00D9065E"/>
    <w:rsid w:val="00D97E8E"/>
    <w:rsid w:val="00DA0F1F"/>
    <w:rsid w:val="00DA65C4"/>
    <w:rsid w:val="00DA6C0D"/>
    <w:rsid w:val="00DB2992"/>
    <w:rsid w:val="00DB3116"/>
    <w:rsid w:val="00DB6B13"/>
    <w:rsid w:val="00DC4723"/>
    <w:rsid w:val="00DC5980"/>
    <w:rsid w:val="00DC6A4C"/>
    <w:rsid w:val="00DC75FD"/>
    <w:rsid w:val="00DD166C"/>
    <w:rsid w:val="00DD216A"/>
    <w:rsid w:val="00DD2B46"/>
    <w:rsid w:val="00DD3400"/>
    <w:rsid w:val="00DD3642"/>
    <w:rsid w:val="00DD7C43"/>
    <w:rsid w:val="00DE1173"/>
    <w:rsid w:val="00DE1F5E"/>
    <w:rsid w:val="00DE24E6"/>
    <w:rsid w:val="00DE4C98"/>
    <w:rsid w:val="00DE679D"/>
    <w:rsid w:val="00DF02E1"/>
    <w:rsid w:val="00DF3F63"/>
    <w:rsid w:val="00DF6250"/>
    <w:rsid w:val="00DF6FD6"/>
    <w:rsid w:val="00DF7A77"/>
    <w:rsid w:val="00E00951"/>
    <w:rsid w:val="00E01A70"/>
    <w:rsid w:val="00E02C72"/>
    <w:rsid w:val="00E06ED6"/>
    <w:rsid w:val="00E0752E"/>
    <w:rsid w:val="00E112C7"/>
    <w:rsid w:val="00E114B4"/>
    <w:rsid w:val="00E134D3"/>
    <w:rsid w:val="00E1625C"/>
    <w:rsid w:val="00E27B7A"/>
    <w:rsid w:val="00E30B4D"/>
    <w:rsid w:val="00E41235"/>
    <w:rsid w:val="00E4298D"/>
    <w:rsid w:val="00E440C5"/>
    <w:rsid w:val="00E4690C"/>
    <w:rsid w:val="00E523E3"/>
    <w:rsid w:val="00E529E5"/>
    <w:rsid w:val="00E52DB5"/>
    <w:rsid w:val="00E52E9A"/>
    <w:rsid w:val="00E539CB"/>
    <w:rsid w:val="00E55C8C"/>
    <w:rsid w:val="00E57778"/>
    <w:rsid w:val="00E6799B"/>
    <w:rsid w:val="00E7359C"/>
    <w:rsid w:val="00E77012"/>
    <w:rsid w:val="00E81008"/>
    <w:rsid w:val="00E83544"/>
    <w:rsid w:val="00E8464C"/>
    <w:rsid w:val="00E95726"/>
    <w:rsid w:val="00EA06A0"/>
    <w:rsid w:val="00EA0AAB"/>
    <w:rsid w:val="00EA0C36"/>
    <w:rsid w:val="00EA2014"/>
    <w:rsid w:val="00EA5E90"/>
    <w:rsid w:val="00EB4431"/>
    <w:rsid w:val="00EB4C2F"/>
    <w:rsid w:val="00EC24C9"/>
    <w:rsid w:val="00EC6A82"/>
    <w:rsid w:val="00ED0DDF"/>
    <w:rsid w:val="00ED4405"/>
    <w:rsid w:val="00ED4CC1"/>
    <w:rsid w:val="00EE2E52"/>
    <w:rsid w:val="00EE3EC6"/>
    <w:rsid w:val="00EE4058"/>
    <w:rsid w:val="00EE56E8"/>
    <w:rsid w:val="00EE5948"/>
    <w:rsid w:val="00EF05E7"/>
    <w:rsid w:val="00EF12A9"/>
    <w:rsid w:val="00EF41E6"/>
    <w:rsid w:val="00EF5C61"/>
    <w:rsid w:val="00EF5CF5"/>
    <w:rsid w:val="00EF5D6D"/>
    <w:rsid w:val="00EF703C"/>
    <w:rsid w:val="00F024DA"/>
    <w:rsid w:val="00F04BC6"/>
    <w:rsid w:val="00F07246"/>
    <w:rsid w:val="00F1000D"/>
    <w:rsid w:val="00F11041"/>
    <w:rsid w:val="00F139EE"/>
    <w:rsid w:val="00F146C9"/>
    <w:rsid w:val="00F14D5B"/>
    <w:rsid w:val="00F15FF8"/>
    <w:rsid w:val="00F22F34"/>
    <w:rsid w:val="00F247CF"/>
    <w:rsid w:val="00F25D0C"/>
    <w:rsid w:val="00F26316"/>
    <w:rsid w:val="00F30BFA"/>
    <w:rsid w:val="00F311A4"/>
    <w:rsid w:val="00F36B85"/>
    <w:rsid w:val="00F5463A"/>
    <w:rsid w:val="00F55C5A"/>
    <w:rsid w:val="00F5716B"/>
    <w:rsid w:val="00F57B13"/>
    <w:rsid w:val="00F57C0D"/>
    <w:rsid w:val="00F60811"/>
    <w:rsid w:val="00F60B66"/>
    <w:rsid w:val="00F62117"/>
    <w:rsid w:val="00F72EC4"/>
    <w:rsid w:val="00F746D6"/>
    <w:rsid w:val="00F756EC"/>
    <w:rsid w:val="00F82C2C"/>
    <w:rsid w:val="00F83F11"/>
    <w:rsid w:val="00F8526E"/>
    <w:rsid w:val="00F85913"/>
    <w:rsid w:val="00F87CCA"/>
    <w:rsid w:val="00F962A9"/>
    <w:rsid w:val="00F96774"/>
    <w:rsid w:val="00FA09F5"/>
    <w:rsid w:val="00FA3083"/>
    <w:rsid w:val="00FA4A65"/>
    <w:rsid w:val="00FA5BA8"/>
    <w:rsid w:val="00FA5C48"/>
    <w:rsid w:val="00FA7392"/>
    <w:rsid w:val="00FA74E1"/>
    <w:rsid w:val="00FB7C83"/>
    <w:rsid w:val="00FC12E0"/>
    <w:rsid w:val="00FC1DB3"/>
    <w:rsid w:val="00FC2B31"/>
    <w:rsid w:val="00FC3A0E"/>
    <w:rsid w:val="00FC516D"/>
    <w:rsid w:val="00FD4D6E"/>
    <w:rsid w:val="00FD6383"/>
    <w:rsid w:val="00FD6A6E"/>
    <w:rsid w:val="00FD6DBD"/>
    <w:rsid w:val="00FD7A94"/>
    <w:rsid w:val="00FE0518"/>
    <w:rsid w:val="00FE1EF7"/>
    <w:rsid w:val="00FE26F7"/>
    <w:rsid w:val="00FE5014"/>
    <w:rsid w:val="00FF5707"/>
    <w:rsid w:val="00FF5BC8"/>
    <w:rsid w:val="00FF635E"/>
    <w:rsid w:val="00FF7A6D"/>
    <w:rsid w:val="01DA3EA7"/>
    <w:rsid w:val="0252317D"/>
    <w:rsid w:val="02E228C6"/>
    <w:rsid w:val="0361993E"/>
    <w:rsid w:val="0373CFE0"/>
    <w:rsid w:val="0497A77F"/>
    <w:rsid w:val="04C25128"/>
    <w:rsid w:val="05297236"/>
    <w:rsid w:val="06E387D3"/>
    <w:rsid w:val="0731E7DC"/>
    <w:rsid w:val="0771438A"/>
    <w:rsid w:val="08681757"/>
    <w:rsid w:val="087A3D77"/>
    <w:rsid w:val="088F911D"/>
    <w:rsid w:val="08FA435B"/>
    <w:rsid w:val="09EDD434"/>
    <w:rsid w:val="0C06DBED"/>
    <w:rsid w:val="0C60E035"/>
    <w:rsid w:val="0CDCED3B"/>
    <w:rsid w:val="0E58E82F"/>
    <w:rsid w:val="0FA7CCFE"/>
    <w:rsid w:val="10C20DD6"/>
    <w:rsid w:val="10E9C98C"/>
    <w:rsid w:val="110D339B"/>
    <w:rsid w:val="11730831"/>
    <w:rsid w:val="13D91B11"/>
    <w:rsid w:val="1684B604"/>
    <w:rsid w:val="17B62E27"/>
    <w:rsid w:val="180020DC"/>
    <w:rsid w:val="19643061"/>
    <w:rsid w:val="1A230558"/>
    <w:rsid w:val="1AE358CB"/>
    <w:rsid w:val="1B0DCA6A"/>
    <w:rsid w:val="1B11CDC7"/>
    <w:rsid w:val="1C34B03C"/>
    <w:rsid w:val="1CD10DFC"/>
    <w:rsid w:val="1EB52D18"/>
    <w:rsid w:val="1EF227A6"/>
    <w:rsid w:val="21BDC2A2"/>
    <w:rsid w:val="24FBE8AC"/>
    <w:rsid w:val="25ABF75D"/>
    <w:rsid w:val="271DA90E"/>
    <w:rsid w:val="275F982C"/>
    <w:rsid w:val="27F44A7E"/>
    <w:rsid w:val="2876D97C"/>
    <w:rsid w:val="28A59F4E"/>
    <w:rsid w:val="2914542E"/>
    <w:rsid w:val="297032C0"/>
    <w:rsid w:val="2A88F886"/>
    <w:rsid w:val="2AF81889"/>
    <w:rsid w:val="2B1EAC6D"/>
    <w:rsid w:val="2B7AB288"/>
    <w:rsid w:val="2BCDA914"/>
    <w:rsid w:val="2CD43D44"/>
    <w:rsid w:val="321D984B"/>
    <w:rsid w:val="328F3087"/>
    <w:rsid w:val="32F386CF"/>
    <w:rsid w:val="331C7A3E"/>
    <w:rsid w:val="33AB08CF"/>
    <w:rsid w:val="360C6397"/>
    <w:rsid w:val="3727B7E5"/>
    <w:rsid w:val="391334DC"/>
    <w:rsid w:val="3962DAA2"/>
    <w:rsid w:val="396933E7"/>
    <w:rsid w:val="39DCC93F"/>
    <w:rsid w:val="3AE4C23F"/>
    <w:rsid w:val="3BD216F3"/>
    <w:rsid w:val="3D7CF4F6"/>
    <w:rsid w:val="3E064201"/>
    <w:rsid w:val="3E81F764"/>
    <w:rsid w:val="3F344C95"/>
    <w:rsid w:val="3FCE23F1"/>
    <w:rsid w:val="40B22202"/>
    <w:rsid w:val="41C5A1FF"/>
    <w:rsid w:val="41FF3C08"/>
    <w:rsid w:val="42C19C66"/>
    <w:rsid w:val="44124FCF"/>
    <w:rsid w:val="4494CA0A"/>
    <w:rsid w:val="459551B5"/>
    <w:rsid w:val="46051D1B"/>
    <w:rsid w:val="467EA076"/>
    <w:rsid w:val="46E46D66"/>
    <w:rsid w:val="489B6815"/>
    <w:rsid w:val="48C148EA"/>
    <w:rsid w:val="49DED61F"/>
    <w:rsid w:val="4ADE0B63"/>
    <w:rsid w:val="4AFA5BF2"/>
    <w:rsid w:val="4BEE3ECD"/>
    <w:rsid w:val="4CF6D29C"/>
    <w:rsid w:val="4D445C6A"/>
    <w:rsid w:val="4EE021DC"/>
    <w:rsid w:val="4FAFAFF5"/>
    <w:rsid w:val="500A06C3"/>
    <w:rsid w:val="5192E5EE"/>
    <w:rsid w:val="533A0822"/>
    <w:rsid w:val="53568D5B"/>
    <w:rsid w:val="55093698"/>
    <w:rsid w:val="5722382B"/>
    <w:rsid w:val="57FD0C72"/>
    <w:rsid w:val="585F0400"/>
    <w:rsid w:val="58B81F3B"/>
    <w:rsid w:val="5DCB440F"/>
    <w:rsid w:val="5F25E873"/>
    <w:rsid w:val="5F8416D9"/>
    <w:rsid w:val="60BAA52C"/>
    <w:rsid w:val="614F5729"/>
    <w:rsid w:val="61941E04"/>
    <w:rsid w:val="61D2A1F5"/>
    <w:rsid w:val="61EB6423"/>
    <w:rsid w:val="62E47E4A"/>
    <w:rsid w:val="6336354E"/>
    <w:rsid w:val="638E5F62"/>
    <w:rsid w:val="639A2BCF"/>
    <w:rsid w:val="65EB6FE2"/>
    <w:rsid w:val="663756DC"/>
    <w:rsid w:val="669DF742"/>
    <w:rsid w:val="66CC3E80"/>
    <w:rsid w:val="67951C98"/>
    <w:rsid w:val="6B7601CE"/>
    <w:rsid w:val="6B891403"/>
    <w:rsid w:val="6CAE016F"/>
    <w:rsid w:val="6D3C63F6"/>
    <w:rsid w:val="6DCF43EC"/>
    <w:rsid w:val="6E81F43C"/>
    <w:rsid w:val="6FB2E3CB"/>
    <w:rsid w:val="6FE7E817"/>
    <w:rsid w:val="70CF9C0F"/>
    <w:rsid w:val="71FB3739"/>
    <w:rsid w:val="72508BBC"/>
    <w:rsid w:val="73582B84"/>
    <w:rsid w:val="73A1705C"/>
    <w:rsid w:val="7456FB4D"/>
    <w:rsid w:val="76175B3E"/>
    <w:rsid w:val="787C584B"/>
    <w:rsid w:val="78B3BB58"/>
    <w:rsid w:val="79CA7B00"/>
    <w:rsid w:val="7A76CA4D"/>
    <w:rsid w:val="7B75A7A6"/>
    <w:rsid w:val="7D6F8E5A"/>
    <w:rsid w:val="7E9AECA1"/>
    <w:rsid w:val="7FABDA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4C79FB0B-8978-441C-A9DB-9DDCEC9A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B2"/>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0"/>
      </w:numPr>
      <w:spacing w:after="200"/>
      <w:contextualSpacing/>
    </w:pPr>
  </w:style>
  <w:style w:type="paragraph" w:styleId="List2">
    <w:name w:val="List 2"/>
    <w:basedOn w:val="Normal"/>
    <w:uiPriority w:val="98"/>
    <w:qFormat/>
    <w:rsid w:val="00F85913"/>
    <w:pPr>
      <w:numPr>
        <w:ilvl w:val="1"/>
        <w:numId w:val="20"/>
      </w:numPr>
      <w:spacing w:after="200"/>
      <w:contextualSpacing/>
    </w:pPr>
  </w:style>
  <w:style w:type="paragraph" w:styleId="List3">
    <w:name w:val="List 3"/>
    <w:basedOn w:val="Normal"/>
    <w:uiPriority w:val="98"/>
    <w:qFormat/>
    <w:rsid w:val="00BC248C"/>
    <w:pPr>
      <w:numPr>
        <w:ilvl w:val="2"/>
        <w:numId w:val="20"/>
      </w:numPr>
      <w:spacing w:after="200"/>
      <w:contextualSpacing/>
    </w:pPr>
  </w:style>
  <w:style w:type="paragraph" w:styleId="List4">
    <w:name w:val="List 4"/>
    <w:basedOn w:val="Normal"/>
    <w:uiPriority w:val="98"/>
    <w:qFormat/>
    <w:rsid w:val="00BC248C"/>
    <w:pPr>
      <w:numPr>
        <w:ilvl w:val="3"/>
        <w:numId w:val="20"/>
      </w:numPr>
      <w:spacing w:after="200"/>
      <w:contextualSpacing/>
    </w:pPr>
  </w:style>
  <w:style w:type="paragraph" w:styleId="ListNumber">
    <w:name w:val="List Number"/>
    <w:basedOn w:val="Normal"/>
    <w:uiPriority w:val="98"/>
    <w:qFormat/>
    <w:rsid w:val="00276047"/>
    <w:pPr>
      <w:numPr>
        <w:numId w:val="6"/>
      </w:numPr>
      <w:spacing w:after="200"/>
      <w:contextualSpacing/>
    </w:pPr>
  </w:style>
  <w:style w:type="paragraph" w:styleId="ListNumber2">
    <w:name w:val="List Number 2"/>
    <w:basedOn w:val="Normal"/>
    <w:uiPriority w:val="98"/>
    <w:qFormat/>
    <w:rsid w:val="00276047"/>
    <w:pPr>
      <w:numPr>
        <w:ilvl w:val="1"/>
        <w:numId w:val="6"/>
      </w:numPr>
      <w:spacing w:after="200"/>
      <w:contextualSpacing/>
    </w:pPr>
  </w:style>
  <w:style w:type="paragraph" w:styleId="ListBullet3">
    <w:name w:val="List Bullet 3"/>
    <w:basedOn w:val="Normal"/>
    <w:uiPriority w:val="98"/>
    <w:qFormat/>
    <w:rsid w:val="008A36E1"/>
    <w:pPr>
      <w:numPr>
        <w:numId w:val="17"/>
      </w:numPr>
      <w:spacing w:after="200"/>
      <w:ind w:left="851" w:hanging="284"/>
      <w:contextualSpacing/>
    </w:pPr>
  </w:style>
  <w:style w:type="paragraph" w:styleId="ListNumber3">
    <w:name w:val="List Number 3"/>
    <w:basedOn w:val="Normal"/>
    <w:uiPriority w:val="98"/>
    <w:qFormat/>
    <w:rsid w:val="00950B06"/>
    <w:pPr>
      <w:numPr>
        <w:ilvl w:val="2"/>
        <w:numId w:val="6"/>
      </w:numPr>
      <w:spacing w:after="200"/>
      <w:contextualSpacing/>
    </w:pPr>
  </w:style>
  <w:style w:type="paragraph" w:styleId="ListNumber4">
    <w:name w:val="List Number 4"/>
    <w:basedOn w:val="Normal"/>
    <w:uiPriority w:val="98"/>
    <w:qFormat/>
    <w:rsid w:val="0012343A"/>
    <w:pPr>
      <w:numPr>
        <w:ilvl w:val="3"/>
        <w:numId w:val="6"/>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1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character" w:styleId="FollowedHyperlink">
    <w:name w:val="FollowedHyperlink"/>
    <w:basedOn w:val="DefaultParagraphFont"/>
    <w:uiPriority w:val="99"/>
    <w:semiHidden/>
    <w:unhideWhenUsed/>
    <w:rsid w:val="0075771C"/>
    <w:rPr>
      <w:color w:val="CE372F" w:themeColor="followedHyperlink"/>
      <w:u w:val="single"/>
    </w:rPr>
  </w:style>
  <w:style w:type="paragraph" w:styleId="ListParagraph">
    <w:name w:val="List Paragraph"/>
    <w:basedOn w:val="Normal"/>
    <w:uiPriority w:val="34"/>
    <w:qFormat/>
    <w:rsid w:val="3D7CF4F6"/>
    <w:pPr>
      <w:ind w:left="720"/>
      <w:contextualSpacing/>
    </w:pPr>
  </w:style>
  <w:style w:type="character" w:styleId="Mention">
    <w:name w:val="Mention"/>
    <w:basedOn w:val="DefaultParagraphFont"/>
    <w:uiPriority w:val="99"/>
    <w:unhideWhenUsed/>
    <w:rsid w:val="006D15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unisq.edu.au/current-students/ict/cyber-safety/cyber-security-strategy" TargetMode="External"/><Relationship Id="rId26" Type="http://schemas.openxmlformats.org/officeDocument/2006/relationships/hyperlink" Target="https://www.unisq.edu.au/research/sqnnsw-hub" TargetMode="External"/><Relationship Id="rId39" Type="http://schemas.openxmlformats.org/officeDocument/2006/relationships/footer" Target="footer2.xml"/><Relationship Id="rId21" Type="http://schemas.openxmlformats.org/officeDocument/2006/relationships/hyperlink" Target="https://www.unisq.edu.au/-/media/unisq/about/governance-leadership/plans-and-reports/attachment-1--strategic-plan-20212025-24-update-1.ashx?rev=b815991313bf4f2abbea0b8eeb185b0c&amp;hash=72A6BEE6524B67EB5EE9CD328B044109" TargetMode="External"/><Relationship Id="rId34" Type="http://schemas.openxmlformats.org/officeDocument/2006/relationships/hyperlink" Target="https://www.unisq.edu.au/news/2023/09/nursing-no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licy.unisq.edu.au/documents/13482PL" TargetMode="External"/><Relationship Id="rId20" Type="http://schemas.openxmlformats.org/officeDocument/2006/relationships/hyperlink" Target="https://policy.unisq.edu.au/documents/2070PL" TargetMode="External"/><Relationship Id="rId29" Type="http://schemas.openxmlformats.org/officeDocument/2006/relationships/hyperlink" Target="https://sqea.edu.au/member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isq.edu.au/current-students/support/student-success-advising" TargetMode="External"/><Relationship Id="rId32" Type="http://schemas.openxmlformats.org/officeDocument/2006/relationships/hyperlink" Target="https://www.sqrh.com.au" TargetMode="External"/><Relationship Id="rId37" Type="http://schemas.openxmlformats.org/officeDocument/2006/relationships/hyperlink" Target="https://sqea.edu.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isq.edu.au/current-students/support/safer-communities" TargetMode="External"/><Relationship Id="rId23" Type="http://schemas.openxmlformats.org/officeDocument/2006/relationships/hyperlink" Target="https://www.unisq.edu.au/-/media/unisq/about/governance-leadership/plans-and-reports/core-enabling-strategies/education-plan-2022-2025.ashx?rev=c3672d59d2c3427aa67cfbd03692442e&amp;hash=91E02ADBD222B859316FF305304F0CA3" TargetMode="External"/><Relationship Id="rId28" Type="http://schemas.openxmlformats.org/officeDocument/2006/relationships/hyperlink" Target="https://www.unisq.edu.au/news/2024/09/quantum-leap" TargetMode="External"/><Relationship Id="rId36" Type="http://schemas.openxmlformats.org/officeDocument/2006/relationships/hyperlink" Target="https://www.sqrh.com.au" TargetMode="External"/><Relationship Id="rId10" Type="http://schemas.openxmlformats.org/officeDocument/2006/relationships/endnotes" Target="endnotes.xml"/><Relationship Id="rId19" Type="http://schemas.openxmlformats.org/officeDocument/2006/relationships/hyperlink" Target="https://www.unisq.edu.au/current-students/ict/cyber-safety" TargetMode="External"/><Relationship Id="rId31" Type="http://schemas.openxmlformats.org/officeDocument/2006/relationships/hyperlink" Target="https://www.jobsandskill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sq.edu.au/about-unisq/governance-leadership/strategic-plan" TargetMode="External"/><Relationship Id="rId22" Type="http://schemas.openxmlformats.org/officeDocument/2006/relationships/hyperlink" Target="https://www.unisq.edu.au/-/media/unisq/about/governance-leadership/plans-and-reports/core-enabling-strategies/education-plan-2022-2025.ashx?rev=c3672d59d2c3427aa67cfbd03692442e&amp;hash=91E02ADBD222B859316FF305304F0CA3" TargetMode="External"/><Relationship Id="rId27" Type="http://schemas.openxmlformats.org/officeDocument/2006/relationships/hyperlink" Target="https://policy.unisq.edu.au/documents/13345PL" TargetMode="External"/><Relationship Id="rId30" Type="http://schemas.openxmlformats.org/officeDocument/2006/relationships/hyperlink" Target="https://sqea.edu.au/" TargetMode="External"/><Relationship Id="rId35" Type="http://schemas.openxmlformats.org/officeDocument/2006/relationships/hyperlink" Target="https://www.southwest.health.qld.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policy.unisq.edu.au/documents/191279PL" TargetMode="External"/><Relationship Id="rId25" Type="http://schemas.openxmlformats.org/officeDocument/2006/relationships/hyperlink" Target="https://www.unisq.edu.au/research/ilaunch" TargetMode="External"/><Relationship Id="rId33" Type="http://schemas.openxmlformats.org/officeDocument/2006/relationships/hyperlink" Target="https://www.tsbe.com.au"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5ac5a-1f9e-40aa-9df5-998dd543a947" xsi:nil="true"/>
    <lcf76f155ced4ddcb4097134ff3c332f xmlns="fea52c8c-9806-4a1c-8ca9-6928160f6c09">
      <Terms xmlns="http://schemas.microsoft.com/office/infopath/2007/PartnerControls"/>
    </lcf76f155ced4ddcb4097134ff3c332f>
    <Comment xmlns="fea52c8c-9806-4a1c-8ca9-6928160f6c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836FB-0FEA-4EB6-8C1F-B6512B7A70B1}">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6e75ac5a-1f9e-40aa-9df5-998dd543a947"/>
    <ds:schemaRef ds:uri="fea52c8c-9806-4a1c-8ca9-6928160f6c09"/>
    <ds:schemaRef ds:uri="http://purl.org/dc/elements/1.1/"/>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4.xml><?xml version="1.0" encoding="utf-8"?>
<ds:datastoreItem xmlns:ds="http://schemas.openxmlformats.org/officeDocument/2006/customXml" ds:itemID="{B67F2374-17AF-4E99-BA55-A89687A06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fff8a3-050f-428f-b966-cc56f581f9b1}" enabled="1" method="Standard" siteId="{7dfbfb93-19b6-4985-ac7e-501a37938456}"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2661</Words>
  <Characters>17458</Characters>
  <Application>Microsoft Office Word</Application>
  <DocSecurity>0</DocSecurity>
  <Lines>325</Lines>
  <Paragraphs>156</Paragraphs>
  <ScaleCrop>false</ScaleCrop>
  <Company/>
  <LinksUpToDate>false</LinksUpToDate>
  <CharactersWithSpaces>20064</CharactersWithSpaces>
  <SharedDoc>false</SharedDoc>
  <HLinks>
    <vt:vector size="156" baseType="variant">
      <vt:variant>
        <vt:i4>6225991</vt:i4>
      </vt:variant>
      <vt:variant>
        <vt:i4>75</vt:i4>
      </vt:variant>
      <vt:variant>
        <vt:i4>0</vt:i4>
      </vt:variant>
      <vt:variant>
        <vt:i4>5</vt:i4>
      </vt:variant>
      <vt:variant>
        <vt:lpwstr>https://sqea.edu.au/</vt:lpwstr>
      </vt:variant>
      <vt:variant>
        <vt:lpwstr/>
      </vt:variant>
      <vt:variant>
        <vt:i4>1114203</vt:i4>
      </vt:variant>
      <vt:variant>
        <vt:i4>72</vt:i4>
      </vt:variant>
      <vt:variant>
        <vt:i4>0</vt:i4>
      </vt:variant>
      <vt:variant>
        <vt:i4>5</vt:i4>
      </vt:variant>
      <vt:variant>
        <vt:lpwstr>https://www.sqrh.com.au/</vt:lpwstr>
      </vt:variant>
      <vt:variant>
        <vt:lpwstr/>
      </vt:variant>
      <vt:variant>
        <vt:i4>5373978</vt:i4>
      </vt:variant>
      <vt:variant>
        <vt:i4>69</vt:i4>
      </vt:variant>
      <vt:variant>
        <vt:i4>0</vt:i4>
      </vt:variant>
      <vt:variant>
        <vt:i4>5</vt:i4>
      </vt:variant>
      <vt:variant>
        <vt:lpwstr>https://www.southwest.health.qld.gov.au/</vt:lpwstr>
      </vt:variant>
      <vt:variant>
        <vt:lpwstr/>
      </vt:variant>
      <vt:variant>
        <vt:i4>1966156</vt:i4>
      </vt:variant>
      <vt:variant>
        <vt:i4>66</vt:i4>
      </vt:variant>
      <vt:variant>
        <vt:i4>0</vt:i4>
      </vt:variant>
      <vt:variant>
        <vt:i4>5</vt:i4>
      </vt:variant>
      <vt:variant>
        <vt:lpwstr>https://www.tsbe.com.au/</vt:lpwstr>
      </vt:variant>
      <vt:variant>
        <vt:lpwstr/>
      </vt:variant>
      <vt:variant>
        <vt:i4>1114203</vt:i4>
      </vt:variant>
      <vt:variant>
        <vt:i4>63</vt:i4>
      </vt:variant>
      <vt:variant>
        <vt:i4>0</vt:i4>
      </vt:variant>
      <vt:variant>
        <vt:i4>5</vt:i4>
      </vt:variant>
      <vt:variant>
        <vt:lpwstr>https://www.sqrh.com.au/</vt:lpwstr>
      </vt:variant>
      <vt:variant>
        <vt:lpwstr/>
      </vt:variant>
      <vt:variant>
        <vt:i4>5636169</vt:i4>
      </vt:variant>
      <vt:variant>
        <vt:i4>60</vt:i4>
      </vt:variant>
      <vt:variant>
        <vt:i4>0</vt:i4>
      </vt:variant>
      <vt:variant>
        <vt:i4>5</vt:i4>
      </vt:variant>
      <vt:variant>
        <vt:lpwstr>https://www.jobsandskills.gov.au/</vt:lpwstr>
      </vt:variant>
      <vt:variant>
        <vt:lpwstr/>
      </vt:variant>
      <vt:variant>
        <vt:i4>6225991</vt:i4>
      </vt:variant>
      <vt:variant>
        <vt:i4>57</vt:i4>
      </vt:variant>
      <vt:variant>
        <vt:i4>0</vt:i4>
      </vt:variant>
      <vt:variant>
        <vt:i4>5</vt:i4>
      </vt:variant>
      <vt:variant>
        <vt:lpwstr>https://sqea.edu.au/</vt:lpwstr>
      </vt:variant>
      <vt:variant>
        <vt:lpwstr/>
      </vt:variant>
      <vt:variant>
        <vt:i4>1835092</vt:i4>
      </vt:variant>
      <vt:variant>
        <vt:i4>54</vt:i4>
      </vt:variant>
      <vt:variant>
        <vt:i4>0</vt:i4>
      </vt:variant>
      <vt:variant>
        <vt:i4>5</vt:i4>
      </vt:variant>
      <vt:variant>
        <vt:lpwstr>https://sqea.edu.au/members.html</vt:lpwstr>
      </vt:variant>
      <vt:variant>
        <vt:lpwstr/>
      </vt:variant>
      <vt:variant>
        <vt:i4>4128887</vt:i4>
      </vt:variant>
      <vt:variant>
        <vt:i4>51</vt:i4>
      </vt:variant>
      <vt:variant>
        <vt:i4>0</vt:i4>
      </vt:variant>
      <vt:variant>
        <vt:i4>5</vt:i4>
      </vt:variant>
      <vt:variant>
        <vt:lpwstr>https://www.unisq.edu.au/news/2024/09/quantum-leap</vt:lpwstr>
      </vt:variant>
      <vt:variant>
        <vt:lpwstr/>
      </vt:variant>
      <vt:variant>
        <vt:i4>917597</vt:i4>
      </vt:variant>
      <vt:variant>
        <vt:i4>48</vt:i4>
      </vt:variant>
      <vt:variant>
        <vt:i4>0</vt:i4>
      </vt:variant>
      <vt:variant>
        <vt:i4>5</vt:i4>
      </vt:variant>
      <vt:variant>
        <vt:lpwstr>https://policy.unisq.edu.au/documents/13345PL</vt:lpwstr>
      </vt:variant>
      <vt:variant>
        <vt:lpwstr/>
      </vt:variant>
      <vt:variant>
        <vt:i4>1507344</vt:i4>
      </vt:variant>
      <vt:variant>
        <vt:i4>45</vt:i4>
      </vt:variant>
      <vt:variant>
        <vt:i4>0</vt:i4>
      </vt:variant>
      <vt:variant>
        <vt:i4>5</vt:i4>
      </vt:variant>
      <vt:variant>
        <vt:lpwstr>https://www.unisq.edu.au/research/institutes-centres/ilse</vt:lpwstr>
      </vt:variant>
      <vt:variant>
        <vt:lpwstr/>
      </vt:variant>
      <vt:variant>
        <vt:i4>1441806</vt:i4>
      </vt:variant>
      <vt:variant>
        <vt:i4>42</vt:i4>
      </vt:variant>
      <vt:variant>
        <vt:i4>0</vt:i4>
      </vt:variant>
      <vt:variant>
        <vt:i4>5</vt:i4>
      </vt:variant>
      <vt:variant>
        <vt:lpwstr>https://www.unisq.edu.au/research/institutes-centres/irr</vt:lpwstr>
      </vt:variant>
      <vt:variant>
        <vt:lpwstr/>
      </vt:variant>
      <vt:variant>
        <vt:i4>7602298</vt:i4>
      </vt:variant>
      <vt:variant>
        <vt:i4>39</vt:i4>
      </vt:variant>
      <vt:variant>
        <vt:i4>0</vt:i4>
      </vt:variant>
      <vt:variant>
        <vt:i4>5</vt:i4>
      </vt:variant>
      <vt:variant>
        <vt:lpwstr>https://www.unisq.edu.au/research/institutes-centres/iaess/centre-for-agricultural-engineering</vt:lpwstr>
      </vt:variant>
      <vt:variant>
        <vt:lpwstr/>
      </vt:variant>
      <vt:variant>
        <vt:i4>6553699</vt:i4>
      </vt:variant>
      <vt:variant>
        <vt:i4>36</vt:i4>
      </vt:variant>
      <vt:variant>
        <vt:i4>0</vt:i4>
      </vt:variant>
      <vt:variant>
        <vt:i4>5</vt:i4>
      </vt:variant>
      <vt:variant>
        <vt:lpwstr>https://www.unisq.edu.au/research/institutes-centres/irr/centre-for-health-research</vt:lpwstr>
      </vt:variant>
      <vt:variant>
        <vt:lpwstr/>
      </vt:variant>
      <vt:variant>
        <vt:i4>655455</vt:i4>
      </vt:variant>
      <vt:variant>
        <vt:i4>33</vt:i4>
      </vt:variant>
      <vt:variant>
        <vt:i4>0</vt:i4>
      </vt:variant>
      <vt:variant>
        <vt:i4>5</vt:i4>
      </vt:variant>
      <vt:variant>
        <vt:lpwstr>https://www.unisq.edu.au/research/sqnnsw-hub</vt:lpwstr>
      </vt:variant>
      <vt:variant>
        <vt:lpwstr/>
      </vt:variant>
      <vt:variant>
        <vt:i4>1179663</vt:i4>
      </vt:variant>
      <vt:variant>
        <vt:i4>30</vt:i4>
      </vt:variant>
      <vt:variant>
        <vt:i4>0</vt:i4>
      </vt:variant>
      <vt:variant>
        <vt:i4>5</vt:i4>
      </vt:variant>
      <vt:variant>
        <vt:lpwstr>https://www.unisq.edu.au/research/ilaunch</vt:lpwstr>
      </vt:variant>
      <vt:variant>
        <vt:lpwstr/>
      </vt:variant>
      <vt:variant>
        <vt:i4>3932217</vt:i4>
      </vt:variant>
      <vt:variant>
        <vt:i4>27</vt:i4>
      </vt:variant>
      <vt:variant>
        <vt:i4>0</vt:i4>
      </vt:variant>
      <vt:variant>
        <vt:i4>5</vt:i4>
      </vt:variant>
      <vt:variant>
        <vt:lpwstr>https://www.unisq.edu.au/current-students/support/student-success-advising</vt:lpwstr>
      </vt:variant>
      <vt:variant>
        <vt:lpwstr/>
      </vt:variant>
      <vt:variant>
        <vt:i4>7143543</vt:i4>
      </vt:variant>
      <vt:variant>
        <vt:i4>24</vt:i4>
      </vt:variant>
      <vt:variant>
        <vt:i4>0</vt:i4>
      </vt:variant>
      <vt:variant>
        <vt:i4>5</vt:i4>
      </vt:variant>
      <vt:variant>
        <vt:lpwstr>https://www.unisq.edu.au/-/media/unisq/about/governance-leadership/plans-and-reports/core-enabling-strategies/education-plan-2022-2025.ashx?rev=c3672d59d2c3427aa67cfbd03692442e&amp;hash=91E02ADBD222B859316FF305304F0CA3</vt:lpwstr>
      </vt:variant>
      <vt:variant>
        <vt:lpwstr/>
      </vt:variant>
      <vt:variant>
        <vt:i4>7143543</vt:i4>
      </vt:variant>
      <vt:variant>
        <vt:i4>21</vt:i4>
      </vt:variant>
      <vt:variant>
        <vt:i4>0</vt:i4>
      </vt:variant>
      <vt:variant>
        <vt:i4>5</vt:i4>
      </vt:variant>
      <vt:variant>
        <vt:lpwstr>https://www.unisq.edu.au/-/media/unisq/about/governance-leadership/plans-and-reports/core-enabling-strategies/education-plan-2022-2025.ashx?rev=c3672d59d2c3427aa67cfbd03692442e&amp;hash=91E02ADBD222B859316FF305304F0CA3</vt:lpwstr>
      </vt:variant>
      <vt:variant>
        <vt:lpwstr/>
      </vt:variant>
      <vt:variant>
        <vt:i4>1376287</vt:i4>
      </vt:variant>
      <vt:variant>
        <vt:i4>18</vt:i4>
      </vt:variant>
      <vt:variant>
        <vt:i4>0</vt:i4>
      </vt:variant>
      <vt:variant>
        <vt:i4>5</vt:i4>
      </vt:variant>
      <vt:variant>
        <vt:lpwstr>https://policy.unisq.edu.au/documents/2070PL</vt:lpwstr>
      </vt:variant>
      <vt:variant>
        <vt:lpwstr/>
      </vt:variant>
      <vt:variant>
        <vt:i4>8126517</vt:i4>
      </vt:variant>
      <vt:variant>
        <vt:i4>15</vt:i4>
      </vt:variant>
      <vt:variant>
        <vt:i4>0</vt:i4>
      </vt:variant>
      <vt:variant>
        <vt:i4>5</vt:i4>
      </vt:variant>
      <vt:variant>
        <vt:lpwstr>https://www.unisq.edu.au/current-students/ict/cyber-safety</vt:lpwstr>
      </vt:variant>
      <vt:variant>
        <vt:lpwstr/>
      </vt:variant>
      <vt:variant>
        <vt:i4>3997753</vt:i4>
      </vt:variant>
      <vt:variant>
        <vt:i4>12</vt:i4>
      </vt:variant>
      <vt:variant>
        <vt:i4>0</vt:i4>
      </vt:variant>
      <vt:variant>
        <vt:i4>5</vt:i4>
      </vt:variant>
      <vt:variant>
        <vt:lpwstr>https://www.unisq.edu.au/current-students/ict/cyber-safety/cyber-security-strategy</vt:lpwstr>
      </vt:variant>
      <vt:variant>
        <vt:lpwstr/>
      </vt:variant>
      <vt:variant>
        <vt:i4>2555949</vt:i4>
      </vt:variant>
      <vt:variant>
        <vt:i4>9</vt:i4>
      </vt:variant>
      <vt:variant>
        <vt:i4>0</vt:i4>
      </vt:variant>
      <vt:variant>
        <vt:i4>5</vt:i4>
      </vt:variant>
      <vt:variant>
        <vt:lpwstr>https://policy.unisq.edu.au/documents/191279PL</vt:lpwstr>
      </vt:variant>
      <vt:variant>
        <vt:lpwstr/>
      </vt:variant>
      <vt:variant>
        <vt:i4>131165</vt:i4>
      </vt:variant>
      <vt:variant>
        <vt:i4>6</vt:i4>
      </vt:variant>
      <vt:variant>
        <vt:i4>0</vt:i4>
      </vt:variant>
      <vt:variant>
        <vt:i4>5</vt:i4>
      </vt:variant>
      <vt:variant>
        <vt:lpwstr>https://policy.unisq.edu.au/documents/13482PL</vt:lpwstr>
      </vt:variant>
      <vt:variant>
        <vt:lpwstr/>
      </vt:variant>
      <vt:variant>
        <vt:i4>7340094</vt:i4>
      </vt:variant>
      <vt:variant>
        <vt:i4>3</vt:i4>
      </vt:variant>
      <vt:variant>
        <vt:i4>0</vt:i4>
      </vt:variant>
      <vt:variant>
        <vt:i4>5</vt:i4>
      </vt:variant>
      <vt:variant>
        <vt:lpwstr>https://www.unisq.edu.au/current-students/support/safer-communities</vt:lpwstr>
      </vt:variant>
      <vt:variant>
        <vt:lpwstr/>
      </vt:variant>
      <vt:variant>
        <vt:i4>1310737</vt:i4>
      </vt:variant>
      <vt:variant>
        <vt:i4>0</vt:i4>
      </vt:variant>
      <vt:variant>
        <vt:i4>0</vt:i4>
      </vt:variant>
      <vt:variant>
        <vt:i4>5</vt:i4>
      </vt:variant>
      <vt:variant>
        <vt:lpwstr>https://www.unisq.edu.au/about-unisq/governance-leadership/strategic-plan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2025-12-01T05:42:00Z</cp:lastPrinted>
  <dcterms:created xsi:type="dcterms:W3CDTF">2025-11-23T23:26:00Z</dcterms:created>
  <dcterms:modified xsi:type="dcterms:W3CDTF">2025-12-17T04:45:00Z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