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6DCF43EC">
        <w:trPr>
          <w:cantSplit/>
        </w:trPr>
        <w:tc>
          <w:tcPr>
            <w:tcW w:w="5000" w:type="pct"/>
            <w:tcBorders>
              <w:bottom w:val="single" w:sz="4" w:space="0" w:color="auto"/>
            </w:tcBorders>
          </w:tcPr>
          <w:p w14:paraId="26FC6577" w14:textId="40D92CF5" w:rsidR="001B109C" w:rsidRPr="005D5DA9" w:rsidRDefault="001B109C" w:rsidP="005D5DA9">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5D5DA9">
              <w:t>UNIVERSITY OF NEW ENGLAND</w:t>
            </w:r>
          </w:p>
        </w:tc>
      </w:tr>
      <w:tr w:rsidR="001B109C" w:rsidRPr="00E41388" w14:paraId="2126955C" w14:textId="77777777" w:rsidTr="6DCF43EC">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6DCF43EC">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enter into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025EB2">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6DCF43EC">
        <w:trPr>
          <w:cantSplit/>
        </w:trPr>
        <w:tc>
          <w:tcPr>
            <w:tcW w:w="5000" w:type="pct"/>
          </w:tcPr>
          <w:p w14:paraId="43C124C8" w14:textId="55208677" w:rsidR="001B109C" w:rsidRPr="00E169EE" w:rsidRDefault="00F30BFA" w:rsidP="00F30BFA">
            <w:pPr>
              <w:pStyle w:val="Heading4"/>
              <w:keepLines w:val="0"/>
              <w:spacing w:before="180" w:after="60"/>
            </w:pPr>
            <w:r w:rsidRPr="00F30BFA">
              <w:lastRenderedPageBreak/>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6DCF43EC">
        <w:trPr>
          <w:cantSplit/>
          <w:trHeight w:val="1123"/>
        </w:trPr>
        <w:tc>
          <w:tcPr>
            <w:tcW w:w="5000" w:type="pct"/>
            <w:tcBorders>
              <w:bottom w:val="single" w:sz="4" w:space="0" w:color="auto"/>
            </w:tcBorders>
          </w:tcPr>
          <w:p w14:paraId="5186CF12" w14:textId="5956BC02" w:rsidR="0033483D" w:rsidRPr="00200208" w:rsidRDefault="00A941E2" w:rsidP="00025EB2">
            <w:pPr>
              <w:pStyle w:val="NormalIndent"/>
              <w:spacing w:before="0" w:after="0"/>
              <w:ind w:left="0"/>
              <w:rPr>
                <w:rFonts w:asciiTheme="minorHAnsi" w:hAnsiTheme="minorHAnsi" w:cstheme="minorHAnsi"/>
                <w:iCs/>
                <w:szCs w:val="22"/>
              </w:rPr>
            </w:pPr>
            <w:r w:rsidRPr="00200208">
              <w:rPr>
                <w:rFonts w:asciiTheme="minorHAnsi" w:hAnsiTheme="minorHAnsi" w:cstheme="minorHAnsi"/>
                <w:iCs/>
                <w:szCs w:val="22"/>
              </w:rPr>
              <w:t xml:space="preserve">In 2025, UNE </w:t>
            </w:r>
            <w:r w:rsidR="009A42B5" w:rsidRPr="00200208">
              <w:rPr>
                <w:rFonts w:asciiTheme="minorHAnsi" w:hAnsiTheme="minorHAnsi" w:cstheme="minorHAnsi"/>
                <w:iCs/>
                <w:szCs w:val="22"/>
              </w:rPr>
              <w:t>is</w:t>
            </w:r>
            <w:r w:rsidRPr="00200208">
              <w:rPr>
                <w:rFonts w:asciiTheme="minorHAnsi" w:hAnsiTheme="minorHAnsi" w:cstheme="minorHAnsi"/>
                <w:iCs/>
                <w:szCs w:val="22"/>
              </w:rPr>
              <w:t xml:space="preserve"> undertaking a strategic planning process. </w:t>
            </w:r>
            <w:r w:rsidR="009A42B5" w:rsidRPr="00200208">
              <w:rPr>
                <w:rFonts w:asciiTheme="minorHAnsi" w:hAnsiTheme="minorHAnsi" w:cstheme="minorHAnsi"/>
                <w:iCs/>
                <w:szCs w:val="22"/>
              </w:rPr>
              <w:t xml:space="preserve">It is anticipated that the </w:t>
            </w:r>
            <w:r w:rsidR="004D6AFB">
              <w:rPr>
                <w:rFonts w:asciiTheme="minorHAnsi" w:hAnsiTheme="minorHAnsi" w:cstheme="minorHAnsi"/>
                <w:iCs/>
                <w:szCs w:val="22"/>
              </w:rPr>
              <w:t>Un</w:t>
            </w:r>
            <w:r w:rsidR="009A42B5" w:rsidRPr="00200208">
              <w:rPr>
                <w:rFonts w:asciiTheme="minorHAnsi" w:hAnsiTheme="minorHAnsi" w:cstheme="minorHAnsi"/>
                <w:iCs/>
                <w:szCs w:val="22"/>
              </w:rPr>
              <w:t>iversity</w:t>
            </w:r>
            <w:r w:rsidR="004D6AFB">
              <w:rPr>
                <w:rFonts w:asciiTheme="minorHAnsi" w:hAnsiTheme="minorHAnsi" w:cstheme="minorHAnsi"/>
                <w:iCs/>
                <w:szCs w:val="22"/>
              </w:rPr>
              <w:t xml:space="preserve"> </w:t>
            </w:r>
            <w:r w:rsidR="009A42B5" w:rsidRPr="00200208">
              <w:rPr>
                <w:rFonts w:asciiTheme="minorHAnsi" w:hAnsiTheme="minorHAnsi" w:cstheme="minorHAnsi"/>
                <w:iCs/>
                <w:szCs w:val="22"/>
              </w:rPr>
              <w:t xml:space="preserve">Council </w:t>
            </w:r>
            <w:r w:rsidR="0007768D">
              <w:rPr>
                <w:rFonts w:asciiTheme="minorHAnsi" w:hAnsiTheme="minorHAnsi" w:cstheme="minorHAnsi"/>
                <w:iCs/>
                <w:szCs w:val="22"/>
              </w:rPr>
              <w:t xml:space="preserve">(UNE’s governing body) </w:t>
            </w:r>
            <w:r w:rsidR="009A42B5" w:rsidRPr="00200208">
              <w:rPr>
                <w:rFonts w:asciiTheme="minorHAnsi" w:hAnsiTheme="minorHAnsi" w:cstheme="minorHAnsi"/>
                <w:iCs/>
                <w:szCs w:val="22"/>
              </w:rPr>
              <w:t xml:space="preserve">will approve the new strategic plan at </w:t>
            </w:r>
            <w:r w:rsidR="00200208" w:rsidRPr="00200208">
              <w:rPr>
                <w:rFonts w:asciiTheme="minorHAnsi" w:hAnsiTheme="minorHAnsi" w:cstheme="minorHAnsi"/>
                <w:iCs/>
                <w:szCs w:val="22"/>
              </w:rPr>
              <w:t>its</w:t>
            </w:r>
            <w:r w:rsidR="009A42B5" w:rsidRPr="00200208">
              <w:rPr>
                <w:rFonts w:asciiTheme="minorHAnsi" w:hAnsiTheme="minorHAnsi" w:cstheme="minorHAnsi"/>
                <w:iCs/>
                <w:szCs w:val="22"/>
              </w:rPr>
              <w:t xml:space="preserve"> final 2025 meeting in December. </w:t>
            </w:r>
            <w:r w:rsidRPr="00200208">
              <w:rPr>
                <w:rFonts w:asciiTheme="minorHAnsi" w:hAnsiTheme="minorHAnsi" w:cstheme="minorHAnsi"/>
                <w:iCs/>
                <w:szCs w:val="22"/>
              </w:rPr>
              <w:t xml:space="preserve">The </w:t>
            </w:r>
            <w:r w:rsidR="009A42B5" w:rsidRPr="00200208">
              <w:rPr>
                <w:rFonts w:asciiTheme="minorHAnsi" w:hAnsiTheme="minorHAnsi" w:cstheme="minorHAnsi"/>
                <w:iCs/>
                <w:szCs w:val="22"/>
              </w:rPr>
              <w:t xml:space="preserve">new </w:t>
            </w:r>
            <w:r w:rsidRPr="00200208">
              <w:rPr>
                <w:rFonts w:asciiTheme="minorHAnsi" w:hAnsiTheme="minorHAnsi" w:cstheme="minorHAnsi"/>
                <w:iCs/>
                <w:szCs w:val="22"/>
              </w:rPr>
              <w:t>plan will replace the current strategi</w:t>
            </w:r>
            <w:r w:rsidR="009A42B5" w:rsidRPr="00200208">
              <w:rPr>
                <w:rFonts w:asciiTheme="minorHAnsi" w:hAnsiTheme="minorHAnsi" w:cstheme="minorHAnsi"/>
                <w:iCs/>
                <w:szCs w:val="22"/>
              </w:rPr>
              <w:t>c</w:t>
            </w:r>
            <w:r w:rsidRPr="00200208">
              <w:rPr>
                <w:rFonts w:asciiTheme="minorHAnsi" w:hAnsiTheme="minorHAnsi" w:cstheme="minorHAnsi"/>
                <w:iCs/>
                <w:szCs w:val="22"/>
              </w:rPr>
              <w:t xml:space="preserve"> plan and will focus on ensuring that UNE meets </w:t>
            </w:r>
            <w:r w:rsidR="003F7586" w:rsidRPr="00200208">
              <w:rPr>
                <w:rFonts w:asciiTheme="minorHAnsi" w:hAnsiTheme="minorHAnsi" w:cstheme="minorHAnsi"/>
                <w:iCs/>
                <w:szCs w:val="22"/>
              </w:rPr>
              <w:t xml:space="preserve">its enduring mission as a regional university, and the emergent needs of its </w:t>
            </w:r>
            <w:r w:rsidR="009A42B5" w:rsidRPr="00200208">
              <w:rPr>
                <w:rFonts w:asciiTheme="minorHAnsi" w:hAnsiTheme="minorHAnsi" w:cstheme="minorHAnsi"/>
                <w:iCs/>
                <w:szCs w:val="22"/>
              </w:rPr>
              <w:t>stakeholders.</w:t>
            </w:r>
            <w:r w:rsidR="008B19D2" w:rsidRPr="00200208">
              <w:rPr>
                <w:rFonts w:asciiTheme="minorHAnsi" w:hAnsiTheme="minorHAnsi" w:cstheme="minorHAnsi"/>
                <w:iCs/>
                <w:szCs w:val="22"/>
              </w:rPr>
              <w:t xml:space="preserve"> Until that time UNE continues to operate under its current strategic plan</w:t>
            </w:r>
            <w:r w:rsidR="00200208">
              <w:rPr>
                <w:rFonts w:asciiTheme="minorHAnsi" w:hAnsiTheme="minorHAnsi" w:cstheme="minorHAnsi"/>
                <w:iCs/>
                <w:szCs w:val="22"/>
              </w:rPr>
              <w:t>. This c</w:t>
            </w:r>
            <w:r w:rsidR="008B19D2" w:rsidRPr="00200208">
              <w:rPr>
                <w:rFonts w:asciiTheme="minorHAnsi" w:hAnsiTheme="minorHAnsi" w:cstheme="minorHAnsi"/>
                <w:iCs/>
                <w:szCs w:val="22"/>
              </w:rPr>
              <w:t xml:space="preserve">an be reviewed at the following link: </w:t>
            </w:r>
          </w:p>
          <w:p w14:paraId="3C525434" w14:textId="077E9364" w:rsidR="008B19D2" w:rsidRPr="00200208" w:rsidRDefault="00E20027" w:rsidP="00025EB2">
            <w:pPr>
              <w:pStyle w:val="NormalIndent"/>
              <w:spacing w:before="0" w:after="0"/>
              <w:ind w:left="0"/>
              <w:rPr>
                <w:rFonts w:asciiTheme="minorHAnsi" w:hAnsiTheme="minorHAnsi" w:cstheme="minorHAnsi"/>
                <w:iCs/>
                <w:szCs w:val="22"/>
              </w:rPr>
            </w:pPr>
            <w:hyperlink r:id="rId15" w:history="1">
              <w:r w:rsidRPr="00200208">
                <w:rPr>
                  <w:rStyle w:val="Hyperlink"/>
                  <w:rFonts w:asciiTheme="minorHAnsi" w:hAnsiTheme="minorHAnsi" w:cstheme="minorHAnsi"/>
                  <w:iCs/>
                  <w:szCs w:val="22"/>
                </w:rPr>
                <w:t>https://www.une.edu.au/strategic-plan</w:t>
              </w:r>
            </w:hyperlink>
          </w:p>
          <w:p w14:paraId="73059063" w14:textId="77777777" w:rsidR="0099280E" w:rsidRPr="00200208" w:rsidRDefault="0099280E" w:rsidP="00200208">
            <w:pPr>
              <w:pStyle w:val="NormalIndent"/>
              <w:spacing w:after="0"/>
              <w:ind w:left="0"/>
              <w:rPr>
                <w:rFonts w:asciiTheme="minorHAnsi" w:hAnsiTheme="minorHAnsi" w:cstheme="minorHAnsi"/>
                <w:iCs/>
                <w:szCs w:val="22"/>
              </w:rPr>
            </w:pPr>
            <w:r w:rsidRPr="00200208">
              <w:rPr>
                <w:rFonts w:asciiTheme="minorHAnsi" w:hAnsiTheme="minorHAnsi" w:cstheme="minorHAnsi"/>
                <w:iCs/>
                <w:szCs w:val="22"/>
              </w:rPr>
              <w:t xml:space="preserve"> The University of New England’s (UNE) 2021-2030 Strategic Plan outlines three overarching goals:</w:t>
            </w:r>
          </w:p>
          <w:p w14:paraId="37811D7A" w14:textId="77777777"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t xml:space="preserve">To provide personalised learning journeys for our students which are distinctive in their accessibility and </w:t>
            </w:r>
            <w:proofErr w:type="gramStart"/>
            <w:r w:rsidRPr="00200208">
              <w:rPr>
                <w:rFonts w:asciiTheme="minorHAnsi" w:hAnsiTheme="minorHAnsi" w:cstheme="minorHAnsi"/>
                <w:iCs/>
                <w:szCs w:val="22"/>
              </w:rPr>
              <w:t>flexibility;</w:t>
            </w:r>
            <w:proofErr w:type="gramEnd"/>
          </w:p>
          <w:p w14:paraId="6F54A05E" w14:textId="77777777"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t>To empower our communities by creating and sharing knowledge to make a difference locally, regionally and globally; and</w:t>
            </w:r>
          </w:p>
          <w:p w14:paraId="1C992831" w14:textId="77777777"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t>To build resilience by committing to environmental, social and financial resilience for the University, our staff, our students and our communities.</w:t>
            </w:r>
          </w:p>
          <w:p w14:paraId="090538D2" w14:textId="225BEF59" w:rsidR="0099280E" w:rsidRPr="00200208" w:rsidRDefault="0099280E" w:rsidP="0099280E">
            <w:pPr>
              <w:pStyle w:val="NormalIndent"/>
              <w:spacing w:after="0"/>
              <w:ind w:left="0"/>
              <w:rPr>
                <w:rFonts w:asciiTheme="minorHAnsi" w:hAnsiTheme="minorHAnsi" w:cstheme="minorHAnsi"/>
                <w:iCs/>
                <w:szCs w:val="22"/>
              </w:rPr>
            </w:pPr>
            <w:r w:rsidRPr="00200208">
              <w:rPr>
                <w:rFonts w:asciiTheme="minorHAnsi" w:hAnsiTheme="minorHAnsi" w:cstheme="minorHAnsi"/>
                <w:iCs/>
                <w:szCs w:val="22"/>
              </w:rPr>
              <w:t>Progress towards each goal is monitored against a series of key result areas which track the long- term performance and health of the organisation. Performance is benchmarked against the sector and comparator group norms. This information is reviewed on a regular basis throughout the year</w:t>
            </w:r>
            <w:r w:rsidR="0007768D">
              <w:rPr>
                <w:rFonts w:asciiTheme="minorHAnsi" w:hAnsiTheme="minorHAnsi" w:cstheme="minorHAnsi"/>
                <w:iCs/>
                <w:szCs w:val="22"/>
              </w:rPr>
              <w:t xml:space="preserve">, by UNE’s Executive and Council. </w:t>
            </w:r>
            <w:r w:rsidRPr="00200208">
              <w:rPr>
                <w:rFonts w:asciiTheme="minorHAnsi" w:hAnsiTheme="minorHAnsi" w:cstheme="minorHAnsi"/>
                <w:iCs/>
                <w:szCs w:val="22"/>
              </w:rPr>
              <w:t xml:space="preserve">The </w:t>
            </w:r>
            <w:r w:rsidR="00F45BEE">
              <w:rPr>
                <w:rFonts w:asciiTheme="minorHAnsi" w:hAnsiTheme="minorHAnsi" w:cstheme="minorHAnsi"/>
                <w:iCs/>
                <w:szCs w:val="22"/>
              </w:rPr>
              <w:t>2025-28</w:t>
            </w:r>
            <w:r w:rsidRPr="00200208">
              <w:rPr>
                <w:rFonts w:asciiTheme="minorHAnsi" w:hAnsiTheme="minorHAnsi" w:cstheme="minorHAnsi"/>
                <w:iCs/>
                <w:szCs w:val="22"/>
              </w:rPr>
              <w:t xml:space="preserve"> Business Plan sets an agenda which focuses the immediate attention of the university on four critical priorities which</w:t>
            </w:r>
            <w:r w:rsidR="00F45BEE">
              <w:rPr>
                <w:rFonts w:asciiTheme="minorHAnsi" w:hAnsiTheme="minorHAnsi" w:cstheme="minorHAnsi"/>
                <w:iCs/>
                <w:szCs w:val="22"/>
              </w:rPr>
              <w:t xml:space="preserve"> were established in 2024. </w:t>
            </w:r>
            <w:r w:rsidRPr="00200208">
              <w:rPr>
                <w:rFonts w:asciiTheme="minorHAnsi" w:hAnsiTheme="minorHAnsi" w:cstheme="minorHAnsi"/>
                <w:iCs/>
                <w:szCs w:val="22"/>
              </w:rPr>
              <w:t xml:space="preserve"> </w:t>
            </w:r>
            <w:r w:rsidR="00F45BEE">
              <w:rPr>
                <w:rFonts w:asciiTheme="minorHAnsi" w:hAnsiTheme="minorHAnsi" w:cstheme="minorHAnsi"/>
                <w:iCs/>
                <w:szCs w:val="22"/>
              </w:rPr>
              <w:t>These</w:t>
            </w:r>
            <w:r w:rsidRPr="00200208">
              <w:rPr>
                <w:rFonts w:asciiTheme="minorHAnsi" w:hAnsiTheme="minorHAnsi" w:cstheme="minorHAnsi"/>
                <w:iCs/>
                <w:szCs w:val="22"/>
              </w:rPr>
              <w:t xml:space="preserve"> are:</w:t>
            </w:r>
          </w:p>
          <w:p w14:paraId="286183D7" w14:textId="77777777"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t>Increasing student enrolments and improving retention</w:t>
            </w:r>
          </w:p>
          <w:p w14:paraId="400BA7BF" w14:textId="77777777"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t>Staff satisfaction and safety at work</w:t>
            </w:r>
          </w:p>
          <w:p w14:paraId="1A2F1FA8" w14:textId="77777777"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t>Meeting our critical regulatory and compliance obligations</w:t>
            </w:r>
          </w:p>
          <w:p w14:paraId="1CDE3EA2" w14:textId="77777777"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t>Managing risk in our critical infrastructure.</w:t>
            </w:r>
          </w:p>
          <w:p w14:paraId="15159516" w14:textId="77777777" w:rsidR="0099280E" w:rsidRPr="00200208" w:rsidRDefault="0099280E" w:rsidP="00F45BEE">
            <w:pPr>
              <w:pStyle w:val="NormalIndent"/>
              <w:spacing w:after="0"/>
              <w:ind w:left="0"/>
              <w:rPr>
                <w:rFonts w:asciiTheme="minorHAnsi" w:hAnsiTheme="minorHAnsi" w:cstheme="minorHAnsi"/>
                <w:iCs/>
                <w:szCs w:val="22"/>
              </w:rPr>
            </w:pPr>
            <w:r w:rsidRPr="00200208">
              <w:rPr>
                <w:rFonts w:asciiTheme="minorHAnsi" w:hAnsiTheme="minorHAnsi" w:cstheme="minorHAnsi"/>
                <w:iCs/>
                <w:szCs w:val="22"/>
              </w:rPr>
              <w:t xml:space="preserve">The Business Plan is set in the context of a planning, performance and risk management framework and will be reviewed and refreshed annually </w:t>
            </w:r>
            <w:proofErr w:type="gramStart"/>
            <w:r w:rsidRPr="00200208">
              <w:rPr>
                <w:rFonts w:asciiTheme="minorHAnsi" w:hAnsiTheme="minorHAnsi" w:cstheme="minorHAnsi"/>
                <w:iCs/>
                <w:szCs w:val="22"/>
              </w:rPr>
              <w:t>in light of</w:t>
            </w:r>
            <w:proofErr w:type="gramEnd"/>
            <w:r w:rsidRPr="00200208">
              <w:rPr>
                <w:rFonts w:asciiTheme="minorHAnsi" w:hAnsiTheme="minorHAnsi" w:cstheme="minorHAnsi"/>
                <w:iCs/>
                <w:szCs w:val="22"/>
              </w:rPr>
              <w:t xml:space="preserve"> performance and environmental changes.</w:t>
            </w:r>
          </w:p>
          <w:p w14:paraId="7805245C" w14:textId="77777777" w:rsidR="0099280E" w:rsidRPr="00200208" w:rsidRDefault="0099280E" w:rsidP="00F45BEE">
            <w:pPr>
              <w:pStyle w:val="NormalIndent"/>
              <w:spacing w:after="0"/>
              <w:ind w:left="0"/>
              <w:rPr>
                <w:rFonts w:asciiTheme="minorHAnsi" w:hAnsiTheme="minorHAnsi" w:cstheme="minorHAnsi"/>
                <w:iCs/>
                <w:szCs w:val="22"/>
              </w:rPr>
            </w:pPr>
            <w:r w:rsidRPr="00200208">
              <w:rPr>
                <w:rFonts w:asciiTheme="minorHAnsi" w:hAnsiTheme="minorHAnsi" w:cstheme="minorHAnsi"/>
                <w:iCs/>
                <w:szCs w:val="22"/>
              </w:rPr>
              <w:t>In relation to national and sector priorities, UNE ensures that these are a core component of the way in which we deliver education and undertake research. For information on specific sector- wide issues, the following links provide detailed information in relation to how UNE addresses these in its policy framework:</w:t>
            </w:r>
          </w:p>
          <w:p w14:paraId="7850E68A" w14:textId="5D50C70E"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r>
            <w:hyperlink r:id="rId16" w:history="1">
              <w:r w:rsidRPr="001739D1">
                <w:rPr>
                  <w:rStyle w:val="Hyperlink"/>
                  <w:rFonts w:asciiTheme="minorHAnsi" w:hAnsiTheme="minorHAnsi" w:cstheme="minorHAnsi"/>
                  <w:iCs/>
                  <w:szCs w:val="22"/>
                </w:rPr>
                <w:t>Code of Conduct</w:t>
              </w:r>
            </w:hyperlink>
          </w:p>
          <w:p w14:paraId="52A9258E" w14:textId="197554BA"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r>
            <w:hyperlink r:id="rId17" w:history="1">
              <w:r w:rsidRPr="00235156">
                <w:rPr>
                  <w:rStyle w:val="Hyperlink"/>
                  <w:rFonts w:asciiTheme="minorHAnsi" w:hAnsiTheme="minorHAnsi" w:cstheme="minorHAnsi"/>
                  <w:iCs/>
                  <w:szCs w:val="22"/>
                </w:rPr>
                <w:t>Student Support Policy</w:t>
              </w:r>
            </w:hyperlink>
          </w:p>
          <w:p w14:paraId="3E12A84E" w14:textId="25915699"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r>
            <w:hyperlink r:id="rId18" w:history="1">
              <w:r w:rsidRPr="00AD1FA0">
                <w:rPr>
                  <w:rStyle w:val="Hyperlink"/>
                  <w:rFonts w:asciiTheme="minorHAnsi" w:hAnsiTheme="minorHAnsi" w:cstheme="minorHAnsi"/>
                  <w:iCs/>
                  <w:szCs w:val="22"/>
                </w:rPr>
                <w:t>Sexual Harm and Harassment Prevention and Response Policy</w:t>
              </w:r>
            </w:hyperlink>
          </w:p>
          <w:p w14:paraId="6CCF8B81" w14:textId="2CEB78B2"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r>
            <w:hyperlink r:id="rId19" w:history="1">
              <w:r w:rsidRPr="00F42938">
                <w:rPr>
                  <w:rStyle w:val="Hyperlink"/>
                  <w:rFonts w:asciiTheme="minorHAnsi" w:hAnsiTheme="minorHAnsi" w:cstheme="minorHAnsi"/>
                  <w:iCs/>
                  <w:szCs w:val="22"/>
                </w:rPr>
                <w:t>Foreign Interference and transparency in foreign relations</w:t>
              </w:r>
            </w:hyperlink>
          </w:p>
          <w:p w14:paraId="7127C587" w14:textId="0CF1EE08"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r>
            <w:hyperlink r:id="rId20" w:history="1">
              <w:r w:rsidRPr="00947EEC">
                <w:rPr>
                  <w:rStyle w:val="Hyperlink"/>
                  <w:rFonts w:asciiTheme="minorHAnsi" w:hAnsiTheme="minorHAnsi" w:cstheme="minorHAnsi"/>
                  <w:iCs/>
                  <w:szCs w:val="22"/>
                </w:rPr>
                <w:t>Cyber and Data security</w:t>
              </w:r>
            </w:hyperlink>
            <w:r w:rsidRPr="00200208">
              <w:rPr>
                <w:rFonts w:asciiTheme="minorHAnsi" w:hAnsiTheme="minorHAnsi" w:cstheme="minorHAnsi"/>
                <w:iCs/>
                <w:szCs w:val="22"/>
              </w:rPr>
              <w:t xml:space="preserve"> </w:t>
            </w:r>
          </w:p>
          <w:p w14:paraId="1DD1BB04" w14:textId="68B85010"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r>
            <w:hyperlink r:id="rId21" w:history="1">
              <w:r w:rsidRPr="00146AD1">
                <w:rPr>
                  <w:rStyle w:val="Hyperlink"/>
                  <w:rFonts w:asciiTheme="minorHAnsi" w:hAnsiTheme="minorHAnsi" w:cstheme="minorHAnsi"/>
                  <w:iCs/>
                  <w:szCs w:val="22"/>
                </w:rPr>
                <w:t>Freedom of Speech and Academic Freedom Statement</w:t>
              </w:r>
            </w:hyperlink>
          </w:p>
          <w:p w14:paraId="12003C62" w14:textId="5567F009" w:rsidR="0099280E" w:rsidRPr="00200208" w:rsidRDefault="0099280E" w:rsidP="0099280E">
            <w:pPr>
              <w:pStyle w:val="NormalIndent"/>
              <w:spacing w:after="0"/>
              <w:rPr>
                <w:rFonts w:asciiTheme="minorHAnsi" w:hAnsiTheme="minorHAnsi" w:cstheme="minorHAnsi"/>
                <w:iCs/>
                <w:szCs w:val="22"/>
              </w:rPr>
            </w:pPr>
            <w:r w:rsidRPr="00200208">
              <w:rPr>
                <w:rFonts w:asciiTheme="minorHAnsi" w:hAnsiTheme="minorHAnsi" w:cstheme="minorHAnsi"/>
                <w:iCs/>
                <w:szCs w:val="22"/>
              </w:rPr>
              <w:t>-</w:t>
            </w:r>
            <w:r w:rsidRPr="00200208">
              <w:rPr>
                <w:rFonts w:asciiTheme="minorHAnsi" w:hAnsiTheme="minorHAnsi" w:cstheme="minorHAnsi"/>
                <w:iCs/>
                <w:szCs w:val="22"/>
              </w:rPr>
              <w:tab/>
            </w:r>
            <w:hyperlink r:id="rId22" w:history="1">
              <w:r w:rsidRPr="00561EB1">
                <w:rPr>
                  <w:rStyle w:val="Hyperlink"/>
                  <w:rFonts w:asciiTheme="minorHAnsi" w:hAnsiTheme="minorHAnsi" w:cstheme="minorHAnsi"/>
                  <w:iCs/>
                  <w:szCs w:val="22"/>
                </w:rPr>
                <w:t>Freedom of Speech and Academic Freedom Policy</w:t>
              </w:r>
            </w:hyperlink>
          </w:p>
          <w:p w14:paraId="2C91A87B" w14:textId="374A9E0D" w:rsidR="001B109C" w:rsidRPr="00200208" w:rsidRDefault="0099280E" w:rsidP="00025EB2">
            <w:pPr>
              <w:pStyle w:val="NormalIndent"/>
              <w:spacing w:before="0" w:after="0"/>
              <w:ind w:left="0"/>
              <w:rPr>
                <w:rFonts w:asciiTheme="minorHAnsi" w:hAnsiTheme="minorHAnsi" w:cstheme="minorHAnsi"/>
                <w:iCs/>
                <w:szCs w:val="22"/>
              </w:rPr>
            </w:pPr>
            <w:r w:rsidRPr="00200208">
              <w:rPr>
                <w:rFonts w:asciiTheme="minorHAnsi" w:hAnsiTheme="minorHAnsi" w:cstheme="minorHAnsi"/>
                <w:iCs/>
                <w:szCs w:val="22"/>
              </w:rPr>
              <w:t>These policies are reviewed as part of UNE’s standard governance and quality assurance processes.</w:t>
            </w:r>
          </w:p>
        </w:tc>
      </w:tr>
      <w:tr w:rsidR="001B109C" w:rsidRPr="00E41388" w14:paraId="0EA45E0C" w14:textId="77777777" w:rsidTr="6DCF43EC">
        <w:trPr>
          <w:cantSplit/>
        </w:trPr>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6DCF43EC">
        <w:trPr>
          <w:cantSplit/>
        </w:trPr>
        <w:tc>
          <w:tcPr>
            <w:tcW w:w="5000" w:type="pct"/>
          </w:tcPr>
          <w:p w14:paraId="559BB863" w14:textId="75C5E173" w:rsidR="007B76AD" w:rsidRPr="007B76AD" w:rsidRDefault="007B76AD" w:rsidP="007B76AD">
            <w:pPr>
              <w:pStyle w:val="NormalIndent"/>
              <w:spacing w:after="0"/>
              <w:ind w:left="0"/>
              <w:rPr>
                <w:rFonts w:asciiTheme="minorHAnsi" w:hAnsiTheme="minorHAnsi" w:cstheme="minorHAnsi"/>
                <w:iCs/>
                <w:szCs w:val="22"/>
              </w:rPr>
            </w:pPr>
            <w:bookmarkStart w:id="0" w:name="_Hlk150338733"/>
            <w:bookmarkStart w:id="1" w:name="_Hlk150338471"/>
            <w:r w:rsidRPr="007B76AD">
              <w:rPr>
                <w:rFonts w:asciiTheme="minorHAnsi" w:hAnsiTheme="minorHAnsi" w:cstheme="minorHAnsi"/>
                <w:iCs/>
                <w:szCs w:val="22"/>
              </w:rPr>
              <w:t>The University of New England remains steadfast in its foundational mission to serve regional Australia and provide educational opportunities for those who would not otherwise have access to university education. UNE's emerging strategic vision positions the university as an active partner in community success, connecting individual aspirations directly to community outcomes</w:t>
            </w:r>
            <w:r w:rsidR="00DB0CAD">
              <w:rPr>
                <w:rFonts w:asciiTheme="minorHAnsi" w:hAnsiTheme="minorHAnsi" w:cstheme="minorHAnsi"/>
                <w:iCs/>
                <w:szCs w:val="22"/>
              </w:rPr>
              <w:t>.</w:t>
            </w:r>
            <w:r w:rsidRPr="007B76AD">
              <w:rPr>
                <w:rFonts w:asciiTheme="minorHAnsi" w:hAnsiTheme="minorHAnsi" w:cstheme="minorHAnsi"/>
                <w:iCs/>
                <w:szCs w:val="22"/>
              </w:rPr>
              <w:t xml:space="preserve"> </w:t>
            </w:r>
          </w:p>
          <w:p w14:paraId="51FD85A1" w14:textId="485FC6E0" w:rsidR="007B76AD" w:rsidRPr="007B76AD" w:rsidRDefault="007B76AD" w:rsidP="007B76AD">
            <w:pPr>
              <w:pStyle w:val="NormalIndent"/>
              <w:spacing w:after="0"/>
              <w:ind w:left="0"/>
              <w:rPr>
                <w:rFonts w:asciiTheme="minorHAnsi" w:hAnsiTheme="minorHAnsi" w:cstheme="minorHAnsi"/>
                <w:iCs/>
                <w:szCs w:val="22"/>
              </w:rPr>
            </w:pPr>
            <w:r w:rsidRPr="00DB0CAD">
              <w:rPr>
                <w:rFonts w:asciiTheme="minorHAnsi" w:hAnsiTheme="minorHAnsi" w:cstheme="minorHAnsi"/>
                <w:b/>
                <w:bCs/>
                <w:iCs/>
                <w:szCs w:val="22"/>
              </w:rPr>
              <w:t>Pathways</w:t>
            </w:r>
            <w:r w:rsidRPr="007B76AD">
              <w:rPr>
                <w:rFonts w:asciiTheme="minorHAnsi" w:hAnsiTheme="minorHAnsi" w:cstheme="minorHAnsi"/>
                <w:iCs/>
                <w:szCs w:val="22"/>
              </w:rPr>
              <w:t xml:space="preserve">: Our equity framework begins with transparent and supportive admissions processes, as outlined in our </w:t>
            </w:r>
            <w:hyperlink r:id="rId23" w:history="1">
              <w:r w:rsidRPr="00DB0CAD">
                <w:rPr>
                  <w:rStyle w:val="Hyperlink"/>
                  <w:rFonts w:asciiTheme="minorHAnsi" w:hAnsiTheme="minorHAnsi" w:cstheme="minorHAnsi"/>
                  <w:iCs/>
                  <w:szCs w:val="22"/>
                </w:rPr>
                <w:t>Admissions, Credit and Enrolment Policy</w:t>
              </w:r>
            </w:hyperlink>
            <w:r w:rsidRPr="007B76AD">
              <w:rPr>
                <w:rFonts w:asciiTheme="minorHAnsi" w:hAnsiTheme="minorHAnsi" w:cstheme="minorHAnsi"/>
                <w:iCs/>
                <w:szCs w:val="22"/>
              </w:rPr>
              <w:t>, ensuring prospective students receive appropriate guidance about their educational journey from first contact through graduation. To strengthen this pathway, our Higher Education Continuity Grant</w:t>
            </w:r>
            <w:r w:rsidR="00DB0CAD">
              <w:rPr>
                <w:rFonts w:asciiTheme="minorHAnsi" w:hAnsiTheme="minorHAnsi" w:cstheme="minorHAnsi"/>
                <w:iCs/>
                <w:szCs w:val="22"/>
              </w:rPr>
              <w:t xml:space="preserve"> (HECG)</w:t>
            </w:r>
            <w:r w:rsidRPr="007B76AD">
              <w:rPr>
                <w:rFonts w:asciiTheme="minorHAnsi" w:hAnsiTheme="minorHAnsi" w:cstheme="minorHAnsi"/>
                <w:iCs/>
                <w:szCs w:val="22"/>
              </w:rPr>
              <w:t xml:space="preserve"> investment includes development of AI-customised support systems for the critical "offer to enrolment" transition, providing personalised guidance to help prospective students navigate admission, course selection, and enrolment processes—particularly benefiting first-in-family and regional students who may lack traditional support networks.</w:t>
            </w:r>
          </w:p>
          <w:p w14:paraId="05FC5F43" w14:textId="3778E095" w:rsidR="007B76AD" w:rsidRPr="007B76AD" w:rsidRDefault="007D0345" w:rsidP="007B76AD">
            <w:pPr>
              <w:pStyle w:val="NormalIndent"/>
              <w:spacing w:after="0"/>
              <w:ind w:left="0"/>
              <w:rPr>
                <w:rFonts w:asciiTheme="minorHAnsi" w:hAnsiTheme="minorHAnsi" w:cstheme="minorHAnsi"/>
                <w:iCs/>
                <w:szCs w:val="22"/>
              </w:rPr>
            </w:pPr>
            <w:r>
              <w:rPr>
                <w:rFonts w:asciiTheme="minorHAnsi" w:hAnsiTheme="minorHAnsi" w:cstheme="minorHAnsi"/>
                <w:iCs/>
                <w:szCs w:val="22"/>
              </w:rPr>
              <w:t>UNE is undertaking</w:t>
            </w:r>
            <w:r w:rsidR="007B76AD" w:rsidRPr="007B76AD">
              <w:rPr>
                <w:rFonts w:asciiTheme="minorHAnsi" w:hAnsiTheme="minorHAnsi" w:cstheme="minorHAnsi"/>
                <w:iCs/>
                <w:szCs w:val="22"/>
              </w:rPr>
              <w:t xml:space="preserve"> a significant expansion of our Foundation Studies (FFUR) program which will adopt a non-deficit approach and deliver tailored </w:t>
            </w:r>
            <w:r w:rsidR="00183423">
              <w:rPr>
                <w:rFonts w:asciiTheme="minorHAnsi" w:hAnsiTheme="minorHAnsi" w:cstheme="minorHAnsi"/>
                <w:iCs/>
                <w:szCs w:val="22"/>
              </w:rPr>
              <w:t xml:space="preserve">university </w:t>
            </w:r>
            <w:r>
              <w:rPr>
                <w:rFonts w:asciiTheme="minorHAnsi" w:hAnsiTheme="minorHAnsi" w:cstheme="minorHAnsi"/>
                <w:iCs/>
                <w:szCs w:val="22"/>
              </w:rPr>
              <w:t>preparation to</w:t>
            </w:r>
            <w:r w:rsidR="007B76AD" w:rsidRPr="007B76AD">
              <w:rPr>
                <w:rFonts w:asciiTheme="minorHAnsi" w:hAnsiTheme="minorHAnsi" w:cstheme="minorHAnsi"/>
                <w:iCs/>
                <w:szCs w:val="22"/>
              </w:rPr>
              <w:t xml:space="preserve"> non-traditional learner</w:t>
            </w:r>
            <w:r w:rsidR="00183423">
              <w:rPr>
                <w:rFonts w:asciiTheme="minorHAnsi" w:hAnsiTheme="minorHAnsi" w:cstheme="minorHAnsi"/>
                <w:iCs/>
                <w:szCs w:val="22"/>
              </w:rPr>
              <w:t>s</w:t>
            </w:r>
            <w:r w:rsidR="007B76AD" w:rsidRPr="007B76AD">
              <w:rPr>
                <w:rFonts w:asciiTheme="minorHAnsi" w:hAnsiTheme="minorHAnsi" w:cstheme="minorHAnsi"/>
                <w:iCs/>
                <w:szCs w:val="22"/>
              </w:rPr>
              <w:t xml:space="preserve">. We aim to grow this fee-free pathway from 65 EFTSL in 2024 to 85 EFTSL in 2025 and </w:t>
            </w:r>
            <w:r w:rsidR="00713ADA">
              <w:rPr>
                <w:rFonts w:asciiTheme="minorHAnsi" w:hAnsiTheme="minorHAnsi" w:cstheme="minorHAnsi"/>
                <w:iCs/>
                <w:szCs w:val="22"/>
              </w:rPr>
              <w:t>170</w:t>
            </w:r>
            <w:r w:rsidR="007B76AD" w:rsidRPr="007B76AD">
              <w:rPr>
                <w:rFonts w:asciiTheme="minorHAnsi" w:hAnsiTheme="minorHAnsi" w:cstheme="minorHAnsi"/>
                <w:iCs/>
                <w:szCs w:val="22"/>
              </w:rPr>
              <w:t xml:space="preserve"> EFTSL in 2026</w:t>
            </w:r>
            <w:r w:rsidR="00183423">
              <w:rPr>
                <w:rFonts w:asciiTheme="minorHAnsi" w:hAnsiTheme="minorHAnsi" w:cstheme="minorHAnsi"/>
                <w:iCs/>
                <w:szCs w:val="22"/>
              </w:rPr>
              <w:t xml:space="preserve">. </w:t>
            </w:r>
          </w:p>
          <w:p w14:paraId="3DDF44CA" w14:textId="2BB4C287" w:rsidR="007B76AD" w:rsidRPr="007B76AD" w:rsidRDefault="007B76AD" w:rsidP="007B76AD">
            <w:pPr>
              <w:pStyle w:val="NormalIndent"/>
              <w:spacing w:after="0"/>
              <w:ind w:left="0"/>
              <w:rPr>
                <w:rFonts w:asciiTheme="minorHAnsi" w:hAnsiTheme="minorHAnsi" w:cstheme="minorHAnsi"/>
                <w:iCs/>
                <w:szCs w:val="22"/>
              </w:rPr>
            </w:pPr>
            <w:r w:rsidRPr="00183423">
              <w:rPr>
                <w:rFonts w:asciiTheme="minorHAnsi" w:hAnsiTheme="minorHAnsi" w:cstheme="minorHAnsi"/>
                <w:b/>
                <w:bCs/>
                <w:iCs/>
                <w:szCs w:val="22"/>
              </w:rPr>
              <w:t>Proactive supports</w:t>
            </w:r>
            <w:r w:rsidRPr="007B76AD">
              <w:rPr>
                <w:rFonts w:asciiTheme="minorHAnsi" w:hAnsiTheme="minorHAnsi" w:cstheme="minorHAnsi"/>
                <w:iCs/>
                <w:szCs w:val="22"/>
              </w:rPr>
              <w:t xml:space="preserve">: Once students have commenced with UNE, comprehensive support mechanisms ensure those needing assistance are quickly identified and supported. </w:t>
            </w:r>
            <w:r w:rsidR="00AA2658">
              <w:rPr>
                <w:rFonts w:asciiTheme="minorHAnsi" w:hAnsiTheme="minorHAnsi" w:cstheme="minorHAnsi"/>
                <w:iCs/>
                <w:szCs w:val="22"/>
              </w:rPr>
              <w:t xml:space="preserve">UNE’s </w:t>
            </w:r>
            <w:r w:rsidR="00AA2658" w:rsidRPr="007B76AD">
              <w:rPr>
                <w:rFonts w:asciiTheme="minorHAnsi" w:hAnsiTheme="minorHAnsi" w:cstheme="minorHAnsi"/>
                <w:iCs/>
                <w:szCs w:val="22"/>
              </w:rPr>
              <w:t>Atrium</w:t>
            </w:r>
            <w:r w:rsidRPr="007B76AD">
              <w:rPr>
                <w:rFonts w:asciiTheme="minorHAnsi" w:hAnsiTheme="minorHAnsi" w:cstheme="minorHAnsi"/>
                <w:iCs/>
                <w:szCs w:val="22"/>
              </w:rPr>
              <w:t xml:space="preserve"> platform identifies students at risk based on demographic and equity characteristics, enabling targeted interventions. This system has already demonstrated substantial impact for identified at-risk cohorts from 2024 to 2025. Development of Atrium will continue in 2026 with a focus on increasing spread and volume of indicators through which early identification of at-risk students </w:t>
            </w:r>
            <w:r w:rsidR="00EC3D72" w:rsidRPr="007B76AD">
              <w:rPr>
                <w:rFonts w:asciiTheme="minorHAnsi" w:hAnsiTheme="minorHAnsi" w:cstheme="minorHAnsi"/>
                <w:iCs/>
                <w:szCs w:val="22"/>
              </w:rPr>
              <w:t>occurs and</w:t>
            </w:r>
            <w:r w:rsidRPr="007B76AD">
              <w:rPr>
                <w:rFonts w:asciiTheme="minorHAnsi" w:hAnsiTheme="minorHAnsi" w:cstheme="minorHAnsi"/>
                <w:iCs/>
                <w:szCs w:val="22"/>
              </w:rPr>
              <w:t xml:space="preserve"> extending the number of UNE support services that are able to utilise real-time identification metrics.</w:t>
            </w:r>
          </w:p>
          <w:p w14:paraId="395EBCBE" w14:textId="5059ACA4" w:rsidR="007B76AD" w:rsidRPr="007B76AD" w:rsidRDefault="007B76AD" w:rsidP="007B76AD">
            <w:pPr>
              <w:pStyle w:val="NormalIndent"/>
              <w:spacing w:after="0"/>
              <w:ind w:left="0"/>
              <w:rPr>
                <w:rFonts w:asciiTheme="minorHAnsi" w:hAnsiTheme="minorHAnsi" w:cstheme="minorHAnsi"/>
                <w:iCs/>
                <w:szCs w:val="22"/>
              </w:rPr>
            </w:pPr>
            <w:r w:rsidRPr="00B13614">
              <w:rPr>
                <w:rFonts w:asciiTheme="minorHAnsi" w:hAnsiTheme="minorHAnsi" w:cstheme="minorHAnsi"/>
                <w:b/>
                <w:bCs/>
                <w:iCs/>
                <w:szCs w:val="22"/>
              </w:rPr>
              <w:t>Our commitment to regional and low socioeconomic status students</w:t>
            </w:r>
            <w:r w:rsidR="000E6800" w:rsidRPr="00B13614">
              <w:rPr>
                <w:rFonts w:asciiTheme="minorHAnsi" w:hAnsiTheme="minorHAnsi" w:cstheme="minorHAnsi"/>
                <w:b/>
                <w:bCs/>
                <w:iCs/>
                <w:szCs w:val="22"/>
              </w:rPr>
              <w:t>:</w:t>
            </w:r>
            <w:r w:rsidR="000E6800">
              <w:rPr>
                <w:rFonts w:asciiTheme="minorHAnsi" w:hAnsiTheme="minorHAnsi" w:cstheme="minorHAnsi"/>
                <w:iCs/>
                <w:szCs w:val="22"/>
              </w:rPr>
              <w:t xml:space="preserve"> </w:t>
            </w:r>
            <w:r w:rsidRPr="007B76AD">
              <w:rPr>
                <w:rFonts w:asciiTheme="minorHAnsi" w:hAnsiTheme="minorHAnsi" w:cstheme="minorHAnsi"/>
                <w:iCs/>
                <w:szCs w:val="22"/>
              </w:rPr>
              <w:t xml:space="preserve"> In Trimester 2 2025, UNE piloted targeted bursaries for HEPPP-eligible students to support their participation in mandatory intensive schools — a critical component of many courses that had become increasingly challenging due to cost-of-living pressures. This initiative demonstrated exceptional success: students receiving bursaries showed pre-census withdrawal rates of just 2</w:t>
            </w:r>
            <w:r w:rsidR="006F7550" w:rsidRPr="007B76AD">
              <w:rPr>
                <w:rFonts w:asciiTheme="minorHAnsi" w:hAnsiTheme="minorHAnsi" w:cstheme="minorHAnsi"/>
                <w:iCs/>
                <w:szCs w:val="22"/>
              </w:rPr>
              <w:t xml:space="preserve"> </w:t>
            </w:r>
            <w:r w:rsidRPr="007B76AD">
              <w:rPr>
                <w:rFonts w:asciiTheme="minorHAnsi" w:hAnsiTheme="minorHAnsi" w:cstheme="minorHAnsi"/>
                <w:iCs/>
                <w:szCs w:val="22"/>
              </w:rPr>
              <w:t xml:space="preserve">% from intensive school units compared to </w:t>
            </w:r>
            <w:r w:rsidR="006F7550">
              <w:rPr>
                <w:rFonts w:asciiTheme="minorHAnsi" w:hAnsiTheme="minorHAnsi" w:cstheme="minorHAnsi"/>
                <w:iCs/>
                <w:szCs w:val="22"/>
              </w:rPr>
              <w:t>20</w:t>
            </w:r>
            <w:r w:rsidRPr="007B76AD">
              <w:rPr>
                <w:rFonts w:asciiTheme="minorHAnsi" w:hAnsiTheme="minorHAnsi" w:cstheme="minorHAnsi"/>
                <w:iCs/>
                <w:szCs w:val="22"/>
              </w:rPr>
              <w:t>% for non-recipients. Moreover, bursary recipients demonstrated markedly lower pre-census withdrawal rates from their other units (</w:t>
            </w:r>
            <w:r w:rsidR="006F7550">
              <w:rPr>
                <w:rFonts w:asciiTheme="minorHAnsi" w:hAnsiTheme="minorHAnsi" w:cstheme="minorHAnsi"/>
                <w:iCs/>
                <w:szCs w:val="22"/>
              </w:rPr>
              <w:t>3</w:t>
            </w:r>
            <w:r w:rsidRPr="007B76AD">
              <w:rPr>
                <w:rFonts w:asciiTheme="minorHAnsi" w:hAnsiTheme="minorHAnsi" w:cstheme="minorHAnsi"/>
                <w:iCs/>
                <w:szCs w:val="22"/>
              </w:rPr>
              <w:t xml:space="preserve">% versus 16%), </w:t>
            </w:r>
            <w:proofErr w:type="spellStart"/>
            <w:r w:rsidR="00BE54B0">
              <w:rPr>
                <w:rFonts w:asciiTheme="minorHAnsi" w:hAnsiTheme="minorHAnsi" w:cstheme="minorHAnsi"/>
                <w:iCs/>
                <w:szCs w:val="22"/>
              </w:rPr>
              <w:t>confirmng</w:t>
            </w:r>
            <w:proofErr w:type="spellEnd"/>
            <w:r w:rsidRPr="007B76AD">
              <w:rPr>
                <w:rFonts w:asciiTheme="minorHAnsi" w:hAnsiTheme="minorHAnsi" w:cstheme="minorHAnsi"/>
                <w:iCs/>
                <w:szCs w:val="22"/>
              </w:rPr>
              <w:t xml:space="preserve"> our hypothesis that addressing financial barriers has cascading positive effects on overall student retention. Based on these outcomes</w:t>
            </w:r>
            <w:r w:rsidR="00AA2658">
              <w:rPr>
                <w:rFonts w:asciiTheme="minorHAnsi" w:hAnsiTheme="minorHAnsi" w:cstheme="minorHAnsi"/>
                <w:iCs/>
                <w:szCs w:val="22"/>
              </w:rPr>
              <w:t xml:space="preserve"> </w:t>
            </w:r>
            <w:r w:rsidRPr="007B76AD">
              <w:rPr>
                <w:rFonts w:asciiTheme="minorHAnsi" w:hAnsiTheme="minorHAnsi" w:cstheme="minorHAnsi"/>
                <w:iCs/>
                <w:szCs w:val="22"/>
              </w:rPr>
              <w:t xml:space="preserve">we will </w:t>
            </w:r>
            <w:r w:rsidR="00496013">
              <w:rPr>
                <w:rFonts w:asciiTheme="minorHAnsi" w:hAnsiTheme="minorHAnsi" w:cstheme="minorHAnsi"/>
                <w:iCs/>
                <w:szCs w:val="22"/>
              </w:rPr>
              <w:t>expand</w:t>
            </w:r>
            <w:r w:rsidRPr="007B76AD">
              <w:rPr>
                <w:rFonts w:asciiTheme="minorHAnsi" w:hAnsiTheme="minorHAnsi" w:cstheme="minorHAnsi"/>
                <w:iCs/>
                <w:szCs w:val="22"/>
              </w:rPr>
              <w:t xml:space="preserve"> this program throughout 2025-26.</w:t>
            </w:r>
          </w:p>
          <w:p w14:paraId="34DE638A" w14:textId="5CEE1B77" w:rsidR="007B76AD" w:rsidRPr="00CB6289" w:rsidRDefault="00935744" w:rsidP="007B76AD">
            <w:pPr>
              <w:pStyle w:val="NormalIndent"/>
              <w:spacing w:after="0"/>
              <w:ind w:left="0"/>
              <w:rPr>
                <w:rFonts w:cstheme="minorHAnsi"/>
                <w:iCs/>
              </w:rPr>
            </w:pPr>
            <w:r w:rsidRPr="00B13614">
              <w:rPr>
                <w:rFonts w:asciiTheme="minorHAnsi" w:hAnsiTheme="minorHAnsi" w:cstheme="minorHAnsi"/>
                <w:b/>
                <w:bCs/>
                <w:iCs/>
                <w:szCs w:val="22"/>
              </w:rPr>
              <w:t>I</w:t>
            </w:r>
            <w:r w:rsidR="007B76AD" w:rsidRPr="00B13614">
              <w:rPr>
                <w:rFonts w:asciiTheme="minorHAnsi" w:hAnsiTheme="minorHAnsi" w:cstheme="minorHAnsi"/>
                <w:b/>
                <w:bCs/>
                <w:iCs/>
                <w:szCs w:val="22"/>
              </w:rPr>
              <w:t>ndigenous participation and success</w:t>
            </w:r>
            <w:r w:rsidRPr="00B13614">
              <w:rPr>
                <w:rFonts w:asciiTheme="minorHAnsi" w:hAnsiTheme="minorHAnsi" w:cstheme="minorHAnsi"/>
                <w:b/>
                <w:bCs/>
                <w:iCs/>
                <w:szCs w:val="22"/>
              </w:rPr>
              <w:t>:</w:t>
            </w:r>
            <w:r w:rsidRPr="00EC3D72">
              <w:rPr>
                <w:rFonts w:ascii="Times New Roman" w:hAnsi="Times New Roman"/>
                <w:iCs/>
                <w:color w:val="000000"/>
                <w:sz w:val="24"/>
              </w:rPr>
              <w:t xml:space="preserve"> </w:t>
            </w:r>
            <w:r w:rsidRPr="00EC3D72">
              <w:rPr>
                <w:rFonts w:cstheme="minorHAnsi"/>
                <w:iCs/>
              </w:rPr>
              <w:t>The University is confident that it will maintain a steady increase in student numbers throughout the compact period, driven by the effectiveness of its current recruitment and retention programs through the Oorala student centre</w:t>
            </w:r>
            <w:r w:rsidR="00CB6289">
              <w:rPr>
                <w:rFonts w:cstheme="minorHAnsi"/>
                <w:iCs/>
              </w:rPr>
              <w:t xml:space="preserve">. </w:t>
            </w:r>
            <w:r w:rsidR="007B76AD" w:rsidRPr="007B76AD">
              <w:rPr>
                <w:rFonts w:asciiTheme="minorHAnsi" w:hAnsiTheme="minorHAnsi" w:cstheme="minorHAnsi"/>
                <w:iCs/>
                <w:szCs w:val="22"/>
              </w:rPr>
              <w:t>Beyond participation, UNE acknowledges the critical need to address Indigenous student success. We are committed to improving Indigenous student retention 1% on 2024 in 2025 and by a further 0.5% in 2026</w:t>
            </w:r>
            <w:r w:rsidR="00CB6289">
              <w:rPr>
                <w:rFonts w:asciiTheme="minorHAnsi" w:hAnsiTheme="minorHAnsi" w:cstheme="minorHAnsi"/>
                <w:iCs/>
                <w:szCs w:val="22"/>
              </w:rPr>
              <w:t xml:space="preserve">. </w:t>
            </w:r>
            <w:r w:rsidR="007B76AD" w:rsidRPr="007B76AD">
              <w:rPr>
                <w:rFonts w:asciiTheme="minorHAnsi" w:hAnsiTheme="minorHAnsi" w:cstheme="minorHAnsi"/>
                <w:iCs/>
                <w:szCs w:val="22"/>
              </w:rPr>
              <w:t xml:space="preserve">These targets are supported by </w:t>
            </w:r>
            <w:hyperlink r:id="rId24" w:history="1">
              <w:r w:rsidR="007B76AD" w:rsidRPr="00486BCA">
                <w:rPr>
                  <w:rStyle w:val="Hyperlink"/>
                  <w:rFonts w:asciiTheme="minorHAnsi" w:hAnsiTheme="minorHAnsi" w:cstheme="minorHAnsi"/>
                  <w:iCs/>
                  <w:szCs w:val="22"/>
                </w:rPr>
                <w:t>UNE's Indigenous Education Strategy</w:t>
              </w:r>
            </w:hyperlink>
            <w:r w:rsidR="007B76AD" w:rsidRPr="007B76AD">
              <w:rPr>
                <w:rFonts w:asciiTheme="minorHAnsi" w:hAnsiTheme="minorHAnsi" w:cstheme="minorHAnsi"/>
                <w:iCs/>
                <w:szCs w:val="22"/>
              </w:rPr>
              <w:t xml:space="preserve"> (to be extended for 2026 and rewritten for 2027-2031).</w:t>
            </w:r>
          </w:p>
          <w:p w14:paraId="7C7686A5" w14:textId="0042B595" w:rsidR="007B76AD" w:rsidRPr="007B76AD" w:rsidRDefault="007B76AD" w:rsidP="007B76AD">
            <w:pPr>
              <w:pStyle w:val="NormalIndent"/>
              <w:spacing w:after="0"/>
              <w:ind w:left="0"/>
              <w:rPr>
                <w:rFonts w:asciiTheme="minorHAnsi" w:hAnsiTheme="minorHAnsi" w:cstheme="minorHAnsi"/>
                <w:iCs/>
                <w:szCs w:val="22"/>
              </w:rPr>
            </w:pPr>
            <w:r w:rsidRPr="00B13614">
              <w:rPr>
                <w:rFonts w:asciiTheme="minorHAnsi" w:hAnsiTheme="minorHAnsi" w:cstheme="minorHAnsi"/>
                <w:b/>
                <w:bCs/>
                <w:iCs/>
                <w:szCs w:val="22"/>
              </w:rPr>
              <w:t>Disability support</w:t>
            </w:r>
            <w:r w:rsidRPr="007B76AD">
              <w:rPr>
                <w:rFonts w:asciiTheme="minorHAnsi" w:hAnsiTheme="minorHAnsi" w:cstheme="minorHAnsi"/>
                <w:iCs/>
                <w:szCs w:val="22"/>
              </w:rPr>
              <w:t xml:space="preserve">: UNE remains committed to its HECG plan target to increase retention of students with a disability by 0.25% year on year through the compact period - and will review its implementation of Universal Design for Learning and supports for students with a disability in 2026 to ensure continued improvement. </w:t>
            </w:r>
          </w:p>
          <w:bookmarkEnd w:id="0"/>
          <w:bookmarkEnd w:id="1"/>
          <w:p w14:paraId="22B87A46" w14:textId="305919F3" w:rsidR="00F548B9" w:rsidRPr="00F548B9" w:rsidRDefault="00F548B9" w:rsidP="00AA2658">
            <w:pPr>
              <w:pStyle w:val="NormalIndent"/>
              <w:spacing w:before="0" w:after="0"/>
              <w:ind w:left="0"/>
              <w:rPr>
                <w:rFonts w:asciiTheme="minorHAnsi" w:hAnsiTheme="minorHAnsi" w:cstheme="minorHAnsi"/>
                <w:iCs/>
                <w:szCs w:val="22"/>
              </w:rPr>
            </w:pPr>
          </w:p>
        </w:tc>
      </w:tr>
      <w:tr w:rsidR="001B109C" w:rsidRPr="00E41388" w14:paraId="39ADE404" w14:textId="77777777" w:rsidTr="6DCF43EC">
        <w:trPr>
          <w:cantSplit/>
        </w:trPr>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933721" w:rsidRPr="00E41388" w14:paraId="4B011797" w14:textId="77777777" w:rsidTr="6DCF43EC">
        <w:trPr>
          <w:cantSplit/>
          <w:trHeight w:val="977"/>
        </w:trPr>
        <w:tc>
          <w:tcPr>
            <w:tcW w:w="5000" w:type="pct"/>
            <w:tcBorders>
              <w:bottom w:val="single" w:sz="4" w:space="0" w:color="auto"/>
            </w:tcBorders>
          </w:tcPr>
          <w:p w14:paraId="6B25A80C" w14:textId="3C2CF01F" w:rsidR="00933721" w:rsidRPr="00113AA6" w:rsidRDefault="00933721" w:rsidP="00933721">
            <w:pPr>
              <w:pStyle w:val="NormalIndent"/>
              <w:spacing w:after="0"/>
              <w:ind w:left="22"/>
              <w:rPr>
                <w:rFonts w:asciiTheme="minorHAnsi" w:hAnsiTheme="minorHAnsi" w:cstheme="minorHAnsi"/>
                <w:iCs/>
                <w:szCs w:val="22"/>
              </w:rPr>
            </w:pPr>
            <w:r w:rsidRPr="00113AA6">
              <w:rPr>
                <w:rFonts w:asciiTheme="minorHAnsi" w:hAnsiTheme="minorHAnsi" w:cstheme="minorHAnsi"/>
                <w:iCs/>
                <w:szCs w:val="22"/>
              </w:rPr>
              <w:t>UNE</w:t>
            </w:r>
            <w:r>
              <w:rPr>
                <w:rFonts w:asciiTheme="minorHAnsi" w:hAnsiTheme="minorHAnsi" w:cstheme="minorHAnsi"/>
                <w:iCs/>
                <w:szCs w:val="22"/>
              </w:rPr>
              <w:t xml:space="preserve"> follows a detailed </w:t>
            </w:r>
            <w:hyperlink r:id="rId25" w:history="1">
              <w:r w:rsidRPr="007C1515">
                <w:rPr>
                  <w:rStyle w:val="Hyperlink"/>
                  <w:rFonts w:asciiTheme="minorHAnsi" w:hAnsiTheme="minorHAnsi" w:cstheme="minorHAnsi"/>
                  <w:iCs/>
                  <w:szCs w:val="22"/>
                </w:rPr>
                <w:t>Teaching and Learning Plan 2023-2030</w:t>
              </w:r>
            </w:hyperlink>
            <w:r w:rsidRPr="00113AA6">
              <w:rPr>
                <w:rFonts w:asciiTheme="minorHAnsi" w:hAnsiTheme="minorHAnsi" w:cstheme="minorHAnsi"/>
                <w:iCs/>
                <w:szCs w:val="22"/>
              </w:rPr>
              <w:t xml:space="preserve"> </w:t>
            </w:r>
            <w:r>
              <w:rPr>
                <w:rFonts w:asciiTheme="minorHAnsi" w:hAnsiTheme="minorHAnsi" w:cstheme="minorHAnsi"/>
                <w:iCs/>
                <w:szCs w:val="22"/>
              </w:rPr>
              <w:t xml:space="preserve">that contains </w:t>
            </w:r>
            <w:r w:rsidRPr="00113AA6">
              <w:rPr>
                <w:rFonts w:asciiTheme="minorHAnsi" w:hAnsiTheme="minorHAnsi" w:cstheme="minorHAnsi"/>
                <w:iCs/>
                <w:szCs w:val="22"/>
              </w:rPr>
              <w:t xml:space="preserve">a range strategies </w:t>
            </w:r>
            <w:r>
              <w:rPr>
                <w:rFonts w:asciiTheme="minorHAnsi" w:hAnsiTheme="minorHAnsi" w:cstheme="minorHAnsi"/>
                <w:iCs/>
                <w:szCs w:val="22"/>
              </w:rPr>
              <w:t xml:space="preserve">to improve </w:t>
            </w:r>
            <w:r w:rsidRPr="00113AA6">
              <w:rPr>
                <w:rFonts w:asciiTheme="minorHAnsi" w:hAnsiTheme="minorHAnsi" w:cstheme="minorHAnsi"/>
                <w:iCs/>
                <w:szCs w:val="22"/>
              </w:rPr>
              <w:t>teaching and learning outcomes across the four following domains:</w:t>
            </w:r>
          </w:p>
          <w:p w14:paraId="1EACBBB0" w14:textId="77777777" w:rsidR="00933721" w:rsidRPr="00113AA6" w:rsidRDefault="00933721" w:rsidP="00933721">
            <w:pPr>
              <w:pStyle w:val="NormalIndent"/>
              <w:numPr>
                <w:ilvl w:val="0"/>
                <w:numId w:val="21"/>
              </w:numPr>
              <w:spacing w:after="0"/>
              <w:rPr>
                <w:rFonts w:asciiTheme="minorHAnsi" w:hAnsiTheme="minorHAnsi" w:cstheme="minorHAnsi"/>
                <w:iCs/>
                <w:szCs w:val="22"/>
              </w:rPr>
            </w:pPr>
            <w:r w:rsidRPr="00113AA6">
              <w:rPr>
                <w:rFonts w:asciiTheme="minorHAnsi" w:hAnsiTheme="minorHAnsi" w:cstheme="minorHAnsi"/>
                <w:iCs/>
                <w:szCs w:val="22"/>
              </w:rPr>
              <w:t>The student experiences</w:t>
            </w:r>
          </w:p>
          <w:p w14:paraId="63A914FE" w14:textId="77777777" w:rsidR="00933721" w:rsidRPr="00113AA6" w:rsidRDefault="00933721" w:rsidP="00933721">
            <w:pPr>
              <w:pStyle w:val="NormalIndent"/>
              <w:numPr>
                <w:ilvl w:val="0"/>
                <w:numId w:val="21"/>
              </w:numPr>
              <w:spacing w:after="0"/>
              <w:rPr>
                <w:rFonts w:asciiTheme="minorHAnsi" w:hAnsiTheme="minorHAnsi" w:cstheme="minorHAnsi"/>
                <w:iCs/>
                <w:szCs w:val="22"/>
              </w:rPr>
            </w:pPr>
            <w:r w:rsidRPr="00113AA6">
              <w:rPr>
                <w:rFonts w:asciiTheme="minorHAnsi" w:hAnsiTheme="minorHAnsi" w:cstheme="minorHAnsi"/>
                <w:iCs/>
                <w:szCs w:val="22"/>
              </w:rPr>
              <w:t>A connected curriculum</w:t>
            </w:r>
          </w:p>
          <w:p w14:paraId="68974E1B" w14:textId="77777777" w:rsidR="00933721" w:rsidRPr="00113AA6" w:rsidRDefault="00933721" w:rsidP="00933721">
            <w:pPr>
              <w:pStyle w:val="NormalIndent"/>
              <w:numPr>
                <w:ilvl w:val="0"/>
                <w:numId w:val="21"/>
              </w:numPr>
              <w:spacing w:after="0"/>
              <w:rPr>
                <w:rFonts w:asciiTheme="minorHAnsi" w:hAnsiTheme="minorHAnsi" w:cstheme="minorHAnsi"/>
                <w:iCs/>
                <w:szCs w:val="22"/>
              </w:rPr>
            </w:pPr>
            <w:r w:rsidRPr="00113AA6">
              <w:rPr>
                <w:rFonts w:asciiTheme="minorHAnsi" w:hAnsiTheme="minorHAnsi" w:cstheme="minorHAnsi"/>
                <w:iCs/>
                <w:szCs w:val="22"/>
              </w:rPr>
              <w:t>Place-based education and partnerships</w:t>
            </w:r>
          </w:p>
          <w:p w14:paraId="0F9C48FD" w14:textId="77777777" w:rsidR="00933721" w:rsidRPr="00113AA6" w:rsidRDefault="00933721" w:rsidP="00933721">
            <w:pPr>
              <w:pStyle w:val="NormalIndent"/>
              <w:numPr>
                <w:ilvl w:val="0"/>
                <w:numId w:val="21"/>
              </w:numPr>
              <w:spacing w:after="0"/>
              <w:rPr>
                <w:rFonts w:asciiTheme="minorHAnsi" w:hAnsiTheme="minorHAnsi" w:cstheme="minorHAnsi"/>
                <w:iCs/>
                <w:szCs w:val="22"/>
              </w:rPr>
            </w:pPr>
            <w:r w:rsidRPr="00113AA6">
              <w:rPr>
                <w:rFonts w:asciiTheme="minorHAnsi" w:hAnsiTheme="minorHAnsi" w:cstheme="minorHAnsi"/>
                <w:iCs/>
                <w:szCs w:val="22"/>
              </w:rPr>
              <w:t xml:space="preserve">Scholarship, reward and recognition </w:t>
            </w:r>
          </w:p>
          <w:p w14:paraId="5B5890BF" w14:textId="0D4145C2" w:rsidR="00933721" w:rsidRDefault="00933721" w:rsidP="0050380E">
            <w:pPr>
              <w:pStyle w:val="NormalIndent"/>
              <w:spacing w:after="0"/>
              <w:ind w:left="22"/>
              <w:rPr>
                <w:rFonts w:asciiTheme="minorHAnsi" w:hAnsiTheme="minorHAnsi" w:cstheme="minorHAnsi"/>
                <w:iCs/>
                <w:szCs w:val="22"/>
              </w:rPr>
            </w:pPr>
            <w:r w:rsidRPr="00113AA6">
              <w:rPr>
                <w:rFonts w:asciiTheme="minorHAnsi" w:hAnsiTheme="minorHAnsi" w:cstheme="minorHAnsi"/>
                <w:iCs/>
                <w:szCs w:val="22"/>
              </w:rPr>
              <w:t>Over the course of 202</w:t>
            </w:r>
            <w:r>
              <w:rPr>
                <w:rFonts w:asciiTheme="minorHAnsi" w:hAnsiTheme="minorHAnsi" w:cstheme="minorHAnsi"/>
                <w:iCs/>
                <w:szCs w:val="22"/>
              </w:rPr>
              <w:t>5</w:t>
            </w:r>
            <w:r w:rsidRPr="00113AA6">
              <w:rPr>
                <w:rFonts w:asciiTheme="minorHAnsi" w:hAnsiTheme="minorHAnsi" w:cstheme="minorHAnsi"/>
                <w:iCs/>
                <w:szCs w:val="22"/>
              </w:rPr>
              <w:t>-</w:t>
            </w:r>
            <w:r>
              <w:rPr>
                <w:rFonts w:asciiTheme="minorHAnsi" w:hAnsiTheme="minorHAnsi" w:cstheme="minorHAnsi"/>
                <w:iCs/>
                <w:szCs w:val="22"/>
              </w:rPr>
              <w:t>6</w:t>
            </w:r>
            <w:r w:rsidRPr="00113AA6">
              <w:rPr>
                <w:rFonts w:asciiTheme="minorHAnsi" w:hAnsiTheme="minorHAnsi" w:cstheme="minorHAnsi"/>
                <w:iCs/>
                <w:szCs w:val="22"/>
              </w:rPr>
              <w:t xml:space="preserve"> there are activities aimed at uplifting the quality of</w:t>
            </w:r>
            <w:r w:rsidR="0050380E">
              <w:rPr>
                <w:rFonts w:asciiTheme="minorHAnsi" w:hAnsiTheme="minorHAnsi" w:cstheme="minorHAnsi"/>
                <w:iCs/>
                <w:szCs w:val="22"/>
              </w:rPr>
              <w:t xml:space="preserve"> </w:t>
            </w:r>
            <w:r w:rsidRPr="00113AA6">
              <w:rPr>
                <w:rFonts w:asciiTheme="minorHAnsi" w:hAnsiTheme="minorHAnsi" w:cstheme="minorHAnsi"/>
                <w:iCs/>
                <w:szCs w:val="22"/>
              </w:rPr>
              <w:t>teaching and learning at UNE</w:t>
            </w:r>
            <w:r>
              <w:rPr>
                <w:rFonts w:asciiTheme="minorHAnsi" w:hAnsiTheme="minorHAnsi" w:cstheme="minorHAnsi"/>
                <w:iCs/>
                <w:szCs w:val="22"/>
              </w:rPr>
              <w:t>, including:</w:t>
            </w:r>
          </w:p>
          <w:p w14:paraId="6FB5DA02" w14:textId="77777777" w:rsidR="00933721" w:rsidRDefault="00933721" w:rsidP="00933721">
            <w:pPr>
              <w:pStyle w:val="NormalIndent"/>
              <w:numPr>
                <w:ilvl w:val="0"/>
                <w:numId w:val="22"/>
              </w:numPr>
              <w:spacing w:after="0"/>
              <w:rPr>
                <w:rFonts w:asciiTheme="minorHAnsi" w:hAnsiTheme="minorHAnsi" w:cstheme="minorHAnsi"/>
                <w:iCs/>
                <w:szCs w:val="22"/>
              </w:rPr>
            </w:pPr>
            <w:r>
              <w:rPr>
                <w:rFonts w:asciiTheme="minorHAnsi" w:hAnsiTheme="minorHAnsi" w:cstheme="minorHAnsi"/>
                <w:iCs/>
                <w:szCs w:val="22"/>
              </w:rPr>
              <w:t>The implementation of a formalised peer-review-of-teaching process,</w:t>
            </w:r>
          </w:p>
          <w:p w14:paraId="2E796AC6" w14:textId="77777777" w:rsidR="00933721" w:rsidRDefault="00933721" w:rsidP="00933721">
            <w:pPr>
              <w:pStyle w:val="NormalIndent"/>
              <w:numPr>
                <w:ilvl w:val="0"/>
                <w:numId w:val="22"/>
              </w:numPr>
              <w:spacing w:after="0"/>
              <w:rPr>
                <w:rFonts w:asciiTheme="minorHAnsi" w:hAnsiTheme="minorHAnsi" w:cstheme="minorHAnsi"/>
                <w:iCs/>
                <w:szCs w:val="22"/>
              </w:rPr>
            </w:pPr>
            <w:r>
              <w:rPr>
                <w:rFonts w:asciiTheme="minorHAnsi" w:hAnsiTheme="minorHAnsi" w:cstheme="minorHAnsi"/>
                <w:iCs/>
                <w:szCs w:val="22"/>
              </w:rPr>
              <w:t>The implantation of a UNE Assessment Architecture to balance assurance of learning requirements with industry and community expectation for the use of Artificial Intelligence tools,</w:t>
            </w:r>
          </w:p>
          <w:p w14:paraId="03020513" w14:textId="77777777" w:rsidR="00933721" w:rsidRDefault="00933721" w:rsidP="00933721">
            <w:pPr>
              <w:pStyle w:val="NormalIndent"/>
              <w:numPr>
                <w:ilvl w:val="0"/>
                <w:numId w:val="22"/>
              </w:numPr>
              <w:spacing w:after="0"/>
              <w:rPr>
                <w:rFonts w:asciiTheme="minorHAnsi" w:hAnsiTheme="minorHAnsi" w:cstheme="minorHAnsi"/>
                <w:iCs/>
                <w:szCs w:val="22"/>
              </w:rPr>
            </w:pPr>
            <w:r>
              <w:rPr>
                <w:rFonts w:asciiTheme="minorHAnsi" w:hAnsiTheme="minorHAnsi" w:cstheme="minorHAnsi"/>
                <w:iCs/>
                <w:szCs w:val="22"/>
              </w:rPr>
              <w:t>The development and implementation of professional development resources related to industry aligned and technology enabled curriculum design.</w:t>
            </w:r>
          </w:p>
          <w:p w14:paraId="7F8966E4" w14:textId="77777777" w:rsidR="00933721" w:rsidRDefault="00933721" w:rsidP="00933721">
            <w:pPr>
              <w:pStyle w:val="NormalIndent"/>
              <w:spacing w:after="0"/>
              <w:ind w:left="22"/>
              <w:rPr>
                <w:rFonts w:asciiTheme="minorHAnsi" w:hAnsiTheme="minorHAnsi" w:cstheme="minorHAnsi"/>
                <w:iCs/>
                <w:szCs w:val="22"/>
              </w:rPr>
            </w:pPr>
            <w:r>
              <w:rPr>
                <w:rFonts w:asciiTheme="minorHAnsi" w:hAnsiTheme="minorHAnsi" w:cstheme="minorHAnsi"/>
                <w:iCs/>
                <w:szCs w:val="22"/>
              </w:rPr>
              <w:t xml:space="preserve">The UNE </w:t>
            </w:r>
            <w:hyperlink r:id="rId26" w:history="1">
              <w:r w:rsidRPr="007C1515">
                <w:rPr>
                  <w:rStyle w:val="Hyperlink"/>
                  <w:rFonts w:asciiTheme="minorHAnsi" w:hAnsiTheme="minorHAnsi" w:cstheme="minorHAnsi"/>
                  <w:iCs/>
                  <w:szCs w:val="22"/>
                </w:rPr>
                <w:t>Student Support Plan</w:t>
              </w:r>
            </w:hyperlink>
            <w:r w:rsidRPr="00113AA6">
              <w:rPr>
                <w:rFonts w:asciiTheme="minorHAnsi" w:hAnsiTheme="minorHAnsi" w:cstheme="minorHAnsi"/>
                <w:iCs/>
                <w:szCs w:val="22"/>
              </w:rPr>
              <w:t xml:space="preserve"> articulates how student success is</w:t>
            </w:r>
            <w:r>
              <w:rPr>
                <w:rFonts w:asciiTheme="minorHAnsi" w:hAnsiTheme="minorHAnsi" w:cstheme="minorHAnsi"/>
                <w:iCs/>
                <w:szCs w:val="22"/>
              </w:rPr>
              <w:t xml:space="preserve"> </w:t>
            </w:r>
            <w:r w:rsidRPr="00113AA6">
              <w:rPr>
                <w:rFonts w:asciiTheme="minorHAnsi" w:hAnsiTheme="minorHAnsi" w:cstheme="minorHAnsi"/>
                <w:iCs/>
                <w:szCs w:val="22"/>
              </w:rPr>
              <w:t xml:space="preserve">framed and what strategies and initiatives are </w:t>
            </w:r>
            <w:r>
              <w:rPr>
                <w:rFonts w:asciiTheme="minorHAnsi" w:hAnsiTheme="minorHAnsi" w:cstheme="minorHAnsi"/>
                <w:iCs/>
                <w:szCs w:val="22"/>
              </w:rPr>
              <w:t xml:space="preserve">deployed to improve </w:t>
            </w:r>
            <w:r w:rsidRPr="00113AA6">
              <w:rPr>
                <w:rFonts w:asciiTheme="minorHAnsi" w:hAnsiTheme="minorHAnsi" w:cstheme="minorHAnsi"/>
                <w:iCs/>
                <w:szCs w:val="22"/>
              </w:rPr>
              <w:t>student</w:t>
            </w:r>
            <w:r>
              <w:rPr>
                <w:rFonts w:asciiTheme="minorHAnsi" w:hAnsiTheme="minorHAnsi" w:cstheme="minorHAnsi"/>
                <w:iCs/>
                <w:szCs w:val="22"/>
              </w:rPr>
              <w:t xml:space="preserve"> engagement and student</w:t>
            </w:r>
            <w:r w:rsidRPr="00113AA6">
              <w:rPr>
                <w:rFonts w:asciiTheme="minorHAnsi" w:hAnsiTheme="minorHAnsi" w:cstheme="minorHAnsi"/>
                <w:iCs/>
                <w:szCs w:val="22"/>
              </w:rPr>
              <w:t xml:space="preserve"> success. </w:t>
            </w:r>
            <w:r>
              <w:rPr>
                <w:rFonts w:asciiTheme="minorHAnsi" w:hAnsiTheme="minorHAnsi" w:cstheme="minorHAnsi"/>
                <w:iCs/>
                <w:szCs w:val="22"/>
              </w:rPr>
              <w:t xml:space="preserve">Key strategies including the plan </w:t>
            </w:r>
            <w:proofErr w:type="gramStart"/>
            <w:r w:rsidR="00496013">
              <w:rPr>
                <w:rFonts w:asciiTheme="minorHAnsi" w:hAnsiTheme="minorHAnsi" w:cstheme="minorHAnsi"/>
                <w:iCs/>
                <w:szCs w:val="22"/>
              </w:rPr>
              <w:t>are:</w:t>
            </w:r>
            <w:proofErr w:type="gramEnd"/>
            <w:r>
              <w:rPr>
                <w:rFonts w:asciiTheme="minorHAnsi" w:hAnsiTheme="minorHAnsi" w:cstheme="minorHAnsi"/>
                <w:iCs/>
                <w:szCs w:val="22"/>
              </w:rPr>
              <w:t xml:space="preserve"> </w:t>
            </w:r>
            <w:r w:rsidRPr="00113AA6">
              <w:rPr>
                <w:rFonts w:asciiTheme="minorHAnsi" w:hAnsiTheme="minorHAnsi" w:cstheme="minorHAnsi"/>
                <w:iCs/>
                <w:szCs w:val="22"/>
              </w:rPr>
              <w:t>course advising, early identification and support for vulnerable</w:t>
            </w:r>
            <w:r>
              <w:rPr>
                <w:rFonts w:asciiTheme="minorHAnsi" w:hAnsiTheme="minorHAnsi" w:cstheme="minorHAnsi"/>
                <w:iCs/>
                <w:szCs w:val="22"/>
              </w:rPr>
              <w:t xml:space="preserve"> </w:t>
            </w:r>
            <w:r w:rsidRPr="00113AA6">
              <w:rPr>
                <w:rFonts w:asciiTheme="minorHAnsi" w:hAnsiTheme="minorHAnsi" w:cstheme="minorHAnsi"/>
                <w:iCs/>
                <w:szCs w:val="22"/>
              </w:rPr>
              <w:t>students (focused on student support services), early, intensive and continuous intervention and</w:t>
            </w:r>
            <w:r>
              <w:rPr>
                <w:rFonts w:asciiTheme="minorHAnsi" w:hAnsiTheme="minorHAnsi" w:cstheme="minorHAnsi"/>
                <w:iCs/>
                <w:szCs w:val="22"/>
              </w:rPr>
              <w:t xml:space="preserve"> </w:t>
            </w:r>
            <w:r w:rsidRPr="00113AA6">
              <w:rPr>
                <w:rFonts w:asciiTheme="minorHAnsi" w:hAnsiTheme="minorHAnsi" w:cstheme="minorHAnsi"/>
                <w:iCs/>
                <w:szCs w:val="22"/>
              </w:rPr>
              <w:t>internal and external support for specialist areas.</w:t>
            </w:r>
          </w:p>
          <w:p w14:paraId="553D337D" w14:textId="77777777" w:rsidR="00933721" w:rsidRDefault="00933721" w:rsidP="00933721">
            <w:pPr>
              <w:pStyle w:val="NormalIndent"/>
              <w:spacing w:after="0"/>
              <w:ind w:left="22"/>
              <w:rPr>
                <w:rFonts w:asciiTheme="minorHAnsi" w:hAnsiTheme="minorHAnsi" w:cstheme="minorHAnsi"/>
                <w:iCs/>
                <w:szCs w:val="22"/>
              </w:rPr>
            </w:pPr>
            <w:r>
              <w:rPr>
                <w:rFonts w:asciiTheme="minorHAnsi" w:hAnsiTheme="minorHAnsi" w:cstheme="minorHAnsi"/>
                <w:iCs/>
                <w:szCs w:val="22"/>
              </w:rPr>
              <w:t xml:space="preserve">Specific student support activities for 2025-6 have a specific focus on the preparedness of commencing students. A key activity is the implementation of the UNE Belong Initiative, which aims to support student transition into, and preparedness for, higher education studies for all commencing students. </w:t>
            </w:r>
          </w:p>
          <w:p w14:paraId="27ED1A27" w14:textId="77777777" w:rsidR="00933721" w:rsidRDefault="00933721" w:rsidP="00933721">
            <w:pPr>
              <w:pStyle w:val="NormalIndent"/>
              <w:spacing w:after="0"/>
              <w:ind w:left="22"/>
              <w:rPr>
                <w:rFonts w:asciiTheme="minorHAnsi" w:hAnsiTheme="minorHAnsi" w:cstheme="minorHAnsi"/>
                <w:iCs/>
                <w:szCs w:val="22"/>
              </w:rPr>
            </w:pPr>
            <w:r>
              <w:rPr>
                <w:rFonts w:asciiTheme="minorHAnsi" w:hAnsiTheme="minorHAnsi" w:cstheme="minorHAnsi"/>
                <w:iCs/>
                <w:szCs w:val="22"/>
              </w:rPr>
              <w:t xml:space="preserve">UNE’s specific support processes for at ‘risk students’ are outlined in the </w:t>
            </w:r>
            <w:hyperlink r:id="rId27" w:history="1">
              <w:r w:rsidRPr="00BA0DCB">
                <w:rPr>
                  <w:rStyle w:val="Hyperlink"/>
                  <w:rFonts w:asciiTheme="minorHAnsi" w:hAnsiTheme="minorHAnsi" w:cstheme="minorHAnsi"/>
                  <w:iCs/>
                  <w:szCs w:val="22"/>
                </w:rPr>
                <w:t>Student Support Policy</w:t>
              </w:r>
            </w:hyperlink>
            <w:r>
              <w:rPr>
                <w:rFonts w:asciiTheme="minorHAnsi" w:hAnsiTheme="minorHAnsi" w:cstheme="minorHAnsi"/>
                <w:iCs/>
                <w:szCs w:val="22"/>
              </w:rPr>
              <w:t xml:space="preserve"> and associated procedures. The policy and procedures implement a formal three-their support model to effectively support students at various levels of risk in their student journey.</w:t>
            </w:r>
          </w:p>
          <w:p w14:paraId="4E11188B" w14:textId="66924235" w:rsidR="00933721" w:rsidRDefault="00933721" w:rsidP="00933721">
            <w:pPr>
              <w:pStyle w:val="NormalIndent"/>
              <w:spacing w:after="0"/>
              <w:ind w:left="22"/>
              <w:rPr>
                <w:rFonts w:asciiTheme="minorHAnsi" w:hAnsiTheme="minorHAnsi" w:cstheme="minorHAnsi"/>
                <w:iCs/>
                <w:szCs w:val="22"/>
              </w:rPr>
            </w:pPr>
            <w:r>
              <w:rPr>
                <w:rFonts w:asciiTheme="minorHAnsi" w:hAnsiTheme="minorHAnsi" w:cstheme="minorHAnsi"/>
                <w:iCs/>
                <w:szCs w:val="22"/>
              </w:rPr>
              <w:t xml:space="preserve">In 2025-6 UNE is also supporting student success through initiatives such as the implementation of its </w:t>
            </w:r>
            <w:hyperlink r:id="rId28" w:history="1">
              <w:r w:rsidRPr="00BA0DCB">
                <w:rPr>
                  <w:rStyle w:val="Hyperlink"/>
                  <w:rFonts w:asciiTheme="minorHAnsi" w:hAnsiTheme="minorHAnsi" w:cstheme="minorHAnsi"/>
                  <w:iCs/>
                  <w:szCs w:val="22"/>
                </w:rPr>
                <w:t>Madgwick Student</w:t>
              </w:r>
            </w:hyperlink>
            <w:r>
              <w:rPr>
                <w:rFonts w:asciiTheme="minorHAnsi" w:hAnsiTheme="minorHAnsi" w:cstheme="minorHAnsi"/>
                <w:iCs/>
                <w:szCs w:val="22"/>
              </w:rPr>
              <w:t xml:space="preserve"> Enterprise </w:t>
            </w:r>
            <w:r w:rsidR="001D224A">
              <w:rPr>
                <w:rFonts w:asciiTheme="minorHAnsi" w:hAnsiTheme="minorHAnsi" w:cstheme="minorHAnsi"/>
                <w:iCs/>
                <w:szCs w:val="22"/>
              </w:rPr>
              <w:t xml:space="preserve">AI </w:t>
            </w:r>
            <w:r>
              <w:rPr>
                <w:rFonts w:asciiTheme="minorHAnsi" w:hAnsiTheme="minorHAnsi" w:cstheme="minorHAnsi"/>
                <w:iCs/>
                <w:szCs w:val="22"/>
              </w:rPr>
              <w:t xml:space="preserve">Platform. The platform </w:t>
            </w:r>
            <w:r w:rsidR="001D224A">
              <w:rPr>
                <w:rFonts w:asciiTheme="minorHAnsi" w:hAnsiTheme="minorHAnsi" w:cstheme="minorHAnsi"/>
                <w:iCs/>
                <w:szCs w:val="22"/>
              </w:rPr>
              <w:t>provides</w:t>
            </w:r>
            <w:r>
              <w:rPr>
                <w:rFonts w:asciiTheme="minorHAnsi" w:hAnsiTheme="minorHAnsi" w:cstheme="minorHAnsi"/>
                <w:iCs/>
                <w:szCs w:val="22"/>
              </w:rPr>
              <w:t xml:space="preserve"> access to transformational technology and provides students with access to sector leading learning support technology.</w:t>
            </w:r>
          </w:p>
          <w:p w14:paraId="00E76630" w14:textId="4013F056" w:rsidR="00933721" w:rsidRDefault="009B0CA2" w:rsidP="00933721">
            <w:pPr>
              <w:pStyle w:val="NormalIndent"/>
              <w:spacing w:after="0"/>
              <w:ind w:left="22"/>
              <w:rPr>
                <w:rFonts w:asciiTheme="minorHAnsi" w:hAnsiTheme="minorHAnsi" w:cstheme="minorHAnsi"/>
                <w:iCs/>
                <w:szCs w:val="22"/>
              </w:rPr>
            </w:pPr>
            <w:r>
              <w:rPr>
                <w:rFonts w:asciiTheme="minorHAnsi" w:hAnsiTheme="minorHAnsi" w:cstheme="minorHAnsi"/>
                <w:iCs/>
                <w:szCs w:val="22"/>
              </w:rPr>
              <w:t>Form 2026,</w:t>
            </w:r>
            <w:r w:rsidR="00933721">
              <w:rPr>
                <w:rFonts w:asciiTheme="minorHAnsi" w:hAnsiTheme="minorHAnsi" w:cstheme="minorHAnsi"/>
                <w:iCs/>
                <w:szCs w:val="22"/>
              </w:rPr>
              <w:t xml:space="preserve"> UNE </w:t>
            </w:r>
            <w:r>
              <w:rPr>
                <w:rFonts w:asciiTheme="minorHAnsi" w:hAnsiTheme="minorHAnsi" w:cstheme="minorHAnsi"/>
                <w:iCs/>
                <w:szCs w:val="22"/>
              </w:rPr>
              <w:t>will be</w:t>
            </w:r>
            <w:r w:rsidR="00933721">
              <w:rPr>
                <w:rFonts w:asciiTheme="minorHAnsi" w:hAnsiTheme="minorHAnsi" w:cstheme="minorHAnsi"/>
                <w:iCs/>
                <w:szCs w:val="22"/>
              </w:rPr>
              <w:t xml:space="preserve"> implementing a new </w:t>
            </w:r>
            <w:r w:rsidR="004A1655">
              <w:rPr>
                <w:rFonts w:asciiTheme="minorHAnsi" w:hAnsiTheme="minorHAnsi" w:cstheme="minorHAnsi"/>
                <w:iCs/>
                <w:szCs w:val="22"/>
              </w:rPr>
              <w:t>S</w:t>
            </w:r>
            <w:r w:rsidR="00933721">
              <w:rPr>
                <w:rFonts w:asciiTheme="minorHAnsi" w:hAnsiTheme="minorHAnsi" w:cstheme="minorHAnsi"/>
                <w:iCs/>
                <w:szCs w:val="22"/>
              </w:rPr>
              <w:t xml:space="preserve">trategic </w:t>
            </w:r>
            <w:r w:rsidR="004A1655">
              <w:rPr>
                <w:rFonts w:asciiTheme="minorHAnsi" w:hAnsiTheme="minorHAnsi" w:cstheme="minorHAnsi"/>
                <w:iCs/>
                <w:szCs w:val="22"/>
              </w:rPr>
              <w:t>P</w:t>
            </w:r>
            <w:r w:rsidR="00933721">
              <w:rPr>
                <w:rFonts w:asciiTheme="minorHAnsi" w:hAnsiTheme="minorHAnsi" w:cstheme="minorHAnsi"/>
                <w:iCs/>
                <w:szCs w:val="22"/>
              </w:rPr>
              <w:t>lan, which contains specific commitments to student</w:t>
            </w:r>
            <w:r w:rsidR="00EF1430">
              <w:rPr>
                <w:rFonts w:asciiTheme="minorHAnsi" w:hAnsiTheme="minorHAnsi" w:cstheme="minorHAnsi"/>
                <w:iCs/>
                <w:szCs w:val="22"/>
              </w:rPr>
              <w:t>s</w:t>
            </w:r>
            <w:r w:rsidR="00933721">
              <w:rPr>
                <w:rFonts w:asciiTheme="minorHAnsi" w:hAnsiTheme="minorHAnsi" w:cstheme="minorHAnsi"/>
                <w:iCs/>
                <w:szCs w:val="22"/>
              </w:rPr>
              <w:t xml:space="preserve"> to improve the student experience, retention and success at UNE.</w:t>
            </w:r>
          </w:p>
          <w:p w14:paraId="08694ECF" w14:textId="7598245A" w:rsidR="00933721" w:rsidRPr="00933721" w:rsidRDefault="00933721" w:rsidP="00933721">
            <w:pPr>
              <w:pStyle w:val="NormalIndent"/>
              <w:spacing w:after="0"/>
              <w:ind w:left="0"/>
              <w:rPr>
                <w:rFonts w:asciiTheme="minorHAnsi" w:hAnsiTheme="minorHAnsi" w:cstheme="minorHAnsi"/>
                <w:iCs/>
                <w:szCs w:val="22"/>
              </w:rPr>
            </w:pPr>
          </w:p>
        </w:tc>
      </w:tr>
      <w:tr w:rsidR="001B109C" w:rsidRPr="00E41388" w14:paraId="3EB68E1B" w14:textId="77777777" w:rsidTr="00A100A7">
        <w:trPr>
          <w:cantSplit/>
          <w:trHeight w:val="692"/>
        </w:trPr>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6DCF43EC">
        <w:trPr>
          <w:cantSplit/>
        </w:trPr>
        <w:tc>
          <w:tcPr>
            <w:tcW w:w="5000" w:type="pct"/>
          </w:tcPr>
          <w:p w14:paraId="5A034B50" w14:textId="262348DA" w:rsidR="00A100A7" w:rsidRPr="0050380E" w:rsidRDefault="00A3633F" w:rsidP="0050380E">
            <w:pPr>
              <w:spacing w:after="0"/>
              <w:rPr>
                <w:rFonts w:cstheme="minorHAnsi"/>
              </w:rPr>
            </w:pPr>
            <w:r>
              <w:rPr>
                <w:rFonts w:cstheme="minorHAnsi"/>
              </w:rPr>
              <w:t>UNE’s</w:t>
            </w:r>
            <w:r w:rsidR="00A100A7" w:rsidRPr="0050380E">
              <w:rPr>
                <w:rFonts w:cstheme="minorHAnsi"/>
              </w:rPr>
              <w:t xml:space="preserve"> </w:t>
            </w:r>
            <w:hyperlink r:id="rId29" w:anchor="REEP" w:history="1">
              <w:r w:rsidR="00A100A7" w:rsidRPr="00A3633F">
                <w:rPr>
                  <w:rStyle w:val="Hyperlink"/>
                  <w:rFonts w:cstheme="minorHAnsi"/>
                </w:rPr>
                <w:t>Research Engagement &amp; Enterprise Plan (REEP)</w:t>
              </w:r>
            </w:hyperlink>
            <w:r w:rsidR="00A100A7" w:rsidRPr="0050380E">
              <w:rPr>
                <w:rFonts w:cstheme="minorHAnsi"/>
              </w:rPr>
              <w:t xml:space="preserve"> provides a program of initiatives over five years to bolster, connect and accelerate UNE’s research portfolio. The plan is designed to be </w:t>
            </w:r>
            <w:r w:rsidR="0050380E" w:rsidRPr="0050380E">
              <w:rPr>
                <w:rFonts w:cstheme="minorHAnsi"/>
              </w:rPr>
              <w:t>agile and</w:t>
            </w:r>
            <w:r w:rsidR="00A100A7" w:rsidRPr="0050380E">
              <w:rPr>
                <w:rFonts w:cstheme="minorHAnsi"/>
              </w:rPr>
              <w:t xml:space="preserve"> will be amended once the UNE Strategy is released in 2025-26. Over the coming year (2025/26), the following initiatives will be taken forward under the five REEP themes</w:t>
            </w:r>
          </w:p>
          <w:p w14:paraId="4B6D336C" w14:textId="77777777" w:rsidR="00A100A7" w:rsidRPr="0050380E" w:rsidRDefault="00A100A7" w:rsidP="0050380E">
            <w:pPr>
              <w:numPr>
                <w:ilvl w:val="0"/>
                <w:numId w:val="23"/>
              </w:numPr>
              <w:spacing w:after="0"/>
              <w:rPr>
                <w:rFonts w:cstheme="minorHAnsi"/>
              </w:rPr>
            </w:pPr>
            <w:r w:rsidRPr="0050380E">
              <w:rPr>
                <w:rFonts w:cstheme="minorHAnsi"/>
              </w:rPr>
              <w:t xml:space="preserve">Theme 1 - Flagships and priorities </w:t>
            </w:r>
          </w:p>
          <w:p w14:paraId="375A9DA3" w14:textId="0B737DFC" w:rsidR="00A100A7" w:rsidRPr="0050380E" w:rsidRDefault="00A100A7" w:rsidP="0050380E">
            <w:pPr>
              <w:numPr>
                <w:ilvl w:val="1"/>
                <w:numId w:val="23"/>
              </w:numPr>
              <w:spacing w:after="0"/>
              <w:rPr>
                <w:rFonts w:cstheme="minorHAnsi"/>
              </w:rPr>
            </w:pPr>
            <w:r w:rsidRPr="0050380E">
              <w:rPr>
                <w:rFonts w:cstheme="minorHAnsi"/>
                <w:b/>
                <w:bCs/>
              </w:rPr>
              <w:t>REZ and Emissions Flagship</w:t>
            </w:r>
            <w:r w:rsidRPr="0050380E">
              <w:rPr>
                <w:rFonts w:cstheme="minorHAnsi"/>
              </w:rPr>
              <w:t xml:space="preserve"> </w:t>
            </w:r>
          </w:p>
          <w:p w14:paraId="2A5E432B" w14:textId="5B4F4769" w:rsidR="00A100A7" w:rsidRPr="0050380E" w:rsidRDefault="00A100A7" w:rsidP="0050380E">
            <w:pPr>
              <w:numPr>
                <w:ilvl w:val="1"/>
                <w:numId w:val="23"/>
              </w:numPr>
              <w:spacing w:after="0"/>
              <w:rPr>
                <w:rFonts w:cstheme="minorHAnsi"/>
              </w:rPr>
            </w:pPr>
            <w:r w:rsidRPr="0050380E">
              <w:rPr>
                <w:rFonts w:cstheme="minorHAnsi"/>
                <w:b/>
                <w:bCs/>
              </w:rPr>
              <w:t xml:space="preserve">Ag and Environmental Tech Flagship </w:t>
            </w:r>
          </w:p>
          <w:p w14:paraId="7D439100" w14:textId="1CBEB5C0" w:rsidR="00A100A7" w:rsidRPr="0050380E" w:rsidRDefault="00A100A7" w:rsidP="0050380E">
            <w:pPr>
              <w:numPr>
                <w:ilvl w:val="1"/>
                <w:numId w:val="23"/>
              </w:numPr>
              <w:spacing w:after="0"/>
              <w:rPr>
                <w:rFonts w:cstheme="minorHAnsi"/>
              </w:rPr>
            </w:pPr>
            <w:r w:rsidRPr="0050380E">
              <w:rPr>
                <w:rFonts w:cstheme="minorHAnsi"/>
                <w:b/>
                <w:bCs/>
              </w:rPr>
              <w:t>Digital Futures Flagship</w:t>
            </w:r>
            <w:r w:rsidRPr="0050380E">
              <w:rPr>
                <w:rFonts w:cstheme="minorHAnsi"/>
              </w:rPr>
              <w:t xml:space="preserve"> </w:t>
            </w:r>
          </w:p>
          <w:p w14:paraId="241E98AD" w14:textId="4EA7F715" w:rsidR="00A100A7" w:rsidRPr="0050380E" w:rsidRDefault="00A100A7" w:rsidP="0050380E">
            <w:pPr>
              <w:numPr>
                <w:ilvl w:val="1"/>
                <w:numId w:val="23"/>
              </w:numPr>
              <w:spacing w:after="0"/>
              <w:rPr>
                <w:rFonts w:cstheme="minorHAnsi"/>
              </w:rPr>
            </w:pPr>
            <w:r w:rsidRPr="0050380E">
              <w:rPr>
                <w:rFonts w:cstheme="minorHAnsi"/>
                <w:b/>
                <w:bCs/>
              </w:rPr>
              <w:t>One Health Flagship</w:t>
            </w:r>
            <w:r w:rsidRPr="0050380E">
              <w:rPr>
                <w:rFonts w:cstheme="minorHAnsi"/>
              </w:rPr>
              <w:t xml:space="preserve"> </w:t>
            </w:r>
          </w:p>
          <w:p w14:paraId="44D3D913" w14:textId="3F6CDEB1" w:rsidR="00A100A7" w:rsidRPr="0050380E" w:rsidRDefault="00A100A7" w:rsidP="0050380E">
            <w:pPr>
              <w:numPr>
                <w:ilvl w:val="1"/>
                <w:numId w:val="23"/>
              </w:numPr>
              <w:spacing w:after="0"/>
              <w:rPr>
                <w:rFonts w:cstheme="minorHAnsi"/>
              </w:rPr>
            </w:pPr>
            <w:r w:rsidRPr="0050380E">
              <w:rPr>
                <w:rFonts w:cstheme="minorHAnsi"/>
                <w:b/>
                <w:bCs/>
              </w:rPr>
              <w:t xml:space="preserve">Indigenous Research Strategy </w:t>
            </w:r>
          </w:p>
          <w:p w14:paraId="0E3B7889" w14:textId="77777777" w:rsidR="00A100A7" w:rsidRPr="0050380E" w:rsidRDefault="00A100A7" w:rsidP="0050380E">
            <w:pPr>
              <w:numPr>
                <w:ilvl w:val="0"/>
                <w:numId w:val="23"/>
              </w:numPr>
              <w:spacing w:after="0"/>
              <w:rPr>
                <w:rFonts w:cstheme="minorHAnsi"/>
              </w:rPr>
            </w:pPr>
            <w:r w:rsidRPr="0050380E">
              <w:rPr>
                <w:rFonts w:cstheme="minorHAnsi"/>
              </w:rPr>
              <w:t>Theme 2 - Grants, infrastructure and capacity</w:t>
            </w:r>
          </w:p>
          <w:p w14:paraId="17C0CAEA" w14:textId="77777777" w:rsidR="00A100A7" w:rsidRPr="0050380E" w:rsidRDefault="00A100A7" w:rsidP="0050380E">
            <w:pPr>
              <w:numPr>
                <w:ilvl w:val="0"/>
                <w:numId w:val="23"/>
              </w:numPr>
              <w:spacing w:after="0"/>
              <w:rPr>
                <w:rFonts w:cstheme="minorHAnsi"/>
              </w:rPr>
            </w:pPr>
            <w:r w:rsidRPr="0050380E">
              <w:rPr>
                <w:rFonts w:cstheme="minorHAnsi"/>
              </w:rPr>
              <w:t>Theme 3 - Research culture, performance, training and recognition</w:t>
            </w:r>
          </w:p>
          <w:p w14:paraId="7247FF65" w14:textId="77777777" w:rsidR="00A100A7" w:rsidRPr="0050380E" w:rsidRDefault="00A100A7" w:rsidP="0050380E">
            <w:pPr>
              <w:numPr>
                <w:ilvl w:val="0"/>
                <w:numId w:val="23"/>
              </w:numPr>
              <w:spacing w:after="0"/>
              <w:rPr>
                <w:rFonts w:cstheme="minorHAnsi"/>
              </w:rPr>
            </w:pPr>
            <w:r w:rsidRPr="0050380E">
              <w:rPr>
                <w:rFonts w:cstheme="minorHAnsi"/>
              </w:rPr>
              <w:t>Theme 4 - IP systems, tools and industry networks</w:t>
            </w:r>
          </w:p>
          <w:p w14:paraId="5B44579A" w14:textId="77777777" w:rsidR="00A100A7" w:rsidRPr="0050380E" w:rsidRDefault="00A100A7" w:rsidP="0050380E">
            <w:pPr>
              <w:numPr>
                <w:ilvl w:val="0"/>
                <w:numId w:val="23"/>
              </w:numPr>
              <w:spacing w:after="0"/>
              <w:rPr>
                <w:rFonts w:cstheme="minorHAnsi"/>
              </w:rPr>
            </w:pPr>
            <w:r w:rsidRPr="0050380E">
              <w:rPr>
                <w:rFonts w:cstheme="minorHAnsi"/>
              </w:rPr>
              <w:t>Theme 5 - Engagement and outreach, locally, nationally and globally</w:t>
            </w:r>
          </w:p>
          <w:p w14:paraId="083667FA" w14:textId="305B9DFD" w:rsidR="00A100A7" w:rsidRDefault="00A100A7" w:rsidP="0050380E">
            <w:pPr>
              <w:spacing w:after="0"/>
              <w:rPr>
                <w:rFonts w:cstheme="minorHAnsi"/>
              </w:rPr>
            </w:pPr>
            <w:r w:rsidRPr="0050380E">
              <w:rPr>
                <w:rFonts w:cstheme="minorHAnsi"/>
              </w:rPr>
              <w:t xml:space="preserve">The Research Performance Framework sets out the targets and benchmarks for UNE on an annual basis. These are set early in the calendar year for reporting 12 months later. </w:t>
            </w:r>
          </w:p>
          <w:p w14:paraId="604BE11F" w14:textId="77777777" w:rsidR="0050380E" w:rsidRPr="0050380E" w:rsidRDefault="0050380E" w:rsidP="0050380E">
            <w:pPr>
              <w:spacing w:after="0"/>
              <w:rPr>
                <w:rFonts w:cstheme="minorHAnsi"/>
              </w:rPr>
            </w:pPr>
          </w:p>
          <w:tbl>
            <w:tblPr>
              <w:tblStyle w:val="TableGrid"/>
              <w:tblW w:w="0" w:type="auto"/>
              <w:tblLook w:val="04A0" w:firstRow="1" w:lastRow="0" w:firstColumn="1" w:lastColumn="0" w:noHBand="0" w:noVBand="1"/>
            </w:tblPr>
            <w:tblGrid>
              <w:gridCol w:w="3333"/>
              <w:gridCol w:w="5457"/>
            </w:tblGrid>
            <w:tr w:rsidR="00A100A7" w:rsidRPr="0050380E" w14:paraId="252B3921" w14:textId="77777777" w:rsidTr="00830726">
              <w:tc>
                <w:tcPr>
                  <w:tcW w:w="3333" w:type="dxa"/>
                  <w:shd w:val="clear" w:color="auto" w:fill="002536" w:themeFill="background2" w:themeFillShade="80"/>
                </w:tcPr>
                <w:p w14:paraId="2A3F966C" w14:textId="77777777" w:rsidR="00A100A7" w:rsidRPr="0050380E" w:rsidRDefault="00A100A7" w:rsidP="0050380E">
                  <w:pPr>
                    <w:spacing w:after="0"/>
                    <w:rPr>
                      <w:rFonts w:cstheme="minorHAnsi"/>
                      <w:color w:val="FFFFFF" w:themeColor="background1"/>
                    </w:rPr>
                  </w:pPr>
                  <w:r w:rsidRPr="0050380E">
                    <w:rPr>
                      <w:rFonts w:cstheme="minorHAnsi"/>
                      <w:color w:val="FFFFFF" w:themeColor="background1"/>
                    </w:rPr>
                    <w:t xml:space="preserve">Initiatives and measures </w:t>
                  </w:r>
                </w:p>
              </w:tc>
              <w:tc>
                <w:tcPr>
                  <w:tcW w:w="5457" w:type="dxa"/>
                  <w:shd w:val="clear" w:color="auto" w:fill="002536" w:themeFill="background2" w:themeFillShade="80"/>
                </w:tcPr>
                <w:p w14:paraId="647A7457" w14:textId="77777777" w:rsidR="00A100A7" w:rsidRPr="0050380E" w:rsidRDefault="00A100A7" w:rsidP="0050380E">
                  <w:pPr>
                    <w:spacing w:after="0"/>
                    <w:rPr>
                      <w:rFonts w:cstheme="minorHAnsi"/>
                      <w:color w:val="FFFFFF" w:themeColor="background1"/>
                    </w:rPr>
                  </w:pPr>
                  <w:r w:rsidRPr="0050380E">
                    <w:rPr>
                      <w:rFonts w:cstheme="minorHAnsi"/>
                      <w:color w:val="FFFFFF" w:themeColor="background1"/>
                    </w:rPr>
                    <w:t xml:space="preserve">Benchmarks / Targets 2025 (as a range) </w:t>
                  </w:r>
                </w:p>
                <w:p w14:paraId="48CE15E8" w14:textId="77777777" w:rsidR="00A100A7" w:rsidRPr="0050380E" w:rsidRDefault="00A100A7" w:rsidP="0050380E">
                  <w:pPr>
                    <w:spacing w:after="0"/>
                    <w:rPr>
                      <w:rFonts w:cstheme="minorHAnsi"/>
                      <w:color w:val="FFFFFF" w:themeColor="background1"/>
                    </w:rPr>
                  </w:pPr>
                  <w:r w:rsidRPr="0050380E">
                    <w:rPr>
                      <w:rFonts w:cstheme="minorHAnsi"/>
                      <w:color w:val="FFFFFF" w:themeColor="background1"/>
                    </w:rPr>
                    <w:t>(from Researcher Performance Framework)</w:t>
                  </w:r>
                </w:p>
              </w:tc>
            </w:tr>
            <w:tr w:rsidR="00A100A7" w:rsidRPr="0050380E" w14:paraId="5090E21A" w14:textId="77777777" w:rsidTr="00830726">
              <w:tc>
                <w:tcPr>
                  <w:tcW w:w="3333" w:type="dxa"/>
                </w:tcPr>
                <w:p w14:paraId="063B6449" w14:textId="77777777" w:rsidR="00A100A7" w:rsidRPr="0050380E" w:rsidRDefault="00A100A7" w:rsidP="0050380E">
                  <w:pPr>
                    <w:spacing w:after="0"/>
                    <w:rPr>
                      <w:rFonts w:cstheme="minorHAnsi"/>
                    </w:rPr>
                  </w:pPr>
                  <w:r w:rsidRPr="0050380E">
                    <w:rPr>
                      <w:rFonts w:cstheme="minorHAnsi"/>
                    </w:rPr>
                    <w:t xml:space="preserve">Initiatives to improve research proposals </w:t>
                  </w:r>
                </w:p>
                <w:p w14:paraId="2F82E7F6" w14:textId="77777777" w:rsidR="00A100A7" w:rsidRPr="0050380E" w:rsidRDefault="00A100A7" w:rsidP="0050380E">
                  <w:pPr>
                    <w:spacing w:after="0"/>
                    <w:rPr>
                      <w:rFonts w:cstheme="minorHAnsi"/>
                    </w:rPr>
                  </w:pPr>
                </w:p>
              </w:tc>
              <w:tc>
                <w:tcPr>
                  <w:tcW w:w="5457" w:type="dxa"/>
                </w:tcPr>
                <w:p w14:paraId="4C099EFC" w14:textId="77777777" w:rsidR="00A100A7" w:rsidRPr="0050380E" w:rsidRDefault="00A100A7" w:rsidP="0050380E">
                  <w:pPr>
                    <w:spacing w:after="0"/>
                    <w:rPr>
                      <w:rFonts w:cstheme="minorHAnsi"/>
                    </w:rPr>
                  </w:pPr>
                  <w:r w:rsidRPr="0050380E">
                    <w:rPr>
                      <w:rFonts w:cstheme="minorHAnsi"/>
                    </w:rPr>
                    <w:t>Cat 1 awards: # = 31/35, value = $45m / $49.5m</w:t>
                  </w:r>
                </w:p>
                <w:p w14:paraId="2825027D" w14:textId="77777777" w:rsidR="00A100A7" w:rsidRPr="0050380E" w:rsidRDefault="00A100A7" w:rsidP="0050380E">
                  <w:pPr>
                    <w:spacing w:after="0"/>
                    <w:rPr>
                      <w:rFonts w:cstheme="minorHAnsi"/>
                    </w:rPr>
                  </w:pPr>
                  <w:r w:rsidRPr="0050380E">
                    <w:rPr>
                      <w:rFonts w:cstheme="minorHAnsi"/>
                    </w:rPr>
                    <w:t>Cat 2 awards: # = 23/24, value = $4.9m / $5.1m</w:t>
                  </w:r>
                </w:p>
                <w:p w14:paraId="2EDD4031" w14:textId="77777777" w:rsidR="00A100A7" w:rsidRPr="0050380E" w:rsidRDefault="00A100A7" w:rsidP="0050380E">
                  <w:pPr>
                    <w:spacing w:after="0"/>
                    <w:rPr>
                      <w:rFonts w:cstheme="minorHAnsi"/>
                    </w:rPr>
                  </w:pPr>
                  <w:r w:rsidRPr="0050380E">
                    <w:rPr>
                      <w:rFonts w:cstheme="minorHAnsi"/>
                    </w:rPr>
                    <w:t>Cat 3 awards: # = 45/47, value = $5m / $5.2m</w:t>
                  </w:r>
                </w:p>
                <w:p w14:paraId="78F455EA" w14:textId="77777777" w:rsidR="00A100A7" w:rsidRPr="0050380E" w:rsidRDefault="00A100A7" w:rsidP="0050380E">
                  <w:pPr>
                    <w:spacing w:after="0"/>
                    <w:rPr>
                      <w:rFonts w:cstheme="minorHAnsi"/>
                    </w:rPr>
                  </w:pPr>
                </w:p>
              </w:tc>
            </w:tr>
            <w:tr w:rsidR="00A100A7" w:rsidRPr="0050380E" w14:paraId="0BA6CB10" w14:textId="77777777" w:rsidTr="00830726">
              <w:tc>
                <w:tcPr>
                  <w:tcW w:w="3333" w:type="dxa"/>
                </w:tcPr>
                <w:p w14:paraId="613ECF18" w14:textId="77777777" w:rsidR="00A100A7" w:rsidRPr="0050380E" w:rsidRDefault="00A100A7" w:rsidP="0050380E">
                  <w:pPr>
                    <w:spacing w:after="0"/>
                    <w:rPr>
                      <w:rFonts w:cstheme="minorHAnsi"/>
                    </w:rPr>
                  </w:pPr>
                  <w:r w:rsidRPr="0050380E">
                    <w:rPr>
                      <w:rFonts w:cstheme="minorHAnsi"/>
                    </w:rPr>
                    <w:t>Initiatives to diversify income</w:t>
                  </w:r>
                </w:p>
              </w:tc>
              <w:tc>
                <w:tcPr>
                  <w:tcW w:w="5457" w:type="dxa"/>
                </w:tcPr>
                <w:p w14:paraId="419BA8C8" w14:textId="77777777" w:rsidR="00A100A7" w:rsidRPr="0050380E" w:rsidRDefault="00A100A7" w:rsidP="0050380E">
                  <w:pPr>
                    <w:spacing w:after="0"/>
                    <w:rPr>
                      <w:rFonts w:cstheme="minorHAnsi"/>
                    </w:rPr>
                  </w:pPr>
                  <w:r w:rsidRPr="0050380E">
                    <w:rPr>
                      <w:rFonts w:cstheme="minorHAnsi"/>
                    </w:rPr>
                    <w:t xml:space="preserve">Range of $value targets across </w:t>
                  </w:r>
                  <w:proofErr w:type="gramStart"/>
                  <w:r w:rsidRPr="0050380E">
                    <w:rPr>
                      <w:rFonts w:cstheme="minorHAnsi"/>
                    </w:rPr>
                    <w:t>2 digit</w:t>
                  </w:r>
                  <w:proofErr w:type="gramEnd"/>
                  <w:r w:rsidRPr="0050380E">
                    <w:rPr>
                      <w:rFonts w:cstheme="minorHAnsi"/>
                    </w:rPr>
                    <w:t xml:space="preserve"> FORs and across Cat1,2,3,4 schemes</w:t>
                  </w:r>
                </w:p>
              </w:tc>
            </w:tr>
            <w:tr w:rsidR="00A100A7" w:rsidRPr="0050380E" w14:paraId="6A7AC29C" w14:textId="77777777" w:rsidTr="00830726">
              <w:tc>
                <w:tcPr>
                  <w:tcW w:w="3333" w:type="dxa"/>
                </w:tcPr>
                <w:p w14:paraId="67687B84" w14:textId="77777777" w:rsidR="00A100A7" w:rsidRPr="0050380E" w:rsidRDefault="00A100A7" w:rsidP="0050380E">
                  <w:pPr>
                    <w:spacing w:after="0"/>
                    <w:rPr>
                      <w:rFonts w:cstheme="minorHAnsi"/>
                    </w:rPr>
                  </w:pPr>
                  <w:r w:rsidRPr="0050380E">
                    <w:rPr>
                      <w:rFonts w:cstheme="minorHAnsi"/>
                    </w:rPr>
                    <w:t xml:space="preserve">Indigenous HDR enrolments </w:t>
                  </w:r>
                </w:p>
              </w:tc>
              <w:tc>
                <w:tcPr>
                  <w:tcW w:w="5457" w:type="dxa"/>
                </w:tcPr>
                <w:p w14:paraId="2E576998" w14:textId="77777777" w:rsidR="00A100A7" w:rsidRPr="0050380E" w:rsidRDefault="00A100A7" w:rsidP="0050380E">
                  <w:pPr>
                    <w:spacing w:after="0"/>
                    <w:rPr>
                      <w:rFonts w:cstheme="minorHAnsi"/>
                    </w:rPr>
                  </w:pPr>
                  <w:r w:rsidRPr="0050380E">
                    <w:rPr>
                      <w:rFonts w:cstheme="minorHAnsi"/>
                    </w:rPr>
                    <w:t xml:space="preserve">3 / 4 commencing and 3 / 4 completions </w:t>
                  </w:r>
                </w:p>
              </w:tc>
            </w:tr>
            <w:tr w:rsidR="00A100A7" w:rsidRPr="0050380E" w14:paraId="2FF56892" w14:textId="77777777" w:rsidTr="00830726">
              <w:tc>
                <w:tcPr>
                  <w:tcW w:w="3333" w:type="dxa"/>
                </w:tcPr>
                <w:p w14:paraId="0288C513" w14:textId="77777777" w:rsidR="00A100A7" w:rsidRPr="0050380E" w:rsidRDefault="00A100A7" w:rsidP="0050380E">
                  <w:pPr>
                    <w:spacing w:after="0"/>
                    <w:rPr>
                      <w:rFonts w:cstheme="minorHAnsi"/>
                    </w:rPr>
                  </w:pPr>
                  <w:r w:rsidRPr="0050380E">
                    <w:rPr>
                      <w:rFonts w:cstheme="minorHAnsi"/>
                    </w:rPr>
                    <w:t xml:space="preserve">HDR Student enrolments </w:t>
                  </w:r>
                </w:p>
              </w:tc>
              <w:tc>
                <w:tcPr>
                  <w:tcW w:w="5457" w:type="dxa"/>
                </w:tcPr>
                <w:p w14:paraId="53FD1AAE" w14:textId="77777777" w:rsidR="00A100A7" w:rsidRPr="0050380E" w:rsidRDefault="00A100A7" w:rsidP="0050380E">
                  <w:pPr>
                    <w:spacing w:after="0"/>
                    <w:rPr>
                      <w:rFonts w:cstheme="minorHAnsi"/>
                    </w:rPr>
                  </w:pPr>
                  <w:r w:rsidRPr="0050380E">
                    <w:rPr>
                      <w:rFonts w:cstheme="minorHAnsi"/>
                    </w:rPr>
                    <w:t>81 / 85</w:t>
                  </w:r>
                </w:p>
              </w:tc>
            </w:tr>
            <w:tr w:rsidR="00A100A7" w:rsidRPr="0050380E" w14:paraId="4D3E051D" w14:textId="77777777" w:rsidTr="00830726">
              <w:tc>
                <w:tcPr>
                  <w:tcW w:w="3333" w:type="dxa"/>
                </w:tcPr>
                <w:p w14:paraId="74B96DF8" w14:textId="28791BFD" w:rsidR="00A100A7" w:rsidRPr="0050380E" w:rsidRDefault="00A100A7" w:rsidP="0050380E">
                  <w:pPr>
                    <w:spacing w:after="0"/>
                    <w:rPr>
                      <w:rFonts w:cstheme="minorHAnsi"/>
                    </w:rPr>
                  </w:pPr>
                  <w:r w:rsidRPr="0050380E">
                    <w:rPr>
                      <w:rFonts w:cstheme="minorHAnsi"/>
                    </w:rPr>
                    <w:t xml:space="preserve">Maintain UNE </w:t>
                  </w:r>
                  <w:r w:rsidR="0084524D">
                    <w:rPr>
                      <w:rFonts w:cstheme="minorHAnsi"/>
                    </w:rPr>
                    <w:t>HDR stipend</w:t>
                  </w:r>
                  <w:r w:rsidRPr="0050380E">
                    <w:rPr>
                      <w:rFonts w:cstheme="minorHAnsi"/>
                    </w:rPr>
                    <w:t xml:space="preserve"> </w:t>
                  </w:r>
                </w:p>
              </w:tc>
              <w:tc>
                <w:tcPr>
                  <w:tcW w:w="5457" w:type="dxa"/>
                </w:tcPr>
                <w:p w14:paraId="08BCC77F" w14:textId="77777777" w:rsidR="00A100A7" w:rsidRPr="0050380E" w:rsidRDefault="00A100A7" w:rsidP="0050380E">
                  <w:pPr>
                    <w:spacing w:after="0"/>
                    <w:rPr>
                      <w:rFonts w:cstheme="minorHAnsi"/>
                    </w:rPr>
                  </w:pPr>
                  <w:r w:rsidRPr="0050380E">
                    <w:rPr>
                      <w:rFonts w:cstheme="minorHAnsi"/>
                    </w:rPr>
                    <w:t>Set at 10% above award level and for indigenous students 30%</w:t>
                  </w:r>
                </w:p>
              </w:tc>
            </w:tr>
            <w:tr w:rsidR="00A100A7" w:rsidRPr="0050380E" w14:paraId="5AFEC09C" w14:textId="77777777" w:rsidTr="00830726">
              <w:tc>
                <w:tcPr>
                  <w:tcW w:w="3333" w:type="dxa"/>
                </w:tcPr>
                <w:p w14:paraId="5F57094B" w14:textId="026A3FD1" w:rsidR="00A100A7" w:rsidRPr="0050380E" w:rsidRDefault="00A100A7" w:rsidP="0050380E">
                  <w:pPr>
                    <w:spacing w:after="0"/>
                    <w:rPr>
                      <w:rFonts w:cstheme="minorHAnsi"/>
                    </w:rPr>
                  </w:pPr>
                  <w:r w:rsidRPr="0050380E">
                    <w:rPr>
                      <w:rFonts w:cstheme="minorHAnsi"/>
                    </w:rPr>
                    <w:t xml:space="preserve">HDR on-time completions </w:t>
                  </w:r>
                </w:p>
              </w:tc>
              <w:tc>
                <w:tcPr>
                  <w:tcW w:w="5457" w:type="dxa"/>
                </w:tcPr>
                <w:p w14:paraId="290C6155" w14:textId="77777777" w:rsidR="00A100A7" w:rsidRPr="0050380E" w:rsidRDefault="00A100A7" w:rsidP="0050380E">
                  <w:pPr>
                    <w:spacing w:after="0"/>
                    <w:rPr>
                      <w:rFonts w:cstheme="minorHAnsi"/>
                    </w:rPr>
                  </w:pPr>
                  <w:r w:rsidRPr="0050380E">
                    <w:rPr>
                      <w:rFonts w:cstheme="minorHAnsi"/>
                    </w:rPr>
                    <w:t>50% / 55%</w:t>
                  </w:r>
                </w:p>
              </w:tc>
            </w:tr>
            <w:tr w:rsidR="00A100A7" w:rsidRPr="0050380E" w14:paraId="1C8144FD" w14:textId="77777777" w:rsidTr="00830726">
              <w:tc>
                <w:tcPr>
                  <w:tcW w:w="3333" w:type="dxa"/>
                </w:tcPr>
                <w:p w14:paraId="7A300C7E" w14:textId="77777777" w:rsidR="00A100A7" w:rsidRPr="0050380E" w:rsidRDefault="00A100A7" w:rsidP="0050380E">
                  <w:pPr>
                    <w:spacing w:after="0"/>
                    <w:rPr>
                      <w:rFonts w:cstheme="minorHAnsi"/>
                    </w:rPr>
                  </w:pPr>
                  <w:r w:rsidRPr="0050380E">
                    <w:rPr>
                      <w:rFonts w:cstheme="minorHAnsi"/>
                    </w:rPr>
                    <w:t>Increase quality and quantity of research outputs</w:t>
                  </w:r>
                </w:p>
              </w:tc>
              <w:tc>
                <w:tcPr>
                  <w:tcW w:w="5457" w:type="dxa"/>
                </w:tcPr>
                <w:p w14:paraId="205C263A" w14:textId="77777777" w:rsidR="00A100A7" w:rsidRPr="0050380E" w:rsidRDefault="00A100A7" w:rsidP="0050380E">
                  <w:pPr>
                    <w:spacing w:after="0"/>
                    <w:rPr>
                      <w:rFonts w:cstheme="minorHAnsi"/>
                    </w:rPr>
                  </w:pPr>
                  <w:r w:rsidRPr="0050380E">
                    <w:rPr>
                      <w:rFonts w:cstheme="minorHAnsi"/>
                    </w:rPr>
                    <w:t>UNE FWCI average = 1.23 / 1.29</w:t>
                  </w:r>
                </w:p>
                <w:p w14:paraId="0A333AA4" w14:textId="77777777" w:rsidR="00A100A7" w:rsidRPr="0050380E" w:rsidRDefault="00A100A7" w:rsidP="0050380E">
                  <w:pPr>
                    <w:spacing w:after="0"/>
                    <w:rPr>
                      <w:rFonts w:cstheme="minorHAnsi"/>
                    </w:rPr>
                  </w:pPr>
                </w:p>
                <w:p w14:paraId="6A5D6890" w14:textId="77777777" w:rsidR="00A100A7" w:rsidRPr="0050380E" w:rsidRDefault="00A100A7" w:rsidP="0050380E">
                  <w:pPr>
                    <w:spacing w:after="0"/>
                    <w:rPr>
                      <w:rFonts w:cstheme="minorHAnsi"/>
                    </w:rPr>
                  </w:pPr>
                  <w:r w:rsidRPr="0050380E">
                    <w:rPr>
                      <w:rFonts w:cstheme="minorHAnsi"/>
                    </w:rPr>
                    <w:t xml:space="preserve">Metrics for outputs per FTE at different levels </w:t>
                  </w:r>
                </w:p>
              </w:tc>
            </w:tr>
            <w:tr w:rsidR="00A100A7" w:rsidRPr="0050380E" w14:paraId="5A2CCA82" w14:textId="77777777" w:rsidTr="00830726">
              <w:tc>
                <w:tcPr>
                  <w:tcW w:w="3333" w:type="dxa"/>
                </w:tcPr>
                <w:p w14:paraId="26406E3C" w14:textId="77777777" w:rsidR="00A100A7" w:rsidRPr="0050380E" w:rsidRDefault="00A100A7" w:rsidP="0050380E">
                  <w:pPr>
                    <w:spacing w:after="0"/>
                    <w:rPr>
                      <w:rFonts w:cstheme="minorHAnsi"/>
                    </w:rPr>
                  </w:pPr>
                  <w:r w:rsidRPr="0050380E">
                    <w:rPr>
                      <w:rFonts w:cstheme="minorHAnsi"/>
                    </w:rPr>
                    <w:t xml:space="preserve">Competitiveness with Australian Universities in terms of research outputs </w:t>
                  </w:r>
                </w:p>
              </w:tc>
              <w:tc>
                <w:tcPr>
                  <w:tcW w:w="5457" w:type="dxa"/>
                </w:tcPr>
                <w:p w14:paraId="10D1C2D9" w14:textId="77777777" w:rsidR="00A100A7" w:rsidRPr="0050380E" w:rsidRDefault="00A100A7" w:rsidP="0050380E">
                  <w:pPr>
                    <w:spacing w:after="0"/>
                    <w:rPr>
                      <w:rFonts w:cstheme="minorHAnsi"/>
                    </w:rPr>
                  </w:pPr>
                  <w:r w:rsidRPr="0050380E">
                    <w:rPr>
                      <w:rFonts w:cstheme="minorHAnsi"/>
                    </w:rPr>
                    <w:t>COKI- calculated metrics where UNE in top ten for 4-Digit FOR: 16 / 17</w:t>
                  </w:r>
                </w:p>
              </w:tc>
            </w:tr>
          </w:tbl>
          <w:p w14:paraId="40DA31C2" w14:textId="77777777" w:rsidR="001B109C" w:rsidRPr="0050380E" w:rsidRDefault="001B109C" w:rsidP="0050380E">
            <w:pPr>
              <w:pStyle w:val="NormalIndent"/>
              <w:spacing w:before="0" w:after="0" w:line="240" w:lineRule="auto"/>
              <w:ind w:left="0"/>
              <w:rPr>
                <w:rFonts w:asciiTheme="minorHAnsi" w:hAnsiTheme="minorHAnsi" w:cstheme="minorHAnsi"/>
                <w:i/>
                <w:color w:val="FF0000"/>
                <w:szCs w:val="22"/>
              </w:rPr>
            </w:pPr>
          </w:p>
        </w:tc>
      </w:tr>
      <w:tr w:rsidR="001B109C" w:rsidRPr="00E41388" w14:paraId="23C06863" w14:textId="77777777" w:rsidTr="6DCF43EC">
        <w:trPr>
          <w:cantSplit/>
        </w:trPr>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4E3EAE" w:rsidRPr="00E41388" w14:paraId="53A8581F" w14:textId="77777777" w:rsidTr="6DCF43EC">
        <w:trPr>
          <w:cantSplit/>
        </w:trPr>
        <w:tc>
          <w:tcPr>
            <w:tcW w:w="5000" w:type="pct"/>
          </w:tcPr>
          <w:p w14:paraId="1E50D4E8" w14:textId="1D134161" w:rsidR="004A1655" w:rsidRDefault="00357D39" w:rsidP="00942ECD">
            <w:r>
              <w:t xml:space="preserve">Throughout 2025 and 2026, UNE will focus on expanding </w:t>
            </w:r>
            <w:proofErr w:type="spellStart"/>
            <w:proofErr w:type="gramStart"/>
            <w:r>
              <w:t>it’s</w:t>
            </w:r>
            <w:proofErr w:type="spellEnd"/>
            <w:proofErr w:type="gramEnd"/>
            <w:r>
              <w:t xml:space="preserve"> existing relationships with industry as well as</w:t>
            </w:r>
            <w:r w:rsidR="000E63CE">
              <w:t xml:space="preserve"> the development of new partnership arrangements in targeted areas. This </w:t>
            </w:r>
            <w:proofErr w:type="gramStart"/>
            <w:r w:rsidR="000E63CE">
              <w:t>include</w:t>
            </w:r>
            <w:proofErr w:type="gramEnd"/>
            <w:r w:rsidR="000E63CE">
              <w:t>:</w:t>
            </w:r>
          </w:p>
          <w:p w14:paraId="0D9F1EA6" w14:textId="6EE34E9F" w:rsidR="000E63CE" w:rsidRDefault="00721A9B" w:rsidP="000E63CE">
            <w:pPr>
              <w:pStyle w:val="ListParagraph"/>
              <w:numPr>
                <w:ilvl w:val="0"/>
                <w:numId w:val="23"/>
              </w:numPr>
              <w:spacing w:line="240" w:lineRule="auto"/>
            </w:pPr>
            <w:r>
              <w:t xml:space="preserve">UNE’s </w:t>
            </w:r>
            <w:hyperlink r:id="rId30" w:history="1">
              <w:r w:rsidRPr="00D819CD">
                <w:rPr>
                  <w:rStyle w:val="Hyperlink"/>
                </w:rPr>
                <w:t>A</w:t>
              </w:r>
              <w:r w:rsidR="009A6A95" w:rsidRPr="00D819CD">
                <w:rPr>
                  <w:rStyle w:val="Hyperlink"/>
                </w:rPr>
                <w:t>gricultural Business Research Institute (ABRI</w:t>
              </w:r>
            </w:hyperlink>
            <w:r w:rsidR="009A6A95">
              <w:t>)</w:t>
            </w:r>
            <w:r w:rsidR="00FC62D0">
              <w:t>, our exceptionally</w:t>
            </w:r>
            <w:r w:rsidR="000E63CE">
              <w:t xml:space="preserve"> successful </w:t>
            </w:r>
            <w:r>
              <w:t>beef genetics tool</w:t>
            </w:r>
            <w:r w:rsidR="00E85573">
              <w:t xml:space="preserve">, </w:t>
            </w:r>
            <w:proofErr w:type="spellStart"/>
            <w:r w:rsidR="00E85573">
              <w:t>Breedplan</w:t>
            </w:r>
            <w:proofErr w:type="spellEnd"/>
            <w:r w:rsidR="00E85573">
              <w:t>,</w:t>
            </w:r>
            <w:r>
              <w:t xml:space="preserve"> </w:t>
            </w:r>
            <w:r w:rsidR="00FC62D0">
              <w:t xml:space="preserve">will </w:t>
            </w:r>
            <w:r w:rsidR="0083702C">
              <w:t xml:space="preserve">be </w:t>
            </w:r>
            <w:r w:rsidR="00D35E71">
              <w:t>further developed</w:t>
            </w:r>
            <w:r w:rsidR="00FC62D0">
              <w:t xml:space="preserve"> to </w:t>
            </w:r>
            <w:r w:rsidR="00E85573">
              <w:t>provide genetics insights into</w:t>
            </w:r>
            <w:r>
              <w:t xml:space="preserve"> the sheep industry. </w:t>
            </w:r>
          </w:p>
          <w:p w14:paraId="6F0B5D08" w14:textId="62A80041" w:rsidR="00D819CD" w:rsidRDefault="00D819CD" w:rsidP="000E63CE">
            <w:pPr>
              <w:pStyle w:val="ListParagraph"/>
              <w:numPr>
                <w:ilvl w:val="0"/>
                <w:numId w:val="23"/>
              </w:numPr>
              <w:spacing w:line="240" w:lineRule="auto"/>
            </w:pPr>
            <w:r>
              <w:t xml:space="preserve">The </w:t>
            </w:r>
            <w:hyperlink r:id="rId31" w:history="1">
              <w:r w:rsidRPr="00534072">
                <w:rPr>
                  <w:rStyle w:val="Hyperlink"/>
                </w:rPr>
                <w:t xml:space="preserve">UNE Smart Region Incubator </w:t>
              </w:r>
              <w:r w:rsidR="00534072" w:rsidRPr="00534072">
                <w:rPr>
                  <w:rStyle w:val="Hyperlink"/>
                </w:rPr>
                <w:t>(UNE SRI)</w:t>
              </w:r>
            </w:hyperlink>
            <w:r w:rsidR="00534072">
              <w:t xml:space="preserve"> </w:t>
            </w:r>
            <w:r w:rsidR="000E1222">
              <w:t xml:space="preserve">will </w:t>
            </w:r>
            <w:r w:rsidR="002E0FE5">
              <w:t>extend</w:t>
            </w:r>
            <w:r w:rsidR="000E1222">
              <w:t xml:space="preserve"> </w:t>
            </w:r>
            <w:r w:rsidR="00CB6D61">
              <w:t>its</w:t>
            </w:r>
            <w:r w:rsidR="000E1222">
              <w:t xml:space="preserve"> </w:t>
            </w:r>
            <w:r w:rsidR="002E0FE5">
              <w:t>activities</w:t>
            </w:r>
            <w:r w:rsidR="000E1222">
              <w:t xml:space="preserve"> </w:t>
            </w:r>
            <w:r w:rsidR="002E0FE5">
              <w:t>across</w:t>
            </w:r>
            <w:r w:rsidR="000E1222">
              <w:t xml:space="preserve"> </w:t>
            </w:r>
            <w:r w:rsidR="002E0FE5">
              <w:t>Armidale, Tamworth, Moree and Narrabri</w:t>
            </w:r>
            <w:r w:rsidR="000E1222">
              <w:t>,</w:t>
            </w:r>
            <w:r w:rsidR="002E0FE5">
              <w:t xml:space="preserve"> by providing </w:t>
            </w:r>
            <w:r w:rsidR="002E0FE5" w:rsidRPr="002E0FE5">
              <w:t xml:space="preserve">support </w:t>
            </w:r>
            <w:r w:rsidR="002E0FE5">
              <w:t xml:space="preserve">for </w:t>
            </w:r>
            <w:r w:rsidR="002E0FE5" w:rsidRPr="002E0FE5">
              <w:t>innovation across the New England North West of NSW by connecting founders, researchers, school and university students, mentors, experts, investors, government and business partners</w:t>
            </w:r>
            <w:r w:rsidR="002E0FE5">
              <w:t>.</w:t>
            </w:r>
          </w:p>
          <w:p w14:paraId="4E50BDC4" w14:textId="63BF5E60" w:rsidR="002E0FE5" w:rsidRDefault="00A01A27" w:rsidP="000E63CE">
            <w:pPr>
              <w:pStyle w:val="ListParagraph"/>
              <w:numPr>
                <w:ilvl w:val="0"/>
                <w:numId w:val="23"/>
              </w:numPr>
              <w:spacing w:line="240" w:lineRule="auto"/>
            </w:pPr>
            <w:r>
              <w:t xml:space="preserve">In 2025-26 UNE will commence a series of partnerships with private </w:t>
            </w:r>
            <w:r w:rsidR="00B76E8F">
              <w:t>health</w:t>
            </w:r>
            <w:r>
              <w:t xml:space="preserve"> providers to upskill nursing and </w:t>
            </w:r>
            <w:r w:rsidR="00B76E8F">
              <w:t xml:space="preserve">health support staff across NSW </w:t>
            </w:r>
            <w:r w:rsidR="00CB6D61">
              <w:t>to mee significant work force demand across the sector.</w:t>
            </w:r>
            <w:r w:rsidR="00B76E8F">
              <w:t xml:space="preserve"> </w:t>
            </w:r>
          </w:p>
          <w:p w14:paraId="0D36698B" w14:textId="057A9111" w:rsidR="004E3EAE" w:rsidRPr="00900B80" w:rsidRDefault="004E3EAE" w:rsidP="00CB6D61">
            <w:pPr>
              <w:pStyle w:val="ListParagraph"/>
              <w:numPr>
                <w:ilvl w:val="0"/>
                <w:numId w:val="23"/>
              </w:numPr>
              <w:spacing w:line="240" w:lineRule="auto"/>
            </w:pPr>
            <w:r w:rsidRPr="00900B80">
              <w:t xml:space="preserve">As part of UNE’s Research Enterprise and Engagement Plan UNE is developing Artificial Intelligence (AI)-driven mapping and partnering tools to identify UNE capabilities and strengths and match these to industry and commercial partner needs and priorities.  This will drive interactions and engagements that are informed and effective in aligning industry needs to UNE offerings.  </w:t>
            </w:r>
          </w:p>
          <w:p w14:paraId="7B7BC34C" w14:textId="760FD8CF" w:rsidR="004E3EAE" w:rsidRPr="00900B80" w:rsidRDefault="004E3EAE" w:rsidP="00CB6D61">
            <w:pPr>
              <w:pStyle w:val="ListParagraph"/>
              <w:numPr>
                <w:ilvl w:val="0"/>
                <w:numId w:val="23"/>
              </w:numPr>
              <w:spacing w:line="240" w:lineRule="auto"/>
            </w:pPr>
            <w:r w:rsidRPr="00900B80">
              <w:t>New research centres and institutes are being planned to coordinate UNE research capabilities with an emphasis on external industry engagement.  This includes in methane reduction for agriculture, as well as water quality and quantity collaborations.</w:t>
            </w:r>
          </w:p>
          <w:p w14:paraId="616174CB" w14:textId="541F79D3" w:rsidR="004E3EAE" w:rsidRDefault="004E3EAE" w:rsidP="00CB6D61">
            <w:pPr>
              <w:pStyle w:val="ListParagraph"/>
              <w:numPr>
                <w:ilvl w:val="0"/>
                <w:numId w:val="23"/>
              </w:numPr>
              <w:spacing w:line="240" w:lineRule="auto"/>
            </w:pPr>
            <w:r w:rsidRPr="00900B80">
              <w:t>The University is building on the successes of the Poultry Hub Australia effort, to better align UNE research strengths with industry and government needs.  During 2025-26 we are developing a UNE Poultry Strategy to focus efforts in-line with government and industry needs, including – disease and biosecurity; nutrition and animal health and well-being; waste management and circular economy and environmental sustainability.</w:t>
            </w:r>
          </w:p>
          <w:p w14:paraId="1EAA1F31" w14:textId="77777777" w:rsidR="004A1655" w:rsidRDefault="004A1655" w:rsidP="004A1655">
            <w:pPr>
              <w:spacing w:before="100" w:beforeAutospacing="1" w:after="100" w:afterAutospacing="1"/>
            </w:pPr>
            <w:r>
              <w:t xml:space="preserve">As a regional university, UNE’s engagement with industry is a foundational component of our civic mission. It not only informs our curriculum and research priorities but is a key element of our role as a vital institution to support regional economic development. Therefore, our new 2026-2035 Strategic Plan, </w:t>
            </w:r>
            <w:r>
              <w:rPr>
                <w:rStyle w:val="Emphasis"/>
              </w:rPr>
              <w:t>Connecting Individual Aspirations to Community Outcomes</w:t>
            </w:r>
            <w:r>
              <w:t>, focuses on collaborations with businesses and industries in a community context, that are designed to give effect to this ambition.</w:t>
            </w:r>
          </w:p>
          <w:p w14:paraId="628B8CEC" w14:textId="77777777" w:rsidR="004A1655" w:rsidRPr="00900B80" w:rsidRDefault="004A1655" w:rsidP="00964184"/>
          <w:p w14:paraId="5FD5193F" w14:textId="77777777" w:rsidR="004E3EAE" w:rsidRDefault="004E3EAE" w:rsidP="004E3EAE">
            <w:pPr>
              <w:spacing w:before="100" w:beforeAutospacing="1" w:after="100" w:afterAutospacing="1"/>
              <w:ind w:left="360"/>
            </w:pPr>
          </w:p>
          <w:p w14:paraId="7B930EB6" w14:textId="77777777" w:rsidR="004E3EAE" w:rsidRDefault="004E3EAE" w:rsidP="00F30BFA">
            <w:pPr>
              <w:pStyle w:val="Heading4"/>
              <w:keepLines w:val="0"/>
              <w:spacing w:before="180" w:after="60"/>
            </w:pP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025EB2">
        <w:tc>
          <w:tcPr>
            <w:tcW w:w="4508" w:type="dxa"/>
          </w:tcPr>
          <w:p w14:paraId="68C798FC" w14:textId="77777777" w:rsidR="001B109C" w:rsidRPr="00E114B4" w:rsidRDefault="001B109C" w:rsidP="00025EB2">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025EB2">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025EB2">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025EB2">
            <w:pPr>
              <w:rPr>
                <w:rFonts w:cstheme="minorHAnsi"/>
                <w:sz w:val="24"/>
                <w:szCs w:val="24"/>
              </w:rPr>
            </w:pPr>
            <w:r w:rsidRPr="00E114B4">
              <w:rPr>
                <w:rFonts w:cstheme="minorHAnsi"/>
                <w:sz w:val="24"/>
                <w:szCs w:val="24"/>
              </w:rPr>
              <w:t>In the presence of:</w:t>
            </w:r>
          </w:p>
        </w:tc>
      </w:tr>
      <w:tr w:rsidR="001B109C" w:rsidRPr="00E169EE" w14:paraId="186905E2" w14:textId="77777777" w:rsidTr="00025EB2">
        <w:tc>
          <w:tcPr>
            <w:tcW w:w="4508" w:type="dxa"/>
          </w:tcPr>
          <w:p w14:paraId="32153A99" w14:textId="4D223708" w:rsidR="001B109C" w:rsidRPr="00E114B4" w:rsidRDefault="00F549B1" w:rsidP="00025EB2">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rsidP="00025EB2">
            <w:pPr>
              <w:rPr>
                <w:rFonts w:cstheme="minorHAnsi"/>
              </w:rPr>
            </w:pPr>
            <w:r w:rsidRPr="00E114B4">
              <w:rPr>
                <w:rFonts w:cstheme="minorHAnsi"/>
              </w:rPr>
              <w:t>Full name (please print)</w:t>
            </w:r>
          </w:p>
        </w:tc>
        <w:tc>
          <w:tcPr>
            <w:tcW w:w="4508" w:type="dxa"/>
          </w:tcPr>
          <w:p w14:paraId="091A8D51" w14:textId="36003BCF" w:rsidR="001B109C" w:rsidRPr="00E114B4" w:rsidRDefault="00AE730E" w:rsidP="00025EB2">
            <w:pPr>
              <w:pBdr>
                <w:bottom w:val="single" w:sz="12" w:space="1" w:color="auto"/>
              </w:pBdr>
              <w:rPr>
                <w:rFonts w:cstheme="minorHAnsi"/>
                <w:b/>
                <w:bCs/>
              </w:rPr>
            </w:pPr>
            <w:r w:rsidRPr="001E1D51">
              <w:rPr>
                <w:b/>
                <w:bCs/>
              </w:rPr>
              <w:t>Rachel Searl</w:t>
            </w:r>
          </w:p>
          <w:p w14:paraId="5AAC2089" w14:textId="77777777" w:rsidR="001B109C" w:rsidRPr="00E114B4" w:rsidRDefault="001B109C" w:rsidP="00025EB2">
            <w:pPr>
              <w:rPr>
                <w:rFonts w:cstheme="minorHAnsi"/>
              </w:rPr>
            </w:pPr>
            <w:r w:rsidRPr="00E114B4">
              <w:rPr>
                <w:rFonts w:cstheme="minorHAnsi"/>
              </w:rPr>
              <w:t>Witness (please print)</w:t>
            </w:r>
          </w:p>
        </w:tc>
      </w:tr>
      <w:tr w:rsidR="001B109C" w:rsidRPr="00E169EE" w14:paraId="6D0DB948" w14:textId="77777777" w:rsidTr="00025EB2">
        <w:tc>
          <w:tcPr>
            <w:tcW w:w="4508" w:type="dxa"/>
          </w:tcPr>
          <w:p w14:paraId="101367FA" w14:textId="689500C5" w:rsidR="001B109C" w:rsidRPr="00E114B4" w:rsidRDefault="00F91B13" w:rsidP="00025EB2">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025EB2">
            <w:pPr>
              <w:rPr>
                <w:rFonts w:cstheme="minorHAnsi"/>
              </w:rPr>
            </w:pPr>
            <w:r w:rsidRPr="00E114B4">
              <w:rPr>
                <w:rFonts w:cstheme="minorHAnsi"/>
              </w:rPr>
              <w:t>Position</w:t>
            </w:r>
          </w:p>
          <w:p w14:paraId="390DFF35" w14:textId="77777777" w:rsidR="001B109C" w:rsidRPr="00E114B4" w:rsidRDefault="001B109C" w:rsidP="00025EB2">
            <w:pPr>
              <w:rPr>
                <w:rFonts w:cstheme="minorHAnsi"/>
              </w:rPr>
            </w:pPr>
            <w:r w:rsidRPr="00E114B4">
              <w:rPr>
                <w:rFonts w:cstheme="minorHAnsi"/>
              </w:rPr>
              <w:t>of the Department of Education</w:t>
            </w:r>
          </w:p>
        </w:tc>
        <w:tc>
          <w:tcPr>
            <w:tcW w:w="4508" w:type="dxa"/>
          </w:tcPr>
          <w:p w14:paraId="69045716" w14:textId="05F09196" w:rsidR="001B109C" w:rsidRPr="00E114B4" w:rsidRDefault="00D21220" w:rsidP="00025EB2">
            <w:pPr>
              <w:pBdr>
                <w:bottom w:val="single" w:sz="12" w:space="1" w:color="auto"/>
              </w:pBdr>
              <w:rPr>
                <w:rFonts w:cstheme="minorHAnsi"/>
                <w:b/>
                <w:bCs/>
              </w:rPr>
            </w:pPr>
            <w:r w:rsidRPr="00E91A60">
              <w:rPr>
                <w:b/>
                <w:bCs/>
              </w:rPr>
              <w:t>Executive Officer</w:t>
            </w:r>
          </w:p>
          <w:p w14:paraId="668DE817" w14:textId="77777777" w:rsidR="001B109C" w:rsidRPr="00E114B4" w:rsidRDefault="001B109C" w:rsidP="00025EB2">
            <w:pPr>
              <w:rPr>
                <w:rFonts w:cstheme="minorHAnsi"/>
              </w:rPr>
            </w:pPr>
            <w:r w:rsidRPr="00E114B4">
              <w:rPr>
                <w:rFonts w:cstheme="minorHAnsi"/>
              </w:rPr>
              <w:t>Position or profession of witness (please print)</w:t>
            </w:r>
          </w:p>
        </w:tc>
      </w:tr>
      <w:tr w:rsidR="001B109C" w:rsidRPr="00E169EE" w14:paraId="38C68E43" w14:textId="77777777" w:rsidTr="00025EB2">
        <w:tc>
          <w:tcPr>
            <w:tcW w:w="4508" w:type="dxa"/>
          </w:tcPr>
          <w:p w14:paraId="4289F3D2" w14:textId="77777777" w:rsidR="001B109C" w:rsidRPr="00E114B4" w:rsidRDefault="001B109C" w:rsidP="00025EB2">
            <w:pPr>
              <w:pBdr>
                <w:bottom w:val="single" w:sz="12" w:space="1" w:color="auto"/>
              </w:pBdr>
              <w:rPr>
                <w:rFonts w:cstheme="minorHAnsi"/>
                <w:b/>
                <w:bCs/>
              </w:rPr>
            </w:pPr>
          </w:p>
          <w:p w14:paraId="415B9216" w14:textId="77777777" w:rsidR="001B109C" w:rsidRPr="00E114B4" w:rsidRDefault="001B109C" w:rsidP="00025EB2">
            <w:pPr>
              <w:rPr>
                <w:rFonts w:cstheme="minorHAnsi"/>
              </w:rPr>
            </w:pPr>
            <w:r w:rsidRPr="00E114B4">
              <w:rPr>
                <w:rFonts w:cstheme="minorHAnsi"/>
              </w:rPr>
              <w:t>Signature</w:t>
            </w:r>
          </w:p>
        </w:tc>
        <w:tc>
          <w:tcPr>
            <w:tcW w:w="4508" w:type="dxa"/>
          </w:tcPr>
          <w:p w14:paraId="710024D0" w14:textId="77777777" w:rsidR="001B109C" w:rsidRPr="00E114B4" w:rsidRDefault="001B109C" w:rsidP="00025EB2">
            <w:pPr>
              <w:pBdr>
                <w:bottom w:val="single" w:sz="12" w:space="1" w:color="auto"/>
              </w:pBdr>
              <w:rPr>
                <w:rFonts w:cstheme="minorHAnsi"/>
                <w:b/>
                <w:bCs/>
              </w:rPr>
            </w:pPr>
          </w:p>
          <w:p w14:paraId="2D914310" w14:textId="77777777" w:rsidR="001B109C" w:rsidRPr="00E114B4" w:rsidRDefault="001B109C" w:rsidP="00025EB2">
            <w:pPr>
              <w:rPr>
                <w:rFonts w:cstheme="minorHAnsi"/>
              </w:rPr>
            </w:pPr>
            <w:r w:rsidRPr="00E114B4">
              <w:rPr>
                <w:rFonts w:cstheme="minorHAnsi"/>
              </w:rPr>
              <w:t>Signature</w:t>
            </w:r>
          </w:p>
        </w:tc>
      </w:tr>
      <w:tr w:rsidR="001B109C" w:rsidRPr="00E169EE" w14:paraId="4B1444B6" w14:textId="77777777" w:rsidTr="00025EB2">
        <w:tc>
          <w:tcPr>
            <w:tcW w:w="4508" w:type="dxa"/>
          </w:tcPr>
          <w:p w14:paraId="344C64D3" w14:textId="78B390C4" w:rsidR="001B109C" w:rsidRPr="008F7BF3" w:rsidRDefault="008F7BF3" w:rsidP="00025EB2">
            <w:pPr>
              <w:pBdr>
                <w:bottom w:val="single" w:sz="12" w:space="1" w:color="auto"/>
              </w:pBdr>
              <w:rPr>
                <w:rFonts w:cstheme="minorHAnsi"/>
              </w:rPr>
            </w:pPr>
            <w:r>
              <w:rPr>
                <w:rFonts w:cstheme="minorHAnsi"/>
              </w:rPr>
              <w:t>01/12/2025</w:t>
            </w:r>
          </w:p>
          <w:p w14:paraId="71C4CD3D" w14:textId="77777777" w:rsidR="001B109C" w:rsidRPr="00E169EE" w:rsidRDefault="001B109C" w:rsidP="00025EB2">
            <w:pPr>
              <w:rPr>
                <w:rFonts w:cstheme="minorHAnsi"/>
              </w:rPr>
            </w:pPr>
            <w:r w:rsidRPr="00E169EE">
              <w:rPr>
                <w:rFonts w:cstheme="minorHAnsi"/>
              </w:rPr>
              <w:t>Date</w:t>
            </w:r>
          </w:p>
        </w:tc>
        <w:tc>
          <w:tcPr>
            <w:tcW w:w="4508" w:type="dxa"/>
          </w:tcPr>
          <w:p w14:paraId="26028E27" w14:textId="77777777" w:rsidR="001B109C" w:rsidRPr="00F60B66" w:rsidRDefault="001B109C" w:rsidP="00025EB2">
            <w:pPr>
              <w:rPr>
                <w:rFonts w:cstheme="minorHAnsi"/>
                <w:b/>
                <w:bCs/>
                <w:highlight w:val="yellow"/>
              </w:rPr>
            </w:pPr>
          </w:p>
        </w:tc>
      </w:tr>
      <w:tr w:rsidR="001B109C" w:rsidRPr="00E169EE" w14:paraId="45CC96F9" w14:textId="77777777" w:rsidTr="00025EB2">
        <w:tc>
          <w:tcPr>
            <w:tcW w:w="4508" w:type="dxa"/>
          </w:tcPr>
          <w:p w14:paraId="639CCC16" w14:textId="77777777" w:rsidR="001B109C" w:rsidRDefault="001B109C" w:rsidP="00025EB2">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7653D892" w:rsidR="001B109C" w:rsidRPr="00E169EE" w:rsidRDefault="009F6FD5" w:rsidP="00025EB2">
            <w:pPr>
              <w:spacing w:before="28" w:line="210" w:lineRule="exact"/>
              <w:textAlignment w:val="baseline"/>
              <w:rPr>
                <w:rFonts w:eastAsia="Calibri" w:cstheme="minorHAnsi"/>
                <w:color w:val="000000"/>
                <w:spacing w:val="-3"/>
                <w:sz w:val="24"/>
                <w:szCs w:val="24"/>
              </w:rPr>
            </w:pPr>
            <w:r>
              <w:rPr>
                <w:rFonts w:eastAsia="Calibri" w:cstheme="minorHAnsi"/>
                <w:color w:val="000000"/>
                <w:spacing w:val="-3"/>
                <w:sz w:val="24"/>
                <w:szCs w:val="24"/>
              </w:rPr>
              <w:t xml:space="preserve">The University of New England </w:t>
            </w:r>
          </w:p>
          <w:p w14:paraId="065C6AB9" w14:textId="263F035A" w:rsidR="001B109C" w:rsidRPr="00E169EE" w:rsidRDefault="009F6FD5" w:rsidP="00025EB2">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w:t>
            </w:r>
            <w:r w:rsidR="001B109C" w:rsidRPr="00E169EE">
              <w:rPr>
                <w:rFonts w:eastAsia="Calibri" w:cstheme="minorHAnsi"/>
                <w:color w:val="000000"/>
                <w:spacing w:val="-4"/>
              </w:rPr>
              <w:t>y</w:t>
            </w:r>
            <w:r>
              <w:rPr>
                <w:rFonts w:eastAsia="Calibri" w:cstheme="minorHAnsi"/>
                <w:color w:val="000000"/>
                <w:spacing w:val="-4"/>
              </w:rPr>
              <w:t xml:space="preserve"> </w:t>
            </w:r>
          </w:p>
        </w:tc>
        <w:tc>
          <w:tcPr>
            <w:tcW w:w="4508" w:type="dxa"/>
          </w:tcPr>
          <w:p w14:paraId="2276E219" w14:textId="77777777" w:rsidR="001B109C" w:rsidRPr="002F4604" w:rsidRDefault="001B109C" w:rsidP="00025EB2">
            <w:pPr>
              <w:rPr>
                <w:rFonts w:cstheme="minorHAnsi"/>
              </w:rPr>
            </w:pPr>
            <w:r w:rsidRPr="002F4604">
              <w:rPr>
                <w:rFonts w:cstheme="minorHAnsi"/>
                <w:sz w:val="24"/>
                <w:szCs w:val="24"/>
              </w:rPr>
              <w:t>In the presence of:</w:t>
            </w:r>
          </w:p>
        </w:tc>
      </w:tr>
      <w:tr w:rsidR="001B109C" w:rsidRPr="00E169EE" w14:paraId="5AAB6D63" w14:textId="77777777" w:rsidTr="00025EB2">
        <w:tc>
          <w:tcPr>
            <w:tcW w:w="4508" w:type="dxa"/>
          </w:tcPr>
          <w:p w14:paraId="54C8A9A5" w14:textId="67AB4F92" w:rsidR="001B109C" w:rsidRPr="00E169EE" w:rsidRDefault="009F6FD5" w:rsidP="00025EB2">
            <w:pPr>
              <w:pBdr>
                <w:bottom w:val="single" w:sz="12" w:space="1" w:color="auto"/>
              </w:pBdr>
              <w:rPr>
                <w:rFonts w:cstheme="minorHAnsi"/>
                <w:b/>
                <w:bCs/>
              </w:rPr>
            </w:pPr>
            <w:r>
              <w:rPr>
                <w:rFonts w:cstheme="minorHAnsi"/>
                <w:b/>
                <w:bCs/>
              </w:rPr>
              <w:t xml:space="preserve"> Professor Chris Moran FTSE</w:t>
            </w:r>
          </w:p>
          <w:p w14:paraId="3120FAF4" w14:textId="77777777" w:rsidR="001B109C" w:rsidRPr="00E169EE" w:rsidRDefault="001B109C" w:rsidP="00025EB2">
            <w:pPr>
              <w:rPr>
                <w:rFonts w:cstheme="minorHAnsi"/>
              </w:rPr>
            </w:pPr>
            <w:r w:rsidRPr="00E169EE">
              <w:rPr>
                <w:rFonts w:cstheme="minorHAnsi"/>
              </w:rPr>
              <w:t>Full name (please print)</w:t>
            </w:r>
          </w:p>
        </w:tc>
        <w:tc>
          <w:tcPr>
            <w:tcW w:w="4508" w:type="dxa"/>
          </w:tcPr>
          <w:p w14:paraId="59483E94" w14:textId="720278C9" w:rsidR="001B109C" w:rsidRPr="002F4604" w:rsidRDefault="009F6FD5" w:rsidP="00025EB2">
            <w:pPr>
              <w:pBdr>
                <w:bottom w:val="single" w:sz="12" w:space="1" w:color="auto"/>
              </w:pBdr>
              <w:rPr>
                <w:rFonts w:cstheme="minorHAnsi"/>
                <w:b/>
                <w:bCs/>
              </w:rPr>
            </w:pPr>
            <w:r>
              <w:rPr>
                <w:rFonts w:cstheme="minorHAnsi"/>
                <w:b/>
                <w:bCs/>
              </w:rPr>
              <w:t xml:space="preserve">Maria Alejandra Cuellar </w:t>
            </w:r>
          </w:p>
          <w:p w14:paraId="439588BC" w14:textId="77777777" w:rsidR="001B109C" w:rsidRPr="002F4604" w:rsidRDefault="001B109C" w:rsidP="00025EB2">
            <w:pPr>
              <w:rPr>
                <w:rFonts w:cstheme="minorHAnsi"/>
              </w:rPr>
            </w:pPr>
            <w:r w:rsidRPr="002F4604">
              <w:rPr>
                <w:rFonts w:cstheme="minorHAnsi"/>
              </w:rPr>
              <w:t>Witness (please print)</w:t>
            </w:r>
          </w:p>
        </w:tc>
      </w:tr>
      <w:tr w:rsidR="001B109C" w:rsidRPr="00E169EE" w14:paraId="20B90866" w14:textId="77777777" w:rsidTr="00025EB2">
        <w:tc>
          <w:tcPr>
            <w:tcW w:w="4508" w:type="dxa"/>
          </w:tcPr>
          <w:p w14:paraId="7D9047AD" w14:textId="5EB9FC3F" w:rsidR="001B109C" w:rsidRPr="00E169EE" w:rsidRDefault="009F6FD5" w:rsidP="00025EB2">
            <w:pPr>
              <w:pBdr>
                <w:bottom w:val="single" w:sz="12" w:space="1" w:color="auto"/>
              </w:pBdr>
              <w:spacing w:after="0"/>
              <w:rPr>
                <w:rFonts w:cstheme="minorHAnsi"/>
                <w:b/>
                <w:bCs/>
              </w:rPr>
            </w:pPr>
            <w:r>
              <w:rPr>
                <w:rFonts w:cstheme="minorHAnsi"/>
                <w:b/>
                <w:bCs/>
              </w:rPr>
              <w:t>Vice Chancellor &amp; CEO</w:t>
            </w:r>
          </w:p>
          <w:p w14:paraId="231ABA73" w14:textId="77777777" w:rsidR="001B109C" w:rsidRPr="00E169EE" w:rsidRDefault="001B109C" w:rsidP="00025EB2">
            <w:pPr>
              <w:spacing w:after="0"/>
              <w:rPr>
                <w:rFonts w:cstheme="minorHAnsi"/>
              </w:rPr>
            </w:pPr>
            <w:r w:rsidRPr="00E169EE">
              <w:rPr>
                <w:rFonts w:cstheme="minorHAnsi"/>
              </w:rPr>
              <w:t>Position</w:t>
            </w:r>
          </w:p>
          <w:p w14:paraId="536F9855" w14:textId="2B33F622" w:rsidR="001B109C" w:rsidRPr="00E169EE" w:rsidRDefault="009F6FD5" w:rsidP="00025EB2">
            <w:pPr>
              <w:spacing w:after="0"/>
              <w:rPr>
                <w:rFonts w:cstheme="minorHAnsi"/>
              </w:rPr>
            </w:pPr>
            <w:r>
              <w:rPr>
                <w:rFonts w:cstheme="minorHAnsi"/>
              </w:rPr>
              <w:t xml:space="preserve"> </w:t>
            </w:r>
          </w:p>
        </w:tc>
        <w:tc>
          <w:tcPr>
            <w:tcW w:w="4508" w:type="dxa"/>
          </w:tcPr>
          <w:p w14:paraId="7B33C473" w14:textId="39C5CF76" w:rsidR="001B109C" w:rsidRPr="009F6FD5" w:rsidRDefault="009F6FD5" w:rsidP="00025EB2">
            <w:pPr>
              <w:pBdr>
                <w:bottom w:val="single" w:sz="12" w:space="1" w:color="auto"/>
              </w:pBdr>
              <w:spacing w:after="0"/>
              <w:rPr>
                <w:rFonts w:cstheme="minorHAnsi"/>
                <w:b/>
                <w:bCs/>
                <w:sz w:val="20"/>
                <w:szCs w:val="20"/>
              </w:rPr>
            </w:pPr>
            <w:r w:rsidRPr="009F6FD5">
              <w:rPr>
                <w:rFonts w:cstheme="minorHAnsi"/>
                <w:b/>
                <w:bCs/>
                <w:sz w:val="20"/>
                <w:szCs w:val="20"/>
              </w:rPr>
              <w:t xml:space="preserve">Senior Executive Assistant of the Vice Chancellor </w:t>
            </w:r>
          </w:p>
          <w:p w14:paraId="0C046C3D" w14:textId="77777777" w:rsidR="001B109C" w:rsidRPr="002F4604" w:rsidRDefault="001B109C" w:rsidP="00025EB2">
            <w:pPr>
              <w:spacing w:after="0"/>
              <w:rPr>
                <w:rFonts w:cstheme="minorHAnsi"/>
              </w:rPr>
            </w:pPr>
            <w:r w:rsidRPr="002F4604">
              <w:rPr>
                <w:rFonts w:cstheme="minorHAnsi"/>
              </w:rPr>
              <w:t>Position or profession of witness (please print)</w:t>
            </w:r>
          </w:p>
        </w:tc>
      </w:tr>
      <w:tr w:rsidR="001B109C" w:rsidRPr="00E169EE" w14:paraId="51440CFB" w14:textId="77777777" w:rsidTr="00025EB2">
        <w:trPr>
          <w:trHeight w:val="80"/>
        </w:trPr>
        <w:tc>
          <w:tcPr>
            <w:tcW w:w="4508" w:type="dxa"/>
          </w:tcPr>
          <w:p w14:paraId="7583F948" w14:textId="276457D7" w:rsidR="001B109C" w:rsidRPr="00E169EE" w:rsidRDefault="006F7169" w:rsidP="00025EB2">
            <w:pPr>
              <w:pBdr>
                <w:bottom w:val="single" w:sz="12" w:space="1" w:color="auto"/>
              </w:pBdr>
              <w:spacing w:after="0"/>
              <w:rPr>
                <w:rFonts w:cstheme="minorHAnsi"/>
                <w:b/>
                <w:bCs/>
              </w:rPr>
            </w:pPr>
            <w:r>
              <w:rPr>
                <w:rFonts w:cstheme="minorHAnsi"/>
                <w:b/>
                <w:bCs/>
              </w:rPr>
              <w:t xml:space="preserve">Professor Christopher Moran </w:t>
            </w:r>
            <w:r w:rsidR="0093331F">
              <w:rPr>
                <w:rFonts w:cstheme="minorHAnsi"/>
                <w:b/>
                <w:bCs/>
              </w:rPr>
              <w:t>approve Document</w:t>
            </w:r>
          </w:p>
          <w:p w14:paraId="62FF4341" w14:textId="77777777" w:rsidR="001B109C" w:rsidRPr="00E169EE" w:rsidRDefault="001B109C" w:rsidP="00025EB2">
            <w:pPr>
              <w:spacing w:after="0"/>
              <w:rPr>
                <w:rFonts w:cstheme="minorHAnsi"/>
              </w:rPr>
            </w:pPr>
            <w:r w:rsidRPr="00E169EE">
              <w:rPr>
                <w:rFonts w:cstheme="minorHAnsi"/>
              </w:rPr>
              <w:t>Signature</w:t>
            </w:r>
          </w:p>
        </w:tc>
        <w:tc>
          <w:tcPr>
            <w:tcW w:w="4508" w:type="dxa"/>
          </w:tcPr>
          <w:p w14:paraId="75C3F771" w14:textId="28A576D4" w:rsidR="001B109C" w:rsidRPr="002F4604" w:rsidRDefault="00821750" w:rsidP="00025EB2">
            <w:pPr>
              <w:pBdr>
                <w:bottom w:val="single" w:sz="12" w:space="1" w:color="auto"/>
              </w:pBdr>
              <w:spacing w:after="0"/>
              <w:rPr>
                <w:rFonts w:cstheme="minorHAnsi"/>
                <w:b/>
                <w:bCs/>
              </w:rPr>
            </w:pPr>
            <w:r>
              <w:rPr>
                <w:rFonts w:cstheme="minorHAnsi"/>
                <w:b/>
                <w:bCs/>
              </w:rPr>
              <w:t xml:space="preserve">Maria Alejandra Cuellar </w:t>
            </w:r>
          </w:p>
          <w:p w14:paraId="79F89A4A" w14:textId="77777777" w:rsidR="001B109C" w:rsidRPr="002F4604" w:rsidRDefault="001B109C" w:rsidP="00025EB2">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headerReference w:type="even" r:id="rId32"/>
      <w:headerReference w:type="default" r:id="rId33"/>
      <w:footerReference w:type="even" r:id="rId34"/>
      <w:footerReference w:type="default" r:id="rId35"/>
      <w:headerReference w:type="first" r:id="rId36"/>
      <w:footerReference w:type="first" r:id="rId37"/>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E2A6" w14:textId="77777777" w:rsidR="00584EA7" w:rsidRDefault="00584EA7" w:rsidP="000A6228">
      <w:pPr>
        <w:spacing w:after="0" w:line="240" w:lineRule="auto"/>
      </w:pPr>
      <w:r>
        <w:separator/>
      </w:r>
    </w:p>
  </w:endnote>
  <w:endnote w:type="continuationSeparator" w:id="0">
    <w:p w14:paraId="5057ACA4" w14:textId="77777777" w:rsidR="00584EA7" w:rsidRDefault="00584EA7" w:rsidP="000A6228">
      <w:pPr>
        <w:spacing w:after="0" w:line="240" w:lineRule="auto"/>
      </w:pPr>
      <w:r>
        <w:continuationSeparator/>
      </w:r>
    </w:p>
  </w:endnote>
  <w:endnote w:type="continuationNotice" w:id="1">
    <w:p w14:paraId="271D51E9" w14:textId="77777777" w:rsidR="00584EA7" w:rsidRDefault="00584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A894" w14:textId="77777777" w:rsidR="002C1F1D" w:rsidRDefault="002C1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AB84" w14:textId="77777777" w:rsidR="00584EA7" w:rsidRDefault="00584EA7" w:rsidP="000A6228">
      <w:pPr>
        <w:spacing w:after="0" w:line="240" w:lineRule="auto"/>
      </w:pPr>
      <w:r>
        <w:separator/>
      </w:r>
    </w:p>
  </w:footnote>
  <w:footnote w:type="continuationSeparator" w:id="0">
    <w:p w14:paraId="431E1B6C" w14:textId="77777777" w:rsidR="00584EA7" w:rsidRDefault="00584EA7" w:rsidP="000A6228">
      <w:pPr>
        <w:spacing w:after="0" w:line="240" w:lineRule="auto"/>
      </w:pPr>
      <w:r>
        <w:continuationSeparator/>
      </w:r>
    </w:p>
  </w:footnote>
  <w:footnote w:type="continuationNotice" w:id="1">
    <w:p w14:paraId="54FFE886" w14:textId="77777777" w:rsidR="00584EA7" w:rsidRDefault="00584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5FE6" w14:textId="77777777" w:rsidR="002C1F1D" w:rsidRDefault="002C1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3788" w14:textId="77777777" w:rsidR="002C1F1D" w:rsidRDefault="002C1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1642" w14:textId="77777777" w:rsidR="002C1F1D" w:rsidRDefault="002C1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402"/>
    <w:multiLevelType w:val="multilevel"/>
    <w:tmpl w:val="FFFFFFFF"/>
    <w:lvl w:ilvl="0">
      <w:numFmt w:val="bullet"/>
      <w:lvlText w:val="-"/>
      <w:lvlJc w:val="left"/>
      <w:pPr>
        <w:ind w:left="410" w:hanging="360"/>
      </w:pPr>
      <w:rPr>
        <w:rFonts w:ascii="Calibri" w:hAnsi="Calibri" w:cs="Calibri"/>
        <w:b w:val="0"/>
        <w:bCs w:val="0"/>
        <w:i w:val="0"/>
        <w:iCs w:val="0"/>
        <w:spacing w:val="0"/>
        <w:w w:val="100"/>
        <w:sz w:val="22"/>
        <w:szCs w:val="22"/>
      </w:rPr>
    </w:lvl>
    <w:lvl w:ilvl="1">
      <w:numFmt w:val="bullet"/>
      <w:lvlText w:val="•"/>
      <w:lvlJc w:val="left"/>
      <w:pPr>
        <w:ind w:left="1243" w:hanging="360"/>
      </w:pPr>
    </w:lvl>
    <w:lvl w:ilvl="2">
      <w:numFmt w:val="bullet"/>
      <w:lvlText w:val="•"/>
      <w:lvlJc w:val="left"/>
      <w:pPr>
        <w:ind w:left="2067" w:hanging="360"/>
      </w:pPr>
    </w:lvl>
    <w:lvl w:ilvl="3">
      <w:numFmt w:val="bullet"/>
      <w:lvlText w:val="•"/>
      <w:lvlJc w:val="left"/>
      <w:pPr>
        <w:ind w:left="2891" w:hanging="360"/>
      </w:pPr>
    </w:lvl>
    <w:lvl w:ilvl="4">
      <w:numFmt w:val="bullet"/>
      <w:lvlText w:val="•"/>
      <w:lvlJc w:val="left"/>
      <w:pPr>
        <w:ind w:left="3715" w:hanging="360"/>
      </w:pPr>
    </w:lvl>
    <w:lvl w:ilvl="5">
      <w:numFmt w:val="bullet"/>
      <w:lvlText w:val="•"/>
      <w:lvlJc w:val="left"/>
      <w:pPr>
        <w:ind w:left="4538" w:hanging="360"/>
      </w:pPr>
    </w:lvl>
    <w:lvl w:ilvl="6">
      <w:numFmt w:val="bullet"/>
      <w:lvlText w:val="•"/>
      <w:lvlJc w:val="left"/>
      <w:pPr>
        <w:ind w:left="5362" w:hanging="360"/>
      </w:pPr>
    </w:lvl>
    <w:lvl w:ilvl="7">
      <w:numFmt w:val="bullet"/>
      <w:lvlText w:val="•"/>
      <w:lvlJc w:val="left"/>
      <w:pPr>
        <w:ind w:left="6186" w:hanging="360"/>
      </w:pPr>
    </w:lvl>
    <w:lvl w:ilvl="8">
      <w:numFmt w:val="bullet"/>
      <w:lvlText w:val="•"/>
      <w:lvlJc w:val="left"/>
      <w:pPr>
        <w:ind w:left="7010" w:hanging="360"/>
      </w:p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B4432B"/>
    <w:multiLevelType w:val="multilevel"/>
    <w:tmpl w:val="13866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0D401B"/>
    <w:multiLevelType w:val="hybridMultilevel"/>
    <w:tmpl w:val="0ADA9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7641EC"/>
    <w:multiLevelType w:val="hybridMultilevel"/>
    <w:tmpl w:val="9F305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B756A3"/>
    <w:multiLevelType w:val="hybridMultilevel"/>
    <w:tmpl w:val="01789FAE"/>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2"/>
  </w:num>
  <w:num w:numId="2" w16cid:durableId="1141925489">
    <w:abstractNumId w:val="5"/>
  </w:num>
  <w:num w:numId="3" w16cid:durableId="1430395506">
    <w:abstractNumId w:val="4"/>
  </w:num>
  <w:num w:numId="4" w16cid:durableId="1762024761">
    <w:abstractNumId w:val="3"/>
  </w:num>
  <w:num w:numId="5" w16cid:durableId="861433996">
    <w:abstractNumId w:val="15"/>
  </w:num>
  <w:num w:numId="6" w16cid:durableId="120733662">
    <w:abstractNumId w:val="2"/>
  </w:num>
  <w:num w:numId="7" w16cid:durableId="2022584168">
    <w:abstractNumId w:val="1"/>
  </w:num>
  <w:num w:numId="8" w16cid:durableId="534267804">
    <w:abstractNumId w:val="0"/>
  </w:num>
  <w:num w:numId="9" w16cid:durableId="1265042610">
    <w:abstractNumId w:val="14"/>
  </w:num>
  <w:num w:numId="10" w16cid:durableId="1943879001">
    <w:abstractNumId w:val="8"/>
  </w:num>
  <w:num w:numId="11" w16cid:durableId="419833051">
    <w:abstractNumId w:val="21"/>
  </w:num>
  <w:num w:numId="12" w16cid:durableId="1758015391">
    <w:abstractNumId w:val="11"/>
  </w:num>
  <w:num w:numId="13" w16cid:durableId="1395660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2"/>
  </w:num>
  <w:num w:numId="17" w16cid:durableId="1022434231">
    <w:abstractNumId w:val="16"/>
  </w:num>
  <w:num w:numId="18" w16cid:durableId="618417265">
    <w:abstractNumId w:val="9"/>
  </w:num>
  <w:num w:numId="19" w16cid:durableId="271010807">
    <w:abstractNumId w:val="19"/>
  </w:num>
  <w:num w:numId="20" w16cid:durableId="633560981">
    <w:abstractNumId w:val="13"/>
  </w:num>
  <w:num w:numId="21" w16cid:durableId="1053777714">
    <w:abstractNumId w:val="17"/>
  </w:num>
  <w:num w:numId="22" w16cid:durableId="1769230036">
    <w:abstractNumId w:val="20"/>
  </w:num>
  <w:num w:numId="23" w16cid:durableId="684408052">
    <w:abstractNumId w:val="7"/>
  </w:num>
  <w:num w:numId="24" w16cid:durableId="6176888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F74"/>
    <w:rsid w:val="000024B3"/>
    <w:rsid w:val="000034BC"/>
    <w:rsid w:val="0000359E"/>
    <w:rsid w:val="00003FA5"/>
    <w:rsid w:val="000048D4"/>
    <w:rsid w:val="0000738B"/>
    <w:rsid w:val="00007C0A"/>
    <w:rsid w:val="00010BE3"/>
    <w:rsid w:val="00012366"/>
    <w:rsid w:val="0001268F"/>
    <w:rsid w:val="00021CA6"/>
    <w:rsid w:val="00021FBE"/>
    <w:rsid w:val="00025EB2"/>
    <w:rsid w:val="000335D1"/>
    <w:rsid w:val="000347C5"/>
    <w:rsid w:val="00036AD6"/>
    <w:rsid w:val="00045E1D"/>
    <w:rsid w:val="00045EEB"/>
    <w:rsid w:val="000463C6"/>
    <w:rsid w:val="00047598"/>
    <w:rsid w:val="000521D7"/>
    <w:rsid w:val="0005727E"/>
    <w:rsid w:val="00060B3B"/>
    <w:rsid w:val="000611B0"/>
    <w:rsid w:val="00064CC8"/>
    <w:rsid w:val="00065E68"/>
    <w:rsid w:val="0006649B"/>
    <w:rsid w:val="00066C2C"/>
    <w:rsid w:val="00070EDA"/>
    <w:rsid w:val="00074731"/>
    <w:rsid w:val="000764D8"/>
    <w:rsid w:val="0007714A"/>
    <w:rsid w:val="0007768D"/>
    <w:rsid w:val="000822EB"/>
    <w:rsid w:val="00090BED"/>
    <w:rsid w:val="00091425"/>
    <w:rsid w:val="000939C4"/>
    <w:rsid w:val="000960CF"/>
    <w:rsid w:val="000971E3"/>
    <w:rsid w:val="000A045C"/>
    <w:rsid w:val="000A0B58"/>
    <w:rsid w:val="000A3A19"/>
    <w:rsid w:val="000A5D23"/>
    <w:rsid w:val="000A6228"/>
    <w:rsid w:val="000B283E"/>
    <w:rsid w:val="000B2B8A"/>
    <w:rsid w:val="000B5D40"/>
    <w:rsid w:val="000B7EC6"/>
    <w:rsid w:val="000C5988"/>
    <w:rsid w:val="000C6B85"/>
    <w:rsid w:val="000D07F5"/>
    <w:rsid w:val="000D3869"/>
    <w:rsid w:val="000D3B10"/>
    <w:rsid w:val="000E0661"/>
    <w:rsid w:val="000E077C"/>
    <w:rsid w:val="000E1222"/>
    <w:rsid w:val="000E4D79"/>
    <w:rsid w:val="000E63CE"/>
    <w:rsid w:val="000E6800"/>
    <w:rsid w:val="000F12FE"/>
    <w:rsid w:val="00105EDC"/>
    <w:rsid w:val="00106F4B"/>
    <w:rsid w:val="00107D87"/>
    <w:rsid w:val="00107DD5"/>
    <w:rsid w:val="001115FA"/>
    <w:rsid w:val="001127B6"/>
    <w:rsid w:val="0012343A"/>
    <w:rsid w:val="001271FF"/>
    <w:rsid w:val="00133B8D"/>
    <w:rsid w:val="0013611E"/>
    <w:rsid w:val="0013613C"/>
    <w:rsid w:val="00136B49"/>
    <w:rsid w:val="0014154B"/>
    <w:rsid w:val="0014389D"/>
    <w:rsid w:val="00145990"/>
    <w:rsid w:val="00146AD1"/>
    <w:rsid w:val="001505AE"/>
    <w:rsid w:val="0015063C"/>
    <w:rsid w:val="0015098E"/>
    <w:rsid w:val="001512E9"/>
    <w:rsid w:val="001515BF"/>
    <w:rsid w:val="00154610"/>
    <w:rsid w:val="0015549C"/>
    <w:rsid w:val="00156BF4"/>
    <w:rsid w:val="00167516"/>
    <w:rsid w:val="0017134D"/>
    <w:rsid w:val="00172A91"/>
    <w:rsid w:val="001739D1"/>
    <w:rsid w:val="00176E2E"/>
    <w:rsid w:val="00180D5A"/>
    <w:rsid w:val="001814CC"/>
    <w:rsid w:val="00183423"/>
    <w:rsid w:val="00184D53"/>
    <w:rsid w:val="00187AB7"/>
    <w:rsid w:val="00196925"/>
    <w:rsid w:val="00196CDA"/>
    <w:rsid w:val="00197FCB"/>
    <w:rsid w:val="001A0692"/>
    <w:rsid w:val="001A0AE5"/>
    <w:rsid w:val="001A1678"/>
    <w:rsid w:val="001A3C5A"/>
    <w:rsid w:val="001A5DC4"/>
    <w:rsid w:val="001A72E5"/>
    <w:rsid w:val="001B109C"/>
    <w:rsid w:val="001B158F"/>
    <w:rsid w:val="001B21D3"/>
    <w:rsid w:val="001B27AB"/>
    <w:rsid w:val="001B3547"/>
    <w:rsid w:val="001B6E9A"/>
    <w:rsid w:val="001C1523"/>
    <w:rsid w:val="001C341A"/>
    <w:rsid w:val="001C38E4"/>
    <w:rsid w:val="001C5C89"/>
    <w:rsid w:val="001C7E88"/>
    <w:rsid w:val="001D224A"/>
    <w:rsid w:val="001D27FD"/>
    <w:rsid w:val="001D3018"/>
    <w:rsid w:val="001E3BF1"/>
    <w:rsid w:val="001E6DBC"/>
    <w:rsid w:val="001E7CF7"/>
    <w:rsid w:val="001F00B1"/>
    <w:rsid w:val="001F1770"/>
    <w:rsid w:val="001F3CF8"/>
    <w:rsid w:val="001F574C"/>
    <w:rsid w:val="001F57F9"/>
    <w:rsid w:val="00200208"/>
    <w:rsid w:val="00204C7B"/>
    <w:rsid w:val="00205BA7"/>
    <w:rsid w:val="00210848"/>
    <w:rsid w:val="002143F7"/>
    <w:rsid w:val="00216FF9"/>
    <w:rsid w:val="00217414"/>
    <w:rsid w:val="00220F4E"/>
    <w:rsid w:val="00221D8F"/>
    <w:rsid w:val="00226766"/>
    <w:rsid w:val="00226BBE"/>
    <w:rsid w:val="002272DB"/>
    <w:rsid w:val="0023038F"/>
    <w:rsid w:val="00232152"/>
    <w:rsid w:val="00232AE5"/>
    <w:rsid w:val="002348FA"/>
    <w:rsid w:val="00235156"/>
    <w:rsid w:val="00235401"/>
    <w:rsid w:val="00235752"/>
    <w:rsid w:val="00241CF3"/>
    <w:rsid w:val="00255778"/>
    <w:rsid w:val="00257F37"/>
    <w:rsid w:val="00263262"/>
    <w:rsid w:val="00271130"/>
    <w:rsid w:val="002723F5"/>
    <w:rsid w:val="00272E01"/>
    <w:rsid w:val="00276047"/>
    <w:rsid w:val="002763C3"/>
    <w:rsid w:val="0027651A"/>
    <w:rsid w:val="002775F3"/>
    <w:rsid w:val="0028072B"/>
    <w:rsid w:val="00282830"/>
    <w:rsid w:val="0028335F"/>
    <w:rsid w:val="00293C8F"/>
    <w:rsid w:val="00295E5D"/>
    <w:rsid w:val="0029618B"/>
    <w:rsid w:val="002A0229"/>
    <w:rsid w:val="002A0F31"/>
    <w:rsid w:val="002A2452"/>
    <w:rsid w:val="002A29E2"/>
    <w:rsid w:val="002A3DF9"/>
    <w:rsid w:val="002A4458"/>
    <w:rsid w:val="002A5B07"/>
    <w:rsid w:val="002A7AD4"/>
    <w:rsid w:val="002B16A9"/>
    <w:rsid w:val="002B2521"/>
    <w:rsid w:val="002B593E"/>
    <w:rsid w:val="002B6A63"/>
    <w:rsid w:val="002C1F0F"/>
    <w:rsid w:val="002C1F1D"/>
    <w:rsid w:val="002C5E41"/>
    <w:rsid w:val="002C63AC"/>
    <w:rsid w:val="002C7701"/>
    <w:rsid w:val="002D0702"/>
    <w:rsid w:val="002D15B3"/>
    <w:rsid w:val="002D3EFA"/>
    <w:rsid w:val="002D589A"/>
    <w:rsid w:val="002E0FE5"/>
    <w:rsid w:val="002E2FE5"/>
    <w:rsid w:val="002E30A5"/>
    <w:rsid w:val="002E491A"/>
    <w:rsid w:val="002E5D03"/>
    <w:rsid w:val="002F208A"/>
    <w:rsid w:val="002F25C2"/>
    <w:rsid w:val="002F3131"/>
    <w:rsid w:val="002F4604"/>
    <w:rsid w:val="002F6440"/>
    <w:rsid w:val="003008CB"/>
    <w:rsid w:val="00302365"/>
    <w:rsid w:val="00304890"/>
    <w:rsid w:val="00305739"/>
    <w:rsid w:val="00306A6D"/>
    <w:rsid w:val="0030770A"/>
    <w:rsid w:val="00310147"/>
    <w:rsid w:val="00312094"/>
    <w:rsid w:val="00313880"/>
    <w:rsid w:val="00314D5A"/>
    <w:rsid w:val="0031607F"/>
    <w:rsid w:val="00326203"/>
    <w:rsid w:val="00327348"/>
    <w:rsid w:val="00327F00"/>
    <w:rsid w:val="0033028F"/>
    <w:rsid w:val="0033483D"/>
    <w:rsid w:val="00335CF8"/>
    <w:rsid w:val="0034259E"/>
    <w:rsid w:val="00345318"/>
    <w:rsid w:val="003551BC"/>
    <w:rsid w:val="003551FA"/>
    <w:rsid w:val="00356BB1"/>
    <w:rsid w:val="00357623"/>
    <w:rsid w:val="00357D39"/>
    <w:rsid w:val="0036024A"/>
    <w:rsid w:val="00360A4D"/>
    <w:rsid w:val="00361E5B"/>
    <w:rsid w:val="00362C85"/>
    <w:rsid w:val="0036441D"/>
    <w:rsid w:val="003735F0"/>
    <w:rsid w:val="0037386F"/>
    <w:rsid w:val="00375CF1"/>
    <w:rsid w:val="00383177"/>
    <w:rsid w:val="00383FA9"/>
    <w:rsid w:val="00384EBE"/>
    <w:rsid w:val="00391C95"/>
    <w:rsid w:val="0039308B"/>
    <w:rsid w:val="00393A1C"/>
    <w:rsid w:val="00395D71"/>
    <w:rsid w:val="003A17A9"/>
    <w:rsid w:val="003A4926"/>
    <w:rsid w:val="003A4C04"/>
    <w:rsid w:val="003A5F36"/>
    <w:rsid w:val="003B1959"/>
    <w:rsid w:val="003B3742"/>
    <w:rsid w:val="003B4414"/>
    <w:rsid w:val="003B53C1"/>
    <w:rsid w:val="003C5FA1"/>
    <w:rsid w:val="003C728E"/>
    <w:rsid w:val="003C75EF"/>
    <w:rsid w:val="003D1861"/>
    <w:rsid w:val="003D4D0D"/>
    <w:rsid w:val="003D55BD"/>
    <w:rsid w:val="003E145A"/>
    <w:rsid w:val="003E595D"/>
    <w:rsid w:val="003F7586"/>
    <w:rsid w:val="0040155D"/>
    <w:rsid w:val="00402F63"/>
    <w:rsid w:val="004032A6"/>
    <w:rsid w:val="0040597D"/>
    <w:rsid w:val="004107D9"/>
    <w:rsid w:val="00410CAC"/>
    <w:rsid w:val="004128BC"/>
    <w:rsid w:val="00416B20"/>
    <w:rsid w:val="00416CB6"/>
    <w:rsid w:val="0041713E"/>
    <w:rsid w:val="004209D5"/>
    <w:rsid w:val="00421C2E"/>
    <w:rsid w:val="00421D3F"/>
    <w:rsid w:val="00421DAC"/>
    <w:rsid w:val="00423785"/>
    <w:rsid w:val="00425A51"/>
    <w:rsid w:val="0042692C"/>
    <w:rsid w:val="00426B88"/>
    <w:rsid w:val="0042790C"/>
    <w:rsid w:val="004319A9"/>
    <w:rsid w:val="00432567"/>
    <w:rsid w:val="004327D3"/>
    <w:rsid w:val="00434D29"/>
    <w:rsid w:val="004371EB"/>
    <w:rsid w:val="00437752"/>
    <w:rsid w:val="00442C6D"/>
    <w:rsid w:val="00444216"/>
    <w:rsid w:val="004460D0"/>
    <w:rsid w:val="00446AF9"/>
    <w:rsid w:val="00451193"/>
    <w:rsid w:val="00452D26"/>
    <w:rsid w:val="004576C7"/>
    <w:rsid w:val="00457972"/>
    <w:rsid w:val="00462848"/>
    <w:rsid w:val="00463568"/>
    <w:rsid w:val="0046371A"/>
    <w:rsid w:val="00465A29"/>
    <w:rsid w:val="00466BCD"/>
    <w:rsid w:val="00467B24"/>
    <w:rsid w:val="0047199E"/>
    <w:rsid w:val="00481750"/>
    <w:rsid w:val="00483BC4"/>
    <w:rsid w:val="0048416C"/>
    <w:rsid w:val="0048421A"/>
    <w:rsid w:val="00486BCA"/>
    <w:rsid w:val="00490004"/>
    <w:rsid w:val="0049333E"/>
    <w:rsid w:val="00494FBB"/>
    <w:rsid w:val="00496013"/>
    <w:rsid w:val="00497E87"/>
    <w:rsid w:val="004A06CD"/>
    <w:rsid w:val="004A135D"/>
    <w:rsid w:val="004A1655"/>
    <w:rsid w:val="004A4B6F"/>
    <w:rsid w:val="004A4CF9"/>
    <w:rsid w:val="004A528A"/>
    <w:rsid w:val="004A789A"/>
    <w:rsid w:val="004B09AB"/>
    <w:rsid w:val="004B1C20"/>
    <w:rsid w:val="004B31ED"/>
    <w:rsid w:val="004B4583"/>
    <w:rsid w:val="004B5D90"/>
    <w:rsid w:val="004B6D03"/>
    <w:rsid w:val="004C25F8"/>
    <w:rsid w:val="004C579B"/>
    <w:rsid w:val="004C6AF3"/>
    <w:rsid w:val="004D02D0"/>
    <w:rsid w:val="004D1585"/>
    <w:rsid w:val="004D2965"/>
    <w:rsid w:val="004D2D9D"/>
    <w:rsid w:val="004D36F9"/>
    <w:rsid w:val="004D4BC8"/>
    <w:rsid w:val="004D4FFE"/>
    <w:rsid w:val="004D6AFB"/>
    <w:rsid w:val="004D7391"/>
    <w:rsid w:val="004D7797"/>
    <w:rsid w:val="004E1321"/>
    <w:rsid w:val="004E3D45"/>
    <w:rsid w:val="004E3EAE"/>
    <w:rsid w:val="004E5CD8"/>
    <w:rsid w:val="004E6C1C"/>
    <w:rsid w:val="004F0AE8"/>
    <w:rsid w:val="004F355E"/>
    <w:rsid w:val="004F4540"/>
    <w:rsid w:val="005001AC"/>
    <w:rsid w:val="00501DA9"/>
    <w:rsid w:val="0050380E"/>
    <w:rsid w:val="00510052"/>
    <w:rsid w:val="00511703"/>
    <w:rsid w:val="00512C92"/>
    <w:rsid w:val="005141C9"/>
    <w:rsid w:val="00516F95"/>
    <w:rsid w:val="00520BA6"/>
    <w:rsid w:val="00530CEF"/>
    <w:rsid w:val="00532095"/>
    <w:rsid w:val="00533844"/>
    <w:rsid w:val="00534072"/>
    <w:rsid w:val="00536C9D"/>
    <w:rsid w:val="005370A8"/>
    <w:rsid w:val="0054085F"/>
    <w:rsid w:val="00541139"/>
    <w:rsid w:val="005418DB"/>
    <w:rsid w:val="005462EC"/>
    <w:rsid w:val="00547269"/>
    <w:rsid w:val="00547FB7"/>
    <w:rsid w:val="00551F89"/>
    <w:rsid w:val="00554F63"/>
    <w:rsid w:val="00561EB1"/>
    <w:rsid w:val="0057028F"/>
    <w:rsid w:val="00570480"/>
    <w:rsid w:val="00571822"/>
    <w:rsid w:val="005739B3"/>
    <w:rsid w:val="005772C6"/>
    <w:rsid w:val="005776F3"/>
    <w:rsid w:val="00577EA7"/>
    <w:rsid w:val="005820BA"/>
    <w:rsid w:val="005843E7"/>
    <w:rsid w:val="00584EA7"/>
    <w:rsid w:val="00585386"/>
    <w:rsid w:val="00586523"/>
    <w:rsid w:val="00587B79"/>
    <w:rsid w:val="0059167E"/>
    <w:rsid w:val="00591F57"/>
    <w:rsid w:val="00594C8B"/>
    <w:rsid w:val="005A0457"/>
    <w:rsid w:val="005A0954"/>
    <w:rsid w:val="005A0E6C"/>
    <w:rsid w:val="005A2638"/>
    <w:rsid w:val="005A3046"/>
    <w:rsid w:val="005A5395"/>
    <w:rsid w:val="005A54D4"/>
    <w:rsid w:val="005A6DC4"/>
    <w:rsid w:val="005A75C9"/>
    <w:rsid w:val="005B0979"/>
    <w:rsid w:val="005B187D"/>
    <w:rsid w:val="005C0B57"/>
    <w:rsid w:val="005C11BC"/>
    <w:rsid w:val="005C13C6"/>
    <w:rsid w:val="005C2C41"/>
    <w:rsid w:val="005C7E15"/>
    <w:rsid w:val="005D2FD4"/>
    <w:rsid w:val="005D5206"/>
    <w:rsid w:val="005D5DA9"/>
    <w:rsid w:val="005D7FA7"/>
    <w:rsid w:val="005E7DEA"/>
    <w:rsid w:val="005F015E"/>
    <w:rsid w:val="005F0267"/>
    <w:rsid w:val="005F06B5"/>
    <w:rsid w:val="005F35D6"/>
    <w:rsid w:val="005F6B2F"/>
    <w:rsid w:val="005F7187"/>
    <w:rsid w:val="006016BD"/>
    <w:rsid w:val="00601C77"/>
    <w:rsid w:val="00602750"/>
    <w:rsid w:val="006036F0"/>
    <w:rsid w:val="006162D7"/>
    <w:rsid w:val="006177AA"/>
    <w:rsid w:val="006207A5"/>
    <w:rsid w:val="006232DC"/>
    <w:rsid w:val="0062560A"/>
    <w:rsid w:val="00626213"/>
    <w:rsid w:val="00626A66"/>
    <w:rsid w:val="0063094F"/>
    <w:rsid w:val="00634AB0"/>
    <w:rsid w:val="00635E10"/>
    <w:rsid w:val="00637D50"/>
    <w:rsid w:val="0064700F"/>
    <w:rsid w:val="00647962"/>
    <w:rsid w:val="00647EC6"/>
    <w:rsid w:val="00650534"/>
    <w:rsid w:val="00652227"/>
    <w:rsid w:val="006527D0"/>
    <w:rsid w:val="00653AAF"/>
    <w:rsid w:val="0065593A"/>
    <w:rsid w:val="00656606"/>
    <w:rsid w:val="00662F32"/>
    <w:rsid w:val="00663337"/>
    <w:rsid w:val="00665825"/>
    <w:rsid w:val="0066597C"/>
    <w:rsid w:val="006724F4"/>
    <w:rsid w:val="00673456"/>
    <w:rsid w:val="00677142"/>
    <w:rsid w:val="00683F3E"/>
    <w:rsid w:val="00684561"/>
    <w:rsid w:val="00693B2E"/>
    <w:rsid w:val="00693FB5"/>
    <w:rsid w:val="0069556C"/>
    <w:rsid w:val="00696169"/>
    <w:rsid w:val="006A0572"/>
    <w:rsid w:val="006A28A9"/>
    <w:rsid w:val="006A388C"/>
    <w:rsid w:val="006A3AE2"/>
    <w:rsid w:val="006A7EE7"/>
    <w:rsid w:val="006B0184"/>
    <w:rsid w:val="006B2665"/>
    <w:rsid w:val="006B2B77"/>
    <w:rsid w:val="006B5396"/>
    <w:rsid w:val="006B752B"/>
    <w:rsid w:val="006C1BBB"/>
    <w:rsid w:val="006C3B63"/>
    <w:rsid w:val="006C6D72"/>
    <w:rsid w:val="006D00E9"/>
    <w:rsid w:val="006D571E"/>
    <w:rsid w:val="006D67F3"/>
    <w:rsid w:val="006E0ADC"/>
    <w:rsid w:val="006E0B09"/>
    <w:rsid w:val="006E251D"/>
    <w:rsid w:val="006E2A9A"/>
    <w:rsid w:val="006E4568"/>
    <w:rsid w:val="006E6078"/>
    <w:rsid w:val="006F1B89"/>
    <w:rsid w:val="006F1FFF"/>
    <w:rsid w:val="006F2406"/>
    <w:rsid w:val="006F4608"/>
    <w:rsid w:val="006F6D10"/>
    <w:rsid w:val="006F7169"/>
    <w:rsid w:val="006F7267"/>
    <w:rsid w:val="006F7550"/>
    <w:rsid w:val="0070190A"/>
    <w:rsid w:val="00702F35"/>
    <w:rsid w:val="007048FB"/>
    <w:rsid w:val="00710BC5"/>
    <w:rsid w:val="00712B94"/>
    <w:rsid w:val="0071330A"/>
    <w:rsid w:val="00713ADA"/>
    <w:rsid w:val="00717352"/>
    <w:rsid w:val="0072070A"/>
    <w:rsid w:val="00721A9B"/>
    <w:rsid w:val="00723AF8"/>
    <w:rsid w:val="0072583D"/>
    <w:rsid w:val="0072778E"/>
    <w:rsid w:val="00732EC8"/>
    <w:rsid w:val="00734ABF"/>
    <w:rsid w:val="00735E78"/>
    <w:rsid w:val="0073620F"/>
    <w:rsid w:val="00742FB0"/>
    <w:rsid w:val="007441E1"/>
    <w:rsid w:val="007442C9"/>
    <w:rsid w:val="007517BA"/>
    <w:rsid w:val="00752294"/>
    <w:rsid w:val="00752EDE"/>
    <w:rsid w:val="007538BC"/>
    <w:rsid w:val="007547DC"/>
    <w:rsid w:val="0075585C"/>
    <w:rsid w:val="00762DFB"/>
    <w:rsid w:val="007715B3"/>
    <w:rsid w:val="007719DB"/>
    <w:rsid w:val="00773EA2"/>
    <w:rsid w:val="00776145"/>
    <w:rsid w:val="00777748"/>
    <w:rsid w:val="0077782B"/>
    <w:rsid w:val="007779A7"/>
    <w:rsid w:val="007823DC"/>
    <w:rsid w:val="00782A52"/>
    <w:rsid w:val="00783080"/>
    <w:rsid w:val="007833D7"/>
    <w:rsid w:val="00792886"/>
    <w:rsid w:val="007932A1"/>
    <w:rsid w:val="0079412C"/>
    <w:rsid w:val="0079661F"/>
    <w:rsid w:val="007966A7"/>
    <w:rsid w:val="00796D7B"/>
    <w:rsid w:val="007A0037"/>
    <w:rsid w:val="007A2C66"/>
    <w:rsid w:val="007A35CD"/>
    <w:rsid w:val="007A3864"/>
    <w:rsid w:val="007B22EF"/>
    <w:rsid w:val="007B2CA1"/>
    <w:rsid w:val="007B631A"/>
    <w:rsid w:val="007B76AD"/>
    <w:rsid w:val="007C69AC"/>
    <w:rsid w:val="007D0345"/>
    <w:rsid w:val="007D0ABC"/>
    <w:rsid w:val="007D1940"/>
    <w:rsid w:val="007D1C5D"/>
    <w:rsid w:val="007D1E3A"/>
    <w:rsid w:val="007D3808"/>
    <w:rsid w:val="007D3A2C"/>
    <w:rsid w:val="007D3DA1"/>
    <w:rsid w:val="007D508C"/>
    <w:rsid w:val="007D5AD2"/>
    <w:rsid w:val="007D6B27"/>
    <w:rsid w:val="007E1D68"/>
    <w:rsid w:val="007E65AC"/>
    <w:rsid w:val="007F3D5C"/>
    <w:rsid w:val="007F57ED"/>
    <w:rsid w:val="00800AB7"/>
    <w:rsid w:val="00801DCD"/>
    <w:rsid w:val="008034C4"/>
    <w:rsid w:val="008042F5"/>
    <w:rsid w:val="00804316"/>
    <w:rsid w:val="008068D1"/>
    <w:rsid w:val="00810593"/>
    <w:rsid w:val="00811720"/>
    <w:rsid w:val="008146B0"/>
    <w:rsid w:val="0081550A"/>
    <w:rsid w:val="008206B8"/>
    <w:rsid w:val="00821750"/>
    <w:rsid w:val="00821DB4"/>
    <w:rsid w:val="008223F6"/>
    <w:rsid w:val="00823BE5"/>
    <w:rsid w:val="00824EC5"/>
    <w:rsid w:val="00825586"/>
    <w:rsid w:val="00830726"/>
    <w:rsid w:val="008309C4"/>
    <w:rsid w:val="00835378"/>
    <w:rsid w:val="00835FDC"/>
    <w:rsid w:val="0083702C"/>
    <w:rsid w:val="00842193"/>
    <w:rsid w:val="0084524D"/>
    <w:rsid w:val="0085091D"/>
    <w:rsid w:val="00851624"/>
    <w:rsid w:val="0085498F"/>
    <w:rsid w:val="00855FD9"/>
    <w:rsid w:val="00856876"/>
    <w:rsid w:val="00856883"/>
    <w:rsid w:val="00860489"/>
    <w:rsid w:val="00860F6C"/>
    <w:rsid w:val="008616B0"/>
    <w:rsid w:val="00861DB1"/>
    <w:rsid w:val="0086428D"/>
    <w:rsid w:val="008745CB"/>
    <w:rsid w:val="00874C96"/>
    <w:rsid w:val="00875BDE"/>
    <w:rsid w:val="0087640C"/>
    <w:rsid w:val="00876861"/>
    <w:rsid w:val="00877DC5"/>
    <w:rsid w:val="00882484"/>
    <w:rsid w:val="00883F4E"/>
    <w:rsid w:val="00884184"/>
    <w:rsid w:val="00886959"/>
    <w:rsid w:val="00886A66"/>
    <w:rsid w:val="00886CBF"/>
    <w:rsid w:val="00887E24"/>
    <w:rsid w:val="0089103A"/>
    <w:rsid w:val="0089187E"/>
    <w:rsid w:val="00891881"/>
    <w:rsid w:val="00891F7E"/>
    <w:rsid w:val="0089214E"/>
    <w:rsid w:val="008923BB"/>
    <w:rsid w:val="00893A34"/>
    <w:rsid w:val="00894077"/>
    <w:rsid w:val="008A36E1"/>
    <w:rsid w:val="008A37A7"/>
    <w:rsid w:val="008A7AB4"/>
    <w:rsid w:val="008B0736"/>
    <w:rsid w:val="008B19D2"/>
    <w:rsid w:val="008B23D0"/>
    <w:rsid w:val="008B3F60"/>
    <w:rsid w:val="008B4DA7"/>
    <w:rsid w:val="008B797C"/>
    <w:rsid w:val="008B7E29"/>
    <w:rsid w:val="008C0B06"/>
    <w:rsid w:val="008C13E0"/>
    <w:rsid w:val="008C1F5A"/>
    <w:rsid w:val="008D267B"/>
    <w:rsid w:val="008D4FA9"/>
    <w:rsid w:val="008E021A"/>
    <w:rsid w:val="008E12EE"/>
    <w:rsid w:val="008F0CAD"/>
    <w:rsid w:val="008F18DC"/>
    <w:rsid w:val="008F3330"/>
    <w:rsid w:val="008F5ABB"/>
    <w:rsid w:val="008F5B7C"/>
    <w:rsid w:val="008F7BF3"/>
    <w:rsid w:val="008F7C55"/>
    <w:rsid w:val="00900B80"/>
    <w:rsid w:val="0090194F"/>
    <w:rsid w:val="00905F77"/>
    <w:rsid w:val="0090795F"/>
    <w:rsid w:val="00907EBF"/>
    <w:rsid w:val="009109C8"/>
    <w:rsid w:val="009133E7"/>
    <w:rsid w:val="00913D0F"/>
    <w:rsid w:val="00914BF8"/>
    <w:rsid w:val="00922666"/>
    <w:rsid w:val="009257B5"/>
    <w:rsid w:val="00926740"/>
    <w:rsid w:val="0092725D"/>
    <w:rsid w:val="0093331F"/>
    <w:rsid w:val="00933721"/>
    <w:rsid w:val="009337EE"/>
    <w:rsid w:val="00934016"/>
    <w:rsid w:val="00935422"/>
    <w:rsid w:val="009354D0"/>
    <w:rsid w:val="00935744"/>
    <w:rsid w:val="00941F97"/>
    <w:rsid w:val="00942ECD"/>
    <w:rsid w:val="009473FD"/>
    <w:rsid w:val="00947EEC"/>
    <w:rsid w:val="00950B06"/>
    <w:rsid w:val="009556D1"/>
    <w:rsid w:val="00957B78"/>
    <w:rsid w:val="00960533"/>
    <w:rsid w:val="00964184"/>
    <w:rsid w:val="0096514A"/>
    <w:rsid w:val="00970069"/>
    <w:rsid w:val="009721EB"/>
    <w:rsid w:val="00972B51"/>
    <w:rsid w:val="009741FE"/>
    <w:rsid w:val="00975237"/>
    <w:rsid w:val="009769D1"/>
    <w:rsid w:val="00977135"/>
    <w:rsid w:val="009775CE"/>
    <w:rsid w:val="00977CB2"/>
    <w:rsid w:val="00977F43"/>
    <w:rsid w:val="00980B05"/>
    <w:rsid w:val="00990DA9"/>
    <w:rsid w:val="0099280E"/>
    <w:rsid w:val="009945DB"/>
    <w:rsid w:val="00994D60"/>
    <w:rsid w:val="00997785"/>
    <w:rsid w:val="009A08CE"/>
    <w:rsid w:val="009A42B5"/>
    <w:rsid w:val="009A6A95"/>
    <w:rsid w:val="009A6DA2"/>
    <w:rsid w:val="009A7979"/>
    <w:rsid w:val="009B05B5"/>
    <w:rsid w:val="009B0CA2"/>
    <w:rsid w:val="009B4DA9"/>
    <w:rsid w:val="009B706E"/>
    <w:rsid w:val="009C0BE7"/>
    <w:rsid w:val="009C1E72"/>
    <w:rsid w:val="009C423A"/>
    <w:rsid w:val="009C72E2"/>
    <w:rsid w:val="009D0DD0"/>
    <w:rsid w:val="009E00F1"/>
    <w:rsid w:val="009E1824"/>
    <w:rsid w:val="009E7411"/>
    <w:rsid w:val="009E79ED"/>
    <w:rsid w:val="009E7A79"/>
    <w:rsid w:val="009F4DC7"/>
    <w:rsid w:val="009F57B9"/>
    <w:rsid w:val="009F5CC0"/>
    <w:rsid w:val="009F6FD5"/>
    <w:rsid w:val="009F733C"/>
    <w:rsid w:val="00A01A27"/>
    <w:rsid w:val="00A0513C"/>
    <w:rsid w:val="00A064F8"/>
    <w:rsid w:val="00A07596"/>
    <w:rsid w:val="00A100A7"/>
    <w:rsid w:val="00A17A08"/>
    <w:rsid w:val="00A2072C"/>
    <w:rsid w:val="00A224B7"/>
    <w:rsid w:val="00A25BD4"/>
    <w:rsid w:val="00A31319"/>
    <w:rsid w:val="00A314D3"/>
    <w:rsid w:val="00A333C9"/>
    <w:rsid w:val="00A33826"/>
    <w:rsid w:val="00A33B55"/>
    <w:rsid w:val="00A3580D"/>
    <w:rsid w:val="00A3633F"/>
    <w:rsid w:val="00A40F86"/>
    <w:rsid w:val="00A42484"/>
    <w:rsid w:val="00A42AD1"/>
    <w:rsid w:val="00A441FD"/>
    <w:rsid w:val="00A4537F"/>
    <w:rsid w:val="00A50CB4"/>
    <w:rsid w:val="00A51D2B"/>
    <w:rsid w:val="00A54837"/>
    <w:rsid w:val="00A562F1"/>
    <w:rsid w:val="00A5691B"/>
    <w:rsid w:val="00A57B85"/>
    <w:rsid w:val="00A57BEA"/>
    <w:rsid w:val="00A60673"/>
    <w:rsid w:val="00A67F4D"/>
    <w:rsid w:val="00A70F0D"/>
    <w:rsid w:val="00A71FA9"/>
    <w:rsid w:val="00A7483D"/>
    <w:rsid w:val="00A76140"/>
    <w:rsid w:val="00A81523"/>
    <w:rsid w:val="00A818DE"/>
    <w:rsid w:val="00A84914"/>
    <w:rsid w:val="00A864EA"/>
    <w:rsid w:val="00A90CF5"/>
    <w:rsid w:val="00A941E2"/>
    <w:rsid w:val="00AA147E"/>
    <w:rsid w:val="00AA1950"/>
    <w:rsid w:val="00AA2658"/>
    <w:rsid w:val="00AA7CAC"/>
    <w:rsid w:val="00AA7EB2"/>
    <w:rsid w:val="00AB2A61"/>
    <w:rsid w:val="00AB57AE"/>
    <w:rsid w:val="00AB7D82"/>
    <w:rsid w:val="00AC0421"/>
    <w:rsid w:val="00AC1872"/>
    <w:rsid w:val="00AC21EE"/>
    <w:rsid w:val="00AC406B"/>
    <w:rsid w:val="00AD0B84"/>
    <w:rsid w:val="00AD13D0"/>
    <w:rsid w:val="00AD1FA0"/>
    <w:rsid w:val="00AD631F"/>
    <w:rsid w:val="00AD7BDC"/>
    <w:rsid w:val="00AE21FF"/>
    <w:rsid w:val="00AE29B9"/>
    <w:rsid w:val="00AE3F49"/>
    <w:rsid w:val="00AE730E"/>
    <w:rsid w:val="00AF06EC"/>
    <w:rsid w:val="00AF1F18"/>
    <w:rsid w:val="00AF2AC8"/>
    <w:rsid w:val="00AF3AF1"/>
    <w:rsid w:val="00AF5519"/>
    <w:rsid w:val="00B00B2B"/>
    <w:rsid w:val="00B04FA8"/>
    <w:rsid w:val="00B0726E"/>
    <w:rsid w:val="00B10EAC"/>
    <w:rsid w:val="00B11EFA"/>
    <w:rsid w:val="00B13089"/>
    <w:rsid w:val="00B13614"/>
    <w:rsid w:val="00B14FA7"/>
    <w:rsid w:val="00B164A8"/>
    <w:rsid w:val="00B1718A"/>
    <w:rsid w:val="00B219D1"/>
    <w:rsid w:val="00B2201E"/>
    <w:rsid w:val="00B23545"/>
    <w:rsid w:val="00B2444A"/>
    <w:rsid w:val="00B25697"/>
    <w:rsid w:val="00B25E43"/>
    <w:rsid w:val="00B26F11"/>
    <w:rsid w:val="00B32729"/>
    <w:rsid w:val="00B32B01"/>
    <w:rsid w:val="00B34BD6"/>
    <w:rsid w:val="00B37F99"/>
    <w:rsid w:val="00B41AC3"/>
    <w:rsid w:val="00B43C08"/>
    <w:rsid w:val="00B44263"/>
    <w:rsid w:val="00B45C17"/>
    <w:rsid w:val="00B50DCC"/>
    <w:rsid w:val="00B51D84"/>
    <w:rsid w:val="00B52BE0"/>
    <w:rsid w:val="00B52F36"/>
    <w:rsid w:val="00B54387"/>
    <w:rsid w:val="00B55BA7"/>
    <w:rsid w:val="00B607B2"/>
    <w:rsid w:val="00B61287"/>
    <w:rsid w:val="00B62023"/>
    <w:rsid w:val="00B64B3D"/>
    <w:rsid w:val="00B6635B"/>
    <w:rsid w:val="00B670A4"/>
    <w:rsid w:val="00B72125"/>
    <w:rsid w:val="00B743F5"/>
    <w:rsid w:val="00B74FB8"/>
    <w:rsid w:val="00B76E8F"/>
    <w:rsid w:val="00B80021"/>
    <w:rsid w:val="00B81FA4"/>
    <w:rsid w:val="00B82DF2"/>
    <w:rsid w:val="00B8794C"/>
    <w:rsid w:val="00B91789"/>
    <w:rsid w:val="00B92DDA"/>
    <w:rsid w:val="00B93C68"/>
    <w:rsid w:val="00B94FCE"/>
    <w:rsid w:val="00B95EF4"/>
    <w:rsid w:val="00BA12DB"/>
    <w:rsid w:val="00BA5CE4"/>
    <w:rsid w:val="00BA6779"/>
    <w:rsid w:val="00BB082F"/>
    <w:rsid w:val="00BB1E64"/>
    <w:rsid w:val="00BB6509"/>
    <w:rsid w:val="00BB7762"/>
    <w:rsid w:val="00BC0980"/>
    <w:rsid w:val="00BC23A9"/>
    <w:rsid w:val="00BC248C"/>
    <w:rsid w:val="00BC5D61"/>
    <w:rsid w:val="00BC681A"/>
    <w:rsid w:val="00BD2355"/>
    <w:rsid w:val="00BD457C"/>
    <w:rsid w:val="00BE1747"/>
    <w:rsid w:val="00BE3949"/>
    <w:rsid w:val="00BE54B0"/>
    <w:rsid w:val="00BF1C6A"/>
    <w:rsid w:val="00BF682E"/>
    <w:rsid w:val="00C019B5"/>
    <w:rsid w:val="00C01EC0"/>
    <w:rsid w:val="00C025F8"/>
    <w:rsid w:val="00C03523"/>
    <w:rsid w:val="00C043C1"/>
    <w:rsid w:val="00C06D69"/>
    <w:rsid w:val="00C07AAD"/>
    <w:rsid w:val="00C1093C"/>
    <w:rsid w:val="00C15E8D"/>
    <w:rsid w:val="00C1675A"/>
    <w:rsid w:val="00C212D2"/>
    <w:rsid w:val="00C2270F"/>
    <w:rsid w:val="00C244EE"/>
    <w:rsid w:val="00C24F70"/>
    <w:rsid w:val="00C25FC7"/>
    <w:rsid w:val="00C26781"/>
    <w:rsid w:val="00C3043A"/>
    <w:rsid w:val="00C30CA8"/>
    <w:rsid w:val="00C30E65"/>
    <w:rsid w:val="00C315BC"/>
    <w:rsid w:val="00C319A4"/>
    <w:rsid w:val="00C32AE5"/>
    <w:rsid w:val="00C34D89"/>
    <w:rsid w:val="00C40871"/>
    <w:rsid w:val="00C41129"/>
    <w:rsid w:val="00C418C7"/>
    <w:rsid w:val="00C42E7E"/>
    <w:rsid w:val="00C4462A"/>
    <w:rsid w:val="00C5091D"/>
    <w:rsid w:val="00C53AD5"/>
    <w:rsid w:val="00C60CD5"/>
    <w:rsid w:val="00C60D83"/>
    <w:rsid w:val="00C60F4B"/>
    <w:rsid w:val="00C64299"/>
    <w:rsid w:val="00C6722E"/>
    <w:rsid w:val="00C70C6C"/>
    <w:rsid w:val="00C72224"/>
    <w:rsid w:val="00C75706"/>
    <w:rsid w:val="00C77042"/>
    <w:rsid w:val="00C816C4"/>
    <w:rsid w:val="00C82902"/>
    <w:rsid w:val="00C82A52"/>
    <w:rsid w:val="00C83837"/>
    <w:rsid w:val="00C84EB9"/>
    <w:rsid w:val="00C8513F"/>
    <w:rsid w:val="00C87789"/>
    <w:rsid w:val="00C87A49"/>
    <w:rsid w:val="00C91AD1"/>
    <w:rsid w:val="00C94444"/>
    <w:rsid w:val="00C961ED"/>
    <w:rsid w:val="00CA0A4F"/>
    <w:rsid w:val="00CA2AF4"/>
    <w:rsid w:val="00CA4815"/>
    <w:rsid w:val="00CB0387"/>
    <w:rsid w:val="00CB0F05"/>
    <w:rsid w:val="00CB6289"/>
    <w:rsid w:val="00CB6813"/>
    <w:rsid w:val="00CB6D61"/>
    <w:rsid w:val="00CC1725"/>
    <w:rsid w:val="00CC1DFF"/>
    <w:rsid w:val="00CC2223"/>
    <w:rsid w:val="00CC3810"/>
    <w:rsid w:val="00CC5BD4"/>
    <w:rsid w:val="00CC6A39"/>
    <w:rsid w:val="00CC7A07"/>
    <w:rsid w:val="00CD10AF"/>
    <w:rsid w:val="00CD1A78"/>
    <w:rsid w:val="00CD4F29"/>
    <w:rsid w:val="00CE1630"/>
    <w:rsid w:val="00CE1A87"/>
    <w:rsid w:val="00CE1AC4"/>
    <w:rsid w:val="00CF14F3"/>
    <w:rsid w:val="00CF588B"/>
    <w:rsid w:val="00CF58AF"/>
    <w:rsid w:val="00CF6562"/>
    <w:rsid w:val="00D02A07"/>
    <w:rsid w:val="00D03D57"/>
    <w:rsid w:val="00D04355"/>
    <w:rsid w:val="00D06857"/>
    <w:rsid w:val="00D06B8F"/>
    <w:rsid w:val="00D13318"/>
    <w:rsid w:val="00D14C35"/>
    <w:rsid w:val="00D14FC3"/>
    <w:rsid w:val="00D15BAB"/>
    <w:rsid w:val="00D21220"/>
    <w:rsid w:val="00D22A17"/>
    <w:rsid w:val="00D22F93"/>
    <w:rsid w:val="00D23ABC"/>
    <w:rsid w:val="00D23AF2"/>
    <w:rsid w:val="00D2636E"/>
    <w:rsid w:val="00D315C6"/>
    <w:rsid w:val="00D35E71"/>
    <w:rsid w:val="00D45989"/>
    <w:rsid w:val="00D4647A"/>
    <w:rsid w:val="00D5158F"/>
    <w:rsid w:val="00D52855"/>
    <w:rsid w:val="00D52908"/>
    <w:rsid w:val="00D52E72"/>
    <w:rsid w:val="00D5688A"/>
    <w:rsid w:val="00D57340"/>
    <w:rsid w:val="00D65E8B"/>
    <w:rsid w:val="00D66EDC"/>
    <w:rsid w:val="00D7558A"/>
    <w:rsid w:val="00D7680A"/>
    <w:rsid w:val="00D76F53"/>
    <w:rsid w:val="00D819CD"/>
    <w:rsid w:val="00D82BFE"/>
    <w:rsid w:val="00D84899"/>
    <w:rsid w:val="00D85753"/>
    <w:rsid w:val="00D86284"/>
    <w:rsid w:val="00D91540"/>
    <w:rsid w:val="00D9162D"/>
    <w:rsid w:val="00D918D9"/>
    <w:rsid w:val="00DA3DCE"/>
    <w:rsid w:val="00DA415A"/>
    <w:rsid w:val="00DA561D"/>
    <w:rsid w:val="00DB0CAD"/>
    <w:rsid w:val="00DB1315"/>
    <w:rsid w:val="00DB2992"/>
    <w:rsid w:val="00DB36C4"/>
    <w:rsid w:val="00DB45C4"/>
    <w:rsid w:val="00DB52BA"/>
    <w:rsid w:val="00DB54AB"/>
    <w:rsid w:val="00DB5F00"/>
    <w:rsid w:val="00DC0F98"/>
    <w:rsid w:val="00DC5980"/>
    <w:rsid w:val="00DD18C4"/>
    <w:rsid w:val="00DD2512"/>
    <w:rsid w:val="00DD2B46"/>
    <w:rsid w:val="00DD3400"/>
    <w:rsid w:val="00DD3642"/>
    <w:rsid w:val="00DD40E0"/>
    <w:rsid w:val="00DD593D"/>
    <w:rsid w:val="00DD6AA9"/>
    <w:rsid w:val="00DD70C8"/>
    <w:rsid w:val="00DE0CFD"/>
    <w:rsid w:val="00DE2759"/>
    <w:rsid w:val="00DE3D87"/>
    <w:rsid w:val="00DE5D0C"/>
    <w:rsid w:val="00DE5F12"/>
    <w:rsid w:val="00DF362D"/>
    <w:rsid w:val="00DF3F63"/>
    <w:rsid w:val="00DF3F79"/>
    <w:rsid w:val="00DF72F9"/>
    <w:rsid w:val="00E0430D"/>
    <w:rsid w:val="00E06ED6"/>
    <w:rsid w:val="00E0752E"/>
    <w:rsid w:val="00E07ACE"/>
    <w:rsid w:val="00E1132F"/>
    <w:rsid w:val="00E114B4"/>
    <w:rsid w:val="00E20027"/>
    <w:rsid w:val="00E226A1"/>
    <w:rsid w:val="00E26590"/>
    <w:rsid w:val="00E30B4D"/>
    <w:rsid w:val="00E4695F"/>
    <w:rsid w:val="00E47F8E"/>
    <w:rsid w:val="00E522DF"/>
    <w:rsid w:val="00E529E5"/>
    <w:rsid w:val="00E540E8"/>
    <w:rsid w:val="00E54815"/>
    <w:rsid w:val="00E55757"/>
    <w:rsid w:val="00E55C8C"/>
    <w:rsid w:val="00E566D4"/>
    <w:rsid w:val="00E6093F"/>
    <w:rsid w:val="00E63E6B"/>
    <w:rsid w:val="00E6409C"/>
    <w:rsid w:val="00E6491B"/>
    <w:rsid w:val="00E64E29"/>
    <w:rsid w:val="00E658BB"/>
    <w:rsid w:val="00E67A95"/>
    <w:rsid w:val="00E72827"/>
    <w:rsid w:val="00E74E71"/>
    <w:rsid w:val="00E7610B"/>
    <w:rsid w:val="00E76DB6"/>
    <w:rsid w:val="00E816E2"/>
    <w:rsid w:val="00E82921"/>
    <w:rsid w:val="00E84DC1"/>
    <w:rsid w:val="00E85573"/>
    <w:rsid w:val="00E862EB"/>
    <w:rsid w:val="00E86300"/>
    <w:rsid w:val="00E906C2"/>
    <w:rsid w:val="00EA3A62"/>
    <w:rsid w:val="00EA3C59"/>
    <w:rsid w:val="00EA5FE9"/>
    <w:rsid w:val="00EB3321"/>
    <w:rsid w:val="00EB4516"/>
    <w:rsid w:val="00EB4C2F"/>
    <w:rsid w:val="00EC1F13"/>
    <w:rsid w:val="00EC3B06"/>
    <w:rsid w:val="00EC3D72"/>
    <w:rsid w:val="00ED026F"/>
    <w:rsid w:val="00ED0DDF"/>
    <w:rsid w:val="00ED5307"/>
    <w:rsid w:val="00ED5371"/>
    <w:rsid w:val="00EE2E52"/>
    <w:rsid w:val="00EE355E"/>
    <w:rsid w:val="00EE44AB"/>
    <w:rsid w:val="00EE56DB"/>
    <w:rsid w:val="00EE7AF5"/>
    <w:rsid w:val="00EF1430"/>
    <w:rsid w:val="00EF2BDA"/>
    <w:rsid w:val="00EF3CDD"/>
    <w:rsid w:val="00EF42E8"/>
    <w:rsid w:val="00EF5C61"/>
    <w:rsid w:val="00EF7293"/>
    <w:rsid w:val="00EF7DBB"/>
    <w:rsid w:val="00F00DDD"/>
    <w:rsid w:val="00F01942"/>
    <w:rsid w:val="00F04AA2"/>
    <w:rsid w:val="00F05AC0"/>
    <w:rsid w:val="00F07246"/>
    <w:rsid w:val="00F1000D"/>
    <w:rsid w:val="00F10C19"/>
    <w:rsid w:val="00F11041"/>
    <w:rsid w:val="00F13600"/>
    <w:rsid w:val="00F25044"/>
    <w:rsid w:val="00F30BFA"/>
    <w:rsid w:val="00F311A4"/>
    <w:rsid w:val="00F31C02"/>
    <w:rsid w:val="00F32FD6"/>
    <w:rsid w:val="00F3565A"/>
    <w:rsid w:val="00F40514"/>
    <w:rsid w:val="00F42938"/>
    <w:rsid w:val="00F43205"/>
    <w:rsid w:val="00F44412"/>
    <w:rsid w:val="00F45BEE"/>
    <w:rsid w:val="00F46991"/>
    <w:rsid w:val="00F548B9"/>
    <w:rsid w:val="00F549B1"/>
    <w:rsid w:val="00F5718D"/>
    <w:rsid w:val="00F57BFB"/>
    <w:rsid w:val="00F60B66"/>
    <w:rsid w:val="00F75D29"/>
    <w:rsid w:val="00F80827"/>
    <w:rsid w:val="00F82C2C"/>
    <w:rsid w:val="00F83A02"/>
    <w:rsid w:val="00F84E2C"/>
    <w:rsid w:val="00F84EF7"/>
    <w:rsid w:val="00F85913"/>
    <w:rsid w:val="00F868F3"/>
    <w:rsid w:val="00F912C3"/>
    <w:rsid w:val="00F91B13"/>
    <w:rsid w:val="00F944C9"/>
    <w:rsid w:val="00FA00AA"/>
    <w:rsid w:val="00FA03BB"/>
    <w:rsid w:val="00FA1401"/>
    <w:rsid w:val="00FA488E"/>
    <w:rsid w:val="00FA7392"/>
    <w:rsid w:val="00FB0A61"/>
    <w:rsid w:val="00FB76E0"/>
    <w:rsid w:val="00FC2B31"/>
    <w:rsid w:val="00FC453F"/>
    <w:rsid w:val="00FC4CA7"/>
    <w:rsid w:val="00FC4DAE"/>
    <w:rsid w:val="00FC62D0"/>
    <w:rsid w:val="00FD1574"/>
    <w:rsid w:val="00FD17C0"/>
    <w:rsid w:val="00FD29D1"/>
    <w:rsid w:val="00FD3867"/>
    <w:rsid w:val="00FD4D6E"/>
    <w:rsid w:val="00FD614F"/>
    <w:rsid w:val="00FD6383"/>
    <w:rsid w:val="00FD7A94"/>
    <w:rsid w:val="00FD7C5C"/>
    <w:rsid w:val="00FE05D8"/>
    <w:rsid w:val="00FE2F78"/>
    <w:rsid w:val="00FE34B7"/>
    <w:rsid w:val="00FF1E2A"/>
    <w:rsid w:val="00FF24F3"/>
    <w:rsid w:val="00FF3369"/>
    <w:rsid w:val="00FF4D3B"/>
    <w:rsid w:val="00FF4FFF"/>
    <w:rsid w:val="00FF5BC8"/>
    <w:rsid w:val="00FF760A"/>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5E53FB7A-AAF9-41BB-B659-2D9DE0E9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20"/>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basedOn w:val="Normal"/>
    <w:uiPriority w:val="34"/>
    <w:qFormat/>
    <w:rsid w:val="004E3EAE"/>
    <w:pPr>
      <w:spacing w:after="160" w:line="278" w:lineRule="auto"/>
      <w:ind w:left="720"/>
      <w:contextualSpacing/>
    </w:pPr>
    <w:rPr>
      <w:kern w:val="2"/>
      <w:sz w:val="24"/>
      <w:szCs w:val="24"/>
      <w14:ligatures w14:val="standardContextual"/>
    </w:rPr>
  </w:style>
  <w:style w:type="character" w:styleId="FollowedHyperlink">
    <w:name w:val="FollowedHyperlink"/>
    <w:basedOn w:val="DefaultParagraphFont"/>
    <w:uiPriority w:val="99"/>
    <w:semiHidden/>
    <w:unhideWhenUsed/>
    <w:rsid w:val="00997785"/>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9817">
      <w:bodyDiv w:val="1"/>
      <w:marLeft w:val="0"/>
      <w:marRight w:val="0"/>
      <w:marTop w:val="0"/>
      <w:marBottom w:val="0"/>
      <w:divBdr>
        <w:top w:val="none" w:sz="0" w:space="0" w:color="auto"/>
        <w:left w:val="none" w:sz="0" w:space="0" w:color="auto"/>
        <w:bottom w:val="none" w:sz="0" w:space="0" w:color="auto"/>
        <w:right w:val="none" w:sz="0" w:space="0" w:color="auto"/>
      </w:divBdr>
    </w:div>
    <w:div w:id="2124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policies.une.edu.au/document/view-current.php?id=138" TargetMode="External"/><Relationship Id="rId26" Type="http://schemas.openxmlformats.org/officeDocument/2006/relationships/hyperlink" Target="https://www.une.edu.au/current-students/support/student-support/Student-Support-Plan-12.2.24.pdf" TargetMode="External"/><Relationship Id="rId39" Type="http://schemas.openxmlformats.org/officeDocument/2006/relationships/theme" Target="theme/theme1.xml"/><Relationship Id="rId21" Type="http://schemas.openxmlformats.org/officeDocument/2006/relationships/hyperlink" Target="https://policies.une.edu.au/document/view-current.php?id=283"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olicies.une.edu.au/document/view-current.php?id=293" TargetMode="External"/><Relationship Id="rId25" Type="http://schemas.openxmlformats.org/officeDocument/2006/relationships/hyperlink" Target="https://www.une.edu.au/__data/assets/pdf_file/0005/597758/UNE_Learning-Teaching-Plan_2023-2030-V1.1.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licies.une.edu.au/document/view-current.php?id=140" TargetMode="External"/><Relationship Id="rId20" Type="http://schemas.openxmlformats.org/officeDocument/2006/relationships/hyperlink" Target="https://policies.une.edu.au/document/view-current.php?id=491" TargetMode="External"/><Relationship Id="rId29" Type="http://schemas.openxmlformats.org/officeDocument/2006/relationships/hyperlink" Target="https://www.une.edu.au/research/media/documents/RESEARCH-ENTERPRISE-and-ENGAGEMENT-PLAN-_UNE-2024.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ne.edu.au/about-une/executive/deputy-vice-chancellor/indigenous-education-statements/Indigenous-Education-Strategy-2023-25_b.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une.edu.au/strategic-plan" TargetMode="External"/><Relationship Id="rId23" Type="http://schemas.openxmlformats.org/officeDocument/2006/relationships/hyperlink" Target="https://policies.une.edu.au/document/view-current.php?id=281" TargetMode="External"/><Relationship Id="rId28" Type="http://schemas.openxmlformats.org/officeDocument/2006/relationships/hyperlink" Target="https://www.labnext70.news/madgwick-student?_gl=1*whh8a1*_gcl_au*MTA2NTY0NjA0NS4xNzU4MjM2NTg4*_ga*MTc2ODY0NDI4NC4xNjg3MjM3MDUx*_ga_V9G4YG5CKJ*czE3NTk5ODczMzUkbzkxMSRnMSR0MTc1OTk4ODE2MSRqNTgkbDAkaDE1MDEwNTc4NA.."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une.edu.au/research/research-services/research-ethics-integrity/foreign-interference-and-collaboration" TargetMode="External"/><Relationship Id="rId31" Type="http://schemas.openxmlformats.org/officeDocument/2006/relationships/hyperlink" Target="https://www.unesri.com.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hyperlink" Target="https://policies.une.edu.au/document/view-current.php?id=468" TargetMode="External"/><Relationship Id="rId27" Type="http://schemas.openxmlformats.org/officeDocument/2006/relationships/hyperlink" Target="https://policies.une.edu.au/document/view-current.php?id=293" TargetMode="External"/><Relationship Id="rId30" Type="http://schemas.openxmlformats.org/officeDocument/2006/relationships/hyperlink" Target="https://www.abri.com.au/"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254BF88E-E332-4714-947C-299A1D720950}">
  <ds:schemaRefs>
    <ds:schemaRef ds:uri="http://www.w3.org/2001/XMLSchema"/>
  </ds:schemaRefs>
</ds:datastoreItem>
</file>

<file path=customXml/itemProps3.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4.xml><?xml version="1.0" encoding="utf-8"?>
<ds:datastoreItem xmlns:ds="http://schemas.openxmlformats.org/officeDocument/2006/customXml" ds:itemID="{E960BA26-756D-4C33-94F9-9FBE1AFFB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D836FB-0FEA-4EB6-8C1F-B6512B7A70B1}">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6e75ac5a-1f9e-40aa-9df5-998dd543a947"/>
    <ds:schemaRef ds:uri="http://purl.org/dc/elements/1.1/"/>
    <ds:schemaRef ds:uri="http://purl.org/dc/terms/"/>
    <ds:schemaRef ds:uri="http://schemas.openxmlformats.org/package/2006/metadata/core-properties"/>
    <ds:schemaRef ds:uri="fea52c8c-9806-4a1c-8ca9-6928160f6c0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2157</Words>
  <Characters>12572</Characters>
  <Application>Microsoft Office Word</Application>
  <DocSecurity>0</DocSecurity>
  <Lines>262</Lines>
  <Paragraphs>126</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14659</CharactersWithSpaces>
  <SharedDoc>false</SharedDoc>
  <HLinks>
    <vt:vector size="90" baseType="variant">
      <vt:variant>
        <vt:i4>131169</vt:i4>
      </vt:variant>
      <vt:variant>
        <vt:i4>42</vt:i4>
      </vt:variant>
      <vt:variant>
        <vt:i4>0</vt:i4>
      </vt:variant>
      <vt:variant>
        <vt:i4>5</vt:i4>
      </vt:variant>
      <vt:variant>
        <vt:lpwstr>https://www.une.edu.au/research/media/documents/RESEARCH-ENTERPRISE-and-ENGAGEMENT-PLAN-_UNE-2024.pdf</vt:lpwstr>
      </vt:variant>
      <vt:variant>
        <vt:lpwstr>REEP</vt:lpwstr>
      </vt:variant>
      <vt:variant>
        <vt:i4>4784136</vt:i4>
      </vt:variant>
      <vt:variant>
        <vt:i4>39</vt:i4>
      </vt:variant>
      <vt:variant>
        <vt:i4>0</vt:i4>
      </vt:variant>
      <vt:variant>
        <vt:i4>5</vt:i4>
      </vt:variant>
      <vt:variant>
        <vt:lpwstr>https://www.labnext70.news/madgwick-student?_gl=1*whh8a1*_gcl_au*MTA2NTY0NjA0NS4xNzU4MjM2NTg4*_ga*MTc2ODY0NDI4NC4xNjg3MjM3MDUx*_ga_V9G4YG5CKJ*czE3NTk5ODczMzUkbzkxMSRnMSR0MTc1OTk4ODE2MSRqNTgkbDAkaDE1MDEwNTc4NA..</vt:lpwstr>
      </vt:variant>
      <vt:variant>
        <vt:lpwstr/>
      </vt:variant>
      <vt:variant>
        <vt:i4>196691</vt:i4>
      </vt:variant>
      <vt:variant>
        <vt:i4>36</vt:i4>
      </vt:variant>
      <vt:variant>
        <vt:i4>0</vt:i4>
      </vt:variant>
      <vt:variant>
        <vt:i4>5</vt:i4>
      </vt:variant>
      <vt:variant>
        <vt:lpwstr>https://policies.une.edu.au/document/view-current.php?id=293</vt:lpwstr>
      </vt:variant>
      <vt:variant>
        <vt:lpwstr/>
      </vt:variant>
      <vt:variant>
        <vt:i4>4456475</vt:i4>
      </vt:variant>
      <vt:variant>
        <vt:i4>33</vt:i4>
      </vt:variant>
      <vt:variant>
        <vt:i4>0</vt:i4>
      </vt:variant>
      <vt:variant>
        <vt:i4>5</vt:i4>
      </vt:variant>
      <vt:variant>
        <vt:lpwstr>https://www.une.edu.au/current-students/support/student-support/Student-Support-Plan-12.2.24.pdf</vt:lpwstr>
      </vt:variant>
      <vt:variant>
        <vt:lpwstr/>
      </vt:variant>
      <vt:variant>
        <vt:i4>6422585</vt:i4>
      </vt:variant>
      <vt:variant>
        <vt:i4>30</vt:i4>
      </vt:variant>
      <vt:variant>
        <vt:i4>0</vt:i4>
      </vt:variant>
      <vt:variant>
        <vt:i4>5</vt:i4>
      </vt:variant>
      <vt:variant>
        <vt:lpwstr>https://www.une.edu.au/staff-current/media/documents/UNE_Learning-Teaching-Plan_2023-2030.pdf</vt:lpwstr>
      </vt:variant>
      <vt:variant>
        <vt:lpwstr/>
      </vt:variant>
      <vt:variant>
        <vt:i4>7995420</vt:i4>
      </vt:variant>
      <vt:variant>
        <vt:i4>27</vt:i4>
      </vt:variant>
      <vt:variant>
        <vt:i4>0</vt:i4>
      </vt:variant>
      <vt:variant>
        <vt:i4>5</vt:i4>
      </vt:variant>
      <vt:variant>
        <vt:lpwstr>https://www.une.edu.au/about-une/executive/deputy-vice-chancellor/indigenous-education-statements/Indigenous-Education-Strategy-2023-25_b.pdf</vt:lpwstr>
      </vt:variant>
      <vt:variant>
        <vt:lpwstr/>
      </vt:variant>
      <vt:variant>
        <vt:i4>65618</vt:i4>
      </vt:variant>
      <vt:variant>
        <vt:i4>24</vt:i4>
      </vt:variant>
      <vt:variant>
        <vt:i4>0</vt:i4>
      </vt:variant>
      <vt:variant>
        <vt:i4>5</vt:i4>
      </vt:variant>
      <vt:variant>
        <vt:lpwstr>https://policies.une.edu.au/document/view-current.php?id=281</vt:lpwstr>
      </vt:variant>
      <vt:variant>
        <vt:lpwstr/>
      </vt:variant>
      <vt:variant>
        <vt:i4>917596</vt:i4>
      </vt:variant>
      <vt:variant>
        <vt:i4>21</vt:i4>
      </vt:variant>
      <vt:variant>
        <vt:i4>0</vt:i4>
      </vt:variant>
      <vt:variant>
        <vt:i4>5</vt:i4>
      </vt:variant>
      <vt:variant>
        <vt:lpwstr>https://policies.une.edu.au/document/view-current.php?id=468</vt:lpwstr>
      </vt:variant>
      <vt:variant>
        <vt:lpwstr/>
      </vt:variant>
      <vt:variant>
        <vt:i4>196690</vt:i4>
      </vt:variant>
      <vt:variant>
        <vt:i4>18</vt:i4>
      </vt:variant>
      <vt:variant>
        <vt:i4>0</vt:i4>
      </vt:variant>
      <vt:variant>
        <vt:i4>5</vt:i4>
      </vt:variant>
      <vt:variant>
        <vt:lpwstr>https://policies.une.edu.au/document/view-current.php?id=283</vt:lpwstr>
      </vt:variant>
      <vt:variant>
        <vt:lpwstr/>
      </vt:variant>
      <vt:variant>
        <vt:i4>458835</vt:i4>
      </vt:variant>
      <vt:variant>
        <vt:i4>15</vt:i4>
      </vt:variant>
      <vt:variant>
        <vt:i4>0</vt:i4>
      </vt:variant>
      <vt:variant>
        <vt:i4>5</vt:i4>
      </vt:variant>
      <vt:variant>
        <vt:lpwstr>https://policies.une.edu.au/document/view-current.php?id=491</vt:lpwstr>
      </vt:variant>
      <vt:variant>
        <vt:lpwstr/>
      </vt:variant>
      <vt:variant>
        <vt:i4>7209066</vt:i4>
      </vt:variant>
      <vt:variant>
        <vt:i4>12</vt:i4>
      </vt:variant>
      <vt:variant>
        <vt:i4>0</vt:i4>
      </vt:variant>
      <vt:variant>
        <vt:i4>5</vt:i4>
      </vt:variant>
      <vt:variant>
        <vt:lpwstr>https://www.une.edu.au/research/research-services/research-ethics-integrity/foreign-interference-and-collaboration</vt:lpwstr>
      </vt:variant>
      <vt:variant>
        <vt:lpwstr/>
      </vt:variant>
      <vt:variant>
        <vt:i4>720985</vt:i4>
      </vt:variant>
      <vt:variant>
        <vt:i4>9</vt:i4>
      </vt:variant>
      <vt:variant>
        <vt:i4>0</vt:i4>
      </vt:variant>
      <vt:variant>
        <vt:i4>5</vt:i4>
      </vt:variant>
      <vt:variant>
        <vt:lpwstr>https://policies.une.edu.au/document/view-current.php?id=138</vt:lpwstr>
      </vt:variant>
      <vt:variant>
        <vt:lpwstr/>
      </vt:variant>
      <vt:variant>
        <vt:i4>196691</vt:i4>
      </vt:variant>
      <vt:variant>
        <vt:i4>6</vt:i4>
      </vt:variant>
      <vt:variant>
        <vt:i4>0</vt:i4>
      </vt:variant>
      <vt:variant>
        <vt:i4>5</vt:i4>
      </vt:variant>
      <vt:variant>
        <vt:lpwstr>https://policies.une.edu.au/document/view-current.php?id=293</vt:lpwstr>
      </vt:variant>
      <vt:variant>
        <vt:lpwstr/>
      </vt:variant>
      <vt:variant>
        <vt:i4>196702</vt:i4>
      </vt:variant>
      <vt:variant>
        <vt:i4>3</vt:i4>
      </vt:variant>
      <vt:variant>
        <vt:i4>0</vt:i4>
      </vt:variant>
      <vt:variant>
        <vt:i4>5</vt:i4>
      </vt:variant>
      <vt:variant>
        <vt:lpwstr>https://policies.une.edu.au/document/view-current.php?id=140</vt:lpwstr>
      </vt:variant>
      <vt:variant>
        <vt:lpwstr/>
      </vt:variant>
      <vt:variant>
        <vt:i4>5701718</vt:i4>
      </vt:variant>
      <vt:variant>
        <vt:i4>0</vt:i4>
      </vt:variant>
      <vt:variant>
        <vt:i4>0</vt:i4>
      </vt:variant>
      <vt:variant>
        <vt:i4>5</vt:i4>
      </vt:variant>
      <vt:variant>
        <vt:lpwstr>https://www.une.edu.au/strategic-plan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10</cp:revision>
  <cp:lastPrinted>2025-12-01T05:36:00Z</cp:lastPrinted>
  <dcterms:created xsi:type="dcterms:W3CDTF">2025-11-23T23:22:00Z</dcterms:created>
  <dcterms:modified xsi:type="dcterms:W3CDTF">2025-12-17T04:43:00Z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IntranetKeywords">
    <vt:lpwstr/>
  </property>
  <property fmtid="{D5CDD505-2E9C-101B-9397-08002B2CF9AE}" pid="11" name="DocumentType">
    <vt:lpwstr/>
  </property>
  <property fmtid="{D5CDD505-2E9C-101B-9397-08002B2CF9AE}" pid="12" name="Stream">
    <vt:lpwstr>4;#Communication and media|a829aae0-f6fe-4929-b33d-dad77c6e3f71</vt:lpwstr>
  </property>
  <property fmtid="{D5CDD505-2E9C-101B-9397-08002B2CF9AE}" pid="13" name="ContentTypeId">
    <vt:lpwstr>0x0101001E36138AF4CB284D930A08DC3809C1D3</vt:lpwstr>
  </property>
</Properties>
</file>