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32EC0938" w:rsidR="00107DD5" w:rsidRDefault="00221D8F" w:rsidP="00CA4815">
      <w:r w:rsidRPr="00CA4815">
        <w:rPr>
          <w:b/>
          <w:bCs/>
          <w:noProof/>
        </w:rPr>
        <w:drawing>
          <wp:anchor distT="0" distB="0" distL="114300" distR="114300" simplePos="0" relativeHeight="251658240" behindDoc="1" locked="1" layoutInCell="1" allowOverlap="1" wp14:anchorId="4A1B45CD" wp14:editId="6D60BAD2">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AB7C71F">
        <w:trPr>
          <w:cantSplit/>
        </w:trPr>
        <w:tc>
          <w:tcPr>
            <w:tcW w:w="5000" w:type="pct"/>
            <w:tcBorders>
              <w:bottom w:val="single" w:sz="4" w:space="0" w:color="auto"/>
            </w:tcBorders>
          </w:tcPr>
          <w:p w14:paraId="26FC6577" w14:textId="136859FA" w:rsidR="001B109C" w:rsidRPr="006B01BB" w:rsidRDefault="001B109C" w:rsidP="006B01BB">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6B01BB">
              <w:t>Torrens University Australia</w:t>
            </w:r>
          </w:p>
        </w:tc>
      </w:tr>
      <w:tr w:rsidR="001B109C" w:rsidRPr="00E41388" w14:paraId="2126955C" w14:textId="77777777" w:rsidTr="0AB7C71F">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AB7C71F">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AB7C71F">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AB7C71F">
        <w:trPr>
          <w:cantSplit/>
          <w:trHeight w:val="1123"/>
        </w:trPr>
        <w:tc>
          <w:tcPr>
            <w:tcW w:w="5000" w:type="pct"/>
            <w:tcBorders>
              <w:bottom w:val="single" w:sz="4" w:space="0" w:color="auto"/>
            </w:tcBorders>
          </w:tcPr>
          <w:p w14:paraId="6AC05785" w14:textId="41FB2A93" w:rsidR="00414C7A" w:rsidRDefault="0D789029" w:rsidP="0E727C88">
            <w:pPr>
              <w:pStyle w:val="NormalIndent"/>
              <w:spacing w:before="0" w:after="0"/>
              <w:ind w:left="0"/>
              <w:rPr>
                <w:rFonts w:asciiTheme="minorHAnsi" w:hAnsiTheme="minorHAnsi" w:cstheme="minorBidi"/>
              </w:rPr>
            </w:pPr>
            <w:r w:rsidRPr="0AB7C71F">
              <w:rPr>
                <w:rFonts w:asciiTheme="minorHAnsi" w:hAnsiTheme="minorHAnsi" w:cstheme="minorBidi"/>
              </w:rPr>
              <w:lastRenderedPageBreak/>
              <w:t xml:space="preserve">Since the </w:t>
            </w:r>
            <w:r w:rsidR="724FDB15" w:rsidRPr="0AB7C71F">
              <w:rPr>
                <w:rFonts w:asciiTheme="minorHAnsi" w:hAnsiTheme="minorHAnsi" w:cstheme="minorBidi"/>
              </w:rPr>
              <w:t xml:space="preserve">2023-2024 mission-based compact, Torrens University </w:t>
            </w:r>
            <w:r w:rsidR="5884A022" w:rsidRPr="0AB7C71F">
              <w:rPr>
                <w:rFonts w:asciiTheme="minorHAnsi" w:hAnsiTheme="minorHAnsi" w:cstheme="minorBidi"/>
              </w:rPr>
              <w:t xml:space="preserve">Australia </w:t>
            </w:r>
            <w:r w:rsidR="724FDB15" w:rsidRPr="0AB7C71F">
              <w:rPr>
                <w:rFonts w:asciiTheme="minorHAnsi" w:hAnsiTheme="minorHAnsi" w:cstheme="minorBidi"/>
              </w:rPr>
              <w:t>(T</w:t>
            </w:r>
            <w:r w:rsidR="21E08BAB" w:rsidRPr="0AB7C71F">
              <w:rPr>
                <w:rFonts w:asciiTheme="minorHAnsi" w:hAnsiTheme="minorHAnsi" w:cstheme="minorBidi"/>
              </w:rPr>
              <w:t>orrens</w:t>
            </w:r>
            <w:r w:rsidR="724FDB15" w:rsidRPr="0AB7C71F">
              <w:rPr>
                <w:rFonts w:asciiTheme="minorHAnsi" w:hAnsiTheme="minorHAnsi" w:cstheme="minorBidi"/>
              </w:rPr>
              <w:t xml:space="preserve">) has further refined </w:t>
            </w:r>
            <w:r w:rsidR="2AA00E4D" w:rsidRPr="0AB7C71F">
              <w:rPr>
                <w:rFonts w:asciiTheme="minorHAnsi" w:hAnsiTheme="minorHAnsi" w:cstheme="minorBidi"/>
              </w:rPr>
              <w:t>its purpose and strategy</w:t>
            </w:r>
            <w:r w:rsidR="2F878A03" w:rsidRPr="0AB7C71F">
              <w:rPr>
                <w:rFonts w:asciiTheme="minorHAnsi" w:hAnsiTheme="minorHAnsi" w:cstheme="minorBidi"/>
              </w:rPr>
              <w:t xml:space="preserve"> to be relevant in a changing education landscape </w:t>
            </w:r>
            <w:r w:rsidR="610A870A" w:rsidRPr="0AB7C71F">
              <w:rPr>
                <w:rFonts w:asciiTheme="minorHAnsi" w:hAnsiTheme="minorHAnsi" w:cstheme="minorBidi"/>
              </w:rPr>
              <w:t xml:space="preserve">in </w:t>
            </w:r>
            <w:r w:rsidR="556602C9" w:rsidRPr="0AB7C71F">
              <w:rPr>
                <w:rFonts w:asciiTheme="minorHAnsi" w:hAnsiTheme="minorHAnsi" w:cstheme="minorBidi"/>
              </w:rPr>
              <w:t>Australia and</w:t>
            </w:r>
            <w:r w:rsidR="310C6897" w:rsidRPr="0AB7C71F">
              <w:rPr>
                <w:rFonts w:asciiTheme="minorHAnsi" w:hAnsiTheme="minorHAnsi" w:cstheme="minorBidi"/>
              </w:rPr>
              <w:t xml:space="preserve"> build on our successful initial ten-year approach of maintaining a strong focus on</w:t>
            </w:r>
            <w:r w:rsidR="3F691348" w:rsidRPr="0AB7C71F">
              <w:rPr>
                <w:rFonts w:asciiTheme="minorHAnsi" w:hAnsiTheme="minorHAnsi" w:cstheme="minorBidi"/>
              </w:rPr>
              <w:t xml:space="preserve"> accessible and relevant </w:t>
            </w:r>
            <w:r w:rsidR="00FB6592" w:rsidRPr="0AB7C71F">
              <w:rPr>
                <w:rFonts w:asciiTheme="minorHAnsi" w:hAnsiTheme="minorHAnsi" w:cstheme="minorBidi"/>
              </w:rPr>
              <w:t>education</w:t>
            </w:r>
            <w:r w:rsidR="00FB6592">
              <w:rPr>
                <w:rFonts w:asciiTheme="minorHAnsi" w:hAnsiTheme="minorHAnsi" w:cstheme="minorBidi"/>
              </w:rPr>
              <w:t>.</w:t>
            </w:r>
          </w:p>
          <w:p w14:paraId="1051EB88" w14:textId="77777777" w:rsidR="00414C7A" w:rsidRDefault="00414C7A">
            <w:pPr>
              <w:pStyle w:val="NormalIndent"/>
              <w:spacing w:before="0" w:after="0"/>
              <w:ind w:left="0"/>
              <w:rPr>
                <w:rFonts w:asciiTheme="minorHAnsi" w:hAnsiTheme="minorHAnsi" w:cstheme="minorBidi"/>
              </w:rPr>
            </w:pPr>
          </w:p>
          <w:p w14:paraId="2DF171A2" w14:textId="623C223F" w:rsidR="009A34A1" w:rsidRDefault="00414C7A" w:rsidP="0E727C88">
            <w:pPr>
              <w:pStyle w:val="NormalIndent"/>
              <w:spacing w:before="0" w:after="0"/>
              <w:ind w:left="0"/>
              <w:rPr>
                <w:rFonts w:asciiTheme="minorHAnsi" w:hAnsiTheme="minorHAnsi" w:cstheme="minorBidi"/>
              </w:rPr>
            </w:pPr>
            <w:r w:rsidRPr="0E727C88">
              <w:rPr>
                <w:rFonts w:asciiTheme="minorHAnsi" w:hAnsiTheme="minorHAnsi" w:cstheme="minorBidi"/>
              </w:rPr>
              <w:t>Torrens overarching purpose statement</w:t>
            </w:r>
            <w:r w:rsidRPr="0E727C88">
              <w:rPr>
                <w:rFonts w:asciiTheme="minorHAnsi" w:hAnsiTheme="minorHAnsi" w:cstheme="minorBidi"/>
                <w:b/>
                <w:bCs/>
                <w:i/>
                <w:iCs/>
              </w:rPr>
              <w:t xml:space="preserve"> </w:t>
            </w:r>
            <w:r w:rsidR="00695ADA" w:rsidRPr="0E727C88">
              <w:rPr>
                <w:rFonts w:asciiTheme="minorHAnsi" w:hAnsiTheme="minorHAnsi" w:cstheme="minorBidi"/>
                <w:b/>
                <w:bCs/>
                <w:i/>
                <w:iCs/>
              </w:rPr>
              <w:t xml:space="preserve">“empowering futures with flexible and purposeful real-world education and research” </w:t>
            </w:r>
            <w:r w:rsidR="009A34A1" w:rsidRPr="0E727C88">
              <w:rPr>
                <w:rFonts w:asciiTheme="minorHAnsi" w:hAnsiTheme="minorHAnsi" w:cstheme="minorBidi"/>
              </w:rPr>
              <w:t xml:space="preserve">guides our strategy and annual priorities. The purpose reflects our desire to unlock </w:t>
            </w:r>
            <w:r w:rsidR="2D725436" w:rsidRPr="0E727C88">
              <w:rPr>
                <w:rFonts w:asciiTheme="minorHAnsi" w:hAnsiTheme="minorHAnsi" w:cstheme="minorBidi"/>
              </w:rPr>
              <w:t>dynamic and opportune</w:t>
            </w:r>
            <w:r w:rsidR="00F4728A" w:rsidRPr="0E727C88">
              <w:rPr>
                <w:rFonts w:asciiTheme="minorHAnsi" w:hAnsiTheme="minorHAnsi" w:cstheme="minorBidi"/>
              </w:rPr>
              <w:t xml:space="preserve"> futures for our students, and through them for society. </w:t>
            </w:r>
          </w:p>
          <w:p w14:paraId="194D7B43" w14:textId="77777777" w:rsidR="000E5FC0" w:rsidRDefault="000E5FC0">
            <w:pPr>
              <w:pStyle w:val="NormalIndent"/>
              <w:spacing w:before="0" w:after="0"/>
              <w:ind w:left="0"/>
              <w:rPr>
                <w:rFonts w:asciiTheme="minorHAnsi" w:hAnsiTheme="minorHAnsi" w:cstheme="minorBidi"/>
              </w:rPr>
            </w:pPr>
          </w:p>
          <w:p w14:paraId="2C5A5A7C" w14:textId="480C2DF4" w:rsidR="000E5FC0" w:rsidRDefault="00F4728A" w:rsidP="0E727C88">
            <w:pPr>
              <w:pStyle w:val="NormalIndent"/>
              <w:spacing w:before="0" w:after="0"/>
              <w:ind w:left="0"/>
              <w:rPr>
                <w:rFonts w:asciiTheme="minorHAnsi" w:hAnsiTheme="minorHAnsi" w:cstheme="minorBidi"/>
              </w:rPr>
            </w:pPr>
            <w:r w:rsidRPr="0E727C88">
              <w:rPr>
                <w:rFonts w:asciiTheme="minorHAnsi" w:hAnsiTheme="minorHAnsi" w:cstheme="minorBidi"/>
              </w:rPr>
              <w:t xml:space="preserve">Our purpose cascades into </w:t>
            </w:r>
            <w:r w:rsidR="00B34DC1" w:rsidRPr="0E727C88">
              <w:rPr>
                <w:rFonts w:asciiTheme="minorHAnsi" w:hAnsiTheme="minorHAnsi" w:cstheme="minorBidi"/>
              </w:rPr>
              <w:t>our mission to</w:t>
            </w:r>
            <w:r w:rsidR="001A57F0" w:rsidRPr="0E727C88">
              <w:rPr>
                <w:rFonts w:asciiTheme="minorHAnsi" w:hAnsiTheme="minorHAnsi" w:cstheme="minorBidi"/>
              </w:rPr>
              <w:t xml:space="preserve"> </w:t>
            </w:r>
            <w:r w:rsidR="001A57F0" w:rsidRPr="0E727C88">
              <w:rPr>
                <w:rFonts w:asciiTheme="minorHAnsi" w:hAnsiTheme="minorHAnsi" w:cstheme="minorBidi"/>
                <w:b/>
                <w:bCs/>
                <w:i/>
                <w:iCs/>
              </w:rPr>
              <w:t>“be the best University for people who work and need study to fit into their lives and lift their career potential.”</w:t>
            </w:r>
            <w:r w:rsidR="001A57F0" w:rsidRPr="0E727C88">
              <w:rPr>
                <w:rFonts w:asciiTheme="minorHAnsi" w:hAnsiTheme="minorHAnsi" w:cstheme="minorBidi"/>
              </w:rPr>
              <w:t xml:space="preserve"> This reflects a strategic choice to focus </w:t>
            </w:r>
            <w:r w:rsidR="00140BA3" w:rsidRPr="0E727C88">
              <w:rPr>
                <w:rFonts w:asciiTheme="minorHAnsi" w:hAnsiTheme="minorHAnsi" w:cstheme="minorBidi"/>
              </w:rPr>
              <w:t xml:space="preserve">on providing market leading education to the increasing number of working </w:t>
            </w:r>
            <w:r w:rsidR="4AFFDAA9" w:rsidRPr="0E727C88">
              <w:rPr>
                <w:rFonts w:asciiTheme="minorHAnsi" w:hAnsiTheme="minorHAnsi" w:cstheme="minorBidi"/>
              </w:rPr>
              <w:t>people</w:t>
            </w:r>
            <w:r w:rsidR="00140BA3" w:rsidRPr="0E727C88">
              <w:rPr>
                <w:rFonts w:asciiTheme="minorHAnsi" w:hAnsiTheme="minorHAnsi" w:cstheme="minorBidi"/>
              </w:rPr>
              <w:t xml:space="preserve">, who need </w:t>
            </w:r>
            <w:r w:rsidR="00880C7C" w:rsidRPr="0E727C88">
              <w:rPr>
                <w:rFonts w:asciiTheme="minorHAnsi" w:hAnsiTheme="minorHAnsi" w:cstheme="minorBidi"/>
              </w:rPr>
              <w:t xml:space="preserve">education to fit around them, not the other way around. </w:t>
            </w:r>
          </w:p>
          <w:p w14:paraId="3160428D" w14:textId="77777777" w:rsidR="00037573" w:rsidRDefault="00037573">
            <w:pPr>
              <w:pStyle w:val="NormalIndent"/>
              <w:spacing w:before="0" w:after="0"/>
              <w:ind w:left="0"/>
              <w:rPr>
                <w:rFonts w:asciiTheme="minorHAnsi" w:hAnsiTheme="minorHAnsi" w:cstheme="minorBidi"/>
              </w:rPr>
            </w:pPr>
          </w:p>
          <w:p w14:paraId="46BB385D" w14:textId="6B7E29F3" w:rsidR="00037573" w:rsidRDefault="00903DF5">
            <w:pPr>
              <w:pStyle w:val="NormalIndent"/>
              <w:spacing w:before="0" w:after="0"/>
              <w:ind w:left="0"/>
              <w:rPr>
                <w:rFonts w:asciiTheme="minorHAnsi" w:hAnsiTheme="minorHAnsi" w:cstheme="minorBidi"/>
              </w:rPr>
            </w:pPr>
            <w:r>
              <w:rPr>
                <w:rFonts w:asciiTheme="minorHAnsi" w:hAnsiTheme="minorHAnsi" w:cstheme="minorBidi"/>
              </w:rPr>
              <w:t xml:space="preserve">Our mission has </w:t>
            </w:r>
            <w:r w:rsidR="00037573">
              <w:rPr>
                <w:rFonts w:asciiTheme="minorHAnsi" w:hAnsiTheme="minorHAnsi" w:cstheme="minorBidi"/>
              </w:rPr>
              <w:t>two key foci:</w:t>
            </w:r>
          </w:p>
          <w:p w14:paraId="04EC1DE2" w14:textId="0F781810" w:rsidR="00037573" w:rsidRPr="00037573" w:rsidRDefault="00037573" w:rsidP="00037573">
            <w:pPr>
              <w:pStyle w:val="NormalIndent"/>
              <w:numPr>
                <w:ilvl w:val="0"/>
                <w:numId w:val="37"/>
              </w:numPr>
              <w:spacing w:after="0"/>
            </w:pPr>
            <w:r w:rsidRPr="0E727C88">
              <w:rPr>
                <w:b/>
                <w:bCs/>
              </w:rPr>
              <w:t>Flexibility</w:t>
            </w:r>
            <w:r>
              <w:t>: Reorienting to reduce friction</w:t>
            </w:r>
            <w:r w:rsidR="7A6085CA">
              <w:t xml:space="preserve"> into and</w:t>
            </w:r>
            <w:r>
              <w:t xml:space="preserve"> in education while working—moving from fixed timetables and rigid structures toward</w:t>
            </w:r>
            <w:r w:rsidR="2CB5EB1A">
              <w:t xml:space="preserve"> accessibility,</w:t>
            </w:r>
            <w:r>
              <w:t xml:space="preserve"> predictability, </w:t>
            </w:r>
            <w:r w:rsidR="451CC940">
              <w:t>choice, personalisation</w:t>
            </w:r>
            <w:r>
              <w:t xml:space="preserve">, and </w:t>
            </w:r>
            <w:r w:rsidR="5A5F49DF">
              <w:t>adaptability</w:t>
            </w:r>
            <w:r>
              <w:t>.</w:t>
            </w:r>
          </w:p>
          <w:p w14:paraId="71431D6C" w14:textId="77777777" w:rsidR="00037573" w:rsidRDefault="00037573" w:rsidP="00037573">
            <w:pPr>
              <w:pStyle w:val="NormalIndent"/>
              <w:numPr>
                <w:ilvl w:val="0"/>
                <w:numId w:val="37"/>
              </w:numPr>
              <w:spacing w:after="0"/>
            </w:pPr>
            <w:r w:rsidRPr="0E727C88">
              <w:rPr>
                <w:b/>
                <w:bCs/>
              </w:rPr>
              <w:t>Applied Learning</w:t>
            </w:r>
            <w:r>
              <w:t>: Lifting career potential through theory-to-practice education incorporating industry trends, real-world applications, and curriculum co-designed with employers.</w:t>
            </w:r>
          </w:p>
          <w:p w14:paraId="3574D584" w14:textId="5E25FD02" w:rsidR="0E727C88" w:rsidRDefault="0E727C88" w:rsidP="0AB7C71F">
            <w:pPr>
              <w:pStyle w:val="NormalIndent"/>
              <w:spacing w:after="0"/>
              <w:ind w:left="0"/>
            </w:pPr>
          </w:p>
          <w:p w14:paraId="3FEE005B" w14:textId="3440CD27" w:rsidR="005C68D9" w:rsidRPr="005C68D9" w:rsidRDefault="005C68D9" w:rsidP="0E727C88">
            <w:pPr>
              <w:pStyle w:val="NormalIndent"/>
              <w:ind w:left="0"/>
              <w:rPr>
                <w:rFonts w:cstheme="minorBidi"/>
              </w:rPr>
            </w:pPr>
            <w:r w:rsidRPr="0E727C88">
              <w:rPr>
                <w:rFonts w:cstheme="minorBidi"/>
              </w:rPr>
              <w:t>Our staff and student journey is underpinned by strong principles of safety and freedom. These are enshrined in policies, principles and processes in place, covering Academic Freedom, Health and Safety, Respect and Safety, as well as frequent updates on mitigating cyber and data security risks. These include:</w:t>
            </w:r>
          </w:p>
          <w:p w14:paraId="28908B10" w14:textId="6EBA2170" w:rsidR="005C68D9" w:rsidRPr="005C68D9" w:rsidRDefault="005C68D9" w:rsidP="0E727C88">
            <w:pPr>
              <w:pStyle w:val="NormalIndent"/>
              <w:numPr>
                <w:ilvl w:val="0"/>
                <w:numId w:val="33"/>
              </w:numPr>
              <w:rPr>
                <w:rFonts w:cstheme="minorBidi"/>
              </w:rPr>
            </w:pPr>
            <w:r w:rsidRPr="0E727C88">
              <w:rPr>
                <w:rFonts w:cstheme="minorBidi"/>
                <w:b/>
                <w:bCs/>
              </w:rPr>
              <w:t>Workforce and skill needs:</w:t>
            </w:r>
            <w:r w:rsidRPr="0E727C88">
              <w:rPr>
                <w:rFonts w:cstheme="minorBidi"/>
              </w:rPr>
              <w:t xml:space="preserve"> Robust</w:t>
            </w:r>
            <w:r w:rsidR="3D4832B9" w:rsidRPr="0E727C88">
              <w:rPr>
                <w:rFonts w:cstheme="minorBidi"/>
              </w:rPr>
              <w:t xml:space="preserve"> workforce planning and</w:t>
            </w:r>
            <w:r w:rsidRPr="0E727C88">
              <w:rPr>
                <w:rFonts w:cstheme="minorBidi"/>
              </w:rPr>
              <w:t xml:space="preserve"> annual staff performance review process</w:t>
            </w:r>
            <w:r w:rsidR="5E566B44" w:rsidRPr="0E727C88">
              <w:rPr>
                <w:rFonts w:cstheme="minorBidi"/>
              </w:rPr>
              <w:t>es</w:t>
            </w:r>
            <w:r w:rsidRPr="0E727C88">
              <w:rPr>
                <w:rFonts w:cstheme="minorBidi"/>
              </w:rPr>
              <w:t xml:space="preserve"> focused on progress towards</w:t>
            </w:r>
            <w:r w:rsidR="1078C95A" w:rsidRPr="0E727C88">
              <w:rPr>
                <w:rFonts w:cstheme="minorBidi"/>
              </w:rPr>
              <w:t xml:space="preserve"> outcomes</w:t>
            </w:r>
            <w:r w:rsidRPr="0E727C88">
              <w:rPr>
                <w:rFonts w:cstheme="minorBidi"/>
              </w:rPr>
              <w:t xml:space="preserve"> over time, training and development, and success behaviours. In addition, </w:t>
            </w:r>
            <w:r w:rsidR="63936E05" w:rsidRPr="0E727C88">
              <w:rPr>
                <w:rFonts w:cstheme="minorBidi"/>
              </w:rPr>
              <w:t>w</w:t>
            </w:r>
            <w:r w:rsidR="75924491" w:rsidRPr="0E727C88">
              <w:rPr>
                <w:rFonts w:cstheme="minorBidi"/>
              </w:rPr>
              <w:t>e maintain a dynamic process of</w:t>
            </w:r>
            <w:r w:rsidRPr="0E727C88">
              <w:rPr>
                <w:rFonts w:cstheme="minorBidi"/>
              </w:rPr>
              <w:t xml:space="preserve"> designing, developing and launching employee tools, learning programs and initiatives to build organisational capability and employee performance in line with our strategic goals.</w:t>
            </w:r>
          </w:p>
          <w:p w14:paraId="4C339CC9" w14:textId="77777777" w:rsidR="005C68D9" w:rsidRPr="005C68D9" w:rsidRDefault="005C68D9" w:rsidP="005C68D9">
            <w:pPr>
              <w:pStyle w:val="NormalIndent"/>
              <w:numPr>
                <w:ilvl w:val="0"/>
                <w:numId w:val="33"/>
              </w:numPr>
              <w:rPr>
                <w:rFonts w:cstheme="minorHAnsi"/>
              </w:rPr>
            </w:pPr>
            <w:r w:rsidRPr="005C68D9">
              <w:rPr>
                <w:rFonts w:cstheme="minorHAnsi"/>
                <w:b/>
              </w:rPr>
              <w:t>Student and staff safety</w:t>
            </w:r>
            <w:r w:rsidRPr="005C68D9">
              <w:rPr>
                <w:rFonts w:cstheme="minorHAnsi"/>
              </w:rPr>
              <w:t>: Health &amp; safety policies and guidelines that are aimed at supporting our commitment to ensuring the health and safety of workers, students and others involved in, or affected by, our activities.</w:t>
            </w:r>
          </w:p>
          <w:p w14:paraId="731298CB" w14:textId="77777777" w:rsidR="005C68D9" w:rsidRPr="005C68D9" w:rsidRDefault="005C68D9" w:rsidP="005C68D9">
            <w:pPr>
              <w:pStyle w:val="NormalIndent"/>
              <w:numPr>
                <w:ilvl w:val="0"/>
                <w:numId w:val="33"/>
              </w:numPr>
              <w:spacing w:after="0"/>
              <w:rPr>
                <w:rFonts w:cstheme="minorHAnsi"/>
              </w:rPr>
            </w:pPr>
            <w:bookmarkStart w:id="0" w:name="_Hlk158903253"/>
            <w:r w:rsidRPr="005C68D9">
              <w:rPr>
                <w:rFonts w:cstheme="minorHAnsi"/>
                <w:b/>
              </w:rPr>
              <w:t>Countering foreign interference</w:t>
            </w:r>
            <w:r w:rsidRPr="005C68D9">
              <w:rPr>
                <w:rFonts w:cstheme="minorHAnsi"/>
              </w:rPr>
              <w:t xml:space="preserve">: Policies to ensure compliance with the responsibilities under Australian legislation and guidelines concerning universities and foreign interference. </w:t>
            </w:r>
            <w:bookmarkEnd w:id="0"/>
          </w:p>
          <w:p w14:paraId="2EEA3EF6" w14:textId="77777777" w:rsidR="00CE2AB3" w:rsidRDefault="005C68D9" w:rsidP="00CE2AB3">
            <w:pPr>
              <w:pStyle w:val="NormalIndent"/>
              <w:numPr>
                <w:ilvl w:val="0"/>
                <w:numId w:val="33"/>
              </w:numPr>
              <w:spacing w:after="0"/>
              <w:rPr>
                <w:rFonts w:cstheme="minorHAnsi"/>
              </w:rPr>
            </w:pPr>
            <w:r w:rsidRPr="005C68D9">
              <w:rPr>
                <w:rFonts w:cstheme="minorHAnsi"/>
                <w:b/>
              </w:rPr>
              <w:t>Cyber and data security:</w:t>
            </w:r>
            <w:r w:rsidRPr="005C68D9">
              <w:rPr>
                <w:rFonts w:cstheme="minorHAnsi"/>
              </w:rPr>
              <w:t xml:space="preserve"> Policies, proactive monitoring, and staff training in place to minimise risk. </w:t>
            </w:r>
          </w:p>
          <w:p w14:paraId="6AF816CC" w14:textId="3410675F" w:rsidR="001B109C" w:rsidRPr="00CE2AB3" w:rsidRDefault="30536C72" w:rsidP="0AB7C71F">
            <w:pPr>
              <w:pStyle w:val="NormalIndent"/>
              <w:numPr>
                <w:ilvl w:val="0"/>
                <w:numId w:val="33"/>
              </w:numPr>
              <w:spacing w:after="0"/>
              <w:rPr>
                <w:rFonts w:cstheme="minorBidi"/>
              </w:rPr>
            </w:pPr>
            <w:r w:rsidRPr="0AB7C71F">
              <w:rPr>
                <w:rFonts w:asciiTheme="minorHAnsi" w:hAnsiTheme="minorHAnsi" w:cstheme="minorBidi"/>
                <w:b/>
                <w:bCs/>
              </w:rPr>
              <w:t>Upholding freedom of speech and academic freedom:</w:t>
            </w:r>
            <w:r w:rsidRPr="0AB7C71F">
              <w:rPr>
                <w:rFonts w:asciiTheme="minorHAnsi" w:hAnsiTheme="minorHAnsi" w:cstheme="minorBidi"/>
              </w:rPr>
              <w:t xml:space="preserve"> Comprehensive polic</w:t>
            </w:r>
            <w:r w:rsidR="713F9685" w:rsidRPr="0AB7C71F">
              <w:rPr>
                <w:rFonts w:asciiTheme="minorHAnsi" w:hAnsiTheme="minorHAnsi" w:cstheme="minorBidi"/>
              </w:rPr>
              <w:t>ies</w:t>
            </w:r>
            <w:r w:rsidRPr="0AB7C71F">
              <w:rPr>
                <w:rFonts w:asciiTheme="minorHAnsi" w:hAnsiTheme="minorHAnsi" w:cstheme="minorBidi"/>
              </w:rPr>
              <w:t xml:space="preserve"> and principles to ensure that the freedom of lawful speech (both staff and students) and academic freedom is treated as a paramount value and is not restricted in any way.</w:t>
            </w:r>
          </w:p>
          <w:p w14:paraId="4A8F9362" w14:textId="77777777" w:rsidR="001B109C" w:rsidRDefault="001B109C">
            <w:pPr>
              <w:pStyle w:val="NormalIndent"/>
              <w:spacing w:before="0" w:after="0"/>
              <w:ind w:left="0"/>
              <w:rPr>
                <w:rFonts w:asciiTheme="minorHAnsi" w:hAnsiTheme="minorHAnsi" w:cstheme="minorHAnsi"/>
                <w:i/>
                <w:iCs/>
                <w:szCs w:val="22"/>
              </w:rPr>
            </w:pPr>
          </w:p>
          <w:p w14:paraId="0A990CED" w14:textId="09165BD6" w:rsidR="001B109C" w:rsidRPr="007F4129" w:rsidRDefault="01CC25C0" w:rsidP="0AB7C71F">
            <w:pPr>
              <w:pStyle w:val="NormalIndent"/>
              <w:spacing w:before="0" w:after="0"/>
              <w:ind w:left="0"/>
              <w:rPr>
                <w:rFonts w:asciiTheme="minorHAnsi" w:hAnsiTheme="minorHAnsi" w:cstheme="minorBidi"/>
              </w:rPr>
            </w:pPr>
            <w:r w:rsidRPr="0AB7C71F">
              <w:rPr>
                <w:rFonts w:asciiTheme="minorHAnsi" w:hAnsiTheme="minorHAnsi" w:cstheme="minorBidi"/>
              </w:rPr>
              <w:t xml:space="preserve">Our strong performance in these areas was recently reflected in </w:t>
            </w:r>
            <w:r w:rsidR="21A847D6" w:rsidRPr="0AB7C71F">
              <w:rPr>
                <w:rFonts w:asciiTheme="minorHAnsi" w:hAnsiTheme="minorHAnsi" w:cstheme="minorBidi"/>
              </w:rPr>
              <w:t>our successful TEQSA re-registration as a</w:t>
            </w:r>
            <w:r w:rsidR="478A8A0C" w:rsidRPr="0AB7C71F">
              <w:rPr>
                <w:rFonts w:asciiTheme="minorHAnsi" w:hAnsiTheme="minorHAnsi" w:cstheme="minorBidi"/>
              </w:rPr>
              <w:t>n Australian</w:t>
            </w:r>
            <w:r w:rsidR="21A847D6" w:rsidRPr="0AB7C71F">
              <w:rPr>
                <w:rFonts w:asciiTheme="minorHAnsi" w:hAnsiTheme="minorHAnsi" w:cstheme="minorBidi"/>
              </w:rPr>
              <w:t xml:space="preserve"> University for the maximum period of 7 years.</w:t>
            </w:r>
          </w:p>
          <w:p w14:paraId="2C91A87B" w14:textId="77777777" w:rsidR="001B109C" w:rsidRPr="005774F2" w:rsidRDefault="001B109C">
            <w:pPr>
              <w:pStyle w:val="NormalIndent"/>
              <w:spacing w:before="0" w:after="0"/>
              <w:ind w:left="0"/>
              <w:rPr>
                <w:rFonts w:asciiTheme="minorHAnsi" w:hAnsiTheme="minorHAnsi" w:cstheme="minorHAnsi"/>
                <w:i/>
                <w:iCs/>
                <w:szCs w:val="22"/>
              </w:rPr>
            </w:pPr>
          </w:p>
        </w:tc>
      </w:tr>
      <w:tr w:rsidR="001B109C" w:rsidRPr="00E41388" w14:paraId="0EA45E0C" w14:textId="77777777" w:rsidTr="0AB7C71F">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AB7C71F">
        <w:trPr>
          <w:cantSplit/>
        </w:trPr>
        <w:tc>
          <w:tcPr>
            <w:tcW w:w="5000" w:type="pct"/>
          </w:tcPr>
          <w:p w14:paraId="783C54D4" w14:textId="6A0D6C25" w:rsidR="001B109C" w:rsidRDefault="6B9E57E5" w:rsidP="4E3ECAE0">
            <w:pPr>
              <w:pStyle w:val="NormalIndent"/>
              <w:ind w:left="0"/>
              <w:rPr>
                <w:rFonts w:cstheme="minorBidi"/>
              </w:rPr>
            </w:pPr>
            <w:bookmarkStart w:id="1" w:name="_Hlk150338733"/>
            <w:bookmarkStart w:id="2" w:name="_Hlk150338471"/>
            <w:r w:rsidRPr="0AB7C71F">
              <w:rPr>
                <w:rFonts w:cstheme="minorBidi"/>
              </w:rPr>
              <w:lastRenderedPageBreak/>
              <w:t>T</w:t>
            </w:r>
            <w:r w:rsidR="2DDB24DA" w:rsidRPr="0AB7C71F">
              <w:rPr>
                <w:rFonts w:cstheme="minorBidi"/>
              </w:rPr>
              <w:t>orrens</w:t>
            </w:r>
            <w:r w:rsidR="33C5612C" w:rsidRPr="0AB7C71F">
              <w:rPr>
                <w:rFonts w:cstheme="minorBidi"/>
              </w:rPr>
              <w:t xml:space="preserve"> aims to be one of Australia’s most academically</w:t>
            </w:r>
            <w:r w:rsidR="445C06DD" w:rsidRPr="0AB7C71F">
              <w:rPr>
                <w:rFonts w:cstheme="minorBidi"/>
              </w:rPr>
              <w:t>, socially and cultural</w:t>
            </w:r>
            <w:r w:rsidR="6E0C36F1" w:rsidRPr="0AB7C71F">
              <w:rPr>
                <w:rFonts w:cstheme="minorBidi"/>
              </w:rPr>
              <w:t>ly</w:t>
            </w:r>
            <w:r w:rsidR="32E00364" w:rsidRPr="0AB7C71F">
              <w:rPr>
                <w:rFonts w:cstheme="minorBidi"/>
              </w:rPr>
              <w:t xml:space="preserve"> </w:t>
            </w:r>
            <w:r w:rsidR="33C5612C" w:rsidRPr="0AB7C71F">
              <w:rPr>
                <w:rFonts w:cstheme="minorBidi"/>
              </w:rPr>
              <w:t xml:space="preserve">accessible and inclusive universities, supporting students from underrepresented backgrounds—such as First Nations peoples, rural and regional communities, low socio-economic groups, and non-traditional learners—to succeed. Initiatives to support students and staff development are outlined in </w:t>
            </w:r>
            <w:r w:rsidR="409B0E7B" w:rsidRPr="0AB7C71F">
              <w:rPr>
                <w:rFonts w:cstheme="minorBidi"/>
              </w:rPr>
              <w:t>four</w:t>
            </w:r>
            <w:r w:rsidR="4DD72275" w:rsidRPr="0AB7C71F">
              <w:rPr>
                <w:rFonts w:cstheme="minorBidi"/>
              </w:rPr>
              <w:t xml:space="preserve"> </w:t>
            </w:r>
            <w:r w:rsidR="33C5612C" w:rsidRPr="0AB7C71F">
              <w:rPr>
                <w:rFonts w:cstheme="minorBidi"/>
              </w:rPr>
              <w:t>key plan</w:t>
            </w:r>
            <w:r w:rsidR="5FE391AB" w:rsidRPr="0AB7C71F">
              <w:rPr>
                <w:rFonts w:cstheme="minorBidi"/>
              </w:rPr>
              <w:t>s</w:t>
            </w:r>
            <w:r w:rsidR="33C5612C" w:rsidRPr="0AB7C71F">
              <w:rPr>
                <w:rFonts w:cstheme="minorBidi"/>
              </w:rPr>
              <w:t xml:space="preserve"> and program areas:</w:t>
            </w:r>
          </w:p>
          <w:p w14:paraId="5F052E55" w14:textId="345A8297" w:rsidR="001B109C" w:rsidRDefault="4383A01C" w:rsidP="4E3ECAE0">
            <w:pPr>
              <w:pStyle w:val="NormalIndent"/>
              <w:numPr>
                <w:ilvl w:val="0"/>
                <w:numId w:val="6"/>
              </w:numPr>
              <w:rPr>
                <w:rFonts w:cstheme="minorBidi"/>
              </w:rPr>
            </w:pPr>
            <w:r w:rsidRPr="0E727C88">
              <w:rPr>
                <w:rFonts w:cstheme="minorBidi"/>
              </w:rPr>
              <w:t>Engagem</w:t>
            </w:r>
            <w:r w:rsidRPr="0E727C88">
              <w:rPr>
                <w:rFonts w:asciiTheme="minorHAnsi" w:eastAsiaTheme="minorEastAsia" w:hAnsiTheme="minorHAnsi" w:cstheme="minorBidi"/>
                <w:szCs w:val="22"/>
              </w:rPr>
              <w:t>ent and Access Plan (2025 – 2027)</w:t>
            </w:r>
          </w:p>
          <w:p w14:paraId="64E79FB9" w14:textId="33D0D9A5" w:rsidR="001B109C" w:rsidRDefault="4383A01C" w:rsidP="4E3ECAE0">
            <w:pPr>
              <w:pStyle w:val="NormalIndent"/>
              <w:numPr>
                <w:ilvl w:val="0"/>
                <w:numId w:val="6"/>
              </w:numPr>
              <w:rPr>
                <w:rFonts w:cstheme="minorBidi"/>
              </w:rPr>
            </w:pPr>
            <w:r w:rsidRPr="4E3ECAE0">
              <w:rPr>
                <w:rFonts w:cstheme="minorBidi"/>
              </w:rPr>
              <w:t>First Nations Strategic Plan (2024 – 2027)</w:t>
            </w:r>
          </w:p>
          <w:p w14:paraId="67A1E8C2" w14:textId="75672CA1" w:rsidR="001B109C" w:rsidRDefault="4383A01C" w:rsidP="4E3ECAE0">
            <w:pPr>
              <w:pStyle w:val="NormalIndent"/>
              <w:numPr>
                <w:ilvl w:val="0"/>
                <w:numId w:val="6"/>
              </w:numPr>
              <w:rPr>
                <w:rFonts w:cstheme="minorBidi"/>
              </w:rPr>
            </w:pPr>
            <w:r w:rsidRPr="0E727C88">
              <w:rPr>
                <w:rFonts w:cstheme="minorBidi"/>
              </w:rPr>
              <w:t>First Year Experience (FYE) Program</w:t>
            </w:r>
          </w:p>
          <w:p w14:paraId="0D2A923F" w14:textId="57F2F086" w:rsidR="3A2A8762" w:rsidRDefault="3A2A8762" w:rsidP="0E727C88">
            <w:pPr>
              <w:pStyle w:val="NormalIndent"/>
              <w:numPr>
                <w:ilvl w:val="0"/>
                <w:numId w:val="6"/>
              </w:numPr>
              <w:rPr>
                <w:rFonts w:cstheme="minorBidi"/>
              </w:rPr>
            </w:pPr>
            <w:r w:rsidRPr="0E727C88">
              <w:rPr>
                <w:rFonts w:cstheme="minorBidi"/>
              </w:rPr>
              <w:t xml:space="preserve">Torrens University </w:t>
            </w:r>
            <w:r w:rsidR="5A971896" w:rsidRPr="0E727C88">
              <w:rPr>
                <w:rFonts w:cstheme="minorBidi"/>
              </w:rPr>
              <w:t>Language</w:t>
            </w:r>
            <w:r w:rsidRPr="0E727C88">
              <w:rPr>
                <w:rFonts w:cstheme="minorBidi"/>
              </w:rPr>
              <w:t xml:space="preserve"> Centre (TULC)</w:t>
            </w:r>
          </w:p>
          <w:p w14:paraId="56469DEE" w14:textId="2EC5F580" w:rsidR="0E727C88" w:rsidRDefault="0E727C88" w:rsidP="0E727C88">
            <w:pPr>
              <w:pStyle w:val="NormalIndent"/>
              <w:ind w:left="0"/>
              <w:rPr>
                <w:rFonts w:cs="Calibri"/>
                <w:szCs w:val="22"/>
              </w:rPr>
            </w:pPr>
          </w:p>
          <w:p w14:paraId="4B5C826A" w14:textId="030F834C" w:rsidR="001B109C" w:rsidRDefault="4383A01C" w:rsidP="4E3ECAE0">
            <w:pPr>
              <w:pStyle w:val="NormalIndent"/>
              <w:ind w:left="0"/>
              <w:rPr>
                <w:rFonts w:cstheme="minorBidi"/>
              </w:rPr>
            </w:pPr>
            <w:r w:rsidRPr="0E727C88">
              <w:rPr>
                <w:rFonts w:cs="Calibri"/>
                <w:szCs w:val="22"/>
              </w:rPr>
              <w:t xml:space="preserve">Key areas of focus include flexible pathways, targeted financial and academic support, promoting inclusive teaching and learning practices, fostering inclusive and culturally safe campus culture, </w:t>
            </w:r>
            <w:r w:rsidRPr="0E727C88">
              <w:rPr>
                <w:rFonts w:cstheme="minorBidi"/>
              </w:rPr>
              <w:t xml:space="preserve">student voice, cohort data analysis, and developing partnerships to </w:t>
            </w:r>
            <w:r w:rsidRPr="0E727C88">
              <w:rPr>
                <w:rFonts w:cs="Calibri"/>
                <w:szCs w:val="22"/>
              </w:rPr>
              <w:t>benefit students.</w:t>
            </w:r>
          </w:p>
          <w:p w14:paraId="63C25627" w14:textId="0C646019" w:rsidR="001B109C" w:rsidRDefault="4383A01C" w:rsidP="0E727C88">
            <w:pPr>
              <w:pStyle w:val="NormalIndent"/>
              <w:ind w:left="0"/>
              <w:rPr>
                <w:rFonts w:cstheme="minorBidi"/>
                <w:b/>
                <w:bCs/>
              </w:rPr>
            </w:pPr>
            <w:r w:rsidRPr="0E727C88">
              <w:rPr>
                <w:rFonts w:cstheme="minorBidi"/>
                <w:b/>
                <w:bCs/>
              </w:rPr>
              <w:t>Strategic Priorities and Key Targets</w:t>
            </w:r>
          </w:p>
          <w:p w14:paraId="7B8608F2" w14:textId="7E8AEEEB" w:rsidR="001B109C" w:rsidRDefault="4383A01C" w:rsidP="0E727C88">
            <w:pPr>
              <w:pStyle w:val="NormalIndent"/>
              <w:ind w:left="0"/>
              <w:rPr>
                <w:rFonts w:cstheme="minorBidi"/>
                <w:i/>
                <w:iCs/>
              </w:rPr>
            </w:pPr>
            <w:r w:rsidRPr="0E727C88">
              <w:rPr>
                <w:rFonts w:cstheme="minorBidi"/>
                <w:i/>
                <w:iCs/>
              </w:rPr>
              <w:t>1. Flexible Access Pathways</w:t>
            </w:r>
          </w:p>
          <w:p w14:paraId="4133D6A0" w14:textId="7546E80E" w:rsidR="001B109C" w:rsidRDefault="33C5612C" w:rsidP="4E3ECAE0">
            <w:pPr>
              <w:pStyle w:val="NormalIndent"/>
              <w:numPr>
                <w:ilvl w:val="0"/>
                <w:numId w:val="5"/>
              </w:numPr>
              <w:rPr>
                <w:rFonts w:cstheme="minorBidi"/>
              </w:rPr>
            </w:pPr>
            <w:r w:rsidRPr="0AB7C71F">
              <w:rPr>
                <w:rFonts w:cstheme="minorBidi"/>
              </w:rPr>
              <w:t>Undergraduate Certificate Pathway</w:t>
            </w:r>
            <w:r w:rsidR="6F6440C8" w:rsidRPr="0AB7C71F">
              <w:rPr>
                <w:rFonts w:cstheme="minorBidi"/>
              </w:rPr>
              <w:t xml:space="preserve"> </w:t>
            </w:r>
            <w:r w:rsidR="672006F6" w:rsidRPr="0AB7C71F">
              <w:rPr>
                <w:rFonts w:cstheme="minorBidi"/>
              </w:rPr>
              <w:t>courses</w:t>
            </w:r>
            <w:r w:rsidR="6F6440C8" w:rsidRPr="0AB7C71F">
              <w:rPr>
                <w:rFonts w:cstheme="minorBidi"/>
              </w:rPr>
              <w:t xml:space="preserve"> (AQF 5) </w:t>
            </w:r>
            <w:r w:rsidRPr="0AB7C71F">
              <w:rPr>
                <w:rFonts w:cstheme="minorBidi"/>
              </w:rPr>
              <w:t xml:space="preserve">in Health, Business, ICT, and Design will launch in Trimester 2, 2026, offering scaffolded entry and credit for prior </w:t>
            </w:r>
            <w:r w:rsidR="014AA66F" w:rsidRPr="0AB7C71F">
              <w:rPr>
                <w:rFonts w:cstheme="minorBidi"/>
              </w:rPr>
              <w:t>learning</w:t>
            </w:r>
            <w:r w:rsidRPr="0AB7C71F">
              <w:rPr>
                <w:rFonts w:cstheme="minorBidi"/>
              </w:rPr>
              <w:t xml:space="preserve"> </w:t>
            </w:r>
          </w:p>
          <w:p w14:paraId="4D7336FE" w14:textId="403EDAC2" w:rsidR="001B109C" w:rsidRDefault="4383A01C" w:rsidP="4E3ECAE0">
            <w:pPr>
              <w:pStyle w:val="NormalIndent"/>
              <w:numPr>
                <w:ilvl w:val="0"/>
                <w:numId w:val="5"/>
              </w:numPr>
              <w:rPr>
                <w:rFonts w:cstheme="minorBidi"/>
              </w:rPr>
            </w:pPr>
            <w:r w:rsidRPr="4E3ECAE0">
              <w:rPr>
                <w:rFonts w:cstheme="minorBidi"/>
              </w:rPr>
              <w:t xml:space="preserve">Non-award enabling and pathway options will be expanded to support undergraduate and </w:t>
            </w:r>
            <w:r w:rsidR="3FDA4184" w:rsidRPr="4E3ECAE0">
              <w:rPr>
                <w:rFonts w:cstheme="minorBidi"/>
              </w:rPr>
              <w:t>postgraduate</w:t>
            </w:r>
            <w:r w:rsidRPr="4E3ECAE0">
              <w:rPr>
                <w:rFonts w:cstheme="minorBidi"/>
              </w:rPr>
              <w:t xml:space="preserve"> entry, integrating micro-credentials and prior learning. </w:t>
            </w:r>
          </w:p>
          <w:p w14:paraId="3B22B37F" w14:textId="7568C7A9" w:rsidR="001B109C" w:rsidRDefault="4383A01C" w:rsidP="4E3ECAE0">
            <w:pPr>
              <w:pStyle w:val="NormalIndent"/>
              <w:numPr>
                <w:ilvl w:val="0"/>
                <w:numId w:val="5"/>
              </w:numPr>
              <w:rPr>
                <w:rFonts w:cstheme="minorBidi"/>
              </w:rPr>
            </w:pPr>
            <w:r w:rsidRPr="4E3ECAE0">
              <w:rPr>
                <w:rFonts w:cstheme="minorBidi"/>
              </w:rPr>
              <w:t xml:space="preserve">Credit/Recognition of Prior Learning (RPL) policies will be consolidated by Q4 2025, streamlining processes as an enabler for advanced standing for life and work experience. </w:t>
            </w:r>
          </w:p>
          <w:p w14:paraId="57A9B170" w14:textId="792B1F66" w:rsidR="001B109C" w:rsidRDefault="33C5612C" w:rsidP="4E3ECAE0">
            <w:pPr>
              <w:pStyle w:val="NormalIndent"/>
              <w:numPr>
                <w:ilvl w:val="0"/>
                <w:numId w:val="5"/>
              </w:numPr>
              <w:rPr>
                <w:rFonts w:cstheme="minorBidi"/>
              </w:rPr>
            </w:pPr>
            <w:r w:rsidRPr="0AB7C71F">
              <w:rPr>
                <w:rFonts w:cstheme="minorBidi"/>
              </w:rPr>
              <w:t xml:space="preserve">Sophia </w:t>
            </w:r>
            <w:r w:rsidR="26ED45E2" w:rsidRPr="0AB7C71F">
              <w:rPr>
                <w:rFonts w:cstheme="minorBidi"/>
              </w:rPr>
              <w:t>subject options</w:t>
            </w:r>
            <w:r w:rsidR="258A3619" w:rsidRPr="0AB7C71F">
              <w:rPr>
                <w:rFonts w:cstheme="minorBidi"/>
              </w:rPr>
              <w:t xml:space="preserve"> </w:t>
            </w:r>
            <w:r w:rsidRPr="0AB7C71F">
              <w:rPr>
                <w:rFonts w:cstheme="minorBidi"/>
              </w:rPr>
              <w:t xml:space="preserve">will be </w:t>
            </w:r>
            <w:r w:rsidR="69548F91" w:rsidRPr="0AB7C71F">
              <w:rPr>
                <w:rFonts w:cstheme="minorBidi"/>
              </w:rPr>
              <w:t>leveraged as a cost-effective pathway option for new students</w:t>
            </w:r>
            <w:r w:rsidR="5DCD0D8D" w:rsidRPr="0AB7C71F">
              <w:rPr>
                <w:rFonts w:cstheme="minorBidi"/>
              </w:rPr>
              <w:t xml:space="preserve">, building </w:t>
            </w:r>
            <w:r w:rsidR="116CFAD1" w:rsidRPr="0AB7C71F">
              <w:rPr>
                <w:rFonts w:cstheme="minorBidi"/>
              </w:rPr>
              <w:t>confidence</w:t>
            </w:r>
            <w:r w:rsidR="5DCD0D8D" w:rsidRPr="0AB7C71F">
              <w:rPr>
                <w:rFonts w:cstheme="minorBidi"/>
              </w:rPr>
              <w:t xml:space="preserve"> to study at university level. </w:t>
            </w:r>
          </w:p>
          <w:p w14:paraId="40E35DB7" w14:textId="7DFE05F2" w:rsidR="001B109C" w:rsidRDefault="4383A01C" w:rsidP="4E3ECAE0">
            <w:pPr>
              <w:pStyle w:val="NormalIndent"/>
              <w:ind w:left="0"/>
              <w:rPr>
                <w:rFonts w:cstheme="minorBidi"/>
                <w:i/>
                <w:iCs/>
              </w:rPr>
            </w:pPr>
            <w:r w:rsidRPr="4E3ECAE0">
              <w:rPr>
                <w:rFonts w:cstheme="minorBidi"/>
                <w:i/>
                <w:iCs/>
              </w:rPr>
              <w:t>2. Academic Partnerships and Community Connection</w:t>
            </w:r>
          </w:p>
          <w:p w14:paraId="56E87BA2" w14:textId="50CBEC16" w:rsidR="001B109C" w:rsidRDefault="33C5612C" w:rsidP="4E3ECAE0">
            <w:pPr>
              <w:pStyle w:val="NormalIndent"/>
              <w:numPr>
                <w:ilvl w:val="0"/>
                <w:numId w:val="4"/>
              </w:numPr>
              <w:rPr>
                <w:rFonts w:cstheme="minorBidi"/>
              </w:rPr>
            </w:pPr>
            <w:r w:rsidRPr="0AB7C71F">
              <w:rPr>
                <w:rFonts w:cstheme="minorBidi"/>
              </w:rPr>
              <w:t xml:space="preserve">Torrens </w:t>
            </w:r>
            <w:r w:rsidR="5605E2E4" w:rsidRPr="0AB7C71F">
              <w:rPr>
                <w:rFonts w:cstheme="minorBidi"/>
              </w:rPr>
              <w:t xml:space="preserve">is considering options to engage </w:t>
            </w:r>
            <w:r w:rsidRPr="0AB7C71F">
              <w:rPr>
                <w:rFonts w:cstheme="minorBidi"/>
              </w:rPr>
              <w:t xml:space="preserve">with Regional University Study Hub (RUSH) networks to </w:t>
            </w:r>
            <w:r w:rsidR="204A19B8" w:rsidRPr="0AB7C71F">
              <w:rPr>
                <w:rFonts w:cstheme="minorBidi"/>
              </w:rPr>
              <w:t>support rural</w:t>
            </w:r>
            <w:r w:rsidRPr="0AB7C71F">
              <w:rPr>
                <w:rFonts w:cstheme="minorBidi"/>
              </w:rPr>
              <w:t xml:space="preserve">, regional, and remote students across its faculty program areas.  </w:t>
            </w:r>
          </w:p>
          <w:p w14:paraId="39C44A9D" w14:textId="0957D833" w:rsidR="001B109C" w:rsidRDefault="33C5612C" w:rsidP="4E3ECAE0">
            <w:pPr>
              <w:pStyle w:val="NormalIndent"/>
              <w:numPr>
                <w:ilvl w:val="0"/>
                <w:numId w:val="4"/>
              </w:numPr>
              <w:rPr>
                <w:rFonts w:cstheme="minorBidi"/>
              </w:rPr>
            </w:pPr>
            <w:r w:rsidRPr="0AB7C71F">
              <w:rPr>
                <w:rFonts w:cstheme="minorBidi"/>
              </w:rPr>
              <w:t>Faculty-based initiatives focusing on cohor</w:t>
            </w:r>
            <w:r w:rsidR="357100E7" w:rsidRPr="0AB7C71F">
              <w:rPr>
                <w:rFonts w:cstheme="minorBidi"/>
              </w:rPr>
              <w:t>t</w:t>
            </w:r>
            <w:r w:rsidRPr="0AB7C71F">
              <w:rPr>
                <w:rFonts w:cstheme="minorBidi"/>
              </w:rPr>
              <w:t xml:space="preserve"> support will be </w:t>
            </w:r>
            <w:r w:rsidR="53C37D8D" w:rsidRPr="0AB7C71F">
              <w:rPr>
                <w:rFonts w:cstheme="minorBidi"/>
              </w:rPr>
              <w:t>expanded to</w:t>
            </w:r>
            <w:r w:rsidR="3C34AA27" w:rsidRPr="0AB7C71F">
              <w:rPr>
                <w:rFonts w:cstheme="minorBidi"/>
              </w:rPr>
              <w:t xml:space="preserve"> support students in completing</w:t>
            </w:r>
            <w:r w:rsidR="0E67AA16" w:rsidRPr="0AB7C71F">
              <w:rPr>
                <w:rFonts w:cstheme="minorBidi"/>
              </w:rPr>
              <w:t xml:space="preserve"> </w:t>
            </w:r>
            <w:r w:rsidR="0864A575" w:rsidRPr="0AB7C71F">
              <w:rPr>
                <w:rFonts w:cstheme="minorBidi"/>
              </w:rPr>
              <w:t>work-based placements</w:t>
            </w:r>
            <w:r w:rsidR="5CF4771B" w:rsidRPr="0AB7C71F">
              <w:rPr>
                <w:rFonts w:cstheme="minorBidi"/>
              </w:rPr>
              <w:t>.</w:t>
            </w:r>
          </w:p>
          <w:p w14:paraId="076E6963" w14:textId="7230F2B7" w:rsidR="001B109C" w:rsidRDefault="4383A01C" w:rsidP="4E3ECAE0">
            <w:pPr>
              <w:pStyle w:val="NormalIndent"/>
              <w:ind w:left="0"/>
              <w:rPr>
                <w:rFonts w:cstheme="minorBidi"/>
                <w:i/>
                <w:iCs/>
              </w:rPr>
            </w:pPr>
            <w:r w:rsidRPr="4E3ECAE0">
              <w:rPr>
                <w:rFonts w:cstheme="minorBidi"/>
                <w:i/>
                <w:iCs/>
              </w:rPr>
              <w:t>3. Academic Literacy and Confidence Building</w:t>
            </w:r>
          </w:p>
          <w:p w14:paraId="3BA039B3" w14:textId="6D74BE7F" w:rsidR="001B109C" w:rsidRDefault="3B77AB49" w:rsidP="4E3ECAE0">
            <w:pPr>
              <w:pStyle w:val="NormalIndent"/>
              <w:numPr>
                <w:ilvl w:val="0"/>
                <w:numId w:val="3"/>
              </w:numPr>
              <w:rPr>
                <w:rFonts w:cstheme="minorBidi"/>
              </w:rPr>
            </w:pPr>
            <w:r w:rsidRPr="0AB7C71F">
              <w:rPr>
                <w:rFonts w:cstheme="minorBidi"/>
              </w:rPr>
              <w:t xml:space="preserve">Initiatives to ensure </w:t>
            </w:r>
            <w:r w:rsidR="6A363E85" w:rsidRPr="0AB7C71F">
              <w:rPr>
                <w:rFonts w:cstheme="minorBidi"/>
              </w:rPr>
              <w:t>student</w:t>
            </w:r>
            <w:r w:rsidRPr="0AB7C71F">
              <w:rPr>
                <w:rFonts w:cstheme="minorBidi"/>
              </w:rPr>
              <w:t xml:space="preserve"> readiness and success in their first trimester of </w:t>
            </w:r>
            <w:r w:rsidR="6D657AFD" w:rsidRPr="0AB7C71F">
              <w:rPr>
                <w:rFonts w:cstheme="minorBidi"/>
              </w:rPr>
              <w:t>study</w:t>
            </w:r>
            <w:r w:rsidRPr="0AB7C71F">
              <w:rPr>
                <w:rFonts w:cstheme="minorBidi"/>
              </w:rPr>
              <w:t xml:space="preserve"> will be introduced</w:t>
            </w:r>
            <w:r w:rsidR="33C5612C" w:rsidRPr="0AB7C71F">
              <w:rPr>
                <w:rFonts w:cstheme="minorBidi"/>
              </w:rPr>
              <w:t xml:space="preserve"> for pathway students and remediation programs for students requiring additional support. </w:t>
            </w:r>
          </w:p>
          <w:p w14:paraId="03D3D68E" w14:textId="3CCC34FF" w:rsidR="001B109C" w:rsidRDefault="4383A01C" w:rsidP="4E3ECAE0">
            <w:pPr>
              <w:pStyle w:val="NormalIndent"/>
              <w:numPr>
                <w:ilvl w:val="0"/>
                <w:numId w:val="3"/>
              </w:numPr>
              <w:rPr>
                <w:rFonts w:cstheme="minorBidi"/>
              </w:rPr>
            </w:pPr>
            <w:r w:rsidRPr="4E3ECAE0">
              <w:rPr>
                <w:rFonts w:cstheme="minorBidi"/>
              </w:rPr>
              <w:t>Micro-credentials for pre-enrolment preparation and academic support will be developed by Q2 2026.</w:t>
            </w:r>
          </w:p>
          <w:p w14:paraId="339807D1" w14:textId="1FC18D6B" w:rsidR="001B109C" w:rsidRDefault="33C5612C" w:rsidP="4E3ECAE0">
            <w:pPr>
              <w:pStyle w:val="NormalIndent"/>
              <w:numPr>
                <w:ilvl w:val="0"/>
                <w:numId w:val="3"/>
              </w:numPr>
              <w:rPr>
                <w:rFonts w:cstheme="minorBidi"/>
              </w:rPr>
            </w:pPr>
            <w:r w:rsidRPr="0AB7C71F">
              <w:rPr>
                <w:rFonts w:cstheme="minorBidi"/>
              </w:rPr>
              <w:t>English for Academic Purposes (EAP) programs</w:t>
            </w:r>
            <w:r w:rsidR="383B276F" w:rsidRPr="0AB7C71F">
              <w:rPr>
                <w:rFonts w:cstheme="minorBidi"/>
              </w:rPr>
              <w:t>, provided through TULC,</w:t>
            </w:r>
            <w:r w:rsidRPr="0AB7C71F">
              <w:rPr>
                <w:rFonts w:cstheme="minorBidi"/>
              </w:rPr>
              <w:t xml:space="preserve"> will expand for international students to prepare them for Higher Degree Research program enrolment. </w:t>
            </w:r>
          </w:p>
          <w:p w14:paraId="6BAF49AA" w14:textId="08290F66" w:rsidR="001B109C" w:rsidRDefault="4383A01C" w:rsidP="4E3ECAE0">
            <w:pPr>
              <w:pStyle w:val="NormalIndent"/>
              <w:ind w:left="0"/>
              <w:rPr>
                <w:rFonts w:cstheme="minorBidi"/>
                <w:i/>
                <w:iCs/>
              </w:rPr>
            </w:pPr>
            <w:r w:rsidRPr="4E3ECAE0">
              <w:rPr>
                <w:rFonts w:cstheme="minorBidi"/>
                <w:i/>
                <w:iCs/>
              </w:rPr>
              <w:lastRenderedPageBreak/>
              <w:t xml:space="preserve">4. Staff Development, Benchmarking, and Scholarship </w:t>
            </w:r>
          </w:p>
          <w:p w14:paraId="45155AED" w14:textId="08F5D33B" w:rsidR="001B109C" w:rsidRDefault="4383A01C" w:rsidP="4E3ECAE0">
            <w:pPr>
              <w:pStyle w:val="NormalIndent"/>
              <w:numPr>
                <w:ilvl w:val="0"/>
                <w:numId w:val="2"/>
              </w:numPr>
              <w:rPr>
                <w:rFonts w:cstheme="minorBidi"/>
              </w:rPr>
            </w:pPr>
            <w:r w:rsidRPr="4E3ECAE0">
              <w:rPr>
                <w:rFonts w:cstheme="minorBidi"/>
              </w:rPr>
              <w:t>An Accessibility and Inclusion Community of Practice will be established by Q4 2025, with increased staff engagement and external speakers throughout 2026.</w:t>
            </w:r>
          </w:p>
          <w:p w14:paraId="61A9CD7C" w14:textId="390298A0" w:rsidR="001B109C" w:rsidRDefault="4383A01C" w:rsidP="4E3ECAE0">
            <w:pPr>
              <w:pStyle w:val="NormalIndent"/>
              <w:numPr>
                <w:ilvl w:val="0"/>
                <w:numId w:val="2"/>
              </w:numPr>
              <w:rPr>
                <w:rFonts w:cstheme="minorBidi"/>
              </w:rPr>
            </w:pPr>
            <w:r w:rsidRPr="4E3ECAE0">
              <w:rPr>
                <w:rFonts w:cstheme="minorBidi"/>
              </w:rPr>
              <w:t xml:space="preserve">Torrens will participate in national accessibility benchmarking efforts, including participation in the Australasian Council of Digital Education benchmarking for Accessibility (July 2025) and ADCET/WIL/First Nations panels, to inform </w:t>
            </w:r>
            <w:r w:rsidR="0F075940" w:rsidRPr="4E3ECAE0">
              <w:rPr>
                <w:rFonts w:cstheme="minorBidi"/>
              </w:rPr>
              <w:t xml:space="preserve">staff and promote inclusive and accessible practice. </w:t>
            </w:r>
          </w:p>
          <w:p w14:paraId="641B1E5D" w14:textId="0CAD2189" w:rsidR="001B109C" w:rsidRDefault="4383A01C" w:rsidP="4E3ECAE0">
            <w:pPr>
              <w:pStyle w:val="NormalIndent"/>
              <w:ind w:left="0"/>
              <w:rPr>
                <w:rFonts w:cstheme="minorBidi"/>
                <w:i/>
                <w:iCs/>
              </w:rPr>
            </w:pPr>
            <w:r w:rsidRPr="4E3ECAE0">
              <w:rPr>
                <w:rFonts w:cstheme="minorBidi"/>
                <w:i/>
                <w:iCs/>
              </w:rPr>
              <w:t xml:space="preserve">4. Evidence-informed Cohort Support </w:t>
            </w:r>
          </w:p>
          <w:p w14:paraId="22B87A46" w14:textId="0C04B199" w:rsidR="001B109C" w:rsidRPr="00187273" w:rsidRDefault="4383A01C" w:rsidP="00187273">
            <w:pPr>
              <w:pStyle w:val="NormalIndent"/>
              <w:numPr>
                <w:ilvl w:val="0"/>
                <w:numId w:val="1"/>
              </w:numPr>
              <w:rPr>
                <w:rFonts w:cstheme="minorBidi"/>
              </w:rPr>
            </w:pPr>
            <w:r w:rsidRPr="4E3ECAE0">
              <w:rPr>
                <w:rFonts w:cstheme="minorBidi"/>
              </w:rPr>
              <w:t>Cohort-based dashboards will be developed to evaluate student progress to inform targeted interventions and program design</w:t>
            </w:r>
            <w:r w:rsidR="77857091" w:rsidRPr="4E3ECAE0">
              <w:rPr>
                <w:rFonts w:cstheme="minorBidi"/>
              </w:rPr>
              <w:t xml:space="preserve"> as per the University’s Tiered Student Support model. </w:t>
            </w:r>
            <w:bookmarkEnd w:id="1"/>
            <w:bookmarkEnd w:id="2"/>
          </w:p>
        </w:tc>
      </w:tr>
      <w:tr w:rsidR="001B109C" w:rsidRPr="00E41388" w14:paraId="39ADE404" w14:textId="77777777" w:rsidTr="0AB7C71F">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D40030" w:rsidRPr="00E41388" w14:paraId="3701A312" w14:textId="77777777" w:rsidTr="0AB7C71F">
        <w:trPr>
          <w:cantSplit/>
          <w:trHeight w:val="977"/>
        </w:trPr>
        <w:tc>
          <w:tcPr>
            <w:tcW w:w="5000" w:type="pct"/>
            <w:tcBorders>
              <w:bottom w:val="single" w:sz="4" w:space="0" w:color="auto"/>
            </w:tcBorders>
          </w:tcPr>
          <w:p w14:paraId="38F4296A" w14:textId="27A442AC" w:rsidR="00D40030" w:rsidRDefault="00D40030" w:rsidP="0E727C88">
            <w:pPr>
              <w:pStyle w:val="Default"/>
              <w:spacing w:after="120" w:line="220" w:lineRule="atLeast"/>
              <w:rPr>
                <w:sz w:val="22"/>
                <w:szCs w:val="22"/>
              </w:rPr>
            </w:pPr>
            <w:r w:rsidRPr="0E727C88">
              <w:rPr>
                <w:b/>
                <w:bCs/>
                <w:sz w:val="22"/>
                <w:szCs w:val="22"/>
              </w:rPr>
              <w:lastRenderedPageBreak/>
              <w:t xml:space="preserve">KEY TEACHING AND LEARNING PERFORMANCE STRATEGIES: </w:t>
            </w:r>
          </w:p>
          <w:p w14:paraId="09E58986" w14:textId="77777777" w:rsidR="00D40030" w:rsidRDefault="00D40030" w:rsidP="0E727C88">
            <w:pPr>
              <w:pStyle w:val="NormalIndent"/>
              <w:spacing w:before="0"/>
              <w:ind w:left="0"/>
            </w:pPr>
            <w:r>
              <w:t xml:space="preserve">Torrens University is developing a new Learning and Teaching Plan 2026-2027, which will provide a renewed focus on academic quality, student success and teaching excellence. The University is also undertaking a comprehensive review of the Academic Framework to ensure this guiding architecture remains contemporary, evidence-based, fit for purpose and aligned to sector expectations as well as ensuring our teaching and learning environment meets the evolving needs of a diverse student body. </w:t>
            </w:r>
          </w:p>
          <w:p w14:paraId="45D98E21" w14:textId="77777777" w:rsidR="00D40030" w:rsidRDefault="00D40030" w:rsidP="0E727C88">
            <w:pPr>
              <w:pStyle w:val="NormalIndent"/>
              <w:spacing w:before="0"/>
              <w:ind w:left="0"/>
            </w:pPr>
          </w:p>
          <w:p w14:paraId="462E6786" w14:textId="77777777" w:rsidR="00D40030" w:rsidRPr="003D3BC2" w:rsidRDefault="00D40030" w:rsidP="0E727C88">
            <w:pPr>
              <w:pStyle w:val="NormalIndent"/>
              <w:spacing w:before="0"/>
              <w:ind w:left="0"/>
              <w:rPr>
                <w:b/>
                <w:bCs/>
              </w:rPr>
            </w:pPr>
            <w:r w:rsidRPr="0E727C88">
              <w:rPr>
                <w:b/>
                <w:bCs/>
              </w:rPr>
              <w:t>1. Advancing Learning-Oriented Assessment and Feedback</w:t>
            </w:r>
          </w:p>
          <w:p w14:paraId="7D4649DB" w14:textId="77777777" w:rsidR="00D40030" w:rsidRPr="003D3BC2" w:rsidRDefault="00D40030" w:rsidP="0E727C88">
            <w:pPr>
              <w:pStyle w:val="NormalIndent"/>
              <w:spacing w:before="0"/>
              <w:ind w:left="0"/>
            </w:pPr>
            <w:r>
              <w:t xml:space="preserve">In 2026, Torrens will commence a major initiative to transition to a </w:t>
            </w:r>
            <w:r w:rsidRPr="0E727C88">
              <w:rPr>
                <w:b/>
                <w:bCs/>
              </w:rPr>
              <w:t xml:space="preserve">learning-oriented approach to assessment </w:t>
            </w:r>
            <w:r>
              <w:t>that focuses on Assurance of Learning (</w:t>
            </w:r>
            <w:proofErr w:type="spellStart"/>
            <w:r>
              <w:t>AoL</w:t>
            </w:r>
            <w:proofErr w:type="spellEnd"/>
            <w:r>
              <w:t>), embedding authenticity in assessment design and delivery, and driving student success and outcomes.</w:t>
            </w:r>
          </w:p>
          <w:p w14:paraId="0C8C5005" w14:textId="77777777" w:rsidR="00D40030" w:rsidRPr="003D3BC2" w:rsidRDefault="00D40030" w:rsidP="0E727C88">
            <w:pPr>
              <w:pStyle w:val="NormalIndent"/>
              <w:spacing w:before="0"/>
              <w:ind w:left="0"/>
            </w:pPr>
            <w:r w:rsidRPr="0E727C88">
              <w:rPr>
                <w:b/>
                <w:bCs/>
              </w:rPr>
              <w:t>Specific Interventions:</w:t>
            </w:r>
          </w:p>
          <w:p w14:paraId="7DE69439" w14:textId="77777777" w:rsidR="00D40030" w:rsidRPr="003D3BC2" w:rsidRDefault="00D40030" w:rsidP="0E727C88">
            <w:pPr>
              <w:pStyle w:val="NormalIndent"/>
              <w:numPr>
                <w:ilvl w:val="0"/>
                <w:numId w:val="43"/>
              </w:numPr>
              <w:spacing w:before="0"/>
            </w:pPr>
            <w:r w:rsidRPr="0E727C88">
              <w:rPr>
                <w:i/>
                <w:iCs/>
                <w:u w:val="single"/>
              </w:rPr>
              <w:t>Transformation of assessment tasks</w:t>
            </w:r>
            <w:r>
              <w:t>: All new and redeveloped subjects will replace traditional assessment tasks with authentic, industry-aligned, scenario-based assessments that explicitly evidence graduate outcomes and employability skills.</w:t>
            </w:r>
          </w:p>
          <w:p w14:paraId="11D148B2" w14:textId="77777777" w:rsidR="00D40030" w:rsidRPr="003D3BC2" w:rsidRDefault="00D40030" w:rsidP="0E727C88">
            <w:pPr>
              <w:pStyle w:val="NormalIndent"/>
              <w:numPr>
                <w:ilvl w:val="0"/>
                <w:numId w:val="43"/>
              </w:numPr>
              <w:spacing w:before="0"/>
            </w:pPr>
            <w:r w:rsidRPr="0E727C88">
              <w:rPr>
                <w:i/>
                <w:iCs/>
                <w:u w:val="single"/>
              </w:rPr>
              <w:t>Assurance of Learning</w:t>
            </w:r>
            <w:r>
              <w:t xml:space="preserve">: Assessments in core subjects will be explicitly aligned to Course Learning Outcomes with clear evidence of </w:t>
            </w:r>
            <w:proofErr w:type="spellStart"/>
            <w:r>
              <w:t>AoL</w:t>
            </w:r>
            <w:proofErr w:type="spellEnd"/>
            <w:r>
              <w:t xml:space="preserve">. </w:t>
            </w:r>
          </w:p>
          <w:p w14:paraId="24DE7D0D" w14:textId="77777777" w:rsidR="00D40030" w:rsidRPr="003D3BC2" w:rsidRDefault="00D40030" w:rsidP="0E727C88">
            <w:pPr>
              <w:pStyle w:val="NormalIndent"/>
              <w:numPr>
                <w:ilvl w:val="0"/>
                <w:numId w:val="43"/>
              </w:numPr>
              <w:spacing w:before="0"/>
            </w:pPr>
            <w:r w:rsidRPr="0E727C88">
              <w:rPr>
                <w:i/>
                <w:iCs/>
                <w:u w:val="single"/>
              </w:rPr>
              <w:t>Strengthened feedback practices</w:t>
            </w:r>
            <w:r>
              <w:t xml:space="preserve">: Feedback will be reframed as </w:t>
            </w:r>
            <w:r w:rsidRPr="0E727C88">
              <w:rPr>
                <w:i/>
                <w:iCs/>
              </w:rPr>
              <w:t>feed-forward</w:t>
            </w:r>
            <w:r>
              <w:t>, with students receiving actionable, developmental guidance that supports application in future tasks. The use of exemplars, interactive oral assessments and portfolio-based reviews will be expanded.</w:t>
            </w:r>
          </w:p>
          <w:p w14:paraId="067031E5" w14:textId="77777777" w:rsidR="00D40030" w:rsidRPr="003D3BC2" w:rsidRDefault="00D40030" w:rsidP="0E727C88">
            <w:pPr>
              <w:pStyle w:val="NormalIndent"/>
              <w:numPr>
                <w:ilvl w:val="0"/>
                <w:numId w:val="43"/>
              </w:numPr>
              <w:spacing w:before="0"/>
            </w:pPr>
            <w:r w:rsidRPr="0E727C88">
              <w:rPr>
                <w:i/>
                <w:iCs/>
                <w:u w:val="single"/>
              </w:rPr>
              <w:t>Enhanced Rubrics</w:t>
            </w:r>
            <w:r>
              <w:t xml:space="preserve">: A University-wide initiative to develop </w:t>
            </w:r>
            <w:r w:rsidRPr="0E727C88">
              <w:rPr>
                <w:b/>
                <w:bCs/>
              </w:rPr>
              <w:t>robust, developmental rubrics</w:t>
            </w:r>
            <w:r>
              <w:t xml:space="preserve"> will ensure clarity of standards, consistency of grading, and richer opportunities for reflection. Rubrics will incorporate performance descriptors aligned with employability skills and capabilities.</w:t>
            </w:r>
          </w:p>
          <w:p w14:paraId="1936CD53" w14:textId="77777777" w:rsidR="00D40030" w:rsidRPr="003D3BC2" w:rsidRDefault="00D40030" w:rsidP="0E727C88">
            <w:pPr>
              <w:pStyle w:val="NormalIndent"/>
              <w:numPr>
                <w:ilvl w:val="0"/>
                <w:numId w:val="43"/>
              </w:numPr>
              <w:spacing w:before="0"/>
            </w:pPr>
            <w:r w:rsidRPr="0E727C88">
              <w:rPr>
                <w:i/>
                <w:iCs/>
                <w:u w:val="single"/>
              </w:rPr>
              <w:t>Ethical integration of technology and innovation</w:t>
            </w:r>
            <w:r>
              <w:t>: Digital tools, including AI-enabled feedback engines will be deployed in a managed innovation environment to scale timely, personalised and ethical assessment feedback to students.</w:t>
            </w:r>
          </w:p>
          <w:p w14:paraId="666FA64B" w14:textId="77777777" w:rsidR="00D40030" w:rsidRDefault="00D40030" w:rsidP="0E727C88">
            <w:pPr>
              <w:pStyle w:val="NormalIndent"/>
              <w:spacing w:before="0"/>
              <w:ind w:left="0"/>
            </w:pPr>
            <w:r w:rsidRPr="0E727C88">
              <w:rPr>
                <w:b/>
                <w:bCs/>
              </w:rPr>
              <w:t>Targets and metrics:</w:t>
            </w:r>
            <w:r>
              <w:t xml:space="preserve"> </w:t>
            </w:r>
          </w:p>
          <w:p w14:paraId="644B6D7A" w14:textId="77777777" w:rsidR="00D40030" w:rsidRDefault="00D40030" w:rsidP="0E727C88">
            <w:pPr>
              <w:pStyle w:val="NormalIndent"/>
              <w:numPr>
                <w:ilvl w:val="0"/>
                <w:numId w:val="43"/>
              </w:numPr>
              <w:spacing w:before="0"/>
            </w:pPr>
            <w:r>
              <w:t>By end of 2026, all new and redeveloped subjects to include authentic, industry-aligned, scenario-based assessment tasks.</w:t>
            </w:r>
          </w:p>
          <w:p w14:paraId="3CB3C02E" w14:textId="77777777" w:rsidR="00D40030" w:rsidRDefault="00D40030" w:rsidP="0E727C88">
            <w:pPr>
              <w:pStyle w:val="NormalIndent"/>
              <w:numPr>
                <w:ilvl w:val="0"/>
                <w:numId w:val="43"/>
              </w:numPr>
              <w:spacing w:before="0"/>
            </w:pPr>
            <w:r>
              <w:t xml:space="preserve">50% of all courses to demonstrate </w:t>
            </w:r>
            <w:proofErr w:type="spellStart"/>
            <w:r>
              <w:t>AoL</w:t>
            </w:r>
            <w:proofErr w:type="spellEnd"/>
            <w:r>
              <w:t xml:space="preserve"> mapping by 2027. </w:t>
            </w:r>
          </w:p>
          <w:p w14:paraId="56E07CE7" w14:textId="77777777" w:rsidR="00D40030" w:rsidRPr="003D3BC2" w:rsidRDefault="00D40030" w:rsidP="0E727C88">
            <w:pPr>
              <w:pStyle w:val="NormalIndent"/>
              <w:numPr>
                <w:ilvl w:val="0"/>
                <w:numId w:val="43"/>
              </w:numPr>
              <w:spacing w:before="0"/>
            </w:pPr>
            <w:r>
              <w:t>QILT “skills development” items to improve by 2-3% by 2027.</w:t>
            </w:r>
          </w:p>
          <w:p w14:paraId="7D247BBC" w14:textId="77777777" w:rsidR="00D40030" w:rsidRDefault="00D40030" w:rsidP="0E727C88">
            <w:pPr>
              <w:pStyle w:val="NormalIndent"/>
              <w:spacing w:before="0"/>
              <w:ind w:left="0"/>
            </w:pPr>
            <w:r w:rsidRPr="0E727C88">
              <w:rPr>
                <w:b/>
                <w:bCs/>
              </w:rPr>
              <w:t>For Equity groups (other than First Nations):</w:t>
            </w:r>
            <w:r>
              <w:t xml:space="preserve"> </w:t>
            </w:r>
          </w:p>
          <w:p w14:paraId="7BABE8FC" w14:textId="77777777" w:rsidR="00D40030" w:rsidRPr="003D3BC2" w:rsidRDefault="00D40030" w:rsidP="0E727C88">
            <w:pPr>
              <w:pStyle w:val="NormalIndent"/>
              <w:numPr>
                <w:ilvl w:val="0"/>
                <w:numId w:val="43"/>
              </w:numPr>
              <w:spacing w:before="0"/>
            </w:pPr>
            <w:r>
              <w:t>Progression gaps for equity cohorts (low-SES, regional/remote students) reduced by at least 2% by 2026.</w:t>
            </w:r>
          </w:p>
          <w:p w14:paraId="0D15F7F9" w14:textId="77777777" w:rsidR="00D40030" w:rsidRDefault="00D40030" w:rsidP="0E727C88">
            <w:pPr>
              <w:pStyle w:val="NormalIndent"/>
              <w:spacing w:before="0"/>
              <w:ind w:left="0"/>
            </w:pPr>
          </w:p>
          <w:p w14:paraId="1ED6B8A4" w14:textId="77777777" w:rsidR="00D40030" w:rsidRPr="003D3BC2" w:rsidRDefault="00D40030" w:rsidP="0E727C88">
            <w:pPr>
              <w:pStyle w:val="NormalIndent"/>
              <w:spacing w:before="0"/>
              <w:ind w:left="0"/>
              <w:rPr>
                <w:b/>
                <w:bCs/>
              </w:rPr>
            </w:pPr>
            <w:r w:rsidRPr="0E727C88">
              <w:rPr>
                <w:b/>
                <w:bCs/>
              </w:rPr>
              <w:t>2. Supporting At-Risk Students and Addressing ‘Zero Fail’ Outcomes</w:t>
            </w:r>
          </w:p>
          <w:p w14:paraId="2E76335C" w14:textId="77777777" w:rsidR="00D40030" w:rsidRPr="003D3BC2" w:rsidRDefault="00D40030" w:rsidP="0E727C88">
            <w:pPr>
              <w:pStyle w:val="NormalIndent"/>
              <w:spacing w:before="0"/>
              <w:ind w:left="0"/>
            </w:pPr>
            <w:r>
              <w:t>In 2026, Torrens will design and implement initiatives to address its high attrition and progression risk and the “zero fail” cohort.</w:t>
            </w:r>
          </w:p>
          <w:p w14:paraId="079D2AB7" w14:textId="77777777" w:rsidR="00D40030" w:rsidRPr="003D3BC2" w:rsidRDefault="00D40030" w:rsidP="0E727C88">
            <w:pPr>
              <w:pStyle w:val="NormalIndent"/>
              <w:spacing w:before="0"/>
              <w:ind w:left="0"/>
            </w:pPr>
            <w:r w:rsidRPr="0E727C88">
              <w:rPr>
                <w:b/>
                <w:bCs/>
              </w:rPr>
              <w:lastRenderedPageBreak/>
              <w:t>Specific Interventions:</w:t>
            </w:r>
          </w:p>
          <w:p w14:paraId="337C5D3D" w14:textId="77777777" w:rsidR="00D40030" w:rsidRPr="009A7443" w:rsidRDefault="00D40030" w:rsidP="0E727C88">
            <w:pPr>
              <w:pStyle w:val="NormalIndent"/>
              <w:numPr>
                <w:ilvl w:val="0"/>
                <w:numId w:val="43"/>
              </w:numPr>
              <w:spacing w:before="0"/>
              <w:rPr>
                <w:i/>
                <w:iCs/>
                <w:u w:val="single"/>
              </w:rPr>
            </w:pPr>
            <w:r w:rsidRPr="0E727C88">
              <w:rPr>
                <w:i/>
                <w:iCs/>
                <w:u w:val="single"/>
              </w:rPr>
              <w:t>Systematic early identification and triage:</w:t>
            </w:r>
            <w:r>
              <w:t xml:space="preserve"> Using enhanced analytics and predictive modelling, students will be flagged at key risk points to enact tailored outreach.</w:t>
            </w:r>
          </w:p>
          <w:p w14:paraId="4511ADD3" w14:textId="25F62423" w:rsidR="00D40030" w:rsidRPr="00DD74E1" w:rsidRDefault="517D402C" w:rsidP="0AB7C71F">
            <w:pPr>
              <w:pStyle w:val="NormalIndent"/>
              <w:numPr>
                <w:ilvl w:val="0"/>
                <w:numId w:val="43"/>
              </w:numPr>
              <w:spacing w:before="0"/>
              <w:rPr>
                <w:i/>
                <w:iCs/>
                <w:u w:val="single"/>
              </w:rPr>
            </w:pPr>
            <w:r w:rsidRPr="0AB7C71F">
              <w:rPr>
                <w:i/>
                <w:iCs/>
                <w:u w:val="single"/>
              </w:rPr>
              <w:t>“Zero Fail” management and early intervention mechanisms</w:t>
            </w:r>
            <w:r>
              <w:t>: Procedures to strengthen admissions quality, reduce non-genuine enrolments and provide timely intervention and support to a</w:t>
            </w:r>
            <w:r w:rsidR="7E27FD30">
              <w:t>t</w:t>
            </w:r>
            <w:r w:rsidR="6DCBFE9B">
              <w:t>-</w:t>
            </w:r>
            <w:r>
              <w:t xml:space="preserve">risk students will be established. </w:t>
            </w:r>
          </w:p>
          <w:p w14:paraId="52464820" w14:textId="77777777" w:rsidR="00D40030" w:rsidRPr="00DD74E1" w:rsidRDefault="00D40030" w:rsidP="0E727C88">
            <w:pPr>
              <w:pStyle w:val="NormalIndent"/>
              <w:numPr>
                <w:ilvl w:val="0"/>
                <w:numId w:val="43"/>
              </w:numPr>
              <w:spacing w:before="0"/>
              <w:rPr>
                <w:i/>
                <w:iCs/>
                <w:u w:val="single"/>
              </w:rPr>
            </w:pPr>
            <w:r w:rsidRPr="0E727C88">
              <w:rPr>
                <w:i/>
                <w:iCs/>
                <w:u w:val="single"/>
              </w:rPr>
              <w:t xml:space="preserve">Academic Progression Processes: </w:t>
            </w:r>
            <w:r>
              <w:t>Academic progression policies and procedures will be reviewed and enhanced to expand existing practices and measures, to support at-risk students and support progression and completion particularly in the first year.</w:t>
            </w:r>
          </w:p>
          <w:p w14:paraId="6D49D09C" w14:textId="77777777" w:rsidR="00D40030" w:rsidRPr="00DD74E1" w:rsidRDefault="00D40030" w:rsidP="0E727C88">
            <w:pPr>
              <w:pStyle w:val="NormalIndent"/>
              <w:numPr>
                <w:ilvl w:val="0"/>
                <w:numId w:val="43"/>
              </w:numPr>
            </w:pPr>
            <w:r w:rsidRPr="0E727C88">
              <w:rPr>
                <w:i/>
                <w:iCs/>
                <w:u w:val="single"/>
              </w:rPr>
              <w:t xml:space="preserve">Student Support Ecosystem: </w:t>
            </w:r>
            <w:r>
              <w:t>Expansion of bridging, orientation, and customised programs to strengthen student success, with targeted initiatives to address the needs of equity cohorts.</w:t>
            </w:r>
          </w:p>
          <w:p w14:paraId="43D4DA79" w14:textId="77777777" w:rsidR="00D40030" w:rsidRDefault="00D40030" w:rsidP="0E727C88">
            <w:pPr>
              <w:pStyle w:val="NormalIndent"/>
              <w:spacing w:before="0"/>
              <w:ind w:left="0"/>
            </w:pPr>
            <w:r w:rsidRPr="0E727C88">
              <w:rPr>
                <w:b/>
                <w:bCs/>
              </w:rPr>
              <w:t>Targets and metrics:</w:t>
            </w:r>
            <w:r>
              <w:t xml:space="preserve"> </w:t>
            </w:r>
          </w:p>
          <w:p w14:paraId="57CE19B7" w14:textId="77777777" w:rsidR="00D40030" w:rsidRDefault="00D40030" w:rsidP="0E727C88">
            <w:pPr>
              <w:pStyle w:val="NormalIndent"/>
              <w:numPr>
                <w:ilvl w:val="0"/>
                <w:numId w:val="43"/>
              </w:numPr>
              <w:spacing w:before="0"/>
            </w:pPr>
            <w:r>
              <w:t>5% reduction in students with &gt;50% failure rates by end of 2026.</w:t>
            </w:r>
          </w:p>
          <w:p w14:paraId="18BD5F71" w14:textId="77777777" w:rsidR="00D40030" w:rsidRDefault="00D40030" w:rsidP="0E727C88">
            <w:pPr>
              <w:pStyle w:val="NormalIndent"/>
              <w:numPr>
                <w:ilvl w:val="0"/>
                <w:numId w:val="43"/>
              </w:numPr>
              <w:spacing w:before="0"/>
            </w:pPr>
            <w:r>
              <w:t xml:space="preserve">5% increase in progression rates for fully online students by end of 2027. </w:t>
            </w:r>
          </w:p>
          <w:p w14:paraId="34034359" w14:textId="77777777" w:rsidR="00D40030" w:rsidRPr="003D3BC2" w:rsidRDefault="00D40030" w:rsidP="0E727C88">
            <w:pPr>
              <w:pStyle w:val="NormalIndent"/>
              <w:numPr>
                <w:ilvl w:val="0"/>
                <w:numId w:val="43"/>
              </w:numPr>
              <w:spacing w:before="0"/>
            </w:pPr>
            <w:r>
              <w:t>QILT “skills development” items to improve by 2-3% by 2027.</w:t>
            </w:r>
          </w:p>
          <w:p w14:paraId="7C3B8A3D" w14:textId="77777777" w:rsidR="00D40030" w:rsidRDefault="00D40030" w:rsidP="0E727C88">
            <w:pPr>
              <w:pStyle w:val="NormalIndent"/>
              <w:spacing w:before="0"/>
              <w:ind w:left="0"/>
            </w:pPr>
            <w:r w:rsidRPr="0E727C88">
              <w:rPr>
                <w:b/>
                <w:bCs/>
              </w:rPr>
              <w:t>For Equity groups (other than First Nations):</w:t>
            </w:r>
            <w:r>
              <w:t xml:space="preserve"> </w:t>
            </w:r>
          </w:p>
          <w:p w14:paraId="13334F5B" w14:textId="77777777" w:rsidR="00D40030" w:rsidRDefault="00D40030" w:rsidP="0E727C88">
            <w:pPr>
              <w:pStyle w:val="NormalIndent"/>
              <w:numPr>
                <w:ilvl w:val="0"/>
                <w:numId w:val="43"/>
              </w:numPr>
              <w:spacing w:before="0"/>
            </w:pPr>
            <w:r>
              <w:t>3% increase in progression rates for equity cohorts (low-SES, regional/remote students) by 2026.</w:t>
            </w:r>
          </w:p>
          <w:p w14:paraId="32782004" w14:textId="77777777" w:rsidR="00D40030" w:rsidRDefault="00D40030" w:rsidP="0E727C88">
            <w:pPr>
              <w:pStyle w:val="NormalIndent"/>
              <w:numPr>
                <w:ilvl w:val="0"/>
                <w:numId w:val="43"/>
              </w:numPr>
              <w:spacing w:before="0"/>
            </w:pPr>
            <w:r>
              <w:t>Targeted initiatives to increase access pathways and support for regional/remote students</w:t>
            </w:r>
          </w:p>
          <w:p w14:paraId="74D1FDC7" w14:textId="77777777" w:rsidR="00D40030" w:rsidRPr="007E3E37" w:rsidRDefault="00D40030" w:rsidP="00D40030">
            <w:pPr>
              <w:pStyle w:val="NormalIndent"/>
              <w:spacing w:before="0" w:after="0"/>
              <w:ind w:left="0"/>
              <w:rPr>
                <w:rFonts w:asciiTheme="minorHAnsi" w:hAnsiTheme="minorHAnsi" w:cstheme="minorHAnsi"/>
                <w:i/>
                <w:color w:val="FF0000"/>
                <w:szCs w:val="22"/>
              </w:rPr>
            </w:pPr>
          </w:p>
        </w:tc>
      </w:tr>
      <w:tr w:rsidR="00D40030" w:rsidRPr="00E41388" w14:paraId="3EB68E1B" w14:textId="77777777" w:rsidTr="0AB7C71F">
        <w:trPr>
          <w:cantSplit/>
        </w:trPr>
        <w:tc>
          <w:tcPr>
            <w:tcW w:w="5000" w:type="pct"/>
          </w:tcPr>
          <w:p w14:paraId="54D9B30B" w14:textId="09B691CB" w:rsidR="00D40030" w:rsidRPr="00E169EE" w:rsidRDefault="00D40030" w:rsidP="00D40030">
            <w:pPr>
              <w:pStyle w:val="Heading4"/>
              <w:keepLines w:val="0"/>
              <w:spacing w:before="180" w:after="60"/>
            </w:pPr>
            <w:r>
              <w:lastRenderedPageBreak/>
              <w:t xml:space="preserve">Strategies for Improving </w:t>
            </w:r>
            <w:r w:rsidRPr="00E169EE">
              <w:t>Re</w:t>
            </w:r>
            <w:r>
              <w:t>search, Research Training, and Innovation</w:t>
            </w:r>
          </w:p>
        </w:tc>
      </w:tr>
      <w:tr w:rsidR="00D40030" w:rsidRPr="00E41388" w14:paraId="0DB3C874" w14:textId="77777777" w:rsidTr="0AB7C71F">
        <w:trPr>
          <w:cantSplit/>
        </w:trPr>
        <w:tc>
          <w:tcPr>
            <w:tcW w:w="5000" w:type="pct"/>
          </w:tcPr>
          <w:p w14:paraId="451BD118" w14:textId="0F34924E" w:rsidR="00D40030" w:rsidRPr="00965428" w:rsidRDefault="00D40030" w:rsidP="0E727C88">
            <w:pPr>
              <w:spacing w:after="160" w:line="278" w:lineRule="auto"/>
              <w:rPr>
                <w:b/>
                <w:bCs/>
              </w:rPr>
            </w:pPr>
            <w:r w:rsidRPr="0E727C88">
              <w:rPr>
                <w:b/>
                <w:bCs/>
              </w:rPr>
              <w:lastRenderedPageBreak/>
              <w:t>Strategic Research Plan 2025–2026</w:t>
            </w:r>
          </w:p>
          <w:p w14:paraId="57315C1C" w14:textId="7BADA99B" w:rsidR="00D40030" w:rsidRPr="00965428" w:rsidRDefault="00F032C1" w:rsidP="0E727C88">
            <w:pPr>
              <w:spacing w:after="160" w:line="278" w:lineRule="auto"/>
              <w:rPr>
                <w:b/>
                <w:bCs/>
              </w:rPr>
            </w:pPr>
            <w:r w:rsidRPr="0E727C88">
              <w:rPr>
                <w:b/>
                <w:bCs/>
              </w:rPr>
              <w:t>REFINED PRIORITIES FOR IMPACTFUL AND INCLUSIVE RESEARCH</w:t>
            </w:r>
          </w:p>
          <w:p w14:paraId="1BA78893" w14:textId="77777777" w:rsidR="00D40030" w:rsidRPr="00965428" w:rsidRDefault="00D40030" w:rsidP="0E727C88">
            <w:pPr>
              <w:spacing w:after="160" w:line="278" w:lineRule="auto"/>
            </w:pPr>
            <w:r w:rsidRPr="0E727C88">
              <w:t>Building on the foundation of our Strategic Research Plan 2021–2025, Torrens University will launch an updated plan for 2026. The 2025–2026 priorities aim to expand high-quality, project-driven research that benefits diverse communities. These priorities draw on Torrens’ strengths in HDR programs, international and regional collaboration, and research with tangible social impact, delivering measurable benefits in Australia and globally.</w:t>
            </w:r>
          </w:p>
          <w:p w14:paraId="052F202F" w14:textId="77777777" w:rsidR="00D40030" w:rsidRPr="00965428" w:rsidRDefault="00D40030" w:rsidP="0E727C88">
            <w:pPr>
              <w:spacing w:after="160" w:line="278" w:lineRule="auto"/>
              <w:rPr>
                <w:b/>
                <w:bCs/>
              </w:rPr>
            </w:pPr>
            <w:r w:rsidRPr="0E727C88">
              <w:rPr>
                <w:b/>
                <w:bCs/>
              </w:rPr>
              <w:t>1. World-Class, Project-Driven Research</w:t>
            </w:r>
          </w:p>
          <w:p w14:paraId="7BF26810" w14:textId="77777777" w:rsidR="00D40030" w:rsidRPr="00965428" w:rsidRDefault="00D40030" w:rsidP="0E727C88">
            <w:pPr>
              <w:spacing w:after="160" w:line="278" w:lineRule="auto"/>
            </w:pPr>
            <w:r w:rsidRPr="0E727C88">
              <w:t>Torrens University is committed to research excellence through substantive projects aligned with priority Fields of Research (</w:t>
            </w:r>
            <w:proofErr w:type="spellStart"/>
            <w:r w:rsidRPr="0E727C88">
              <w:t>FoR</w:t>
            </w:r>
            <w:proofErr w:type="spellEnd"/>
            <w:r w:rsidRPr="0E727C88">
              <w:t>) codes, delivering national and international impact.</w:t>
            </w:r>
          </w:p>
          <w:p w14:paraId="1D8F2879" w14:textId="77777777" w:rsidR="00D40030" w:rsidRPr="00965428" w:rsidRDefault="00D40030" w:rsidP="0E727C88">
            <w:pPr>
              <w:numPr>
                <w:ilvl w:val="0"/>
                <w:numId w:val="39"/>
              </w:numPr>
              <w:spacing w:after="160" w:line="278" w:lineRule="auto"/>
            </w:pPr>
            <w:proofErr w:type="spellStart"/>
            <w:r w:rsidRPr="0E727C88">
              <w:t>FoR</w:t>
            </w:r>
            <w:proofErr w:type="spellEnd"/>
            <w:r w:rsidRPr="0E727C88">
              <w:t xml:space="preserve"> groups will focus on outputs in high-quality Q1 journals, aligned with recognised disciplinary standards.</w:t>
            </w:r>
          </w:p>
          <w:p w14:paraId="18106AC6" w14:textId="77777777" w:rsidR="00D40030" w:rsidRPr="00965428" w:rsidRDefault="00D40030" w:rsidP="0E727C88">
            <w:pPr>
              <w:numPr>
                <w:ilvl w:val="0"/>
                <w:numId w:val="39"/>
              </w:numPr>
              <w:spacing w:after="160" w:line="278" w:lineRule="auto"/>
            </w:pPr>
            <w:r w:rsidRPr="0E727C88">
              <w:t>Research reporting will track substantive projects, measuring trends and outcomes across reporting periods. Projects will generate multiple high-impact outputs (such as publications, reports, or creative works), involve teams with staff and/or HDR students, and demonstrate active collaboration (nationally, internationally, or with external funding).</w:t>
            </w:r>
          </w:p>
          <w:p w14:paraId="61033FC2" w14:textId="77777777" w:rsidR="00D40030" w:rsidRPr="00965428" w:rsidRDefault="00D40030" w:rsidP="0E727C88">
            <w:pPr>
              <w:numPr>
                <w:ilvl w:val="0"/>
                <w:numId w:val="39"/>
              </w:numPr>
              <w:spacing w:after="160" w:line="278" w:lineRule="auto"/>
            </w:pPr>
            <w:r w:rsidRPr="0E727C88">
              <w:t>Project outcomes demonstrate scale, sustainability, and clear pathways for further outputs (such as additional grants, partnerships, or adoption in policy, practice, or creative industries).</w:t>
            </w:r>
          </w:p>
          <w:p w14:paraId="5D6F7C90" w14:textId="77777777" w:rsidR="00D40030" w:rsidRPr="00965428" w:rsidRDefault="00D40030" w:rsidP="0E727C88">
            <w:pPr>
              <w:numPr>
                <w:ilvl w:val="0"/>
                <w:numId w:val="39"/>
              </w:numPr>
              <w:spacing w:after="160" w:line="278" w:lineRule="auto"/>
            </w:pPr>
            <w:r w:rsidRPr="0E727C88">
              <w:t xml:space="preserve">Investment in the research workforce for targeted </w:t>
            </w:r>
            <w:proofErr w:type="spellStart"/>
            <w:proofErr w:type="gramStart"/>
            <w:r w:rsidRPr="0E727C88">
              <w:t>FoR</w:t>
            </w:r>
            <w:proofErr w:type="spellEnd"/>
            <w:proofErr w:type="gramEnd"/>
            <w:r w:rsidRPr="0E727C88">
              <w:t xml:space="preserve"> codes to meet world standards for output volume and quality.</w:t>
            </w:r>
          </w:p>
          <w:p w14:paraId="190A8ADD" w14:textId="4584F0A3" w:rsidR="00D40030" w:rsidRPr="00965428" w:rsidRDefault="110C94C2" w:rsidP="0E727C88">
            <w:pPr>
              <w:pStyle w:val="ListParagraph"/>
              <w:numPr>
                <w:ilvl w:val="0"/>
                <w:numId w:val="39"/>
              </w:numPr>
              <w:spacing w:after="160" w:line="278" w:lineRule="auto"/>
            </w:pPr>
            <w:r w:rsidRPr="0E727C88">
              <w:t>Grow quality publication outputs in Q1 journals by 10 percent</w:t>
            </w:r>
          </w:p>
          <w:p w14:paraId="447DFF00" w14:textId="77777777" w:rsidR="00D40030" w:rsidRPr="00965428" w:rsidRDefault="00D40030" w:rsidP="0E727C88">
            <w:pPr>
              <w:spacing w:after="160" w:line="278" w:lineRule="auto"/>
              <w:rPr>
                <w:b/>
                <w:bCs/>
              </w:rPr>
            </w:pPr>
            <w:r w:rsidRPr="0E727C88">
              <w:rPr>
                <w:b/>
                <w:bCs/>
              </w:rPr>
              <w:t>2. Research Capability and Inclusive HDR Pathways</w:t>
            </w:r>
          </w:p>
          <w:p w14:paraId="30AC7E1D" w14:textId="77777777" w:rsidR="00D40030" w:rsidRPr="00965428" w:rsidRDefault="00D40030" w:rsidP="0E727C88">
            <w:pPr>
              <w:spacing w:after="160" w:line="278" w:lineRule="auto"/>
            </w:pPr>
            <w:r w:rsidRPr="0E727C88">
              <w:t>Torrens University will strengthen HDR supervision and increase enrolments, while maintaining a high-quality student experience.</w:t>
            </w:r>
          </w:p>
          <w:p w14:paraId="646EF394" w14:textId="77777777" w:rsidR="00D40030" w:rsidRPr="00965428" w:rsidRDefault="00D40030" w:rsidP="0E727C88">
            <w:pPr>
              <w:numPr>
                <w:ilvl w:val="0"/>
                <w:numId w:val="40"/>
              </w:numPr>
              <w:spacing w:after="160" w:line="278" w:lineRule="auto"/>
            </w:pPr>
            <w:r w:rsidRPr="0E727C88">
              <w:t>Increase HDR enrolments through targeted recruitment and cross-sector projects.</w:t>
            </w:r>
          </w:p>
          <w:p w14:paraId="0F8354D4" w14:textId="77777777" w:rsidR="00D40030" w:rsidRPr="00965428" w:rsidRDefault="00D40030" w:rsidP="0E727C88">
            <w:pPr>
              <w:numPr>
                <w:ilvl w:val="0"/>
                <w:numId w:val="40"/>
              </w:numPr>
              <w:spacing w:after="160" w:line="278" w:lineRule="auto"/>
            </w:pPr>
            <w:r w:rsidRPr="0E727C88">
              <w:t>Establish a register of 250 qualified supervisors, with at least 75% as principal supervisors.</w:t>
            </w:r>
          </w:p>
          <w:p w14:paraId="3C59F73F" w14:textId="77777777" w:rsidR="00D40030" w:rsidRPr="00965428" w:rsidRDefault="00D40030" w:rsidP="0E727C88">
            <w:pPr>
              <w:numPr>
                <w:ilvl w:val="0"/>
                <w:numId w:val="40"/>
              </w:numPr>
              <w:spacing w:after="160" w:line="278" w:lineRule="auto"/>
            </w:pPr>
            <w:r w:rsidRPr="0E727C88">
              <w:t>Raise entry standards by requiring an IELTS-equivalent of 7.0 for HDR programs to ensure readiness and progression.</w:t>
            </w:r>
          </w:p>
          <w:p w14:paraId="626F087F" w14:textId="4FE389B9" w:rsidR="00D40030" w:rsidRPr="00965428" w:rsidRDefault="00D40030" w:rsidP="0E727C88">
            <w:pPr>
              <w:numPr>
                <w:ilvl w:val="0"/>
                <w:numId w:val="40"/>
              </w:numPr>
              <w:spacing w:after="160" w:line="278" w:lineRule="auto"/>
            </w:pPr>
            <w:r w:rsidRPr="0E727C88">
              <w:t>Implement a policy framework to support staff development</w:t>
            </w:r>
            <w:r w:rsidR="7D668487" w:rsidRPr="0E727C88">
              <w:t>, research training</w:t>
            </w:r>
            <w:r w:rsidRPr="0E727C88">
              <w:t xml:space="preserve"> and research activity.</w:t>
            </w:r>
          </w:p>
          <w:p w14:paraId="58A5DD75" w14:textId="77777777" w:rsidR="00D40030" w:rsidRPr="00965428" w:rsidRDefault="00D40030" w:rsidP="0E727C88">
            <w:pPr>
              <w:numPr>
                <w:ilvl w:val="0"/>
                <w:numId w:val="40"/>
              </w:numPr>
              <w:spacing w:after="160" w:line="278" w:lineRule="auto"/>
            </w:pPr>
            <w:r w:rsidRPr="0E727C88">
              <w:t>Ensure equitable HDR access and support for linguistically diverse cohorts.</w:t>
            </w:r>
          </w:p>
          <w:p w14:paraId="6E2DABDD" w14:textId="77777777" w:rsidR="00D40030" w:rsidRPr="00965428" w:rsidRDefault="00D40030" w:rsidP="0E727C88">
            <w:pPr>
              <w:numPr>
                <w:ilvl w:val="0"/>
                <w:numId w:val="40"/>
              </w:numPr>
              <w:spacing w:after="160" w:line="278" w:lineRule="auto"/>
            </w:pPr>
            <w:r w:rsidRPr="0E727C88">
              <w:t>Integrate HDR and professional doctorate projects with industry collaboration and community impact focus.</w:t>
            </w:r>
          </w:p>
          <w:p w14:paraId="69273FBC" w14:textId="77777777" w:rsidR="00D40030" w:rsidRPr="00965428" w:rsidRDefault="00D40030" w:rsidP="4E3ECAE0">
            <w:pPr>
              <w:numPr>
                <w:ilvl w:val="0"/>
                <w:numId w:val="40"/>
              </w:numPr>
              <w:spacing w:after="160" w:line="278" w:lineRule="auto"/>
            </w:pPr>
            <w:r w:rsidRPr="0E727C88">
              <w:lastRenderedPageBreak/>
              <w:t xml:space="preserve">Align expertise with </w:t>
            </w:r>
            <w:proofErr w:type="spellStart"/>
            <w:proofErr w:type="gramStart"/>
            <w:r w:rsidRPr="0E727C88">
              <w:t>FoR</w:t>
            </w:r>
            <w:proofErr w:type="spellEnd"/>
            <w:proofErr w:type="gramEnd"/>
            <w:r w:rsidRPr="0E727C88">
              <w:t xml:space="preserve"> 32, 35, 42, and 46 to sustain high-quality outputs, HDR completions, and enable interdisciplinary collaboration.</w:t>
            </w:r>
          </w:p>
          <w:p w14:paraId="72FB8CBA" w14:textId="56775619" w:rsidR="7A306E06" w:rsidRDefault="7A306E06" w:rsidP="4E3ECAE0">
            <w:pPr>
              <w:numPr>
                <w:ilvl w:val="0"/>
                <w:numId w:val="40"/>
              </w:numPr>
              <w:spacing w:after="160" w:line="278" w:lineRule="auto"/>
            </w:pPr>
            <w:r w:rsidRPr="0E727C88">
              <w:t>Grow enrolled PhD students by 10 percent</w:t>
            </w:r>
          </w:p>
          <w:p w14:paraId="3DCF4C53" w14:textId="783ED8BE" w:rsidR="7A306E06" w:rsidRPr="00965428" w:rsidRDefault="7A306E06" w:rsidP="4E3ECAE0">
            <w:pPr>
              <w:numPr>
                <w:ilvl w:val="0"/>
                <w:numId w:val="40"/>
              </w:numPr>
              <w:spacing w:after="160" w:line="278" w:lineRule="auto"/>
            </w:pPr>
            <w:r w:rsidRPr="0E727C88">
              <w:t>Maintain HDR progress at 90 percent</w:t>
            </w:r>
          </w:p>
          <w:p w14:paraId="21C4F248" w14:textId="77777777" w:rsidR="00D40030" w:rsidRPr="00965428" w:rsidRDefault="00D40030" w:rsidP="0E727C88">
            <w:pPr>
              <w:spacing w:after="160" w:line="278" w:lineRule="auto"/>
              <w:ind w:left="360"/>
            </w:pPr>
          </w:p>
          <w:p w14:paraId="1B8F659D" w14:textId="77777777" w:rsidR="00D40030" w:rsidRPr="00965428" w:rsidRDefault="00D40030" w:rsidP="0E727C88">
            <w:pPr>
              <w:spacing w:after="160" w:line="278" w:lineRule="auto"/>
              <w:rPr>
                <w:b/>
                <w:bCs/>
              </w:rPr>
            </w:pPr>
            <w:r w:rsidRPr="0E727C88">
              <w:rPr>
                <w:b/>
                <w:bCs/>
              </w:rPr>
              <w:t>3. Industry, Commercialisation, Community, and Partnerships</w:t>
            </w:r>
          </w:p>
          <w:p w14:paraId="6739E703" w14:textId="77777777" w:rsidR="00D40030" w:rsidRPr="00965428" w:rsidRDefault="00D40030" w:rsidP="0E727C88">
            <w:pPr>
              <w:spacing w:after="160" w:line="278" w:lineRule="auto"/>
            </w:pPr>
            <w:r w:rsidRPr="0E727C88">
              <w:t>Torrens University will broaden partnerships with industry, government, NGOs, and communities to ensure research informs innovation and has real-world impact both globally and across regional Australia.</w:t>
            </w:r>
          </w:p>
          <w:p w14:paraId="33605A06" w14:textId="77777777" w:rsidR="00D40030" w:rsidRPr="00965428" w:rsidRDefault="00D40030" w:rsidP="0E727C88">
            <w:pPr>
              <w:numPr>
                <w:ilvl w:val="0"/>
                <w:numId w:val="41"/>
              </w:numPr>
              <w:spacing w:after="160" w:line="278" w:lineRule="auto"/>
            </w:pPr>
            <w:r w:rsidRPr="0E727C88">
              <w:t>Assess opportunities for collaborative research units in offshore and rural/remote locations, enabling joint HDR supervision and project collaboration.</w:t>
            </w:r>
          </w:p>
          <w:p w14:paraId="126A5C4B" w14:textId="77777777" w:rsidR="00D40030" w:rsidRPr="00965428" w:rsidRDefault="00D40030" w:rsidP="0E727C88">
            <w:pPr>
              <w:numPr>
                <w:ilvl w:val="0"/>
                <w:numId w:val="41"/>
              </w:numPr>
              <w:spacing w:after="160" w:line="278" w:lineRule="auto"/>
            </w:pPr>
            <w:r w:rsidRPr="0E727C88">
              <w:t>Support and mentor competitive grant applications and projects with demonstrable community or industry or policy impact.</w:t>
            </w:r>
          </w:p>
          <w:p w14:paraId="71B227AD" w14:textId="1BA4C47B" w:rsidR="00D40030" w:rsidRPr="00914B2C" w:rsidRDefault="00D40030" w:rsidP="00D40030">
            <w:pPr>
              <w:numPr>
                <w:ilvl w:val="0"/>
                <w:numId w:val="41"/>
              </w:numPr>
              <w:spacing w:after="160" w:line="278" w:lineRule="auto"/>
              <w:rPr>
                <w:rFonts w:ascii="Times New Roman" w:hAnsi="Times New Roman" w:cs="Times New Roman"/>
              </w:rPr>
            </w:pPr>
            <w:r w:rsidRPr="0E727C88">
              <w:t>Enhance mentoring for Category 1 grants to boost competitiveness and accelerate translation of research into industry outcomes.</w:t>
            </w:r>
          </w:p>
          <w:p w14:paraId="40DA31C2" w14:textId="67B723D0" w:rsidR="00D40030" w:rsidRPr="00914B2C" w:rsidRDefault="12088486" w:rsidP="4E3ECAE0">
            <w:pPr>
              <w:numPr>
                <w:ilvl w:val="0"/>
                <w:numId w:val="41"/>
              </w:numPr>
              <w:spacing w:after="160" w:line="278" w:lineRule="auto"/>
              <w:rPr>
                <w:rFonts w:eastAsiaTheme="minorEastAsia"/>
              </w:rPr>
            </w:pPr>
            <w:r w:rsidRPr="0E727C88">
              <w:rPr>
                <w:rFonts w:eastAsiaTheme="minorEastAsia"/>
              </w:rPr>
              <w:t>Increase category 1 grant submissions by 10 percent</w:t>
            </w:r>
          </w:p>
        </w:tc>
      </w:tr>
      <w:tr w:rsidR="00D40030" w:rsidRPr="00E41388" w14:paraId="23C06863" w14:textId="77777777" w:rsidTr="0AB7C71F">
        <w:trPr>
          <w:cantSplit/>
        </w:trPr>
        <w:tc>
          <w:tcPr>
            <w:tcW w:w="5000" w:type="pct"/>
          </w:tcPr>
          <w:p w14:paraId="451DCFF9" w14:textId="3BDD3562" w:rsidR="00D40030" w:rsidRPr="00E169EE" w:rsidRDefault="00D40030" w:rsidP="00D40030">
            <w:pPr>
              <w:pStyle w:val="Heading4"/>
              <w:keepLines w:val="0"/>
              <w:spacing w:before="180" w:after="60"/>
            </w:pPr>
            <w:r>
              <w:lastRenderedPageBreak/>
              <w:t>S</w:t>
            </w:r>
            <w:r w:rsidRPr="00045147">
              <w:t>trategies for</w:t>
            </w:r>
            <w:r w:rsidRPr="0011467F">
              <w:t xml:space="preserve"> </w:t>
            </w:r>
            <w:r>
              <w:t>E</w:t>
            </w:r>
            <w:r w:rsidRPr="0011467F">
              <w:t xml:space="preserve">ngaging with </w:t>
            </w:r>
            <w:r>
              <w:t>I</w:t>
            </w:r>
            <w:r w:rsidRPr="0011467F">
              <w:t>ndustry</w:t>
            </w:r>
          </w:p>
        </w:tc>
      </w:tr>
      <w:tr w:rsidR="00D40030" w:rsidRPr="00E41388" w14:paraId="37972037" w14:textId="77777777" w:rsidTr="0AB7C71F">
        <w:trPr>
          <w:cantSplit/>
          <w:trHeight w:val="1033"/>
        </w:trPr>
        <w:tc>
          <w:tcPr>
            <w:tcW w:w="5000" w:type="pct"/>
          </w:tcPr>
          <w:p w14:paraId="2C375BA1" w14:textId="28D7DE19" w:rsidR="00D40030" w:rsidRPr="002A402D" w:rsidRDefault="00D40030" w:rsidP="0E727C88">
            <w:pPr>
              <w:pStyle w:val="NormalWeb"/>
              <w:spacing w:before="120" w:beforeAutospacing="0" w:after="120" w:afterAutospacing="0" w:line="220" w:lineRule="atLeast"/>
              <w:rPr>
                <w:rFonts w:ascii="Calibri" w:hAnsi="Calibri" w:cs="Calibri"/>
                <w:sz w:val="22"/>
                <w:szCs w:val="22"/>
              </w:rPr>
            </w:pPr>
            <w:r w:rsidRPr="0E727C88">
              <w:rPr>
                <w:rFonts w:ascii="Calibri" w:hAnsi="Calibri" w:cs="Calibri"/>
                <w:sz w:val="22"/>
                <w:szCs w:val="22"/>
              </w:rPr>
              <w:lastRenderedPageBreak/>
              <w:t>Torrens University has implemented a refreshed Industry Engagement Strategy designed to connect, develop, and nurture strategic partnerships that create opportunities for students, staff, alumni, and industry. The strategy fosters mutual benefit through collaboration, innovation, brand strengthening, and future-focused solutions.</w:t>
            </w:r>
          </w:p>
          <w:p w14:paraId="78DCA157" w14:textId="7C142BCE" w:rsidR="0E727C88" w:rsidRDefault="0E727C88" w:rsidP="0E727C88">
            <w:pPr>
              <w:pStyle w:val="NormalWeb"/>
              <w:spacing w:before="120" w:beforeAutospacing="0" w:after="120" w:afterAutospacing="0" w:line="220" w:lineRule="atLeast"/>
              <w:rPr>
                <w:rStyle w:val="Strong"/>
                <w:rFonts w:ascii="Calibri" w:eastAsiaTheme="majorEastAsia" w:hAnsi="Calibri" w:cs="Calibri"/>
                <w:sz w:val="22"/>
                <w:szCs w:val="22"/>
              </w:rPr>
            </w:pPr>
          </w:p>
          <w:p w14:paraId="62C302BB" w14:textId="3C53B948" w:rsidR="00D40030" w:rsidRPr="002A402D" w:rsidRDefault="00D8453C" w:rsidP="0E727C88">
            <w:pPr>
              <w:pStyle w:val="NormalWeb"/>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KEY FOCUS AREAS</w:t>
            </w:r>
          </w:p>
          <w:p w14:paraId="6E4CB891" w14:textId="77777777" w:rsidR="00D40030" w:rsidRPr="002A402D"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Connecting Students and Industry through Work Integrated Learning (WIL)</w:t>
            </w:r>
            <w:r>
              <w:br/>
            </w:r>
            <w:r w:rsidRPr="0E727C88">
              <w:rPr>
                <w:rFonts w:ascii="Calibri" w:hAnsi="Calibri" w:cs="Calibri"/>
                <w:sz w:val="22"/>
                <w:szCs w:val="22"/>
              </w:rPr>
              <w:t>The strategy prioritises relevant, discipline-specific WIL opportunities across all faculties.</w:t>
            </w:r>
          </w:p>
          <w:p w14:paraId="10517D74" w14:textId="77777777" w:rsidR="00D40030" w:rsidRPr="002A402D" w:rsidRDefault="00D40030" w:rsidP="0E727C88">
            <w:pPr>
              <w:numPr>
                <w:ilvl w:val="1"/>
                <w:numId w:val="42"/>
              </w:numPr>
              <w:spacing w:before="120" w:after="120" w:line="220" w:lineRule="atLeast"/>
              <w:rPr>
                <w:rFonts w:ascii="Calibri" w:hAnsi="Calibri" w:cs="Calibri"/>
              </w:rPr>
            </w:pPr>
            <w:r w:rsidRPr="0E727C88">
              <w:rPr>
                <w:rStyle w:val="Emphasis"/>
                <w:rFonts w:eastAsiaTheme="majorEastAsia" w:cs="Calibri"/>
              </w:rPr>
              <w:t>Design &amp; Creative Technology</w:t>
            </w:r>
            <w:r w:rsidRPr="0E727C88">
              <w:rPr>
                <w:rFonts w:ascii="Calibri" w:hAnsi="Calibri" w:cs="Calibri"/>
              </w:rPr>
              <w:t>: Emphasis on live industry projects, speaker series, and thought leadership events.</w:t>
            </w:r>
          </w:p>
          <w:p w14:paraId="21467879" w14:textId="77777777" w:rsidR="00D40030" w:rsidRPr="002A402D" w:rsidRDefault="00D40030" w:rsidP="0E727C88">
            <w:pPr>
              <w:numPr>
                <w:ilvl w:val="1"/>
                <w:numId w:val="42"/>
              </w:numPr>
              <w:spacing w:before="120" w:after="120" w:line="220" w:lineRule="atLeast"/>
              <w:rPr>
                <w:rFonts w:ascii="Calibri" w:hAnsi="Calibri" w:cs="Calibri"/>
              </w:rPr>
            </w:pPr>
            <w:r w:rsidRPr="0E727C88">
              <w:rPr>
                <w:rStyle w:val="Emphasis"/>
                <w:rFonts w:eastAsiaTheme="majorEastAsia" w:cs="Calibri"/>
              </w:rPr>
              <w:t>Business, IT &amp; Hospitality</w:t>
            </w:r>
            <w:r w:rsidRPr="0E727C88">
              <w:rPr>
                <w:rFonts w:ascii="Calibri" w:hAnsi="Calibri" w:cs="Calibri"/>
              </w:rPr>
              <w:t>: Hospitality students undertake placements; IT and Business students engage in guest lectures, live briefs, and Social Enterprise Hub projects.</w:t>
            </w:r>
          </w:p>
          <w:p w14:paraId="3CFCB1E5" w14:textId="4C89AF9B" w:rsidR="00D40030" w:rsidRPr="006B01BB" w:rsidRDefault="517D402C" w:rsidP="0E727C88">
            <w:pPr>
              <w:numPr>
                <w:ilvl w:val="1"/>
                <w:numId w:val="42"/>
              </w:numPr>
              <w:spacing w:before="120" w:after="120" w:line="220" w:lineRule="atLeast"/>
              <w:rPr>
                <w:rFonts w:ascii="Calibri" w:hAnsi="Calibri" w:cs="Calibri"/>
              </w:rPr>
            </w:pPr>
            <w:r w:rsidRPr="0AB7C71F">
              <w:rPr>
                <w:rStyle w:val="Emphasis"/>
                <w:rFonts w:eastAsiaTheme="majorEastAsia" w:cs="Calibri"/>
              </w:rPr>
              <w:t>Health &amp; Education</w:t>
            </w:r>
            <w:r w:rsidRPr="0AB7C71F">
              <w:rPr>
                <w:rFonts w:ascii="Calibri" w:hAnsi="Calibri" w:cs="Calibri"/>
              </w:rPr>
              <w:t xml:space="preserve">: Large-scale placements aligned with accreditation bodies (e.g., ACA, AARPN, CDNM). Health students also gain experience through The Practice </w:t>
            </w:r>
            <w:r w:rsidR="6482A116" w:rsidRPr="0AB7C71F">
              <w:rPr>
                <w:rFonts w:ascii="Calibri" w:hAnsi="Calibri" w:cs="Calibri"/>
              </w:rPr>
              <w:t>Wellbeing Centre</w:t>
            </w:r>
            <w:r w:rsidRPr="0AB7C71F">
              <w:rPr>
                <w:rFonts w:ascii="Calibri" w:hAnsi="Calibri" w:cs="Calibri"/>
              </w:rPr>
              <w:t>.</w:t>
            </w:r>
          </w:p>
          <w:p w14:paraId="4541740F" w14:textId="2F0036BC" w:rsidR="00D40030" w:rsidRPr="002A402D"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Industry-Informed Curriculum Development</w:t>
            </w:r>
            <w:r>
              <w:br/>
            </w:r>
            <w:r w:rsidRPr="0E727C88">
              <w:rPr>
                <w:rFonts w:ascii="Calibri" w:hAnsi="Calibri" w:cs="Calibri"/>
                <w:sz w:val="22"/>
                <w:szCs w:val="22"/>
              </w:rPr>
              <w:t>TUA’s courses are developed in consultation with industry experts.</w:t>
            </w:r>
          </w:p>
          <w:p w14:paraId="7B0E436E" w14:textId="77777777" w:rsidR="00D40030" w:rsidRPr="002A402D" w:rsidRDefault="00D40030" w:rsidP="0E727C88">
            <w:pPr>
              <w:numPr>
                <w:ilvl w:val="1"/>
                <w:numId w:val="42"/>
              </w:numPr>
              <w:spacing w:before="120" w:after="120" w:line="220" w:lineRule="atLeast"/>
              <w:rPr>
                <w:rFonts w:ascii="Calibri" w:hAnsi="Calibri" w:cs="Calibri"/>
              </w:rPr>
            </w:pPr>
            <w:r w:rsidRPr="0E727C88">
              <w:rPr>
                <w:rStyle w:val="Emphasis"/>
                <w:rFonts w:eastAsiaTheme="majorEastAsia" w:cs="Calibri"/>
              </w:rPr>
              <w:t>Architecture</w:t>
            </w:r>
            <w:r w:rsidRPr="0E727C88">
              <w:rPr>
                <w:rFonts w:ascii="Calibri" w:hAnsi="Calibri" w:cs="Calibri"/>
              </w:rPr>
              <w:t>: Input from BVN and Stanic Harding shaped the Bachelor of Architectural Technology, focusing on innovation and sustainability.</w:t>
            </w:r>
          </w:p>
          <w:p w14:paraId="6D3DC6F3" w14:textId="77777777" w:rsidR="00D40030" w:rsidRPr="002A402D" w:rsidRDefault="00D40030" w:rsidP="0E727C88">
            <w:pPr>
              <w:numPr>
                <w:ilvl w:val="1"/>
                <w:numId w:val="42"/>
              </w:numPr>
              <w:spacing w:before="120" w:after="120" w:line="220" w:lineRule="atLeast"/>
              <w:rPr>
                <w:rFonts w:ascii="Calibri" w:hAnsi="Calibri" w:cs="Calibri"/>
              </w:rPr>
            </w:pPr>
            <w:r w:rsidRPr="0E727C88">
              <w:rPr>
                <w:rStyle w:val="Emphasis"/>
                <w:rFonts w:eastAsiaTheme="majorEastAsia" w:cs="Calibri"/>
              </w:rPr>
              <w:t>ICT</w:t>
            </w:r>
            <w:r w:rsidRPr="0E727C88">
              <w:rPr>
                <w:rFonts w:ascii="Calibri" w:hAnsi="Calibri" w:cs="Calibri"/>
              </w:rPr>
              <w:t>: The Australian Computer Society (ACS) helped align graduate outcomes with industry needs.</w:t>
            </w:r>
          </w:p>
          <w:p w14:paraId="67C5EEBF" w14:textId="219A2558" w:rsidR="00D40030" w:rsidRPr="006B01BB" w:rsidRDefault="00D40030" w:rsidP="0E727C88">
            <w:pPr>
              <w:numPr>
                <w:ilvl w:val="1"/>
                <w:numId w:val="42"/>
              </w:numPr>
              <w:spacing w:before="120" w:after="120" w:line="220" w:lineRule="atLeast"/>
              <w:rPr>
                <w:rFonts w:ascii="Calibri" w:hAnsi="Calibri" w:cs="Calibri"/>
              </w:rPr>
            </w:pPr>
            <w:r w:rsidRPr="0E727C88">
              <w:rPr>
                <w:rStyle w:val="Emphasis"/>
                <w:rFonts w:eastAsiaTheme="majorEastAsia" w:cs="Calibri"/>
              </w:rPr>
              <w:t>Creative Industries</w:t>
            </w:r>
            <w:r w:rsidRPr="0E727C88">
              <w:rPr>
                <w:rFonts w:ascii="Calibri" w:hAnsi="Calibri" w:cs="Calibri"/>
              </w:rPr>
              <w:t>: Adobe partnership supports WIL, staff capability development, and software-integrated assessments.</w:t>
            </w:r>
          </w:p>
          <w:p w14:paraId="4FE3C29A" w14:textId="1971C68E" w:rsidR="00D40030" w:rsidRPr="006B01BB"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Strategic Partnerships</w:t>
            </w:r>
            <w:r>
              <w:br/>
            </w:r>
            <w:r w:rsidRPr="0E727C88">
              <w:rPr>
                <w:rFonts w:ascii="Calibri" w:hAnsi="Calibri" w:cs="Calibri"/>
                <w:sz w:val="22"/>
                <w:szCs w:val="22"/>
              </w:rPr>
              <w:t>Torrens defines strategic partnerships as mutually beneficial agreements that foster deep engagement and shared goals. These partnerships drive innovation and learning. Current partners include Vogue, IBM, Hilton, Marriott, Microsoft, Canva, Sony PlayStation, Codex Consulting, Telstra, SAS, and Flight Centre.</w:t>
            </w:r>
          </w:p>
          <w:p w14:paraId="6AF795BD" w14:textId="17210095" w:rsidR="00D40030" w:rsidRPr="006B01BB"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Collaborative Research</w:t>
            </w:r>
            <w:r>
              <w:br/>
            </w:r>
            <w:r w:rsidRPr="0E727C88">
              <w:rPr>
                <w:rFonts w:ascii="Calibri" w:hAnsi="Calibri" w:cs="Calibri"/>
                <w:sz w:val="22"/>
                <w:szCs w:val="22"/>
              </w:rPr>
              <w:t>Torrens promotes open collaboration with industry, government, and communities to ensure curriculum relevance and graduate readiness. This approach supports impactful, real-world research outcomes.</w:t>
            </w:r>
          </w:p>
          <w:p w14:paraId="78317BA3" w14:textId="7A8E52FE" w:rsidR="00D40030" w:rsidRPr="006B01BB"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Workforce Development (B2B)</w:t>
            </w:r>
            <w:r>
              <w:br/>
            </w:r>
            <w:r w:rsidRPr="0E727C88">
              <w:rPr>
                <w:rFonts w:ascii="Calibri" w:hAnsi="Calibri" w:cs="Calibri"/>
                <w:sz w:val="22"/>
                <w:szCs w:val="22"/>
              </w:rPr>
              <w:t xml:space="preserve">Torrens delivers future-focused education and training solutions to strategic partners across Australasia. Led by the B2B team, the strategy addresses workforce challenges and expands access to learning for employers and employees. Key partners include AFLPA, Flight Centre, Telstra, </w:t>
            </w:r>
            <w:proofErr w:type="spellStart"/>
            <w:r w:rsidRPr="0E727C88">
              <w:rPr>
                <w:rFonts w:ascii="Calibri" w:hAnsi="Calibri" w:cs="Calibri"/>
                <w:sz w:val="22"/>
                <w:szCs w:val="22"/>
              </w:rPr>
              <w:t>GenU</w:t>
            </w:r>
            <w:proofErr w:type="spellEnd"/>
            <w:r w:rsidRPr="0E727C88">
              <w:rPr>
                <w:rFonts w:ascii="Calibri" w:hAnsi="Calibri" w:cs="Calibri"/>
                <w:sz w:val="22"/>
                <w:szCs w:val="22"/>
              </w:rPr>
              <w:t>, and vocational pathway providers. A new focus area is developing partnerships with First Nations and Torres Strait Islander organisations.</w:t>
            </w:r>
          </w:p>
          <w:p w14:paraId="1D6115AD" w14:textId="3640965A" w:rsidR="00D40030" w:rsidRDefault="00D40030" w:rsidP="0E727C88">
            <w:pPr>
              <w:pStyle w:val="NormalWeb"/>
              <w:numPr>
                <w:ilvl w:val="0"/>
                <w:numId w:val="42"/>
              </w:numPr>
              <w:spacing w:before="120" w:beforeAutospacing="0" w:after="120" w:afterAutospacing="0" w:line="220" w:lineRule="atLeast"/>
              <w:rPr>
                <w:rFonts w:ascii="Calibri" w:hAnsi="Calibri" w:cs="Calibri"/>
                <w:sz w:val="22"/>
                <w:szCs w:val="22"/>
              </w:rPr>
            </w:pPr>
            <w:r w:rsidRPr="0E727C88">
              <w:rPr>
                <w:rStyle w:val="Strong"/>
                <w:rFonts w:ascii="Calibri" w:eastAsiaTheme="majorEastAsia" w:hAnsi="Calibri" w:cs="Calibri"/>
                <w:sz w:val="22"/>
                <w:szCs w:val="22"/>
              </w:rPr>
              <w:t>Alumni Engagement</w:t>
            </w:r>
            <w:r>
              <w:br/>
            </w:r>
            <w:r w:rsidRPr="0E727C88">
              <w:rPr>
                <w:rFonts w:ascii="Calibri" w:hAnsi="Calibri" w:cs="Calibri"/>
                <w:sz w:val="22"/>
                <w:szCs w:val="22"/>
              </w:rPr>
              <w:t>In 2025, Torrens established a dedicated Alumni Engagement team to build a vibrant, mutually beneficial alumni community. Alumni benefit from scholarships, networking, and job opportunities, while current students gain access to live briefs, placements, and mentorship.</w:t>
            </w:r>
          </w:p>
          <w:p w14:paraId="6465FC91" w14:textId="05B00863" w:rsidR="00D40030" w:rsidRPr="00187273" w:rsidRDefault="00D40030" w:rsidP="00187273">
            <w:pPr>
              <w:pStyle w:val="NormalIndent"/>
              <w:ind w:left="0"/>
              <w:rPr>
                <w:rFonts w:asciiTheme="minorHAnsi" w:hAnsiTheme="minorHAnsi" w:cstheme="minorBidi"/>
                <w:i/>
                <w:iCs/>
                <w:color w:val="FF0000"/>
              </w:rPr>
            </w:pPr>
            <w:r w:rsidRPr="0E727C88">
              <w:rPr>
                <w:rFonts w:cs="Calibri"/>
              </w:rPr>
              <w:lastRenderedPageBreak/>
              <w:t>Led by the Director of Industry and Alumni, the integrated Industry, Employability, Workforce Development, and Alumni teams work collaboratively to maximise strategic partnership outcomes.</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2F810EBB" w:rsidR="001B109C" w:rsidRPr="00E114B4" w:rsidRDefault="00180B00">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59850979" w:rsidR="001B109C" w:rsidRPr="00E114B4" w:rsidRDefault="00184A2D">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645E5A60" w:rsidR="001B109C" w:rsidRPr="00E114B4" w:rsidRDefault="00BC19A4">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23347438" w:rsidR="001B109C" w:rsidRPr="00E114B4" w:rsidRDefault="001A06EB">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434F0A80" w:rsidR="001B109C" w:rsidRPr="00A12081" w:rsidRDefault="00A12081">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475CCF3" w:rsidR="001B109C" w:rsidRPr="00E169EE" w:rsidRDefault="00FB6592">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Torrens University Australia</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7BD2D4F6" w:rsidR="001B109C" w:rsidRPr="00E169EE" w:rsidRDefault="00FB6592">
            <w:pPr>
              <w:pBdr>
                <w:bottom w:val="single" w:sz="12" w:space="1" w:color="auto"/>
              </w:pBdr>
              <w:rPr>
                <w:rFonts w:cstheme="minorHAnsi"/>
                <w:b/>
                <w:bCs/>
              </w:rPr>
            </w:pPr>
            <w:r>
              <w:rPr>
                <w:rFonts w:cstheme="minorHAnsi"/>
                <w:b/>
                <w:bCs/>
              </w:rPr>
              <w:t>Professor Hendrik Alwyn Louw</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1B57CB10" w:rsidR="001B109C" w:rsidRPr="002F4604" w:rsidRDefault="00FB6592">
            <w:pPr>
              <w:pBdr>
                <w:bottom w:val="single" w:sz="12" w:space="1" w:color="auto"/>
              </w:pBdr>
              <w:rPr>
                <w:rFonts w:cstheme="minorHAnsi"/>
                <w:b/>
                <w:bCs/>
              </w:rPr>
            </w:pPr>
            <w:r>
              <w:rPr>
                <w:rFonts w:cstheme="minorHAnsi"/>
                <w:b/>
                <w:bCs/>
              </w:rPr>
              <w:t xml:space="preserve">Lisa Smith </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05D36A00" w:rsidR="001B109C" w:rsidRPr="00E169EE" w:rsidRDefault="00FB6592">
            <w:pPr>
              <w:pBdr>
                <w:bottom w:val="single" w:sz="12" w:space="1" w:color="auto"/>
              </w:pBdr>
              <w:spacing w:after="0"/>
              <w:rPr>
                <w:rFonts w:cstheme="minorHAnsi"/>
                <w:b/>
                <w:bCs/>
              </w:rPr>
            </w:pPr>
            <w:r>
              <w:rPr>
                <w:rFonts w:cstheme="minorHAnsi"/>
                <w:b/>
                <w:bCs/>
              </w:rPr>
              <w:t>Vice Chancellor and President</w:t>
            </w:r>
          </w:p>
          <w:p w14:paraId="536F9855" w14:textId="12F03FE4" w:rsidR="001B109C" w:rsidRPr="00E169EE" w:rsidRDefault="001B109C">
            <w:pPr>
              <w:spacing w:after="0"/>
              <w:rPr>
                <w:rFonts w:cstheme="minorHAnsi"/>
              </w:rPr>
            </w:pPr>
            <w:r w:rsidRPr="00E169EE">
              <w:rPr>
                <w:rFonts w:cstheme="minorHAnsi"/>
              </w:rPr>
              <w:t>Position</w:t>
            </w:r>
          </w:p>
        </w:tc>
        <w:tc>
          <w:tcPr>
            <w:tcW w:w="4508" w:type="dxa"/>
          </w:tcPr>
          <w:p w14:paraId="7B33C473" w14:textId="1E64B630" w:rsidR="001B109C" w:rsidRPr="002F4604" w:rsidRDefault="00FB6592">
            <w:pPr>
              <w:pBdr>
                <w:bottom w:val="single" w:sz="12" w:space="1" w:color="auto"/>
              </w:pBdr>
              <w:spacing w:after="0"/>
              <w:rPr>
                <w:rFonts w:cstheme="minorHAnsi"/>
                <w:b/>
                <w:bCs/>
              </w:rPr>
            </w:pPr>
            <w:r>
              <w:rPr>
                <w:rFonts w:cstheme="minorHAnsi"/>
                <w:b/>
                <w:bCs/>
              </w:rPr>
              <w:t>Executive Assistant</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3F529C0F" w14:textId="77777777" w:rsidR="00187273" w:rsidRDefault="00187273">
            <w:pPr>
              <w:pBdr>
                <w:bottom w:val="single" w:sz="12" w:space="1" w:color="auto"/>
              </w:pBdr>
              <w:spacing w:after="0"/>
              <w:rPr>
                <w:rFonts w:cstheme="minorHAnsi"/>
                <w:b/>
                <w:bCs/>
              </w:rPr>
            </w:pPr>
          </w:p>
          <w:p w14:paraId="7583F948" w14:textId="074D661A" w:rsidR="001B109C" w:rsidRPr="00E169EE" w:rsidRDefault="002B30E1">
            <w:pPr>
              <w:pBdr>
                <w:bottom w:val="single" w:sz="12" w:space="1" w:color="auto"/>
              </w:pBdr>
              <w:spacing w:after="0"/>
              <w:rPr>
                <w:rFonts w:cstheme="minorHAnsi"/>
                <w:b/>
                <w:bCs/>
              </w:rPr>
            </w:pPr>
            <w:r>
              <w:rPr>
                <w:rFonts w:cstheme="minorHAnsi"/>
                <w:b/>
                <w:bCs/>
              </w:rPr>
              <w:t>12/11/2025</w:t>
            </w: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4327DE06" w14:textId="77777777" w:rsidR="00187273" w:rsidRDefault="00187273">
            <w:pPr>
              <w:pBdr>
                <w:bottom w:val="single" w:sz="12" w:space="1" w:color="auto"/>
              </w:pBdr>
              <w:spacing w:after="0"/>
              <w:rPr>
                <w:rFonts w:cstheme="minorHAnsi"/>
                <w:b/>
                <w:bCs/>
              </w:rPr>
            </w:pPr>
          </w:p>
          <w:p w14:paraId="75C3F771" w14:textId="5F39B028" w:rsidR="001B109C" w:rsidRPr="002F4604" w:rsidRDefault="002B30E1">
            <w:pPr>
              <w:pBdr>
                <w:bottom w:val="single" w:sz="12" w:space="1" w:color="auto"/>
              </w:pBdr>
              <w:spacing w:after="0"/>
              <w:rPr>
                <w:rFonts w:cstheme="minorHAnsi"/>
                <w:b/>
                <w:bCs/>
              </w:rPr>
            </w:pPr>
            <w:r>
              <w:rPr>
                <w:rFonts w:cstheme="minorHAnsi"/>
                <w:b/>
                <w:bCs/>
              </w:rPr>
              <w:t>12/11/2025</w:t>
            </w: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14"/>
      <w:footerReference w:type="firs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5BDD" w14:textId="77777777" w:rsidR="000E5575" w:rsidRDefault="000E5575" w:rsidP="000A6228">
      <w:pPr>
        <w:spacing w:after="0" w:line="240" w:lineRule="auto"/>
      </w:pPr>
      <w:r>
        <w:separator/>
      </w:r>
    </w:p>
  </w:endnote>
  <w:endnote w:type="continuationSeparator" w:id="0">
    <w:p w14:paraId="417EEB33" w14:textId="77777777" w:rsidR="000E5575" w:rsidRDefault="000E5575" w:rsidP="000A6228">
      <w:pPr>
        <w:spacing w:after="0" w:line="240" w:lineRule="auto"/>
      </w:pPr>
      <w:r>
        <w:continuationSeparator/>
      </w:r>
    </w:p>
  </w:endnote>
  <w:endnote w:type="continuationNotice" w:id="1">
    <w:p w14:paraId="705ADCD8" w14:textId="77777777" w:rsidR="000E5575" w:rsidRDefault="000E5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CC74" w14:textId="77777777" w:rsidR="000E5575" w:rsidRDefault="000E5575" w:rsidP="000A6228">
      <w:pPr>
        <w:spacing w:after="0" w:line="240" w:lineRule="auto"/>
      </w:pPr>
      <w:r>
        <w:separator/>
      </w:r>
    </w:p>
  </w:footnote>
  <w:footnote w:type="continuationSeparator" w:id="0">
    <w:p w14:paraId="7E31861E" w14:textId="77777777" w:rsidR="000E5575" w:rsidRDefault="000E5575" w:rsidP="000A6228">
      <w:pPr>
        <w:spacing w:after="0" w:line="240" w:lineRule="auto"/>
      </w:pPr>
      <w:r>
        <w:continuationSeparator/>
      </w:r>
    </w:p>
  </w:footnote>
  <w:footnote w:type="continuationNotice" w:id="1">
    <w:p w14:paraId="285B0D17" w14:textId="77777777" w:rsidR="000E5575" w:rsidRDefault="000E5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A57C3"/>
    <w:multiLevelType w:val="hybridMultilevel"/>
    <w:tmpl w:val="DAFA586E"/>
    <w:lvl w:ilvl="0" w:tplc="1380862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0AACE76"/>
    <w:multiLevelType w:val="hybridMultilevel"/>
    <w:tmpl w:val="503ED8B0"/>
    <w:lvl w:ilvl="0" w:tplc="895E472E">
      <w:start w:val="1"/>
      <w:numFmt w:val="bullet"/>
      <w:lvlText w:val=""/>
      <w:lvlJc w:val="left"/>
      <w:pPr>
        <w:ind w:left="1069" w:hanging="360"/>
      </w:pPr>
      <w:rPr>
        <w:rFonts w:ascii="Symbol" w:hAnsi="Symbol" w:hint="default"/>
      </w:rPr>
    </w:lvl>
    <w:lvl w:ilvl="1" w:tplc="FFBA2A88">
      <w:start w:val="1"/>
      <w:numFmt w:val="bullet"/>
      <w:lvlText w:val="o"/>
      <w:lvlJc w:val="left"/>
      <w:pPr>
        <w:ind w:left="1789" w:hanging="360"/>
      </w:pPr>
      <w:rPr>
        <w:rFonts w:ascii="Courier New" w:hAnsi="Courier New" w:hint="default"/>
      </w:rPr>
    </w:lvl>
    <w:lvl w:ilvl="2" w:tplc="03B480A6">
      <w:start w:val="1"/>
      <w:numFmt w:val="bullet"/>
      <w:lvlText w:val=""/>
      <w:lvlJc w:val="left"/>
      <w:pPr>
        <w:ind w:left="2509" w:hanging="360"/>
      </w:pPr>
      <w:rPr>
        <w:rFonts w:ascii="Wingdings" w:hAnsi="Wingdings" w:hint="default"/>
      </w:rPr>
    </w:lvl>
    <w:lvl w:ilvl="3" w:tplc="05F031AC">
      <w:start w:val="1"/>
      <w:numFmt w:val="bullet"/>
      <w:lvlText w:val=""/>
      <w:lvlJc w:val="left"/>
      <w:pPr>
        <w:ind w:left="3229" w:hanging="360"/>
      </w:pPr>
      <w:rPr>
        <w:rFonts w:ascii="Symbol" w:hAnsi="Symbol" w:hint="default"/>
      </w:rPr>
    </w:lvl>
    <w:lvl w:ilvl="4" w:tplc="DBD069FE">
      <w:start w:val="1"/>
      <w:numFmt w:val="bullet"/>
      <w:lvlText w:val="o"/>
      <w:lvlJc w:val="left"/>
      <w:pPr>
        <w:ind w:left="3949" w:hanging="360"/>
      </w:pPr>
      <w:rPr>
        <w:rFonts w:ascii="Courier New" w:hAnsi="Courier New" w:hint="default"/>
      </w:rPr>
    </w:lvl>
    <w:lvl w:ilvl="5" w:tplc="BFDAC166">
      <w:start w:val="1"/>
      <w:numFmt w:val="bullet"/>
      <w:lvlText w:val=""/>
      <w:lvlJc w:val="left"/>
      <w:pPr>
        <w:ind w:left="4669" w:hanging="360"/>
      </w:pPr>
      <w:rPr>
        <w:rFonts w:ascii="Wingdings" w:hAnsi="Wingdings" w:hint="default"/>
      </w:rPr>
    </w:lvl>
    <w:lvl w:ilvl="6" w:tplc="F1667BF2">
      <w:start w:val="1"/>
      <w:numFmt w:val="bullet"/>
      <w:lvlText w:val=""/>
      <w:lvlJc w:val="left"/>
      <w:pPr>
        <w:ind w:left="5389" w:hanging="360"/>
      </w:pPr>
      <w:rPr>
        <w:rFonts w:ascii="Symbol" w:hAnsi="Symbol" w:hint="default"/>
      </w:rPr>
    </w:lvl>
    <w:lvl w:ilvl="7" w:tplc="76BEB15C">
      <w:start w:val="1"/>
      <w:numFmt w:val="bullet"/>
      <w:lvlText w:val="o"/>
      <w:lvlJc w:val="left"/>
      <w:pPr>
        <w:ind w:left="6109" w:hanging="360"/>
      </w:pPr>
      <w:rPr>
        <w:rFonts w:ascii="Courier New" w:hAnsi="Courier New" w:hint="default"/>
      </w:rPr>
    </w:lvl>
    <w:lvl w:ilvl="8" w:tplc="8F4A6BAE">
      <w:start w:val="1"/>
      <w:numFmt w:val="bullet"/>
      <w:lvlText w:val=""/>
      <w:lvlJc w:val="left"/>
      <w:pPr>
        <w:ind w:left="6829" w:hanging="360"/>
      </w:pPr>
      <w:rPr>
        <w:rFonts w:ascii="Wingdings" w:hAnsi="Wingdings" w:hint="default"/>
      </w:rPr>
    </w:lvl>
  </w:abstractNum>
  <w:abstractNum w:abstractNumId="9" w15:restartNumberingAfterBreak="0">
    <w:nsid w:val="0364820B"/>
    <w:multiLevelType w:val="hybridMultilevel"/>
    <w:tmpl w:val="D542C698"/>
    <w:lvl w:ilvl="0" w:tplc="428EA23E">
      <w:start w:val="1"/>
      <w:numFmt w:val="bullet"/>
      <w:lvlText w:val=""/>
      <w:lvlJc w:val="left"/>
      <w:pPr>
        <w:ind w:left="720" w:hanging="360"/>
      </w:pPr>
      <w:rPr>
        <w:rFonts w:ascii="Symbol" w:hAnsi="Symbol" w:hint="default"/>
      </w:rPr>
    </w:lvl>
    <w:lvl w:ilvl="1" w:tplc="8FB22620">
      <w:start w:val="1"/>
      <w:numFmt w:val="bullet"/>
      <w:lvlText w:val="o"/>
      <w:lvlJc w:val="left"/>
      <w:pPr>
        <w:ind w:left="1440" w:hanging="360"/>
      </w:pPr>
      <w:rPr>
        <w:rFonts w:ascii="Courier New" w:hAnsi="Courier New" w:hint="default"/>
      </w:rPr>
    </w:lvl>
    <w:lvl w:ilvl="2" w:tplc="EC063934">
      <w:start w:val="1"/>
      <w:numFmt w:val="bullet"/>
      <w:lvlText w:val=""/>
      <w:lvlJc w:val="left"/>
      <w:pPr>
        <w:ind w:left="2160" w:hanging="360"/>
      </w:pPr>
      <w:rPr>
        <w:rFonts w:ascii="Wingdings" w:hAnsi="Wingdings" w:hint="default"/>
      </w:rPr>
    </w:lvl>
    <w:lvl w:ilvl="3" w:tplc="F94EAA2A">
      <w:start w:val="1"/>
      <w:numFmt w:val="bullet"/>
      <w:lvlText w:val=""/>
      <w:lvlJc w:val="left"/>
      <w:pPr>
        <w:ind w:left="2880" w:hanging="360"/>
      </w:pPr>
      <w:rPr>
        <w:rFonts w:ascii="Symbol" w:hAnsi="Symbol" w:hint="default"/>
      </w:rPr>
    </w:lvl>
    <w:lvl w:ilvl="4" w:tplc="9CD29D38">
      <w:start w:val="1"/>
      <w:numFmt w:val="bullet"/>
      <w:lvlText w:val="o"/>
      <w:lvlJc w:val="left"/>
      <w:pPr>
        <w:ind w:left="3600" w:hanging="360"/>
      </w:pPr>
      <w:rPr>
        <w:rFonts w:ascii="Courier New" w:hAnsi="Courier New" w:hint="default"/>
      </w:rPr>
    </w:lvl>
    <w:lvl w:ilvl="5" w:tplc="DBFC12E4">
      <w:start w:val="1"/>
      <w:numFmt w:val="bullet"/>
      <w:lvlText w:val=""/>
      <w:lvlJc w:val="left"/>
      <w:pPr>
        <w:ind w:left="4320" w:hanging="360"/>
      </w:pPr>
      <w:rPr>
        <w:rFonts w:ascii="Wingdings" w:hAnsi="Wingdings" w:hint="default"/>
      </w:rPr>
    </w:lvl>
    <w:lvl w:ilvl="6" w:tplc="FC2EFC2A">
      <w:start w:val="1"/>
      <w:numFmt w:val="bullet"/>
      <w:lvlText w:val=""/>
      <w:lvlJc w:val="left"/>
      <w:pPr>
        <w:ind w:left="5040" w:hanging="360"/>
      </w:pPr>
      <w:rPr>
        <w:rFonts w:ascii="Symbol" w:hAnsi="Symbol" w:hint="default"/>
      </w:rPr>
    </w:lvl>
    <w:lvl w:ilvl="7" w:tplc="690A350A">
      <w:start w:val="1"/>
      <w:numFmt w:val="bullet"/>
      <w:lvlText w:val="o"/>
      <w:lvlJc w:val="left"/>
      <w:pPr>
        <w:ind w:left="5760" w:hanging="360"/>
      </w:pPr>
      <w:rPr>
        <w:rFonts w:ascii="Courier New" w:hAnsi="Courier New" w:hint="default"/>
      </w:rPr>
    </w:lvl>
    <w:lvl w:ilvl="8" w:tplc="457E53EE">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17191F"/>
    <w:multiLevelType w:val="multilevel"/>
    <w:tmpl w:val="DA7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2C7105"/>
    <w:multiLevelType w:val="hybridMultilevel"/>
    <w:tmpl w:val="C3ECD1DC"/>
    <w:lvl w:ilvl="0" w:tplc="946A3746">
      <w:start w:val="1"/>
      <w:numFmt w:val="bullet"/>
      <w:lvlText w:val="·"/>
      <w:lvlJc w:val="left"/>
      <w:pPr>
        <w:ind w:left="720" w:hanging="360"/>
      </w:pPr>
      <w:rPr>
        <w:rFonts w:ascii="Symbol" w:hAnsi="Symbol" w:hint="default"/>
      </w:rPr>
    </w:lvl>
    <w:lvl w:ilvl="1" w:tplc="E2EE47EC">
      <w:start w:val="1"/>
      <w:numFmt w:val="bullet"/>
      <w:lvlText w:val="o"/>
      <w:lvlJc w:val="left"/>
      <w:pPr>
        <w:ind w:left="1440" w:hanging="360"/>
      </w:pPr>
      <w:rPr>
        <w:rFonts w:ascii="Courier New" w:hAnsi="Courier New" w:hint="default"/>
      </w:rPr>
    </w:lvl>
    <w:lvl w:ilvl="2" w:tplc="AB50CBEA">
      <w:start w:val="1"/>
      <w:numFmt w:val="bullet"/>
      <w:lvlText w:val=""/>
      <w:lvlJc w:val="left"/>
      <w:pPr>
        <w:ind w:left="2160" w:hanging="360"/>
      </w:pPr>
      <w:rPr>
        <w:rFonts w:ascii="Wingdings" w:hAnsi="Wingdings" w:hint="default"/>
      </w:rPr>
    </w:lvl>
    <w:lvl w:ilvl="3" w:tplc="5AF24C1C">
      <w:start w:val="1"/>
      <w:numFmt w:val="bullet"/>
      <w:lvlText w:val=""/>
      <w:lvlJc w:val="left"/>
      <w:pPr>
        <w:ind w:left="2880" w:hanging="360"/>
      </w:pPr>
      <w:rPr>
        <w:rFonts w:ascii="Symbol" w:hAnsi="Symbol" w:hint="default"/>
      </w:rPr>
    </w:lvl>
    <w:lvl w:ilvl="4" w:tplc="556A34F8">
      <w:start w:val="1"/>
      <w:numFmt w:val="bullet"/>
      <w:lvlText w:val="o"/>
      <w:lvlJc w:val="left"/>
      <w:pPr>
        <w:ind w:left="3600" w:hanging="360"/>
      </w:pPr>
      <w:rPr>
        <w:rFonts w:ascii="Courier New" w:hAnsi="Courier New" w:hint="default"/>
      </w:rPr>
    </w:lvl>
    <w:lvl w:ilvl="5" w:tplc="71786D42">
      <w:start w:val="1"/>
      <w:numFmt w:val="bullet"/>
      <w:lvlText w:val=""/>
      <w:lvlJc w:val="left"/>
      <w:pPr>
        <w:ind w:left="4320" w:hanging="360"/>
      </w:pPr>
      <w:rPr>
        <w:rFonts w:ascii="Wingdings" w:hAnsi="Wingdings" w:hint="default"/>
      </w:rPr>
    </w:lvl>
    <w:lvl w:ilvl="6" w:tplc="E6AAA8E4">
      <w:start w:val="1"/>
      <w:numFmt w:val="bullet"/>
      <w:lvlText w:val=""/>
      <w:lvlJc w:val="left"/>
      <w:pPr>
        <w:ind w:left="5040" w:hanging="360"/>
      </w:pPr>
      <w:rPr>
        <w:rFonts w:ascii="Symbol" w:hAnsi="Symbol" w:hint="default"/>
      </w:rPr>
    </w:lvl>
    <w:lvl w:ilvl="7" w:tplc="D8C6D3BE">
      <w:start w:val="1"/>
      <w:numFmt w:val="bullet"/>
      <w:lvlText w:val="o"/>
      <w:lvlJc w:val="left"/>
      <w:pPr>
        <w:ind w:left="5760" w:hanging="360"/>
      </w:pPr>
      <w:rPr>
        <w:rFonts w:ascii="Courier New" w:hAnsi="Courier New" w:hint="default"/>
      </w:rPr>
    </w:lvl>
    <w:lvl w:ilvl="8" w:tplc="A4D4C3CE">
      <w:start w:val="1"/>
      <w:numFmt w:val="bullet"/>
      <w:lvlText w:val=""/>
      <w:lvlJc w:val="left"/>
      <w:pPr>
        <w:ind w:left="648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5F5A12"/>
    <w:multiLevelType w:val="hybridMultilevel"/>
    <w:tmpl w:val="97C633D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1E7C107D"/>
    <w:multiLevelType w:val="hybridMultilevel"/>
    <w:tmpl w:val="5344E4BE"/>
    <w:lvl w:ilvl="0" w:tplc="D884F7C6">
      <w:start w:val="1"/>
      <w:numFmt w:val="bullet"/>
      <w:lvlText w:val=""/>
      <w:lvlJc w:val="left"/>
      <w:pPr>
        <w:ind w:left="1069" w:hanging="360"/>
      </w:pPr>
      <w:rPr>
        <w:rFonts w:ascii="Symbol" w:hAnsi="Symbol" w:hint="default"/>
      </w:rPr>
    </w:lvl>
    <w:lvl w:ilvl="1" w:tplc="152E074E">
      <w:start w:val="1"/>
      <w:numFmt w:val="bullet"/>
      <w:lvlText w:val="o"/>
      <w:lvlJc w:val="left"/>
      <w:pPr>
        <w:ind w:left="1789" w:hanging="360"/>
      </w:pPr>
      <w:rPr>
        <w:rFonts w:ascii="Courier New" w:hAnsi="Courier New" w:hint="default"/>
      </w:rPr>
    </w:lvl>
    <w:lvl w:ilvl="2" w:tplc="B15483B2">
      <w:start w:val="1"/>
      <w:numFmt w:val="bullet"/>
      <w:lvlText w:val=""/>
      <w:lvlJc w:val="left"/>
      <w:pPr>
        <w:ind w:left="2509" w:hanging="360"/>
      </w:pPr>
      <w:rPr>
        <w:rFonts w:ascii="Wingdings" w:hAnsi="Wingdings" w:hint="default"/>
      </w:rPr>
    </w:lvl>
    <w:lvl w:ilvl="3" w:tplc="D2E40E2A">
      <w:start w:val="1"/>
      <w:numFmt w:val="bullet"/>
      <w:lvlText w:val=""/>
      <w:lvlJc w:val="left"/>
      <w:pPr>
        <w:ind w:left="3229" w:hanging="360"/>
      </w:pPr>
      <w:rPr>
        <w:rFonts w:ascii="Symbol" w:hAnsi="Symbol" w:hint="default"/>
      </w:rPr>
    </w:lvl>
    <w:lvl w:ilvl="4" w:tplc="9F1A1F76">
      <w:start w:val="1"/>
      <w:numFmt w:val="bullet"/>
      <w:lvlText w:val="o"/>
      <w:lvlJc w:val="left"/>
      <w:pPr>
        <w:ind w:left="3949" w:hanging="360"/>
      </w:pPr>
      <w:rPr>
        <w:rFonts w:ascii="Courier New" w:hAnsi="Courier New" w:hint="default"/>
      </w:rPr>
    </w:lvl>
    <w:lvl w:ilvl="5" w:tplc="403A4F38">
      <w:start w:val="1"/>
      <w:numFmt w:val="bullet"/>
      <w:lvlText w:val=""/>
      <w:lvlJc w:val="left"/>
      <w:pPr>
        <w:ind w:left="4669" w:hanging="360"/>
      </w:pPr>
      <w:rPr>
        <w:rFonts w:ascii="Wingdings" w:hAnsi="Wingdings" w:hint="default"/>
      </w:rPr>
    </w:lvl>
    <w:lvl w:ilvl="6" w:tplc="904C4278">
      <w:start w:val="1"/>
      <w:numFmt w:val="bullet"/>
      <w:lvlText w:val=""/>
      <w:lvlJc w:val="left"/>
      <w:pPr>
        <w:ind w:left="5389" w:hanging="360"/>
      </w:pPr>
      <w:rPr>
        <w:rFonts w:ascii="Symbol" w:hAnsi="Symbol" w:hint="default"/>
      </w:rPr>
    </w:lvl>
    <w:lvl w:ilvl="7" w:tplc="4A52B96C">
      <w:start w:val="1"/>
      <w:numFmt w:val="bullet"/>
      <w:lvlText w:val="o"/>
      <w:lvlJc w:val="left"/>
      <w:pPr>
        <w:ind w:left="6109" w:hanging="360"/>
      </w:pPr>
      <w:rPr>
        <w:rFonts w:ascii="Courier New" w:hAnsi="Courier New" w:hint="default"/>
      </w:rPr>
    </w:lvl>
    <w:lvl w:ilvl="8" w:tplc="16646B8C">
      <w:start w:val="1"/>
      <w:numFmt w:val="bullet"/>
      <w:lvlText w:val=""/>
      <w:lvlJc w:val="left"/>
      <w:pPr>
        <w:ind w:left="6829" w:hanging="360"/>
      </w:pPr>
      <w:rPr>
        <w:rFonts w:ascii="Wingdings" w:hAnsi="Wingdings" w:hint="default"/>
      </w:rPr>
    </w:lvl>
  </w:abstractNum>
  <w:abstractNum w:abstractNumId="19" w15:restartNumberingAfterBreak="0">
    <w:nsid w:val="2B260CA8"/>
    <w:multiLevelType w:val="hybridMultilevel"/>
    <w:tmpl w:val="2FD8E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4B6575"/>
    <w:multiLevelType w:val="hybridMultilevel"/>
    <w:tmpl w:val="D1982C96"/>
    <w:lvl w:ilvl="0" w:tplc="E536D0F2">
      <w:start w:val="1"/>
      <w:numFmt w:val="bullet"/>
      <w:lvlText w:val=""/>
      <w:lvlJc w:val="left"/>
      <w:pPr>
        <w:ind w:left="1069" w:hanging="360"/>
      </w:pPr>
      <w:rPr>
        <w:rFonts w:ascii="Symbol" w:hAnsi="Symbol" w:hint="default"/>
      </w:rPr>
    </w:lvl>
    <w:lvl w:ilvl="1" w:tplc="67FEECAC">
      <w:start w:val="1"/>
      <w:numFmt w:val="bullet"/>
      <w:lvlText w:val="o"/>
      <w:lvlJc w:val="left"/>
      <w:pPr>
        <w:ind w:left="1789" w:hanging="360"/>
      </w:pPr>
      <w:rPr>
        <w:rFonts w:ascii="Courier New" w:hAnsi="Courier New" w:hint="default"/>
      </w:rPr>
    </w:lvl>
    <w:lvl w:ilvl="2" w:tplc="413CEC76">
      <w:start w:val="1"/>
      <w:numFmt w:val="bullet"/>
      <w:lvlText w:val=""/>
      <w:lvlJc w:val="left"/>
      <w:pPr>
        <w:ind w:left="2509" w:hanging="360"/>
      </w:pPr>
      <w:rPr>
        <w:rFonts w:ascii="Wingdings" w:hAnsi="Wingdings" w:hint="default"/>
      </w:rPr>
    </w:lvl>
    <w:lvl w:ilvl="3" w:tplc="2F94B78E">
      <w:start w:val="1"/>
      <w:numFmt w:val="bullet"/>
      <w:lvlText w:val=""/>
      <w:lvlJc w:val="left"/>
      <w:pPr>
        <w:ind w:left="3229" w:hanging="360"/>
      </w:pPr>
      <w:rPr>
        <w:rFonts w:ascii="Symbol" w:hAnsi="Symbol" w:hint="default"/>
      </w:rPr>
    </w:lvl>
    <w:lvl w:ilvl="4" w:tplc="55D417AC">
      <w:start w:val="1"/>
      <w:numFmt w:val="bullet"/>
      <w:lvlText w:val="o"/>
      <w:lvlJc w:val="left"/>
      <w:pPr>
        <w:ind w:left="3949" w:hanging="360"/>
      </w:pPr>
      <w:rPr>
        <w:rFonts w:ascii="Courier New" w:hAnsi="Courier New" w:hint="default"/>
      </w:rPr>
    </w:lvl>
    <w:lvl w:ilvl="5" w:tplc="AA96AADA">
      <w:start w:val="1"/>
      <w:numFmt w:val="bullet"/>
      <w:lvlText w:val=""/>
      <w:lvlJc w:val="left"/>
      <w:pPr>
        <w:ind w:left="4669" w:hanging="360"/>
      </w:pPr>
      <w:rPr>
        <w:rFonts w:ascii="Wingdings" w:hAnsi="Wingdings" w:hint="default"/>
      </w:rPr>
    </w:lvl>
    <w:lvl w:ilvl="6" w:tplc="030AF836">
      <w:start w:val="1"/>
      <w:numFmt w:val="bullet"/>
      <w:lvlText w:val=""/>
      <w:lvlJc w:val="left"/>
      <w:pPr>
        <w:ind w:left="5389" w:hanging="360"/>
      </w:pPr>
      <w:rPr>
        <w:rFonts w:ascii="Symbol" w:hAnsi="Symbol" w:hint="default"/>
      </w:rPr>
    </w:lvl>
    <w:lvl w:ilvl="7" w:tplc="C0CA93B8">
      <w:start w:val="1"/>
      <w:numFmt w:val="bullet"/>
      <w:lvlText w:val="o"/>
      <w:lvlJc w:val="left"/>
      <w:pPr>
        <w:ind w:left="6109" w:hanging="360"/>
      </w:pPr>
      <w:rPr>
        <w:rFonts w:ascii="Courier New" w:hAnsi="Courier New" w:hint="default"/>
      </w:rPr>
    </w:lvl>
    <w:lvl w:ilvl="8" w:tplc="85EAC15C">
      <w:start w:val="1"/>
      <w:numFmt w:val="bullet"/>
      <w:lvlText w:val=""/>
      <w:lvlJc w:val="left"/>
      <w:pPr>
        <w:ind w:left="6829" w:hanging="360"/>
      </w:pPr>
      <w:rPr>
        <w:rFonts w:ascii="Wingdings" w:hAnsi="Wingdings" w:hint="default"/>
      </w:rPr>
    </w:lvl>
  </w:abstractNum>
  <w:abstractNum w:abstractNumId="23" w15:restartNumberingAfterBreak="0">
    <w:nsid w:val="3600BCC5"/>
    <w:multiLevelType w:val="hybridMultilevel"/>
    <w:tmpl w:val="12FCAA76"/>
    <w:lvl w:ilvl="0" w:tplc="FD821A8C">
      <w:start w:val="1"/>
      <w:numFmt w:val="bullet"/>
      <w:lvlText w:val=""/>
      <w:lvlJc w:val="left"/>
      <w:pPr>
        <w:ind w:left="720" w:hanging="360"/>
      </w:pPr>
      <w:rPr>
        <w:rFonts w:ascii="Symbol" w:hAnsi="Symbol" w:hint="default"/>
      </w:rPr>
    </w:lvl>
    <w:lvl w:ilvl="1" w:tplc="B664CE4E">
      <w:start w:val="1"/>
      <w:numFmt w:val="bullet"/>
      <w:lvlText w:val="o"/>
      <w:lvlJc w:val="left"/>
      <w:pPr>
        <w:ind w:left="1440" w:hanging="360"/>
      </w:pPr>
      <w:rPr>
        <w:rFonts w:ascii="Courier New" w:hAnsi="Courier New" w:hint="default"/>
      </w:rPr>
    </w:lvl>
    <w:lvl w:ilvl="2" w:tplc="1ADCE350">
      <w:start w:val="1"/>
      <w:numFmt w:val="bullet"/>
      <w:lvlText w:val=""/>
      <w:lvlJc w:val="left"/>
      <w:pPr>
        <w:ind w:left="2160" w:hanging="360"/>
      </w:pPr>
      <w:rPr>
        <w:rFonts w:ascii="Wingdings" w:hAnsi="Wingdings" w:hint="default"/>
      </w:rPr>
    </w:lvl>
    <w:lvl w:ilvl="3" w:tplc="1AEADBEA">
      <w:start w:val="1"/>
      <w:numFmt w:val="bullet"/>
      <w:lvlText w:val=""/>
      <w:lvlJc w:val="left"/>
      <w:pPr>
        <w:ind w:left="2880" w:hanging="360"/>
      </w:pPr>
      <w:rPr>
        <w:rFonts w:ascii="Symbol" w:hAnsi="Symbol" w:hint="default"/>
      </w:rPr>
    </w:lvl>
    <w:lvl w:ilvl="4" w:tplc="5D90F3CE">
      <w:start w:val="1"/>
      <w:numFmt w:val="bullet"/>
      <w:lvlText w:val="o"/>
      <w:lvlJc w:val="left"/>
      <w:pPr>
        <w:ind w:left="3600" w:hanging="360"/>
      </w:pPr>
      <w:rPr>
        <w:rFonts w:ascii="Courier New" w:hAnsi="Courier New" w:hint="default"/>
      </w:rPr>
    </w:lvl>
    <w:lvl w:ilvl="5" w:tplc="E332B0BC">
      <w:start w:val="1"/>
      <w:numFmt w:val="bullet"/>
      <w:lvlText w:val=""/>
      <w:lvlJc w:val="left"/>
      <w:pPr>
        <w:ind w:left="4320" w:hanging="360"/>
      </w:pPr>
      <w:rPr>
        <w:rFonts w:ascii="Wingdings" w:hAnsi="Wingdings" w:hint="default"/>
      </w:rPr>
    </w:lvl>
    <w:lvl w:ilvl="6" w:tplc="CB88A202">
      <w:start w:val="1"/>
      <w:numFmt w:val="bullet"/>
      <w:lvlText w:val=""/>
      <w:lvlJc w:val="left"/>
      <w:pPr>
        <w:ind w:left="5040" w:hanging="360"/>
      </w:pPr>
      <w:rPr>
        <w:rFonts w:ascii="Symbol" w:hAnsi="Symbol" w:hint="default"/>
      </w:rPr>
    </w:lvl>
    <w:lvl w:ilvl="7" w:tplc="9E92DC46">
      <w:start w:val="1"/>
      <w:numFmt w:val="bullet"/>
      <w:lvlText w:val="o"/>
      <w:lvlJc w:val="left"/>
      <w:pPr>
        <w:ind w:left="5760" w:hanging="360"/>
      </w:pPr>
      <w:rPr>
        <w:rFonts w:ascii="Courier New" w:hAnsi="Courier New" w:hint="default"/>
      </w:rPr>
    </w:lvl>
    <w:lvl w:ilvl="8" w:tplc="1078283A">
      <w:start w:val="1"/>
      <w:numFmt w:val="bullet"/>
      <w:lvlText w:val=""/>
      <w:lvlJc w:val="left"/>
      <w:pPr>
        <w:ind w:left="6480" w:hanging="360"/>
      </w:pPr>
      <w:rPr>
        <w:rFonts w:ascii="Wingdings" w:hAnsi="Wingdings" w:hint="default"/>
      </w:rPr>
    </w:lvl>
  </w:abstractNum>
  <w:abstractNum w:abstractNumId="24" w15:restartNumberingAfterBreak="0">
    <w:nsid w:val="36BC3123"/>
    <w:multiLevelType w:val="hybridMultilevel"/>
    <w:tmpl w:val="BAB09350"/>
    <w:lvl w:ilvl="0" w:tplc="112AEB48">
      <w:start w:val="1"/>
      <w:numFmt w:val="bullet"/>
      <w:lvlText w:val=""/>
      <w:lvlJc w:val="left"/>
      <w:pPr>
        <w:ind w:left="720" w:hanging="360"/>
      </w:pPr>
      <w:rPr>
        <w:rFonts w:ascii="Symbol" w:hAnsi="Symbol" w:hint="default"/>
      </w:rPr>
    </w:lvl>
    <w:lvl w:ilvl="1" w:tplc="AC7C859A">
      <w:start w:val="1"/>
      <w:numFmt w:val="bullet"/>
      <w:lvlText w:val="o"/>
      <w:lvlJc w:val="left"/>
      <w:pPr>
        <w:ind w:left="1440" w:hanging="360"/>
      </w:pPr>
      <w:rPr>
        <w:rFonts w:ascii="Courier New" w:hAnsi="Courier New" w:hint="default"/>
      </w:rPr>
    </w:lvl>
    <w:lvl w:ilvl="2" w:tplc="CA8CDAE4">
      <w:start w:val="1"/>
      <w:numFmt w:val="bullet"/>
      <w:lvlText w:val=""/>
      <w:lvlJc w:val="left"/>
      <w:pPr>
        <w:ind w:left="2160" w:hanging="360"/>
      </w:pPr>
      <w:rPr>
        <w:rFonts w:ascii="Wingdings" w:hAnsi="Wingdings" w:hint="default"/>
      </w:rPr>
    </w:lvl>
    <w:lvl w:ilvl="3" w:tplc="0B3C52F0">
      <w:start w:val="1"/>
      <w:numFmt w:val="bullet"/>
      <w:lvlText w:val=""/>
      <w:lvlJc w:val="left"/>
      <w:pPr>
        <w:ind w:left="2880" w:hanging="360"/>
      </w:pPr>
      <w:rPr>
        <w:rFonts w:ascii="Symbol" w:hAnsi="Symbol" w:hint="default"/>
      </w:rPr>
    </w:lvl>
    <w:lvl w:ilvl="4" w:tplc="2A52F45E">
      <w:start w:val="1"/>
      <w:numFmt w:val="bullet"/>
      <w:lvlText w:val="o"/>
      <w:lvlJc w:val="left"/>
      <w:pPr>
        <w:ind w:left="3600" w:hanging="360"/>
      </w:pPr>
      <w:rPr>
        <w:rFonts w:ascii="Courier New" w:hAnsi="Courier New" w:hint="default"/>
      </w:rPr>
    </w:lvl>
    <w:lvl w:ilvl="5" w:tplc="5BB81484">
      <w:start w:val="1"/>
      <w:numFmt w:val="bullet"/>
      <w:lvlText w:val=""/>
      <w:lvlJc w:val="left"/>
      <w:pPr>
        <w:ind w:left="4320" w:hanging="360"/>
      </w:pPr>
      <w:rPr>
        <w:rFonts w:ascii="Wingdings" w:hAnsi="Wingdings" w:hint="default"/>
      </w:rPr>
    </w:lvl>
    <w:lvl w:ilvl="6" w:tplc="5BA89072">
      <w:start w:val="1"/>
      <w:numFmt w:val="bullet"/>
      <w:lvlText w:val=""/>
      <w:lvlJc w:val="left"/>
      <w:pPr>
        <w:ind w:left="5040" w:hanging="360"/>
      </w:pPr>
      <w:rPr>
        <w:rFonts w:ascii="Symbol" w:hAnsi="Symbol" w:hint="default"/>
      </w:rPr>
    </w:lvl>
    <w:lvl w:ilvl="7" w:tplc="0C3A8D3C">
      <w:start w:val="1"/>
      <w:numFmt w:val="bullet"/>
      <w:lvlText w:val="o"/>
      <w:lvlJc w:val="left"/>
      <w:pPr>
        <w:ind w:left="5760" w:hanging="360"/>
      </w:pPr>
      <w:rPr>
        <w:rFonts w:ascii="Courier New" w:hAnsi="Courier New" w:hint="default"/>
      </w:rPr>
    </w:lvl>
    <w:lvl w:ilvl="8" w:tplc="D752FD54">
      <w:start w:val="1"/>
      <w:numFmt w:val="bullet"/>
      <w:lvlText w:val=""/>
      <w:lvlJc w:val="left"/>
      <w:pPr>
        <w:ind w:left="648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E00C7E"/>
    <w:multiLevelType w:val="hybridMultilevel"/>
    <w:tmpl w:val="C0586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0097A1"/>
    <w:multiLevelType w:val="hybridMultilevel"/>
    <w:tmpl w:val="999453E8"/>
    <w:lvl w:ilvl="0" w:tplc="4C608B12">
      <w:start w:val="1"/>
      <w:numFmt w:val="bullet"/>
      <w:lvlText w:val=""/>
      <w:lvlJc w:val="left"/>
      <w:pPr>
        <w:ind w:left="720" w:hanging="360"/>
      </w:pPr>
      <w:rPr>
        <w:rFonts w:ascii="Symbol" w:hAnsi="Symbol" w:hint="default"/>
      </w:rPr>
    </w:lvl>
    <w:lvl w:ilvl="1" w:tplc="996A0F66">
      <w:start w:val="1"/>
      <w:numFmt w:val="bullet"/>
      <w:lvlText w:val="o"/>
      <w:lvlJc w:val="left"/>
      <w:pPr>
        <w:ind w:left="1440" w:hanging="360"/>
      </w:pPr>
      <w:rPr>
        <w:rFonts w:ascii="Courier New" w:hAnsi="Courier New" w:hint="default"/>
      </w:rPr>
    </w:lvl>
    <w:lvl w:ilvl="2" w:tplc="3CB67A42">
      <w:start w:val="1"/>
      <w:numFmt w:val="bullet"/>
      <w:lvlText w:val=""/>
      <w:lvlJc w:val="left"/>
      <w:pPr>
        <w:ind w:left="2160" w:hanging="360"/>
      </w:pPr>
      <w:rPr>
        <w:rFonts w:ascii="Wingdings" w:hAnsi="Wingdings" w:hint="default"/>
      </w:rPr>
    </w:lvl>
    <w:lvl w:ilvl="3" w:tplc="B41AB884">
      <w:start w:val="1"/>
      <w:numFmt w:val="bullet"/>
      <w:lvlText w:val=""/>
      <w:lvlJc w:val="left"/>
      <w:pPr>
        <w:ind w:left="2880" w:hanging="360"/>
      </w:pPr>
      <w:rPr>
        <w:rFonts w:ascii="Symbol" w:hAnsi="Symbol" w:hint="default"/>
      </w:rPr>
    </w:lvl>
    <w:lvl w:ilvl="4" w:tplc="10029422">
      <w:start w:val="1"/>
      <w:numFmt w:val="bullet"/>
      <w:lvlText w:val="o"/>
      <w:lvlJc w:val="left"/>
      <w:pPr>
        <w:ind w:left="3600" w:hanging="360"/>
      </w:pPr>
      <w:rPr>
        <w:rFonts w:ascii="Courier New" w:hAnsi="Courier New" w:hint="default"/>
      </w:rPr>
    </w:lvl>
    <w:lvl w:ilvl="5" w:tplc="528C3A56">
      <w:start w:val="1"/>
      <w:numFmt w:val="bullet"/>
      <w:lvlText w:val=""/>
      <w:lvlJc w:val="left"/>
      <w:pPr>
        <w:ind w:left="4320" w:hanging="360"/>
      </w:pPr>
      <w:rPr>
        <w:rFonts w:ascii="Wingdings" w:hAnsi="Wingdings" w:hint="default"/>
      </w:rPr>
    </w:lvl>
    <w:lvl w:ilvl="6" w:tplc="77CC32B2">
      <w:start w:val="1"/>
      <w:numFmt w:val="bullet"/>
      <w:lvlText w:val=""/>
      <w:lvlJc w:val="left"/>
      <w:pPr>
        <w:ind w:left="5040" w:hanging="360"/>
      </w:pPr>
      <w:rPr>
        <w:rFonts w:ascii="Symbol" w:hAnsi="Symbol" w:hint="default"/>
      </w:rPr>
    </w:lvl>
    <w:lvl w:ilvl="7" w:tplc="39388A00">
      <w:start w:val="1"/>
      <w:numFmt w:val="bullet"/>
      <w:lvlText w:val="o"/>
      <w:lvlJc w:val="left"/>
      <w:pPr>
        <w:ind w:left="5760" w:hanging="360"/>
      </w:pPr>
      <w:rPr>
        <w:rFonts w:ascii="Courier New" w:hAnsi="Courier New" w:hint="default"/>
      </w:rPr>
    </w:lvl>
    <w:lvl w:ilvl="8" w:tplc="9230E266">
      <w:start w:val="1"/>
      <w:numFmt w:val="bullet"/>
      <w:lvlText w:val=""/>
      <w:lvlJc w:val="left"/>
      <w:pPr>
        <w:ind w:left="6480" w:hanging="360"/>
      </w:pPr>
      <w:rPr>
        <w:rFonts w:ascii="Wingdings" w:hAnsi="Wingdings" w:hint="default"/>
      </w:rPr>
    </w:lvl>
  </w:abstractNum>
  <w:abstractNum w:abstractNumId="28" w15:restartNumberingAfterBreak="0">
    <w:nsid w:val="463A53D6"/>
    <w:multiLevelType w:val="multilevel"/>
    <w:tmpl w:val="DCA8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E84135"/>
    <w:multiLevelType w:val="multilevel"/>
    <w:tmpl w:val="8624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7F3296"/>
    <w:multiLevelType w:val="multilevel"/>
    <w:tmpl w:val="C66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73513E"/>
    <w:multiLevelType w:val="multilevel"/>
    <w:tmpl w:val="DFAE9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0A6C72"/>
    <w:multiLevelType w:val="hybridMultilevel"/>
    <w:tmpl w:val="5E7C35A2"/>
    <w:lvl w:ilvl="0" w:tplc="037A9B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5D6B64"/>
    <w:multiLevelType w:val="hybridMultilevel"/>
    <w:tmpl w:val="F5CE6950"/>
    <w:lvl w:ilvl="0" w:tplc="823CC1E0">
      <w:start w:val="1"/>
      <w:numFmt w:val="bullet"/>
      <w:lvlText w:val=""/>
      <w:lvlJc w:val="left"/>
      <w:pPr>
        <w:ind w:left="1069" w:hanging="360"/>
      </w:pPr>
      <w:rPr>
        <w:rFonts w:ascii="Symbol" w:hAnsi="Symbol" w:hint="default"/>
      </w:rPr>
    </w:lvl>
    <w:lvl w:ilvl="1" w:tplc="305800D8">
      <w:start w:val="1"/>
      <w:numFmt w:val="bullet"/>
      <w:lvlText w:val="o"/>
      <w:lvlJc w:val="left"/>
      <w:pPr>
        <w:ind w:left="1789" w:hanging="360"/>
      </w:pPr>
      <w:rPr>
        <w:rFonts w:ascii="Courier New" w:hAnsi="Courier New" w:hint="default"/>
      </w:rPr>
    </w:lvl>
    <w:lvl w:ilvl="2" w:tplc="9558CBCE">
      <w:start w:val="1"/>
      <w:numFmt w:val="bullet"/>
      <w:lvlText w:val=""/>
      <w:lvlJc w:val="left"/>
      <w:pPr>
        <w:ind w:left="2509" w:hanging="360"/>
      </w:pPr>
      <w:rPr>
        <w:rFonts w:ascii="Wingdings" w:hAnsi="Wingdings" w:hint="default"/>
      </w:rPr>
    </w:lvl>
    <w:lvl w:ilvl="3" w:tplc="42A4FC18">
      <w:start w:val="1"/>
      <w:numFmt w:val="bullet"/>
      <w:lvlText w:val=""/>
      <w:lvlJc w:val="left"/>
      <w:pPr>
        <w:ind w:left="3229" w:hanging="360"/>
      </w:pPr>
      <w:rPr>
        <w:rFonts w:ascii="Symbol" w:hAnsi="Symbol" w:hint="default"/>
      </w:rPr>
    </w:lvl>
    <w:lvl w:ilvl="4" w:tplc="E9E69DFE">
      <w:start w:val="1"/>
      <w:numFmt w:val="bullet"/>
      <w:lvlText w:val="o"/>
      <w:lvlJc w:val="left"/>
      <w:pPr>
        <w:ind w:left="3949" w:hanging="360"/>
      </w:pPr>
      <w:rPr>
        <w:rFonts w:ascii="Courier New" w:hAnsi="Courier New" w:hint="default"/>
      </w:rPr>
    </w:lvl>
    <w:lvl w:ilvl="5" w:tplc="826CFAC4">
      <w:start w:val="1"/>
      <w:numFmt w:val="bullet"/>
      <w:lvlText w:val=""/>
      <w:lvlJc w:val="left"/>
      <w:pPr>
        <w:ind w:left="4669" w:hanging="360"/>
      </w:pPr>
      <w:rPr>
        <w:rFonts w:ascii="Wingdings" w:hAnsi="Wingdings" w:hint="default"/>
      </w:rPr>
    </w:lvl>
    <w:lvl w:ilvl="6" w:tplc="F9420C3A">
      <w:start w:val="1"/>
      <w:numFmt w:val="bullet"/>
      <w:lvlText w:val=""/>
      <w:lvlJc w:val="left"/>
      <w:pPr>
        <w:ind w:left="5389" w:hanging="360"/>
      </w:pPr>
      <w:rPr>
        <w:rFonts w:ascii="Symbol" w:hAnsi="Symbol" w:hint="default"/>
      </w:rPr>
    </w:lvl>
    <w:lvl w:ilvl="7" w:tplc="69C8B59C">
      <w:start w:val="1"/>
      <w:numFmt w:val="bullet"/>
      <w:lvlText w:val="o"/>
      <w:lvlJc w:val="left"/>
      <w:pPr>
        <w:ind w:left="6109" w:hanging="360"/>
      </w:pPr>
      <w:rPr>
        <w:rFonts w:ascii="Courier New" w:hAnsi="Courier New" w:hint="default"/>
      </w:rPr>
    </w:lvl>
    <w:lvl w:ilvl="8" w:tplc="BAF03F12">
      <w:start w:val="1"/>
      <w:numFmt w:val="bullet"/>
      <w:lvlText w:val=""/>
      <w:lvlJc w:val="left"/>
      <w:pPr>
        <w:ind w:left="6829" w:hanging="360"/>
      </w:pPr>
      <w:rPr>
        <w:rFonts w:ascii="Wingdings" w:hAnsi="Wingdings" w:hint="default"/>
      </w:rPr>
    </w:lvl>
  </w:abstractNum>
  <w:abstractNum w:abstractNumId="35" w15:restartNumberingAfterBreak="0">
    <w:nsid w:val="6D13F4BF"/>
    <w:multiLevelType w:val="hybridMultilevel"/>
    <w:tmpl w:val="1BB8EB90"/>
    <w:lvl w:ilvl="0" w:tplc="8B303038">
      <w:start w:val="1"/>
      <w:numFmt w:val="bullet"/>
      <w:lvlText w:val=""/>
      <w:lvlJc w:val="left"/>
      <w:pPr>
        <w:ind w:left="720" w:hanging="360"/>
      </w:pPr>
      <w:rPr>
        <w:rFonts w:ascii="Symbol" w:hAnsi="Symbol" w:hint="default"/>
      </w:rPr>
    </w:lvl>
    <w:lvl w:ilvl="1" w:tplc="60B0DA9A">
      <w:start w:val="1"/>
      <w:numFmt w:val="bullet"/>
      <w:lvlText w:val="o"/>
      <w:lvlJc w:val="left"/>
      <w:pPr>
        <w:ind w:left="1440" w:hanging="360"/>
      </w:pPr>
      <w:rPr>
        <w:rFonts w:ascii="Courier New" w:hAnsi="Courier New" w:hint="default"/>
      </w:rPr>
    </w:lvl>
    <w:lvl w:ilvl="2" w:tplc="D91E10D2">
      <w:start w:val="1"/>
      <w:numFmt w:val="bullet"/>
      <w:lvlText w:val=""/>
      <w:lvlJc w:val="left"/>
      <w:pPr>
        <w:ind w:left="2160" w:hanging="360"/>
      </w:pPr>
      <w:rPr>
        <w:rFonts w:ascii="Wingdings" w:hAnsi="Wingdings" w:hint="default"/>
      </w:rPr>
    </w:lvl>
    <w:lvl w:ilvl="3" w:tplc="B200290E">
      <w:start w:val="1"/>
      <w:numFmt w:val="bullet"/>
      <w:lvlText w:val=""/>
      <w:lvlJc w:val="left"/>
      <w:pPr>
        <w:ind w:left="2880" w:hanging="360"/>
      </w:pPr>
      <w:rPr>
        <w:rFonts w:ascii="Symbol" w:hAnsi="Symbol" w:hint="default"/>
      </w:rPr>
    </w:lvl>
    <w:lvl w:ilvl="4" w:tplc="5E204A42">
      <w:start w:val="1"/>
      <w:numFmt w:val="bullet"/>
      <w:lvlText w:val="o"/>
      <w:lvlJc w:val="left"/>
      <w:pPr>
        <w:ind w:left="3600" w:hanging="360"/>
      </w:pPr>
      <w:rPr>
        <w:rFonts w:ascii="Courier New" w:hAnsi="Courier New" w:hint="default"/>
      </w:rPr>
    </w:lvl>
    <w:lvl w:ilvl="5" w:tplc="446EAFC6">
      <w:start w:val="1"/>
      <w:numFmt w:val="bullet"/>
      <w:lvlText w:val=""/>
      <w:lvlJc w:val="left"/>
      <w:pPr>
        <w:ind w:left="4320" w:hanging="360"/>
      </w:pPr>
      <w:rPr>
        <w:rFonts w:ascii="Wingdings" w:hAnsi="Wingdings" w:hint="default"/>
      </w:rPr>
    </w:lvl>
    <w:lvl w:ilvl="6" w:tplc="E9040378">
      <w:start w:val="1"/>
      <w:numFmt w:val="bullet"/>
      <w:lvlText w:val=""/>
      <w:lvlJc w:val="left"/>
      <w:pPr>
        <w:ind w:left="5040" w:hanging="360"/>
      </w:pPr>
      <w:rPr>
        <w:rFonts w:ascii="Symbol" w:hAnsi="Symbol" w:hint="default"/>
      </w:rPr>
    </w:lvl>
    <w:lvl w:ilvl="7" w:tplc="4A586080">
      <w:start w:val="1"/>
      <w:numFmt w:val="bullet"/>
      <w:lvlText w:val="o"/>
      <w:lvlJc w:val="left"/>
      <w:pPr>
        <w:ind w:left="5760" w:hanging="360"/>
      </w:pPr>
      <w:rPr>
        <w:rFonts w:ascii="Courier New" w:hAnsi="Courier New" w:hint="default"/>
      </w:rPr>
    </w:lvl>
    <w:lvl w:ilvl="8" w:tplc="619E6C44">
      <w:start w:val="1"/>
      <w:numFmt w:val="bullet"/>
      <w:lvlText w:val=""/>
      <w:lvlJc w:val="left"/>
      <w:pPr>
        <w:ind w:left="6480" w:hanging="360"/>
      </w:pPr>
      <w:rPr>
        <w:rFonts w:ascii="Wingdings" w:hAnsi="Wingdings" w:hint="default"/>
      </w:rPr>
    </w:lvl>
  </w:abstractNum>
  <w:abstractNum w:abstractNumId="3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5F80371"/>
    <w:multiLevelType w:val="hybridMultilevel"/>
    <w:tmpl w:val="89D09216"/>
    <w:lvl w:ilvl="0" w:tplc="F3B880CC">
      <w:start w:val="1"/>
      <w:numFmt w:val="bullet"/>
      <w:lvlText w:val=""/>
      <w:lvlJc w:val="left"/>
      <w:pPr>
        <w:ind w:left="1069" w:hanging="360"/>
      </w:pPr>
      <w:rPr>
        <w:rFonts w:ascii="Symbol" w:hAnsi="Symbol" w:hint="default"/>
      </w:rPr>
    </w:lvl>
    <w:lvl w:ilvl="1" w:tplc="A5FAE122">
      <w:start w:val="1"/>
      <w:numFmt w:val="bullet"/>
      <w:lvlText w:val="o"/>
      <w:lvlJc w:val="left"/>
      <w:pPr>
        <w:ind w:left="1789" w:hanging="360"/>
      </w:pPr>
      <w:rPr>
        <w:rFonts w:ascii="Courier New" w:hAnsi="Courier New" w:hint="default"/>
      </w:rPr>
    </w:lvl>
    <w:lvl w:ilvl="2" w:tplc="67E65F46">
      <w:start w:val="1"/>
      <w:numFmt w:val="bullet"/>
      <w:lvlText w:val=""/>
      <w:lvlJc w:val="left"/>
      <w:pPr>
        <w:ind w:left="2509" w:hanging="360"/>
      </w:pPr>
      <w:rPr>
        <w:rFonts w:ascii="Wingdings" w:hAnsi="Wingdings" w:hint="default"/>
      </w:rPr>
    </w:lvl>
    <w:lvl w:ilvl="3" w:tplc="6268BA96">
      <w:start w:val="1"/>
      <w:numFmt w:val="bullet"/>
      <w:lvlText w:val=""/>
      <w:lvlJc w:val="left"/>
      <w:pPr>
        <w:ind w:left="3229" w:hanging="360"/>
      </w:pPr>
      <w:rPr>
        <w:rFonts w:ascii="Symbol" w:hAnsi="Symbol" w:hint="default"/>
      </w:rPr>
    </w:lvl>
    <w:lvl w:ilvl="4" w:tplc="871259C2">
      <w:start w:val="1"/>
      <w:numFmt w:val="bullet"/>
      <w:lvlText w:val="o"/>
      <w:lvlJc w:val="left"/>
      <w:pPr>
        <w:ind w:left="3949" w:hanging="360"/>
      </w:pPr>
      <w:rPr>
        <w:rFonts w:ascii="Courier New" w:hAnsi="Courier New" w:hint="default"/>
      </w:rPr>
    </w:lvl>
    <w:lvl w:ilvl="5" w:tplc="F1527F84">
      <w:start w:val="1"/>
      <w:numFmt w:val="bullet"/>
      <w:lvlText w:val=""/>
      <w:lvlJc w:val="left"/>
      <w:pPr>
        <w:ind w:left="4669" w:hanging="360"/>
      </w:pPr>
      <w:rPr>
        <w:rFonts w:ascii="Wingdings" w:hAnsi="Wingdings" w:hint="default"/>
      </w:rPr>
    </w:lvl>
    <w:lvl w:ilvl="6" w:tplc="6B1EEBBC">
      <w:start w:val="1"/>
      <w:numFmt w:val="bullet"/>
      <w:lvlText w:val=""/>
      <w:lvlJc w:val="left"/>
      <w:pPr>
        <w:ind w:left="5389" w:hanging="360"/>
      </w:pPr>
      <w:rPr>
        <w:rFonts w:ascii="Symbol" w:hAnsi="Symbol" w:hint="default"/>
      </w:rPr>
    </w:lvl>
    <w:lvl w:ilvl="7" w:tplc="441678E0">
      <w:start w:val="1"/>
      <w:numFmt w:val="bullet"/>
      <w:lvlText w:val="o"/>
      <w:lvlJc w:val="left"/>
      <w:pPr>
        <w:ind w:left="6109" w:hanging="360"/>
      </w:pPr>
      <w:rPr>
        <w:rFonts w:ascii="Courier New" w:hAnsi="Courier New" w:hint="default"/>
      </w:rPr>
    </w:lvl>
    <w:lvl w:ilvl="8" w:tplc="A560D556">
      <w:start w:val="1"/>
      <w:numFmt w:val="bullet"/>
      <w:lvlText w:val=""/>
      <w:lvlJc w:val="left"/>
      <w:pPr>
        <w:ind w:left="6829" w:hanging="360"/>
      </w:pPr>
      <w:rPr>
        <w:rFonts w:ascii="Wingdings" w:hAnsi="Wingdings" w:hint="default"/>
      </w:rPr>
    </w:lvl>
  </w:abstractNum>
  <w:abstractNum w:abstractNumId="39" w15:restartNumberingAfterBreak="0">
    <w:nsid w:val="799A36B6"/>
    <w:multiLevelType w:val="hybridMultilevel"/>
    <w:tmpl w:val="0BD89DBE"/>
    <w:lvl w:ilvl="0" w:tplc="07E4FB14">
      <w:start w:val="1"/>
      <w:numFmt w:val="bullet"/>
      <w:lvlText w:val=""/>
      <w:lvlJc w:val="left"/>
      <w:pPr>
        <w:ind w:left="720" w:hanging="360"/>
      </w:pPr>
      <w:rPr>
        <w:rFonts w:ascii="Symbol" w:hAnsi="Symbol" w:hint="default"/>
      </w:rPr>
    </w:lvl>
    <w:lvl w:ilvl="1" w:tplc="DFDCA478">
      <w:start w:val="1"/>
      <w:numFmt w:val="bullet"/>
      <w:lvlText w:val="o"/>
      <w:lvlJc w:val="left"/>
      <w:pPr>
        <w:ind w:left="1440" w:hanging="360"/>
      </w:pPr>
      <w:rPr>
        <w:rFonts w:ascii="Courier New" w:hAnsi="Courier New" w:hint="default"/>
      </w:rPr>
    </w:lvl>
    <w:lvl w:ilvl="2" w:tplc="FC04C3C2">
      <w:start w:val="1"/>
      <w:numFmt w:val="bullet"/>
      <w:lvlText w:val=""/>
      <w:lvlJc w:val="left"/>
      <w:pPr>
        <w:ind w:left="2160" w:hanging="360"/>
      </w:pPr>
      <w:rPr>
        <w:rFonts w:ascii="Wingdings" w:hAnsi="Wingdings" w:hint="default"/>
      </w:rPr>
    </w:lvl>
    <w:lvl w:ilvl="3" w:tplc="666818C2">
      <w:start w:val="1"/>
      <w:numFmt w:val="bullet"/>
      <w:lvlText w:val=""/>
      <w:lvlJc w:val="left"/>
      <w:pPr>
        <w:ind w:left="2880" w:hanging="360"/>
      </w:pPr>
      <w:rPr>
        <w:rFonts w:ascii="Symbol" w:hAnsi="Symbol" w:hint="default"/>
      </w:rPr>
    </w:lvl>
    <w:lvl w:ilvl="4" w:tplc="1980BC1A">
      <w:start w:val="1"/>
      <w:numFmt w:val="bullet"/>
      <w:lvlText w:val="o"/>
      <w:lvlJc w:val="left"/>
      <w:pPr>
        <w:ind w:left="3600" w:hanging="360"/>
      </w:pPr>
      <w:rPr>
        <w:rFonts w:ascii="Courier New" w:hAnsi="Courier New" w:hint="default"/>
      </w:rPr>
    </w:lvl>
    <w:lvl w:ilvl="5" w:tplc="AFCC902C">
      <w:start w:val="1"/>
      <w:numFmt w:val="bullet"/>
      <w:lvlText w:val=""/>
      <w:lvlJc w:val="left"/>
      <w:pPr>
        <w:ind w:left="4320" w:hanging="360"/>
      </w:pPr>
      <w:rPr>
        <w:rFonts w:ascii="Wingdings" w:hAnsi="Wingdings" w:hint="default"/>
      </w:rPr>
    </w:lvl>
    <w:lvl w:ilvl="6" w:tplc="646A9D34">
      <w:start w:val="1"/>
      <w:numFmt w:val="bullet"/>
      <w:lvlText w:val=""/>
      <w:lvlJc w:val="left"/>
      <w:pPr>
        <w:ind w:left="5040" w:hanging="360"/>
      </w:pPr>
      <w:rPr>
        <w:rFonts w:ascii="Symbol" w:hAnsi="Symbol" w:hint="default"/>
      </w:rPr>
    </w:lvl>
    <w:lvl w:ilvl="7" w:tplc="7250BFB2">
      <w:start w:val="1"/>
      <w:numFmt w:val="bullet"/>
      <w:lvlText w:val="o"/>
      <w:lvlJc w:val="left"/>
      <w:pPr>
        <w:ind w:left="5760" w:hanging="360"/>
      </w:pPr>
      <w:rPr>
        <w:rFonts w:ascii="Courier New" w:hAnsi="Courier New" w:hint="default"/>
      </w:rPr>
    </w:lvl>
    <w:lvl w:ilvl="8" w:tplc="C21425AA">
      <w:start w:val="1"/>
      <w:numFmt w:val="bullet"/>
      <w:lvlText w:val=""/>
      <w:lvlJc w:val="left"/>
      <w:pPr>
        <w:ind w:left="6480" w:hanging="360"/>
      </w:pPr>
      <w:rPr>
        <w:rFonts w:ascii="Wingdings" w:hAnsi="Wingdings" w:hint="default"/>
      </w:rPr>
    </w:lvl>
  </w:abstractNum>
  <w:abstractNum w:abstractNumId="40" w15:restartNumberingAfterBreak="0">
    <w:nsid w:val="7EF14264"/>
    <w:multiLevelType w:val="hybridMultilevel"/>
    <w:tmpl w:val="4FACE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3542258">
    <w:abstractNumId w:val="38"/>
  </w:num>
  <w:num w:numId="2" w16cid:durableId="1701205759">
    <w:abstractNumId w:val="8"/>
  </w:num>
  <w:num w:numId="3" w16cid:durableId="1830249341">
    <w:abstractNumId w:val="18"/>
  </w:num>
  <w:num w:numId="4" w16cid:durableId="1956405736">
    <w:abstractNumId w:val="34"/>
  </w:num>
  <w:num w:numId="5" w16cid:durableId="1122116275">
    <w:abstractNumId w:val="22"/>
  </w:num>
  <w:num w:numId="6" w16cid:durableId="381566648">
    <w:abstractNumId w:val="24"/>
  </w:num>
  <w:num w:numId="7" w16cid:durableId="714548434">
    <w:abstractNumId w:val="39"/>
  </w:num>
  <w:num w:numId="8" w16cid:durableId="355038927">
    <w:abstractNumId w:val="35"/>
  </w:num>
  <w:num w:numId="9" w16cid:durableId="2067295840">
    <w:abstractNumId w:val="27"/>
  </w:num>
  <w:num w:numId="10" w16cid:durableId="67462085">
    <w:abstractNumId w:val="9"/>
  </w:num>
  <w:num w:numId="11" w16cid:durableId="131799931">
    <w:abstractNumId w:val="23"/>
  </w:num>
  <w:num w:numId="12" w16cid:durableId="872575923">
    <w:abstractNumId w:val="13"/>
  </w:num>
  <w:num w:numId="13" w16cid:durableId="579560429">
    <w:abstractNumId w:val="16"/>
  </w:num>
  <w:num w:numId="14" w16cid:durableId="1141925489">
    <w:abstractNumId w:val="5"/>
  </w:num>
  <w:num w:numId="15" w16cid:durableId="1430395506">
    <w:abstractNumId w:val="4"/>
  </w:num>
  <w:num w:numId="16" w16cid:durableId="1762024761">
    <w:abstractNumId w:val="3"/>
  </w:num>
  <w:num w:numId="17" w16cid:durableId="861433996">
    <w:abstractNumId w:val="21"/>
  </w:num>
  <w:num w:numId="18" w16cid:durableId="120733662">
    <w:abstractNumId w:val="2"/>
  </w:num>
  <w:num w:numId="19" w16cid:durableId="2022584168">
    <w:abstractNumId w:val="1"/>
  </w:num>
  <w:num w:numId="20" w16cid:durableId="534267804">
    <w:abstractNumId w:val="0"/>
  </w:num>
  <w:num w:numId="21" w16cid:durableId="1265042610">
    <w:abstractNumId w:val="20"/>
  </w:num>
  <w:num w:numId="22" w16cid:durableId="1943879001">
    <w:abstractNumId w:val="10"/>
  </w:num>
  <w:num w:numId="23" w16cid:durableId="419833051">
    <w:abstractNumId w:val="36"/>
  </w:num>
  <w:num w:numId="24" w16cid:durableId="1758015391">
    <w:abstractNumId w:val="15"/>
  </w:num>
  <w:num w:numId="25" w16cid:durableId="1395660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6572246">
    <w:abstractNumId w:val="14"/>
  </w:num>
  <w:num w:numId="27" w16cid:durableId="928125744">
    <w:abstractNumId w:val="6"/>
  </w:num>
  <w:num w:numId="28" w16cid:durableId="1172835113">
    <w:abstractNumId w:val="37"/>
  </w:num>
  <w:num w:numId="29" w16cid:durableId="1022434231">
    <w:abstractNumId w:val="25"/>
  </w:num>
  <w:num w:numId="30" w16cid:durableId="618417265">
    <w:abstractNumId w:val="11"/>
  </w:num>
  <w:num w:numId="31" w16cid:durableId="271010807">
    <w:abstractNumId w:val="32"/>
  </w:num>
  <w:num w:numId="32" w16cid:durableId="75052247">
    <w:abstractNumId w:val="7"/>
  </w:num>
  <w:num w:numId="33" w16cid:durableId="11026536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2817765">
    <w:abstractNumId w:val="17"/>
  </w:num>
  <w:num w:numId="35" w16cid:durableId="378550546">
    <w:abstractNumId w:val="19"/>
  </w:num>
  <w:num w:numId="36" w16cid:durableId="717319106">
    <w:abstractNumId w:val="26"/>
  </w:num>
  <w:num w:numId="37" w16cid:durableId="1273828195">
    <w:abstractNumId w:val="33"/>
  </w:num>
  <w:num w:numId="38" w16cid:durableId="377976756">
    <w:abstractNumId w:val="40"/>
  </w:num>
  <w:num w:numId="39" w16cid:durableId="2144810202">
    <w:abstractNumId w:val="30"/>
  </w:num>
  <w:num w:numId="40" w16cid:durableId="198592987">
    <w:abstractNumId w:val="29"/>
  </w:num>
  <w:num w:numId="41" w16cid:durableId="1394811180">
    <w:abstractNumId w:val="12"/>
  </w:num>
  <w:num w:numId="42" w16cid:durableId="1831213934">
    <w:abstractNumId w:val="31"/>
  </w:num>
  <w:num w:numId="43" w16cid:durableId="17740141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596"/>
    <w:rsid w:val="00012366"/>
    <w:rsid w:val="00021FBE"/>
    <w:rsid w:val="00037573"/>
    <w:rsid w:val="00045E1D"/>
    <w:rsid w:val="000521D7"/>
    <w:rsid w:val="000960CF"/>
    <w:rsid w:val="000A0B58"/>
    <w:rsid w:val="000A3A19"/>
    <w:rsid w:val="000A6228"/>
    <w:rsid w:val="000B5D40"/>
    <w:rsid w:val="000B7EC6"/>
    <w:rsid w:val="000BADB6"/>
    <w:rsid w:val="000C5C36"/>
    <w:rsid w:val="000E5575"/>
    <w:rsid w:val="000E5FC0"/>
    <w:rsid w:val="0010303F"/>
    <w:rsid w:val="00107D87"/>
    <w:rsid w:val="00107DD5"/>
    <w:rsid w:val="001107DE"/>
    <w:rsid w:val="0012343A"/>
    <w:rsid w:val="00133B8D"/>
    <w:rsid w:val="0013611E"/>
    <w:rsid w:val="00140BA3"/>
    <w:rsid w:val="00141881"/>
    <w:rsid w:val="001515BF"/>
    <w:rsid w:val="0015549C"/>
    <w:rsid w:val="00155A2A"/>
    <w:rsid w:val="0017134D"/>
    <w:rsid w:val="001725C4"/>
    <w:rsid w:val="00180B00"/>
    <w:rsid w:val="00184A2D"/>
    <w:rsid w:val="00187273"/>
    <w:rsid w:val="00196CDA"/>
    <w:rsid w:val="001A06EB"/>
    <w:rsid w:val="001A2DD8"/>
    <w:rsid w:val="001A57F0"/>
    <w:rsid w:val="001B109C"/>
    <w:rsid w:val="001C1523"/>
    <w:rsid w:val="001E3BF1"/>
    <w:rsid w:val="001E6DBC"/>
    <w:rsid w:val="001F536A"/>
    <w:rsid w:val="00217414"/>
    <w:rsid w:val="00221D8F"/>
    <w:rsid w:val="002272DB"/>
    <w:rsid w:val="00235752"/>
    <w:rsid w:val="002405A7"/>
    <w:rsid w:val="00241CF3"/>
    <w:rsid w:val="00260D35"/>
    <w:rsid w:val="00276047"/>
    <w:rsid w:val="002775F3"/>
    <w:rsid w:val="0029618B"/>
    <w:rsid w:val="002A4458"/>
    <w:rsid w:val="002B30E1"/>
    <w:rsid w:val="002B4AE6"/>
    <w:rsid w:val="002C1F0F"/>
    <w:rsid w:val="002D3EFA"/>
    <w:rsid w:val="002D589A"/>
    <w:rsid w:val="002E2E9F"/>
    <w:rsid w:val="002E491A"/>
    <w:rsid w:val="002F4604"/>
    <w:rsid w:val="00304890"/>
    <w:rsid w:val="00360D9A"/>
    <w:rsid w:val="0037371C"/>
    <w:rsid w:val="00387C61"/>
    <w:rsid w:val="0040155D"/>
    <w:rsid w:val="00414C7A"/>
    <w:rsid w:val="0041713E"/>
    <w:rsid w:val="00421D3F"/>
    <w:rsid w:val="00423785"/>
    <w:rsid w:val="0042692C"/>
    <w:rsid w:val="00446AE4"/>
    <w:rsid w:val="004502B2"/>
    <w:rsid w:val="00450FDD"/>
    <w:rsid w:val="00452D26"/>
    <w:rsid w:val="00462848"/>
    <w:rsid w:val="00463568"/>
    <w:rsid w:val="0049333E"/>
    <w:rsid w:val="004A06CD"/>
    <w:rsid w:val="004A4B6F"/>
    <w:rsid w:val="004A4CF9"/>
    <w:rsid w:val="004D2965"/>
    <w:rsid w:val="004D2D9D"/>
    <w:rsid w:val="004D6485"/>
    <w:rsid w:val="004E61AC"/>
    <w:rsid w:val="004E6C1C"/>
    <w:rsid w:val="004F4B93"/>
    <w:rsid w:val="0051123F"/>
    <w:rsid w:val="00520BA6"/>
    <w:rsid w:val="00541139"/>
    <w:rsid w:val="00547FB7"/>
    <w:rsid w:val="0057028F"/>
    <w:rsid w:val="00591F57"/>
    <w:rsid w:val="005A75C9"/>
    <w:rsid w:val="005A7F2C"/>
    <w:rsid w:val="005B187D"/>
    <w:rsid w:val="005C68D9"/>
    <w:rsid w:val="005E2BC8"/>
    <w:rsid w:val="005E4BAD"/>
    <w:rsid w:val="005F015E"/>
    <w:rsid w:val="005F35D6"/>
    <w:rsid w:val="006232DC"/>
    <w:rsid w:val="00627C18"/>
    <w:rsid w:val="0063094F"/>
    <w:rsid w:val="00695ADA"/>
    <w:rsid w:val="006B01BB"/>
    <w:rsid w:val="006B2B77"/>
    <w:rsid w:val="006C1BBB"/>
    <w:rsid w:val="006C37D4"/>
    <w:rsid w:val="006D67F3"/>
    <w:rsid w:val="006E129F"/>
    <w:rsid w:val="006E6078"/>
    <w:rsid w:val="006F1FFF"/>
    <w:rsid w:val="006F2406"/>
    <w:rsid w:val="006F6D10"/>
    <w:rsid w:val="00712B94"/>
    <w:rsid w:val="007154C9"/>
    <w:rsid w:val="00717352"/>
    <w:rsid w:val="007517BA"/>
    <w:rsid w:val="0077782B"/>
    <w:rsid w:val="007B2CA1"/>
    <w:rsid w:val="007D0ABC"/>
    <w:rsid w:val="007E1D68"/>
    <w:rsid w:val="007F251F"/>
    <w:rsid w:val="007F4129"/>
    <w:rsid w:val="008034C4"/>
    <w:rsid w:val="008042F5"/>
    <w:rsid w:val="00821F9C"/>
    <w:rsid w:val="00823A10"/>
    <w:rsid w:val="0086428D"/>
    <w:rsid w:val="00880C7C"/>
    <w:rsid w:val="00886959"/>
    <w:rsid w:val="00893A34"/>
    <w:rsid w:val="008A352F"/>
    <w:rsid w:val="008A36E1"/>
    <w:rsid w:val="008A37A7"/>
    <w:rsid w:val="008A7AB4"/>
    <w:rsid w:val="008B0736"/>
    <w:rsid w:val="008B3FA2"/>
    <w:rsid w:val="008C1F5A"/>
    <w:rsid w:val="008D1470"/>
    <w:rsid w:val="008D4FA9"/>
    <w:rsid w:val="00903DF5"/>
    <w:rsid w:val="00907EBF"/>
    <w:rsid w:val="00912C43"/>
    <w:rsid w:val="00913D0F"/>
    <w:rsid w:val="00914B2C"/>
    <w:rsid w:val="009354D0"/>
    <w:rsid w:val="00950B06"/>
    <w:rsid w:val="009640C7"/>
    <w:rsid w:val="00965428"/>
    <w:rsid w:val="00970069"/>
    <w:rsid w:val="009721EB"/>
    <w:rsid w:val="009741FE"/>
    <w:rsid w:val="009769D1"/>
    <w:rsid w:val="00980B05"/>
    <w:rsid w:val="009849C3"/>
    <w:rsid w:val="009918A3"/>
    <w:rsid w:val="00994D60"/>
    <w:rsid w:val="009A08CE"/>
    <w:rsid w:val="009A34A1"/>
    <w:rsid w:val="009B706E"/>
    <w:rsid w:val="009C1E72"/>
    <w:rsid w:val="009C423A"/>
    <w:rsid w:val="009E79ED"/>
    <w:rsid w:val="00A07596"/>
    <w:rsid w:val="00A12081"/>
    <w:rsid w:val="00A17A08"/>
    <w:rsid w:val="00A2072C"/>
    <w:rsid w:val="00A20BD7"/>
    <w:rsid w:val="00A30E99"/>
    <w:rsid w:val="00A314D3"/>
    <w:rsid w:val="00A60673"/>
    <w:rsid w:val="00A818DE"/>
    <w:rsid w:val="00AB1C1E"/>
    <w:rsid w:val="00AB2A61"/>
    <w:rsid w:val="00AC1872"/>
    <w:rsid w:val="00AC21EE"/>
    <w:rsid w:val="00AD13D0"/>
    <w:rsid w:val="00AD631F"/>
    <w:rsid w:val="00AE00DD"/>
    <w:rsid w:val="00AE1E1D"/>
    <w:rsid w:val="00AE21FF"/>
    <w:rsid w:val="00AF1F18"/>
    <w:rsid w:val="00B04FA8"/>
    <w:rsid w:val="00B0726E"/>
    <w:rsid w:val="00B219D1"/>
    <w:rsid w:val="00B24FF8"/>
    <w:rsid w:val="00B34DC1"/>
    <w:rsid w:val="00B37F99"/>
    <w:rsid w:val="00B64B3D"/>
    <w:rsid w:val="00B72125"/>
    <w:rsid w:val="00B81FA4"/>
    <w:rsid w:val="00B82B62"/>
    <w:rsid w:val="00B8794C"/>
    <w:rsid w:val="00B95097"/>
    <w:rsid w:val="00B95EF4"/>
    <w:rsid w:val="00BB3420"/>
    <w:rsid w:val="00BB6509"/>
    <w:rsid w:val="00BC19A4"/>
    <w:rsid w:val="00BC248C"/>
    <w:rsid w:val="00BF2562"/>
    <w:rsid w:val="00C01EC0"/>
    <w:rsid w:val="00C11D50"/>
    <w:rsid w:val="00C1696D"/>
    <w:rsid w:val="00C212D2"/>
    <w:rsid w:val="00C2270F"/>
    <w:rsid w:val="00C244EE"/>
    <w:rsid w:val="00C319A4"/>
    <w:rsid w:val="00C32AE5"/>
    <w:rsid w:val="00C72224"/>
    <w:rsid w:val="00C75706"/>
    <w:rsid w:val="00CA4815"/>
    <w:rsid w:val="00CC1725"/>
    <w:rsid w:val="00CE2AB3"/>
    <w:rsid w:val="00CE5E88"/>
    <w:rsid w:val="00CF3278"/>
    <w:rsid w:val="00CF4FE9"/>
    <w:rsid w:val="00CF6562"/>
    <w:rsid w:val="00CF74DD"/>
    <w:rsid w:val="00D22F93"/>
    <w:rsid w:val="00D23ABC"/>
    <w:rsid w:val="00D40030"/>
    <w:rsid w:val="00D5688A"/>
    <w:rsid w:val="00D65E8B"/>
    <w:rsid w:val="00D7558A"/>
    <w:rsid w:val="00D82BFE"/>
    <w:rsid w:val="00D8453C"/>
    <w:rsid w:val="00D86284"/>
    <w:rsid w:val="00DB2992"/>
    <w:rsid w:val="00DC5980"/>
    <w:rsid w:val="00DC679B"/>
    <w:rsid w:val="00DD2B46"/>
    <w:rsid w:val="00DD3400"/>
    <w:rsid w:val="00DD3642"/>
    <w:rsid w:val="00DE2930"/>
    <w:rsid w:val="00DF3F63"/>
    <w:rsid w:val="00E01503"/>
    <w:rsid w:val="00E06ED6"/>
    <w:rsid w:val="00E0752E"/>
    <w:rsid w:val="00E114B4"/>
    <w:rsid w:val="00E27853"/>
    <w:rsid w:val="00E30B4D"/>
    <w:rsid w:val="00E529E5"/>
    <w:rsid w:val="00E55C8C"/>
    <w:rsid w:val="00E877F9"/>
    <w:rsid w:val="00E923BE"/>
    <w:rsid w:val="00EB4C2F"/>
    <w:rsid w:val="00EC3553"/>
    <w:rsid w:val="00ED0DDF"/>
    <w:rsid w:val="00EE2E52"/>
    <w:rsid w:val="00EF5C61"/>
    <w:rsid w:val="00F032C1"/>
    <w:rsid w:val="00F07246"/>
    <w:rsid w:val="00F1000D"/>
    <w:rsid w:val="00F11041"/>
    <w:rsid w:val="00F30BFA"/>
    <w:rsid w:val="00F311A4"/>
    <w:rsid w:val="00F4728A"/>
    <w:rsid w:val="00F60B66"/>
    <w:rsid w:val="00F82C2C"/>
    <w:rsid w:val="00F85913"/>
    <w:rsid w:val="00FA7392"/>
    <w:rsid w:val="00FB3F49"/>
    <w:rsid w:val="00FB6592"/>
    <w:rsid w:val="00FC2B31"/>
    <w:rsid w:val="00FC584E"/>
    <w:rsid w:val="00FD4D6E"/>
    <w:rsid w:val="00FD6383"/>
    <w:rsid w:val="00FD7A94"/>
    <w:rsid w:val="00FE1E34"/>
    <w:rsid w:val="00FF52AD"/>
    <w:rsid w:val="00FF5BC8"/>
    <w:rsid w:val="014AA66F"/>
    <w:rsid w:val="01CC25C0"/>
    <w:rsid w:val="01F84160"/>
    <w:rsid w:val="023D603C"/>
    <w:rsid w:val="031C47BC"/>
    <w:rsid w:val="05B13121"/>
    <w:rsid w:val="05DA1C5D"/>
    <w:rsid w:val="068F8C4D"/>
    <w:rsid w:val="07100FEB"/>
    <w:rsid w:val="08113FE0"/>
    <w:rsid w:val="0839306B"/>
    <w:rsid w:val="0864A575"/>
    <w:rsid w:val="09B4B6B0"/>
    <w:rsid w:val="0A548DCD"/>
    <w:rsid w:val="0AA1F53E"/>
    <w:rsid w:val="0AB7C71F"/>
    <w:rsid w:val="0B5F0674"/>
    <w:rsid w:val="0CB4C2ED"/>
    <w:rsid w:val="0D789029"/>
    <w:rsid w:val="0E4AF200"/>
    <w:rsid w:val="0E67AA16"/>
    <w:rsid w:val="0E727C88"/>
    <w:rsid w:val="0F075940"/>
    <w:rsid w:val="0F1194A5"/>
    <w:rsid w:val="0F480C32"/>
    <w:rsid w:val="1078C95A"/>
    <w:rsid w:val="10A600E2"/>
    <w:rsid w:val="110C94C2"/>
    <w:rsid w:val="116CFAD1"/>
    <w:rsid w:val="12088486"/>
    <w:rsid w:val="1289AED3"/>
    <w:rsid w:val="1438BEF6"/>
    <w:rsid w:val="155F5D7A"/>
    <w:rsid w:val="157C0633"/>
    <w:rsid w:val="15B171EB"/>
    <w:rsid w:val="15B196C3"/>
    <w:rsid w:val="160C2BEA"/>
    <w:rsid w:val="1621024C"/>
    <w:rsid w:val="16759CAA"/>
    <w:rsid w:val="16C5E2A5"/>
    <w:rsid w:val="180C2B03"/>
    <w:rsid w:val="183F839D"/>
    <w:rsid w:val="18830CB5"/>
    <w:rsid w:val="18B43E30"/>
    <w:rsid w:val="19A5752C"/>
    <w:rsid w:val="1CAD7F12"/>
    <w:rsid w:val="1CBDC879"/>
    <w:rsid w:val="1DF2F8B6"/>
    <w:rsid w:val="1DFA60FA"/>
    <w:rsid w:val="1E2A1C22"/>
    <w:rsid w:val="1E3DB721"/>
    <w:rsid w:val="204A19B8"/>
    <w:rsid w:val="214DD949"/>
    <w:rsid w:val="21723EED"/>
    <w:rsid w:val="21A847D6"/>
    <w:rsid w:val="21E08BAB"/>
    <w:rsid w:val="21F7D41C"/>
    <w:rsid w:val="233C2E5E"/>
    <w:rsid w:val="23ADB8B4"/>
    <w:rsid w:val="24A8233E"/>
    <w:rsid w:val="258A3619"/>
    <w:rsid w:val="26AFE279"/>
    <w:rsid w:val="26ED45E2"/>
    <w:rsid w:val="27A49A41"/>
    <w:rsid w:val="2912F3E2"/>
    <w:rsid w:val="2925C8CD"/>
    <w:rsid w:val="29A95C0C"/>
    <w:rsid w:val="29C63716"/>
    <w:rsid w:val="29DFB437"/>
    <w:rsid w:val="2AA00E4D"/>
    <w:rsid w:val="2B5012BE"/>
    <w:rsid w:val="2BABAFEB"/>
    <w:rsid w:val="2C1FE4FF"/>
    <w:rsid w:val="2C8AA901"/>
    <w:rsid w:val="2CB5EB1A"/>
    <w:rsid w:val="2D247D8A"/>
    <w:rsid w:val="2D725436"/>
    <w:rsid w:val="2DDB24DA"/>
    <w:rsid w:val="2EFF9D3C"/>
    <w:rsid w:val="2F2F8209"/>
    <w:rsid w:val="2F878A03"/>
    <w:rsid w:val="3020C136"/>
    <w:rsid w:val="30536C72"/>
    <w:rsid w:val="310C6897"/>
    <w:rsid w:val="319D18C1"/>
    <w:rsid w:val="31CC260C"/>
    <w:rsid w:val="31DD801F"/>
    <w:rsid w:val="31E0AF25"/>
    <w:rsid w:val="32252D51"/>
    <w:rsid w:val="32E00364"/>
    <w:rsid w:val="33C5612C"/>
    <w:rsid w:val="33C5BA88"/>
    <w:rsid w:val="357100E7"/>
    <w:rsid w:val="35712791"/>
    <w:rsid w:val="35AE0DC7"/>
    <w:rsid w:val="377B19EA"/>
    <w:rsid w:val="37A897E3"/>
    <w:rsid w:val="37C1994C"/>
    <w:rsid w:val="383B276F"/>
    <w:rsid w:val="38CFF0D4"/>
    <w:rsid w:val="3947B5E6"/>
    <w:rsid w:val="39515A83"/>
    <w:rsid w:val="39D75D9C"/>
    <w:rsid w:val="3A188E1E"/>
    <w:rsid w:val="3A2A8762"/>
    <w:rsid w:val="3B77AB49"/>
    <w:rsid w:val="3C34AA27"/>
    <w:rsid w:val="3C4F96EC"/>
    <w:rsid w:val="3C766233"/>
    <w:rsid w:val="3CC74CD6"/>
    <w:rsid w:val="3D4832B9"/>
    <w:rsid w:val="3DCCF079"/>
    <w:rsid w:val="3F691348"/>
    <w:rsid w:val="3FDA4184"/>
    <w:rsid w:val="409B0E7B"/>
    <w:rsid w:val="40AD5465"/>
    <w:rsid w:val="40E077D8"/>
    <w:rsid w:val="410E1BC5"/>
    <w:rsid w:val="4119544D"/>
    <w:rsid w:val="42B676E4"/>
    <w:rsid w:val="4335F201"/>
    <w:rsid w:val="4363A8E6"/>
    <w:rsid w:val="43733028"/>
    <w:rsid w:val="4383A01C"/>
    <w:rsid w:val="444A8BE6"/>
    <w:rsid w:val="445C06DD"/>
    <w:rsid w:val="451CC940"/>
    <w:rsid w:val="4569C39B"/>
    <w:rsid w:val="470192B5"/>
    <w:rsid w:val="478A8A0C"/>
    <w:rsid w:val="48096B2F"/>
    <w:rsid w:val="48A45ED2"/>
    <w:rsid w:val="4A32E2D7"/>
    <w:rsid w:val="4ACF4D0C"/>
    <w:rsid w:val="4AFFDAA9"/>
    <w:rsid w:val="4C9283F6"/>
    <w:rsid w:val="4CD89D68"/>
    <w:rsid w:val="4DD72275"/>
    <w:rsid w:val="4E3ECAE0"/>
    <w:rsid w:val="4F145978"/>
    <w:rsid w:val="4F7DCAAA"/>
    <w:rsid w:val="4F9E6C12"/>
    <w:rsid w:val="5083A88E"/>
    <w:rsid w:val="50BB2F04"/>
    <w:rsid w:val="50BC6678"/>
    <w:rsid w:val="5129D564"/>
    <w:rsid w:val="514E2B8F"/>
    <w:rsid w:val="516180E0"/>
    <w:rsid w:val="517D402C"/>
    <w:rsid w:val="51E5363C"/>
    <w:rsid w:val="53C37D8D"/>
    <w:rsid w:val="5426FBC7"/>
    <w:rsid w:val="54CE5648"/>
    <w:rsid w:val="54FF8D43"/>
    <w:rsid w:val="556602C9"/>
    <w:rsid w:val="55915633"/>
    <w:rsid w:val="5605E2E4"/>
    <w:rsid w:val="56BC83A7"/>
    <w:rsid w:val="56BE45A1"/>
    <w:rsid w:val="5884A022"/>
    <w:rsid w:val="58C6F8C6"/>
    <w:rsid w:val="5A5F49DF"/>
    <w:rsid w:val="5A971896"/>
    <w:rsid w:val="5B6A651D"/>
    <w:rsid w:val="5B7CCD1E"/>
    <w:rsid w:val="5CD786EA"/>
    <w:rsid w:val="5CF4771B"/>
    <w:rsid w:val="5D170F27"/>
    <w:rsid w:val="5D188653"/>
    <w:rsid w:val="5DCD0D8D"/>
    <w:rsid w:val="5E566B44"/>
    <w:rsid w:val="5FE391AB"/>
    <w:rsid w:val="610A870A"/>
    <w:rsid w:val="616EEF63"/>
    <w:rsid w:val="625CF35B"/>
    <w:rsid w:val="62C361D5"/>
    <w:rsid w:val="62E47E4A"/>
    <w:rsid w:val="63936E05"/>
    <w:rsid w:val="63A73599"/>
    <w:rsid w:val="6482A116"/>
    <w:rsid w:val="655A6C79"/>
    <w:rsid w:val="660F50FD"/>
    <w:rsid w:val="672006F6"/>
    <w:rsid w:val="680A9544"/>
    <w:rsid w:val="69548F91"/>
    <w:rsid w:val="69869C74"/>
    <w:rsid w:val="6995D97A"/>
    <w:rsid w:val="69BEE349"/>
    <w:rsid w:val="6A2633F9"/>
    <w:rsid w:val="6A363E85"/>
    <w:rsid w:val="6B9E57E5"/>
    <w:rsid w:val="6CE9E496"/>
    <w:rsid w:val="6D657AFD"/>
    <w:rsid w:val="6DCBFE9B"/>
    <w:rsid w:val="6DCF43EC"/>
    <w:rsid w:val="6E0C36F1"/>
    <w:rsid w:val="6E739722"/>
    <w:rsid w:val="6E8D2E6B"/>
    <w:rsid w:val="6F6440C8"/>
    <w:rsid w:val="713F9685"/>
    <w:rsid w:val="724FDB15"/>
    <w:rsid w:val="729718DD"/>
    <w:rsid w:val="745B1142"/>
    <w:rsid w:val="75924491"/>
    <w:rsid w:val="75E2C072"/>
    <w:rsid w:val="766587EC"/>
    <w:rsid w:val="776EAE75"/>
    <w:rsid w:val="77857091"/>
    <w:rsid w:val="78EB21A1"/>
    <w:rsid w:val="7A306E06"/>
    <w:rsid w:val="7A6085CA"/>
    <w:rsid w:val="7AA188E4"/>
    <w:rsid w:val="7B0A5A21"/>
    <w:rsid w:val="7B281A23"/>
    <w:rsid w:val="7C5D0558"/>
    <w:rsid w:val="7D668487"/>
    <w:rsid w:val="7E27FD30"/>
    <w:rsid w:val="7F0F0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CE775C2-E6EE-420E-9AD0-287A93AB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31"/>
      </w:numPr>
      <w:spacing w:after="200"/>
      <w:contextualSpacing/>
    </w:pPr>
  </w:style>
  <w:style w:type="paragraph" w:styleId="List2">
    <w:name w:val="List 2"/>
    <w:basedOn w:val="Normal"/>
    <w:uiPriority w:val="98"/>
    <w:qFormat/>
    <w:rsid w:val="00F85913"/>
    <w:pPr>
      <w:numPr>
        <w:ilvl w:val="1"/>
        <w:numId w:val="31"/>
      </w:numPr>
      <w:spacing w:after="200"/>
      <w:contextualSpacing/>
    </w:pPr>
  </w:style>
  <w:style w:type="paragraph" w:styleId="List3">
    <w:name w:val="List 3"/>
    <w:basedOn w:val="Normal"/>
    <w:uiPriority w:val="98"/>
    <w:qFormat/>
    <w:rsid w:val="00BC248C"/>
    <w:pPr>
      <w:numPr>
        <w:ilvl w:val="2"/>
        <w:numId w:val="31"/>
      </w:numPr>
      <w:spacing w:after="200"/>
      <w:contextualSpacing/>
    </w:pPr>
  </w:style>
  <w:style w:type="paragraph" w:styleId="List4">
    <w:name w:val="List 4"/>
    <w:basedOn w:val="Normal"/>
    <w:uiPriority w:val="98"/>
    <w:qFormat/>
    <w:rsid w:val="00BC248C"/>
    <w:pPr>
      <w:numPr>
        <w:ilvl w:val="3"/>
        <w:numId w:val="31"/>
      </w:numPr>
      <w:spacing w:after="200"/>
      <w:contextualSpacing/>
    </w:pPr>
  </w:style>
  <w:style w:type="paragraph" w:styleId="ListNumber">
    <w:name w:val="List Number"/>
    <w:basedOn w:val="Normal"/>
    <w:uiPriority w:val="98"/>
    <w:qFormat/>
    <w:rsid w:val="00276047"/>
    <w:pPr>
      <w:numPr>
        <w:numId w:val="17"/>
      </w:numPr>
      <w:spacing w:after="200"/>
      <w:contextualSpacing/>
    </w:pPr>
  </w:style>
  <w:style w:type="paragraph" w:styleId="ListNumber2">
    <w:name w:val="List Number 2"/>
    <w:basedOn w:val="Normal"/>
    <w:uiPriority w:val="98"/>
    <w:qFormat/>
    <w:rsid w:val="00276047"/>
    <w:pPr>
      <w:numPr>
        <w:ilvl w:val="1"/>
        <w:numId w:val="17"/>
      </w:numPr>
      <w:spacing w:after="200"/>
      <w:contextualSpacing/>
    </w:pPr>
  </w:style>
  <w:style w:type="paragraph" w:styleId="ListBullet3">
    <w:name w:val="List Bullet 3"/>
    <w:basedOn w:val="Normal"/>
    <w:uiPriority w:val="98"/>
    <w:qFormat/>
    <w:rsid w:val="008A36E1"/>
    <w:pPr>
      <w:numPr>
        <w:numId w:val="28"/>
      </w:numPr>
      <w:spacing w:after="200"/>
      <w:ind w:left="851" w:hanging="284"/>
      <w:contextualSpacing/>
    </w:pPr>
  </w:style>
  <w:style w:type="paragraph" w:styleId="ListNumber3">
    <w:name w:val="List Number 3"/>
    <w:basedOn w:val="Normal"/>
    <w:uiPriority w:val="98"/>
    <w:qFormat/>
    <w:rsid w:val="00950B06"/>
    <w:pPr>
      <w:numPr>
        <w:ilvl w:val="2"/>
        <w:numId w:val="17"/>
      </w:numPr>
      <w:spacing w:after="200"/>
      <w:contextualSpacing/>
    </w:pPr>
  </w:style>
  <w:style w:type="paragraph" w:styleId="ListNumber4">
    <w:name w:val="List Number 4"/>
    <w:basedOn w:val="Normal"/>
    <w:uiPriority w:val="98"/>
    <w:qFormat/>
    <w:rsid w:val="0012343A"/>
    <w:pPr>
      <w:numPr>
        <w:ilvl w:val="3"/>
        <w:numId w:val="17"/>
      </w:numPr>
      <w:spacing w:after="200"/>
      <w:contextualSpacing/>
    </w:pPr>
  </w:style>
  <w:style w:type="paragraph" w:styleId="ListBullet">
    <w:name w:val="List Bullet"/>
    <w:basedOn w:val="Normal"/>
    <w:uiPriority w:val="98"/>
    <w:qFormat/>
    <w:rsid w:val="008A36E1"/>
    <w:pPr>
      <w:numPr>
        <w:numId w:val="13"/>
      </w:numPr>
      <w:spacing w:after="200"/>
      <w:ind w:left="284" w:hanging="284"/>
      <w:contextualSpacing/>
    </w:pPr>
  </w:style>
  <w:style w:type="paragraph" w:styleId="ListBullet2">
    <w:name w:val="List Bullet 2"/>
    <w:basedOn w:val="Normal"/>
    <w:uiPriority w:val="98"/>
    <w:qFormat/>
    <w:rsid w:val="00C75706"/>
    <w:pPr>
      <w:numPr>
        <w:ilvl w:val="1"/>
        <w:numId w:val="13"/>
      </w:numPr>
      <w:spacing w:after="200"/>
      <w:ind w:left="568" w:hanging="284"/>
      <w:contextualSpacing/>
    </w:pPr>
  </w:style>
  <w:style w:type="paragraph" w:styleId="ListBullet4">
    <w:name w:val="List Bullet 4"/>
    <w:basedOn w:val="Normal"/>
    <w:uiPriority w:val="98"/>
    <w:qFormat/>
    <w:rsid w:val="00C75706"/>
    <w:pPr>
      <w:numPr>
        <w:numId w:val="2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20"/>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6B01BB"/>
    <w:pPr>
      <w:ind w:left="720"/>
      <w:contextualSpacing/>
    </w:pPr>
  </w:style>
  <w:style w:type="paragraph" w:styleId="NormalWeb">
    <w:name w:val="Normal (Web)"/>
    <w:basedOn w:val="Normal"/>
    <w:uiPriority w:val="99"/>
    <w:semiHidden/>
    <w:unhideWhenUsed/>
    <w:rsid w:val="006B01BB"/>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Default">
    <w:name w:val="Default"/>
    <w:rsid w:val="00D400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84260">
      <w:bodyDiv w:val="1"/>
      <w:marLeft w:val="0"/>
      <w:marRight w:val="0"/>
      <w:marTop w:val="0"/>
      <w:marBottom w:val="0"/>
      <w:divBdr>
        <w:top w:val="none" w:sz="0" w:space="0" w:color="auto"/>
        <w:left w:val="none" w:sz="0" w:space="0" w:color="auto"/>
        <w:bottom w:val="none" w:sz="0" w:space="0" w:color="auto"/>
        <w:right w:val="none" w:sz="0" w:space="0" w:color="auto"/>
      </w:divBdr>
    </w:div>
    <w:div w:id="633102956">
      <w:bodyDiv w:val="1"/>
      <w:marLeft w:val="0"/>
      <w:marRight w:val="0"/>
      <w:marTop w:val="0"/>
      <w:marBottom w:val="0"/>
      <w:divBdr>
        <w:top w:val="none" w:sz="0" w:space="0" w:color="auto"/>
        <w:left w:val="none" w:sz="0" w:space="0" w:color="auto"/>
        <w:bottom w:val="none" w:sz="0" w:space="0" w:color="auto"/>
        <w:right w:val="none" w:sz="0" w:space="0" w:color="auto"/>
      </w:divBdr>
    </w:div>
    <w:div w:id="787548728">
      <w:bodyDiv w:val="1"/>
      <w:marLeft w:val="0"/>
      <w:marRight w:val="0"/>
      <w:marTop w:val="0"/>
      <w:marBottom w:val="0"/>
      <w:divBdr>
        <w:top w:val="none" w:sz="0" w:space="0" w:color="auto"/>
        <w:left w:val="none" w:sz="0" w:space="0" w:color="auto"/>
        <w:bottom w:val="none" w:sz="0" w:space="0" w:color="auto"/>
        <w:right w:val="none" w:sz="0" w:space="0" w:color="auto"/>
      </w:divBdr>
    </w:div>
    <w:div w:id="823277502">
      <w:bodyDiv w:val="1"/>
      <w:marLeft w:val="0"/>
      <w:marRight w:val="0"/>
      <w:marTop w:val="0"/>
      <w:marBottom w:val="0"/>
      <w:divBdr>
        <w:top w:val="none" w:sz="0" w:space="0" w:color="auto"/>
        <w:left w:val="none" w:sz="0" w:space="0" w:color="auto"/>
        <w:bottom w:val="none" w:sz="0" w:space="0" w:color="auto"/>
        <w:right w:val="none" w:sz="0" w:space="0" w:color="auto"/>
      </w:divBdr>
    </w:div>
    <w:div w:id="1069959513">
      <w:bodyDiv w:val="1"/>
      <w:marLeft w:val="0"/>
      <w:marRight w:val="0"/>
      <w:marTop w:val="0"/>
      <w:marBottom w:val="0"/>
      <w:divBdr>
        <w:top w:val="none" w:sz="0" w:space="0" w:color="auto"/>
        <w:left w:val="none" w:sz="0" w:space="0" w:color="auto"/>
        <w:bottom w:val="none" w:sz="0" w:space="0" w:color="auto"/>
        <w:right w:val="none" w:sz="0" w:space="0" w:color="auto"/>
      </w:divBdr>
    </w:div>
    <w:div w:id="1542280220">
      <w:bodyDiv w:val="1"/>
      <w:marLeft w:val="0"/>
      <w:marRight w:val="0"/>
      <w:marTop w:val="0"/>
      <w:marBottom w:val="0"/>
      <w:divBdr>
        <w:top w:val="none" w:sz="0" w:space="0" w:color="auto"/>
        <w:left w:val="none" w:sz="0" w:space="0" w:color="auto"/>
        <w:bottom w:val="none" w:sz="0" w:space="0" w:color="auto"/>
        <w:right w:val="none" w:sz="0" w:space="0" w:color="auto"/>
      </w:divBdr>
    </w:div>
    <w:div w:id="1728989112">
      <w:bodyDiv w:val="1"/>
      <w:marLeft w:val="0"/>
      <w:marRight w:val="0"/>
      <w:marTop w:val="0"/>
      <w:marBottom w:val="0"/>
      <w:divBdr>
        <w:top w:val="none" w:sz="0" w:space="0" w:color="auto"/>
        <w:left w:val="none" w:sz="0" w:space="0" w:color="auto"/>
        <w:bottom w:val="none" w:sz="0" w:space="0" w:color="auto"/>
        <w:right w:val="none" w:sz="0" w:space="0" w:color="auto"/>
      </w:divBdr>
    </w:div>
    <w:div w:id="1772776994">
      <w:bodyDiv w:val="1"/>
      <w:marLeft w:val="0"/>
      <w:marRight w:val="0"/>
      <w:marTop w:val="0"/>
      <w:marBottom w:val="0"/>
      <w:divBdr>
        <w:top w:val="none" w:sz="0" w:space="0" w:color="auto"/>
        <w:left w:val="none" w:sz="0" w:space="0" w:color="auto"/>
        <w:bottom w:val="none" w:sz="0" w:space="0" w:color="auto"/>
        <w:right w:val="none" w:sz="0" w:space="0" w:color="auto"/>
      </w:divBdr>
    </w:div>
    <w:div w:id="1811088991">
      <w:bodyDiv w:val="1"/>
      <w:marLeft w:val="0"/>
      <w:marRight w:val="0"/>
      <w:marTop w:val="0"/>
      <w:marBottom w:val="0"/>
      <w:divBdr>
        <w:top w:val="none" w:sz="0" w:space="0" w:color="auto"/>
        <w:left w:val="none" w:sz="0" w:space="0" w:color="auto"/>
        <w:bottom w:val="none" w:sz="0" w:space="0" w:color="auto"/>
        <w:right w:val="none" w:sz="0" w:space="0" w:color="auto"/>
      </w:divBdr>
    </w:div>
    <w:div w:id="1830169252">
      <w:bodyDiv w:val="1"/>
      <w:marLeft w:val="0"/>
      <w:marRight w:val="0"/>
      <w:marTop w:val="0"/>
      <w:marBottom w:val="0"/>
      <w:divBdr>
        <w:top w:val="none" w:sz="0" w:space="0" w:color="auto"/>
        <w:left w:val="none" w:sz="0" w:space="0" w:color="auto"/>
        <w:bottom w:val="none" w:sz="0" w:space="0" w:color="auto"/>
        <w:right w:val="none" w:sz="0" w:space="0" w:color="auto"/>
      </w:divBdr>
    </w:div>
    <w:div w:id="1958561113">
      <w:bodyDiv w:val="1"/>
      <w:marLeft w:val="0"/>
      <w:marRight w:val="0"/>
      <w:marTop w:val="0"/>
      <w:marBottom w:val="0"/>
      <w:divBdr>
        <w:top w:val="none" w:sz="0" w:space="0" w:color="auto"/>
        <w:left w:val="none" w:sz="0" w:space="0" w:color="auto"/>
        <w:bottom w:val="none" w:sz="0" w:space="0" w:color="auto"/>
        <w:right w:val="none" w:sz="0" w:space="0" w:color="auto"/>
      </w:divBdr>
    </w:div>
    <w:div w:id="2001419707">
      <w:bodyDiv w:val="1"/>
      <w:marLeft w:val="0"/>
      <w:marRight w:val="0"/>
      <w:marTop w:val="0"/>
      <w:marBottom w:val="0"/>
      <w:divBdr>
        <w:top w:val="none" w:sz="0" w:space="0" w:color="auto"/>
        <w:left w:val="none" w:sz="0" w:space="0" w:color="auto"/>
        <w:bottom w:val="none" w:sz="0" w:space="0" w:color="auto"/>
        <w:right w:val="none" w:sz="0" w:space="0" w:color="auto"/>
      </w:divBdr>
    </w:div>
    <w:div w:id="21137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8D836FB-0FEA-4EB6-8C1F-B6512B7A70B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e75ac5a-1f9e-40aa-9df5-998dd543a947"/>
    <ds:schemaRef ds:uri="http://purl.org/dc/dcmitype/"/>
    <ds:schemaRef ds:uri="http://schemas.openxmlformats.org/package/2006/metadata/core-properties"/>
    <ds:schemaRef ds:uri="fea52c8c-9806-4a1c-8ca9-6928160f6c09"/>
    <ds:schemaRef ds:uri="http://www.w3.org/XML/1998/namespace"/>
  </ds:schemaRefs>
</ds:datastoreItem>
</file>

<file path=customXml/itemProps3.xml><?xml version="1.0" encoding="utf-8"?>
<ds:datastoreItem xmlns:ds="http://schemas.openxmlformats.org/officeDocument/2006/customXml" ds:itemID="{C602332E-25E9-46F9-892D-186E83C55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2437</Words>
  <Characters>15612</Characters>
  <Application>Microsoft Office Word</Application>
  <DocSecurity>0</DocSecurity>
  <Lines>316</Lines>
  <Paragraphs>151</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12</cp:revision>
  <cp:lastPrinted>2025-12-01T05:33:00Z</cp:lastPrinted>
  <dcterms:created xsi:type="dcterms:W3CDTF">2025-11-23T23:03:00Z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