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7CCB760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392">
        <w:t xml:space="preserve"> </w:t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1EFA" w14:textId="144C2259" w:rsidR="001B109C" w:rsidRPr="001B109C" w:rsidRDefault="001B109C" w:rsidP="001B109C">
      <w:pPr>
        <w:pStyle w:val="Heading1"/>
        <w:spacing w:before="480"/>
        <w:rPr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9016"/>
      </w:tblGrid>
      <w:tr w:rsidR="001B109C" w:rsidRPr="00E41388" w14:paraId="3BCD4E03" w14:textId="77777777" w:rsidTr="00EA41B1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14:paraId="26FC6577" w14:textId="23D45CF6" w:rsidR="001B109C" w:rsidRPr="00B65AF9" w:rsidRDefault="001B109C" w:rsidP="00B65AF9">
            <w:pPr>
              <w:pStyle w:val="Heading4"/>
            </w:pPr>
            <w:r w:rsidRPr="00F34B1E">
              <w:t>202</w:t>
            </w:r>
            <w:r w:rsidR="007517BA">
              <w:t>5</w:t>
            </w:r>
            <w:r w:rsidR="002775F3">
              <w:t>-2026</w:t>
            </w:r>
            <w:r w:rsidR="000960CF">
              <w:t xml:space="preserve"> </w:t>
            </w:r>
            <w:r w:rsidRPr="00F34B1E">
              <w:t>Mission</w:t>
            </w:r>
            <w:r>
              <w:t>-</w:t>
            </w:r>
            <w:r w:rsidRPr="00F34B1E">
              <w:t xml:space="preserve">Based Compact Between the Commonwealth of Australia and </w:t>
            </w:r>
            <w:r w:rsidR="0030691D">
              <w:t>The University of Queensland</w:t>
            </w:r>
          </w:p>
        </w:tc>
      </w:tr>
      <w:tr w:rsidR="001B109C" w:rsidRPr="00E41388" w14:paraId="2126955C" w14:textId="77777777" w:rsidTr="00EA41B1">
        <w:trPr>
          <w:cantSplit/>
        </w:trPr>
        <w:tc>
          <w:tcPr>
            <w:tcW w:w="5000" w:type="pct"/>
          </w:tcPr>
          <w:p w14:paraId="4E36A361" w14:textId="77777777" w:rsidR="001B109C" w:rsidRPr="00F30BFA" w:rsidRDefault="001B109C" w:rsidP="00F30BFA">
            <w:pPr>
              <w:pStyle w:val="Heading4"/>
              <w:keepLines w:val="0"/>
              <w:spacing w:before="180" w:after="60"/>
              <w:rPr>
                <w:rFonts w:ascii="Arial" w:eastAsia="Times New Roman" w:hAnsi="Arial" w:cs="Times New Roman"/>
                <w:bCs/>
                <w:iCs w:val="0"/>
                <w:color w:val="auto"/>
                <w:sz w:val="20"/>
                <w:szCs w:val="20"/>
                <w:lang w:val="en-US"/>
              </w:rPr>
            </w:pPr>
            <w:r w:rsidRPr="00F30BFA">
              <w:t>Purpose</w:t>
            </w:r>
          </w:p>
        </w:tc>
      </w:tr>
      <w:tr w:rsidR="001B109C" w:rsidRPr="00E41388" w14:paraId="43022137" w14:textId="77777777" w:rsidTr="00EA41B1">
        <w:trPr>
          <w:cantSplit/>
          <w:trHeight w:val="1682"/>
        </w:trPr>
        <w:tc>
          <w:tcPr>
            <w:tcW w:w="5000" w:type="pct"/>
            <w:tcBorders>
              <w:bottom w:val="single" w:sz="4" w:space="0" w:color="auto"/>
            </w:tcBorders>
          </w:tcPr>
          <w:p w14:paraId="603CAB15" w14:textId="082A7035" w:rsidR="001B109C" w:rsidRPr="00E169EE" w:rsidRDefault="001B109C" w:rsidP="6DCF43EC">
            <w:pPr>
              <w:pStyle w:val="NormalIndent"/>
              <w:ind w:left="0"/>
              <w:rPr>
                <w:rFonts w:asciiTheme="minorHAnsi" w:hAnsiTheme="minorHAnsi" w:cstheme="minorBidi"/>
              </w:rPr>
            </w:pPr>
            <w:r w:rsidRPr="6DCF43EC">
              <w:rPr>
                <w:rFonts w:asciiTheme="minorHAnsi" w:hAnsiTheme="minorHAnsi" w:cstheme="minorBidi"/>
              </w:rPr>
              <w:t xml:space="preserve">This compact is an agreement between the Commonwealth and the University. </w:t>
            </w:r>
            <w:proofErr w:type="gramStart"/>
            <w:r w:rsidRPr="6DCF43EC">
              <w:rPr>
                <w:rFonts w:asciiTheme="minorHAnsi" w:hAnsiTheme="minorHAnsi" w:cstheme="minorBidi"/>
              </w:rPr>
              <w:t>Entering into</w:t>
            </w:r>
            <w:proofErr w:type="gramEnd"/>
            <w:r w:rsidRPr="6DCF43EC">
              <w:rPr>
                <w:rFonts w:asciiTheme="minorHAnsi" w:hAnsiTheme="minorHAnsi" w:cstheme="minorBidi"/>
              </w:rPr>
              <w:t xml:space="preserve"> a </w:t>
            </w:r>
            <w:r w:rsidR="001E3BF1" w:rsidRPr="6DCF43EC">
              <w:rPr>
                <w:rFonts w:asciiTheme="minorHAnsi" w:hAnsiTheme="minorHAnsi" w:cstheme="minorBidi"/>
              </w:rPr>
              <w:t>C</w:t>
            </w:r>
            <w:r w:rsidRPr="6DCF43EC">
              <w:rPr>
                <w:rFonts w:asciiTheme="minorHAnsi" w:hAnsiTheme="minorHAnsi" w:cstheme="minorBidi"/>
              </w:rPr>
              <w:t xml:space="preserve">ompact is one of the quality and accountability requirements, which a higher education provider must meet under the </w:t>
            </w:r>
            <w:r w:rsidRPr="6DCF43EC">
              <w:rPr>
                <w:rStyle w:val="Emphasis"/>
                <w:rFonts w:asciiTheme="minorHAnsi" w:hAnsiTheme="minorHAnsi" w:cstheme="minorBidi"/>
              </w:rPr>
              <w:t>Higher Education Support Act</w:t>
            </w:r>
            <w:r w:rsidRPr="6DCF43EC">
              <w:rPr>
                <w:rFonts w:asciiTheme="minorHAnsi" w:hAnsiTheme="minorHAnsi" w:cstheme="minorBidi"/>
              </w:rPr>
              <w:t xml:space="preserve"> 2003 (HESA) as a condition of receiving a grant. Specifically, </w:t>
            </w:r>
            <w:r w:rsidR="005F015E">
              <w:rPr>
                <w:rFonts w:asciiTheme="minorHAnsi" w:hAnsiTheme="minorHAnsi" w:cstheme="minorBidi"/>
              </w:rPr>
              <w:t>s</w:t>
            </w:r>
            <w:r w:rsidR="008C1F5A">
              <w:rPr>
                <w:rFonts w:asciiTheme="minorHAnsi" w:hAnsiTheme="minorHAnsi" w:cstheme="minorBidi"/>
              </w:rPr>
              <w:t>ubsection</w:t>
            </w:r>
            <w:r w:rsidRPr="6DCF43EC">
              <w:rPr>
                <w:rFonts w:asciiTheme="minorHAnsi" w:hAnsiTheme="minorHAnsi" w:cstheme="minorBidi"/>
              </w:rPr>
              <w:t xml:space="preserve"> 19-110(1) of HESA requires that Table A and Table B providers must, in respect of each year for which a grant is paid to the provider under HESA, </w:t>
            </w:r>
            <w:proofErr w:type="gramStart"/>
            <w:r w:rsidRPr="6DCF43EC">
              <w:rPr>
                <w:rFonts w:asciiTheme="minorHAnsi" w:hAnsiTheme="minorHAnsi" w:cstheme="minorBidi"/>
              </w:rPr>
              <w:t>enter into</w:t>
            </w:r>
            <w:proofErr w:type="gramEnd"/>
            <w:r w:rsidRPr="6DCF43EC">
              <w:rPr>
                <w:rFonts w:asciiTheme="minorHAnsi" w:hAnsiTheme="minorHAnsi" w:cstheme="minorBidi"/>
              </w:rPr>
              <w:t xml:space="preserve"> a </w:t>
            </w:r>
            <w:r w:rsidR="0004235C">
              <w:rPr>
                <w:rFonts w:asciiTheme="minorHAnsi" w:hAnsiTheme="minorHAnsi" w:cstheme="minorBidi"/>
              </w:rPr>
              <w:t>Mission-Based</w:t>
            </w:r>
            <w:r w:rsidRPr="6DCF43EC">
              <w:rPr>
                <w:rFonts w:asciiTheme="minorHAnsi" w:hAnsiTheme="minorHAnsi" w:cstheme="minorBidi"/>
              </w:rPr>
              <w:t xml:space="preserve"> </w:t>
            </w:r>
            <w:r w:rsidR="001E3BF1" w:rsidRPr="6DCF43EC">
              <w:rPr>
                <w:rFonts w:asciiTheme="minorHAnsi" w:hAnsiTheme="minorHAnsi" w:cstheme="minorBidi"/>
              </w:rPr>
              <w:t>C</w:t>
            </w:r>
            <w:r w:rsidRPr="6DCF43EC">
              <w:rPr>
                <w:rFonts w:asciiTheme="minorHAnsi" w:hAnsiTheme="minorHAnsi" w:cstheme="minorBidi"/>
              </w:rPr>
              <w:t>ompact with the Commonwealth for a period that includes that year.</w:t>
            </w:r>
          </w:p>
          <w:p w14:paraId="127C3B78" w14:textId="77777777" w:rsidR="001B109C" w:rsidRPr="00F34B1E" w:rsidRDefault="001B109C" w:rsidP="00962F05">
            <w:pPr>
              <w:pStyle w:val="NormalIndent"/>
              <w:spacing w:before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4D7B83">
              <w:rPr>
                <w:rFonts w:asciiTheme="minorHAnsi" w:hAnsiTheme="minorHAnsi" w:cstheme="minorHAnsi"/>
                <w:szCs w:val="22"/>
              </w:rPr>
              <w:t>All strategies should provide qualitative and/or quantitative measures of assessment</w:t>
            </w:r>
            <w:r w:rsidRPr="004D7B8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B109C" w:rsidRPr="00E41388" w14:paraId="63ACD26A" w14:textId="77777777" w:rsidTr="00EA41B1">
        <w:trPr>
          <w:cantSplit/>
        </w:trPr>
        <w:tc>
          <w:tcPr>
            <w:tcW w:w="5000" w:type="pct"/>
          </w:tcPr>
          <w:p w14:paraId="43C124C8" w14:textId="55208677" w:rsidR="001B109C" w:rsidRPr="00E169EE" w:rsidRDefault="00F30BFA" w:rsidP="00F30BFA">
            <w:pPr>
              <w:pStyle w:val="Heading4"/>
              <w:keepLines w:val="0"/>
              <w:spacing w:before="180" w:after="60"/>
            </w:pPr>
            <w:r w:rsidRPr="00F30BFA">
              <w:t>M</w:t>
            </w:r>
            <w:r w:rsidR="001B109C" w:rsidRPr="00F30BFA">
              <w:t xml:space="preserve">ission </w:t>
            </w:r>
            <w:r w:rsidR="0049333E">
              <w:t>and</w:t>
            </w:r>
            <w:r w:rsidR="001B109C" w:rsidRPr="00F30BFA">
              <w:t xml:space="preserve"> </w:t>
            </w:r>
            <w:r>
              <w:t>Strategic Planning</w:t>
            </w:r>
          </w:p>
        </w:tc>
      </w:tr>
      <w:tr w:rsidR="001B109C" w:rsidRPr="00E41388" w14:paraId="6AF93BFD" w14:textId="77777777" w:rsidTr="00EA41B1">
        <w:trPr>
          <w:trHeight w:val="11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31548293" w14:textId="2C8F0E80" w:rsidR="00D87654" w:rsidRPr="00FF1928" w:rsidRDefault="009A7D57" w:rsidP="00FF1928">
            <w:pPr>
              <w:pStyle w:val="BodyText"/>
              <w:spacing w:line="240" w:lineRule="atLeast"/>
              <w:rPr>
                <w:rStyle w:val="Strong"/>
                <w:rFonts w:cs="Helvetica"/>
                <w:b w:val="0"/>
                <w:bCs w:val="0"/>
                <w:color w:val="000000" w:themeColor="text1"/>
              </w:rPr>
            </w:pPr>
            <w:r w:rsidRPr="00FF1928">
              <w:rPr>
                <w:color w:val="000000" w:themeColor="text1"/>
                <w:shd w:val="clear" w:color="auto" w:fill="FFFFFF"/>
              </w:rPr>
              <w:t xml:space="preserve">UQ’s mission is to </w:t>
            </w:r>
            <w:r w:rsidR="00EA521A" w:rsidRPr="00FF1928">
              <w:rPr>
                <w:color w:val="000000" w:themeColor="text1"/>
                <w:shd w:val="clear" w:color="auto" w:fill="FFFFFF"/>
              </w:rPr>
              <w:t xml:space="preserve">deliver for the public good through excellence in education, research and engagement with our communities and partners: local, national and global. </w:t>
            </w:r>
            <w:r w:rsidRPr="00FF1928">
              <w:rPr>
                <w:color w:val="000000" w:themeColor="text1"/>
                <w:shd w:val="clear" w:color="auto" w:fill="FFFFFF"/>
              </w:rPr>
              <w:t xml:space="preserve">Our current </w:t>
            </w:r>
            <w:r w:rsidR="00EA521A" w:rsidRPr="00FF1928">
              <w:rPr>
                <w:color w:val="000000" w:themeColor="text1"/>
                <w:shd w:val="clear" w:color="auto" w:fill="FFFFFF"/>
              </w:rPr>
              <w:t xml:space="preserve">strategic plan, </w:t>
            </w:r>
            <w:hyperlink r:id="rId14" w:history="1">
              <w:r w:rsidRPr="00FF1928">
                <w:rPr>
                  <w:rStyle w:val="Hyperlink"/>
                  <w:rFonts w:cstheme="minorHAnsi"/>
                  <w:color w:val="000000" w:themeColor="text1"/>
                </w:rPr>
                <w:t>The University of Queensland Strategic Plan 2022-2025</w:t>
              </w:r>
            </w:hyperlink>
            <w:r w:rsidR="00EA521A" w:rsidRPr="00FF1928">
              <w:rPr>
                <w:color w:val="000000" w:themeColor="text1"/>
              </w:rPr>
              <w:t>,</w:t>
            </w:r>
            <w:r w:rsidRPr="00FF1928">
              <w:rPr>
                <w:color w:val="000000" w:themeColor="text1"/>
              </w:rPr>
              <w:t xml:space="preserve"> outlines how we will continue to fulfil this mission as we seize new opportunities and meet the challenges of the future. We measure our success using </w:t>
            </w:r>
            <w:r w:rsidR="0066638E">
              <w:rPr>
                <w:color w:val="000000" w:themeColor="text1"/>
              </w:rPr>
              <w:t>p</w:t>
            </w:r>
            <w:r w:rsidRPr="00FF1928">
              <w:rPr>
                <w:color w:val="000000" w:themeColor="text1"/>
              </w:rPr>
              <w:t xml:space="preserve">erformance </w:t>
            </w:r>
            <w:r w:rsidR="0066638E">
              <w:rPr>
                <w:color w:val="000000" w:themeColor="text1"/>
              </w:rPr>
              <w:t>i</w:t>
            </w:r>
            <w:r w:rsidRPr="00FF1928">
              <w:rPr>
                <w:color w:val="000000" w:themeColor="text1"/>
              </w:rPr>
              <w:t xml:space="preserve">ndicators. </w:t>
            </w:r>
            <w:r w:rsidR="002E0855">
              <w:rPr>
                <w:color w:val="000000" w:themeColor="text1"/>
              </w:rPr>
              <w:t>The University Senior Executive Team and Senate monitor progress against our performance indicators</w:t>
            </w:r>
            <w:r w:rsidRPr="00FF1928">
              <w:rPr>
                <w:color w:val="000000" w:themeColor="text1"/>
              </w:rPr>
              <w:t>. We report</w:t>
            </w:r>
            <w:r w:rsidR="000A63AD" w:rsidRPr="00FF1928">
              <w:rPr>
                <w:color w:val="000000" w:themeColor="text1"/>
              </w:rPr>
              <w:t xml:space="preserve"> publicly</w:t>
            </w:r>
            <w:r w:rsidRPr="00FF1928">
              <w:rPr>
                <w:color w:val="000000" w:themeColor="text1"/>
              </w:rPr>
              <w:t xml:space="preserve"> on </w:t>
            </w:r>
            <w:r w:rsidR="000A63AD" w:rsidRPr="00FF1928">
              <w:rPr>
                <w:color w:val="000000" w:themeColor="text1"/>
              </w:rPr>
              <w:t xml:space="preserve">progress against </w:t>
            </w:r>
            <w:r w:rsidRPr="00FF1928">
              <w:rPr>
                <w:color w:val="000000" w:themeColor="text1"/>
              </w:rPr>
              <w:t>our strategic plan</w:t>
            </w:r>
            <w:r w:rsidR="000A63AD" w:rsidRPr="00FF1928">
              <w:rPr>
                <w:color w:val="000000" w:themeColor="text1"/>
              </w:rPr>
              <w:t xml:space="preserve"> and key performance indicators</w:t>
            </w:r>
            <w:r w:rsidRPr="00FF1928">
              <w:rPr>
                <w:color w:val="000000" w:themeColor="text1"/>
              </w:rPr>
              <w:t xml:space="preserve"> via </w:t>
            </w:r>
            <w:r w:rsidR="00526996">
              <w:rPr>
                <w:color w:val="000000" w:themeColor="text1"/>
              </w:rPr>
              <w:t xml:space="preserve">our </w:t>
            </w:r>
            <w:hyperlink r:id="rId15" w:history="1">
              <w:r w:rsidRPr="00FF1928">
                <w:rPr>
                  <w:rStyle w:val="Hyperlink"/>
                  <w:rFonts w:cs="Helvetica"/>
                  <w:color w:val="000000" w:themeColor="text1"/>
                </w:rPr>
                <w:t>annual report</w:t>
              </w:r>
            </w:hyperlink>
            <w:r w:rsidRPr="00FF1928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.</w:t>
            </w:r>
            <w:r w:rsidR="007100B3" w:rsidRPr="00FF1928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 xml:space="preserve"> </w:t>
            </w:r>
          </w:p>
          <w:p w14:paraId="05DAB1A7" w14:textId="487593A2" w:rsidR="0066638E" w:rsidRDefault="00FF1928" w:rsidP="00FF1928">
            <w:pPr>
              <w:pStyle w:val="NormalIndent"/>
              <w:spacing w:line="240" w:lineRule="atLeast"/>
              <w:ind w:left="0"/>
              <w:rPr>
                <w:rStyle w:val="Strong"/>
                <w:rFonts w:cs="Helvetica"/>
                <w:b w:val="0"/>
                <w:bCs w:val="0"/>
                <w:color w:val="000000" w:themeColor="text1"/>
              </w:rPr>
            </w:pPr>
            <w:r w:rsidRPr="00FF1928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 xml:space="preserve">UQ is currently developing its 2026–2029 strategic plan. As a values-led organisation, we remain deeply committed to delivering for the public good. Our new plan will emphasise this commitment through our </w:t>
            </w:r>
            <w:r w:rsidR="0066638E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 xml:space="preserve">pillars of: </w:t>
            </w:r>
          </w:p>
          <w:p w14:paraId="6434E0BC" w14:textId="10FCBFA3" w:rsidR="0066638E" w:rsidRDefault="0066638E" w:rsidP="0066638E">
            <w:pPr>
              <w:pStyle w:val="NormalIndent"/>
              <w:numPr>
                <w:ilvl w:val="0"/>
                <w:numId w:val="37"/>
              </w:numPr>
              <w:spacing w:line="240" w:lineRule="atLeast"/>
              <w:rPr>
                <w:rStyle w:val="Strong"/>
                <w:rFonts w:cs="Helvetica"/>
                <w:b w:val="0"/>
                <w:bCs w:val="0"/>
                <w:color w:val="000000" w:themeColor="text1"/>
              </w:rPr>
            </w:pPr>
            <w:r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l</w:t>
            </w:r>
            <w:r w:rsidRPr="0066638E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 xml:space="preserve">ocal, national and global impact: </w:t>
            </w:r>
            <w:r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d</w:t>
            </w:r>
            <w:r w:rsidRPr="0066638E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elivering for the public good</w:t>
            </w:r>
          </w:p>
          <w:p w14:paraId="4CCD45AE" w14:textId="77777777" w:rsidR="0066638E" w:rsidRDefault="0066638E" w:rsidP="0066638E">
            <w:pPr>
              <w:pStyle w:val="NormalIndent"/>
              <w:numPr>
                <w:ilvl w:val="0"/>
                <w:numId w:val="37"/>
              </w:numPr>
              <w:spacing w:line="240" w:lineRule="atLeast"/>
              <w:rPr>
                <w:rStyle w:val="Strong"/>
                <w:rFonts w:cs="Helvetica"/>
                <w:b w:val="0"/>
                <w:bCs w:val="0"/>
                <w:color w:val="000000" w:themeColor="text1"/>
              </w:rPr>
            </w:pPr>
            <w:r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t</w:t>
            </w:r>
            <w:r w:rsidRPr="0066638E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 xml:space="preserve">eaching and learning: </w:t>
            </w:r>
            <w:r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e</w:t>
            </w:r>
            <w:r w:rsidRPr="0066638E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quipping leaders for our future</w:t>
            </w:r>
          </w:p>
          <w:p w14:paraId="2109713E" w14:textId="77777777" w:rsidR="0066638E" w:rsidRDefault="0066638E" w:rsidP="0066638E">
            <w:pPr>
              <w:pStyle w:val="NormalIndent"/>
              <w:numPr>
                <w:ilvl w:val="0"/>
                <w:numId w:val="37"/>
              </w:numPr>
              <w:spacing w:line="240" w:lineRule="atLeast"/>
              <w:rPr>
                <w:rStyle w:val="Strong"/>
                <w:rFonts w:cs="Helvetica"/>
                <w:b w:val="0"/>
                <w:bCs w:val="0"/>
                <w:color w:val="000000" w:themeColor="text1"/>
              </w:rPr>
            </w:pPr>
            <w:r w:rsidRPr="0066638E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 xml:space="preserve">research and innovation: </w:t>
            </w:r>
            <w:r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f</w:t>
            </w:r>
            <w:r w:rsidRPr="0066638E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rom discovery to impact</w:t>
            </w:r>
          </w:p>
          <w:p w14:paraId="74D4A5F1" w14:textId="08012578" w:rsidR="00FF1928" w:rsidRPr="0066638E" w:rsidRDefault="00FF1928" w:rsidP="0066638E">
            <w:pPr>
              <w:pStyle w:val="NormalIndent"/>
              <w:numPr>
                <w:ilvl w:val="0"/>
                <w:numId w:val="37"/>
              </w:numPr>
              <w:spacing w:line="240" w:lineRule="atLeast"/>
              <w:rPr>
                <w:rStyle w:val="Strong"/>
                <w:rFonts w:cs="Helvetica"/>
                <w:b w:val="0"/>
                <w:bCs w:val="0"/>
                <w:color w:val="000000" w:themeColor="text1"/>
              </w:rPr>
            </w:pPr>
            <w:r w:rsidRPr="0066638E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people and sustainable operation</w:t>
            </w:r>
            <w:r w:rsidR="0002140A">
              <w:rPr>
                <w:rStyle w:val="Strong"/>
                <w:rFonts w:cs="Helvetica"/>
                <w:b w:val="0"/>
                <w:bCs w:val="0"/>
                <w:color w:val="000000" w:themeColor="text1"/>
              </w:rPr>
              <w:t>s</w:t>
            </w:r>
            <w:r w:rsidR="008718F7" w:rsidRPr="0066638E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.</w:t>
            </w:r>
            <w:r w:rsidR="00D87654" w:rsidRPr="0066638E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</w:p>
          <w:p w14:paraId="3B4AA51F" w14:textId="2FCE9238" w:rsidR="00645B84" w:rsidRPr="00FF1928" w:rsidRDefault="00D87654" w:rsidP="0081560B">
            <w:pPr>
              <w:pStyle w:val="NormalIndent"/>
              <w:spacing w:line="240" w:lineRule="atLeast"/>
              <w:ind w:left="0"/>
              <w:rPr>
                <w:color w:val="000000" w:themeColor="text1"/>
              </w:rPr>
            </w:pPr>
            <w:r w:rsidRPr="00FF1928">
              <w:rPr>
                <w:rStyle w:val="Strong"/>
                <w:b w:val="0"/>
                <w:bCs w:val="0"/>
                <w:color w:val="000000" w:themeColor="text1"/>
              </w:rPr>
              <w:t xml:space="preserve">We </w:t>
            </w:r>
            <w:r w:rsidR="008718F7" w:rsidRPr="00FF1928">
              <w:rPr>
                <w:color w:val="000000" w:themeColor="text1"/>
              </w:rPr>
              <w:t>continue to prioritise</w:t>
            </w:r>
            <w:r w:rsidR="002E0855">
              <w:rPr>
                <w:color w:val="000000" w:themeColor="text1"/>
              </w:rPr>
              <w:t xml:space="preserve"> developing skilled graduates to support Australia’s economic prosperity, breaking down barriers to education, creating solutions for significant global challenges through world-class research and innovation,</w:t>
            </w:r>
            <w:r w:rsidR="009A7D57" w:rsidRPr="00FF1928">
              <w:rPr>
                <w:color w:val="000000" w:themeColor="text1"/>
              </w:rPr>
              <w:t xml:space="preserve"> and </w:t>
            </w:r>
            <w:r w:rsidR="0081560B">
              <w:rPr>
                <w:color w:val="000000" w:themeColor="text1"/>
              </w:rPr>
              <w:t xml:space="preserve">translating this </w:t>
            </w:r>
            <w:r w:rsidR="009A7D57" w:rsidRPr="00FF1928">
              <w:rPr>
                <w:color w:val="000000" w:themeColor="text1"/>
              </w:rPr>
              <w:t xml:space="preserve">research through commercialisation and collaboration. </w:t>
            </w:r>
            <w:r w:rsidR="00FF1928" w:rsidRPr="00FF1928">
              <w:rPr>
                <w:color w:val="000000" w:themeColor="text1"/>
              </w:rPr>
              <w:t xml:space="preserve">Our work </w:t>
            </w:r>
            <w:r w:rsidR="0081560B">
              <w:rPr>
                <w:color w:val="000000" w:themeColor="text1"/>
              </w:rPr>
              <w:t xml:space="preserve">is </w:t>
            </w:r>
            <w:r w:rsidR="00FF1928" w:rsidRPr="00FF1928">
              <w:rPr>
                <w:color w:val="000000" w:themeColor="text1"/>
              </w:rPr>
              <w:t xml:space="preserve">guided by the </w:t>
            </w:r>
            <w:hyperlink r:id="rId16" w:history="1">
              <w:r w:rsidR="00645B84" w:rsidRPr="00FF1928">
                <w:rPr>
                  <w:rStyle w:val="Hyperlink"/>
                  <w:color w:val="000000" w:themeColor="text1"/>
                </w:rPr>
                <w:t>Learning and Student Experience Roadmap</w:t>
              </w:r>
            </w:hyperlink>
            <w:r w:rsidR="00FF1928" w:rsidRPr="00FF1928">
              <w:rPr>
                <w:color w:val="000000" w:themeColor="text1"/>
              </w:rPr>
              <w:t>,</w:t>
            </w:r>
            <w:r w:rsidR="00645B84" w:rsidRPr="00FF1928">
              <w:rPr>
                <w:color w:val="000000" w:themeColor="text1"/>
              </w:rPr>
              <w:t xml:space="preserve"> </w:t>
            </w:r>
            <w:hyperlink r:id="rId17" w:history="1">
              <w:r w:rsidR="00645B84" w:rsidRPr="00FF1928">
                <w:rPr>
                  <w:rStyle w:val="Hyperlink"/>
                  <w:color w:val="000000" w:themeColor="text1"/>
                </w:rPr>
                <w:t>Research Roadmap</w:t>
              </w:r>
            </w:hyperlink>
            <w:r w:rsidR="00FF1928" w:rsidRPr="00FF1928">
              <w:rPr>
                <w:color w:val="000000" w:themeColor="text1"/>
              </w:rPr>
              <w:t>,</w:t>
            </w:r>
            <w:r w:rsidR="00645B84" w:rsidRPr="00FF1928">
              <w:rPr>
                <w:color w:val="000000" w:themeColor="text1"/>
              </w:rPr>
              <w:t xml:space="preserve"> </w:t>
            </w:r>
            <w:hyperlink r:id="rId18" w:history="1">
              <w:r w:rsidR="00645B84" w:rsidRPr="00FF1928">
                <w:rPr>
                  <w:rStyle w:val="Hyperlink"/>
                  <w:color w:val="000000" w:themeColor="text1"/>
                </w:rPr>
                <w:t>The Queensland Commitment Roadmap</w:t>
              </w:r>
            </w:hyperlink>
            <w:r w:rsidR="00AA4A43">
              <w:t xml:space="preserve">, and the </w:t>
            </w:r>
            <w:hyperlink r:id="rId19" w:history="1">
              <w:r w:rsidR="00AA4A43" w:rsidRPr="00AA4A43">
                <w:rPr>
                  <w:rStyle w:val="Hyperlink"/>
                </w:rPr>
                <w:t>UQ Stretch Reconciliation Action Plan</w:t>
              </w:r>
            </w:hyperlink>
            <w:r w:rsidR="00EA41B1" w:rsidRPr="00FF1928">
              <w:rPr>
                <w:color w:val="000000" w:themeColor="text1"/>
              </w:rPr>
              <w:t>.</w:t>
            </w:r>
          </w:p>
          <w:p w14:paraId="2868C0A9" w14:textId="6E09F649" w:rsidR="002100DF" w:rsidRPr="00FF1928" w:rsidRDefault="00941847" w:rsidP="00FF1928">
            <w:pPr>
              <w:pStyle w:val="NormalIndent"/>
              <w:spacing w:line="240" w:lineRule="atLeast"/>
              <w:ind w:left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As outlined in our </w:t>
            </w:r>
            <w:hyperlink r:id="rId20" w:history="1">
              <w:r w:rsidR="009E65CA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>Sexual Misconduct Prevention and Response Policy</w:t>
              </w:r>
            </w:hyperlink>
            <w:r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UQ is committed to promoting and fostering a University environment that is safe, respectful and free from all forms of Sexual Misconduct. </w:t>
            </w:r>
            <w:r w:rsidR="00A6067A"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This commitment is reflected in our </w:t>
            </w:r>
            <w:hyperlink r:id="rId21" w:history="1">
              <w:r w:rsidR="002100DF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>S</w:t>
              </w:r>
              <w:r w:rsidR="002100DF" w:rsidRPr="00FF1928">
                <w:rPr>
                  <w:rStyle w:val="Hyperlink"/>
                  <w:color w:val="000000" w:themeColor="text1"/>
                </w:rPr>
                <w:t>trat</w:t>
              </w:r>
              <w:r w:rsidR="002100DF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>egic Framework and Action Plan for Sexual Misconduct Prevention and Response</w:t>
              </w:r>
            </w:hyperlink>
            <w:r w:rsidR="006504B6">
              <w:t xml:space="preserve">. The </w:t>
            </w:r>
            <w:hyperlink r:id="rId22" w:history="1">
              <w:r w:rsidR="002100DF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 xml:space="preserve">Detailed 2024-2027 Action Plan for Sexual </w:t>
              </w:r>
              <w:r w:rsidR="002100DF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lastRenderedPageBreak/>
                <w:t>Misconduct Prevention and Response</w:t>
              </w:r>
            </w:hyperlink>
            <w:r w:rsidR="009E65CA"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A6067A"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>set</w:t>
            </w:r>
            <w:r w:rsidR="006504B6">
              <w:rPr>
                <w:rFonts w:asciiTheme="minorHAnsi" w:hAnsiTheme="minorHAnsi" w:cstheme="minorHAnsi"/>
                <w:color w:val="000000" w:themeColor="text1"/>
                <w:szCs w:val="22"/>
              </w:rPr>
              <w:t>s</w:t>
            </w:r>
            <w:r w:rsidR="00A6067A"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out how we are working to </w:t>
            </w:r>
            <w:r w:rsidR="009E65CA"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>ensur</w:t>
            </w:r>
            <w:r w:rsidR="00A6067A"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>e</w:t>
            </w:r>
            <w:r w:rsidR="009E65CA"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our campuses </w:t>
            </w:r>
            <w:r w:rsidR="00A6067A"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remain safe and respectful places for everyone</w:t>
            </w:r>
            <w:r w:rsidR="002100DF" w:rsidRPr="00FF192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. </w:t>
            </w:r>
          </w:p>
          <w:p w14:paraId="13AD8A65" w14:textId="1D271B49" w:rsidR="00A6067A" w:rsidRPr="00FF1928" w:rsidRDefault="00A6067A" w:rsidP="00FF1928">
            <w:pPr>
              <w:pStyle w:val="NormalIndent"/>
              <w:spacing w:line="240" w:lineRule="atLeast"/>
              <w:ind w:left="0" w:right="-105"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UQ’s </w:t>
            </w:r>
            <w:hyperlink r:id="rId23" w:history="1">
              <w:r w:rsidRPr="00FF1928">
                <w:rPr>
                  <w:rStyle w:val="Hyperlink"/>
                  <w:rFonts w:asciiTheme="minorHAnsi" w:hAnsiTheme="minorHAnsi" w:cstheme="minorHAnsi"/>
                  <w:iCs/>
                  <w:color w:val="000000" w:themeColor="text1"/>
                  <w:szCs w:val="22"/>
                </w:rPr>
                <w:t>Foreign Influence Disclosure Procedure</w:t>
              </w:r>
            </w:hyperlink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requires all academic staff to disclose any registrable activities which fall under the </w:t>
            </w:r>
            <w:r w:rsidRPr="00FF1928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Foreign Influence Transparency Scheme Act 2018</w:t>
            </w:r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(</w:t>
            </w:r>
            <w:proofErr w:type="spellStart"/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Cth</w:t>
            </w:r>
            <w:proofErr w:type="spellEnd"/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).</w:t>
            </w:r>
            <w:r w:rsidRPr="00FF1928">
              <w:rPr>
                <w:color w:val="000000" w:themeColor="text1"/>
              </w:rPr>
              <w:t xml:space="preserve"> </w:t>
            </w:r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The foreign influence disclosure is part of </w:t>
            </w:r>
            <w:r w:rsidR="006504B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a </w:t>
            </w:r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suite of </w:t>
            </w:r>
            <w:hyperlink r:id="rId24" w:history="1">
              <w:r w:rsidR="002E0855">
                <w:rPr>
                  <w:rStyle w:val="Hyperlink"/>
                  <w:rFonts w:asciiTheme="minorHAnsi" w:hAnsiTheme="minorHAnsi" w:cstheme="minorHAnsi"/>
                  <w:iCs/>
                  <w:szCs w:val="22"/>
                </w:rPr>
                <w:t xml:space="preserve">disclosure and management of conflict interest </w:t>
              </w:r>
            </w:hyperlink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registers</w:t>
            </w:r>
            <w:r w:rsidR="006504B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,</w:t>
            </w:r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</w:t>
            </w:r>
            <w:r w:rsidR="006504B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which also includes </w:t>
            </w:r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the </w:t>
            </w:r>
            <w:r w:rsidRPr="000E726A">
              <w:t>Sensitive Research Register</w:t>
            </w:r>
            <w:r w:rsidR="004A0B89">
              <w:t xml:space="preserve">, </w:t>
            </w:r>
            <w:r w:rsidR="00263700">
              <w:t>the Secondary Employment Disclosure,</w:t>
            </w:r>
            <w:r w:rsidRPr="00FF1928">
              <w:rPr>
                <w:color w:val="000000" w:themeColor="text1"/>
              </w:rPr>
              <w:t xml:space="preserve"> and </w:t>
            </w:r>
            <w:r w:rsidR="00263700">
              <w:rPr>
                <w:color w:val="000000" w:themeColor="text1"/>
              </w:rPr>
              <w:t xml:space="preserve">the </w:t>
            </w:r>
            <w:r w:rsidRPr="00FF1928">
              <w:rPr>
                <w:color w:val="000000" w:themeColor="text1"/>
              </w:rPr>
              <w:t>Conflict of Interest Disclosure</w:t>
            </w:r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. These disclosures are connected to policies and procedures designed </w:t>
            </w:r>
            <w:r w:rsidR="002E0855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to manage the interests of UQ staff effectively</w:t>
            </w:r>
            <w:r w:rsidR="006504B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,</w:t>
            </w:r>
            <w:r w:rsidR="006504B6" w:rsidRPr="006504B6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="006504B6" w:rsidRPr="006504B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ensure UQ meets community standards and expectations, and comply with all applicable laws</w:t>
            </w:r>
            <w:r w:rsidRPr="00FF1928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.</w:t>
            </w:r>
          </w:p>
          <w:p w14:paraId="0CA9F7B2" w14:textId="6754393E" w:rsidR="00AC7C0F" w:rsidRPr="00FF1928" w:rsidRDefault="00A6067A" w:rsidP="00FF1928">
            <w:pPr>
              <w:pStyle w:val="NormalIndent"/>
              <w:spacing w:line="240" w:lineRule="atLeast"/>
              <w:ind w:left="0"/>
              <w:rPr>
                <w:color w:val="000000" w:themeColor="text1"/>
              </w:rPr>
            </w:pPr>
            <w:r w:rsidRPr="00FF1928">
              <w:rPr>
                <w:rFonts w:asciiTheme="minorHAnsi" w:hAnsiTheme="minorHAnsi" w:cstheme="minorHAnsi"/>
                <w:iCs/>
                <w:color w:val="000000" w:themeColor="text1"/>
              </w:rPr>
              <w:t>Actions to counter foreign interference and support trusted research practice and compliance are</w:t>
            </w:r>
            <w:r w:rsidR="00AC7C0F" w:rsidRPr="00FF192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r</w:t>
            </w:r>
            <w:r w:rsidR="00AC7C0F" w:rsidRPr="00FF1928">
              <w:rPr>
                <w:color w:val="000000" w:themeColor="text1"/>
              </w:rPr>
              <w:t>einforced through strong cybersecurity risk management. UQ’s Cyber Security Strategy (2025–2028) outlines our approach to building a robust, secure system that enables innovation and collaboration. By leading in security practices and risk management, we safeguard academic, research, and operational activities while strengthening trust across the University.</w:t>
            </w:r>
          </w:p>
          <w:p w14:paraId="2C91A87B" w14:textId="50EAB15F" w:rsidR="001B109C" w:rsidRPr="00F47A67" w:rsidRDefault="00A6067A" w:rsidP="00FF1928">
            <w:pPr>
              <w:pStyle w:val="NormalIndent"/>
              <w:spacing w:line="240" w:lineRule="atLeast"/>
              <w:ind w:left="0"/>
              <w:rPr>
                <w:rFonts w:asciiTheme="minorHAnsi" w:hAnsiTheme="minorHAnsi" w:cstheme="minorHAnsi"/>
                <w:i/>
                <w:color w:val="FF0000"/>
                <w:szCs w:val="22"/>
              </w:rPr>
            </w:pPr>
            <w:r w:rsidRPr="00FF1928">
              <w:rPr>
                <w:rFonts w:asciiTheme="minorHAnsi" w:hAnsiTheme="minorHAnsi" w:cstheme="minorHAnsi"/>
                <w:color w:val="000000" w:themeColor="text1"/>
              </w:rPr>
              <w:t xml:space="preserve">UQ’s commitment to freedom of speech and academic freedom is outlined in the </w:t>
            </w:r>
            <w:hyperlink r:id="rId25" w:history="1">
              <w:r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Freedom of Speech and Academic Freedom Policy</w:t>
              </w:r>
            </w:hyperlink>
            <w:r w:rsidRPr="00FF1928">
              <w:rPr>
                <w:rFonts w:asciiTheme="minorHAnsi" w:hAnsiTheme="minorHAnsi" w:cstheme="minorHAnsi"/>
                <w:color w:val="000000" w:themeColor="text1"/>
              </w:rPr>
              <w:t xml:space="preserve">. The </w:t>
            </w:r>
            <w:hyperlink r:id="rId26" w:history="1">
              <w:r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  <w:shd w:val="clear" w:color="auto" w:fill="FFFFFF"/>
                </w:rPr>
                <w:t>University of Queensland Enterprise Agreement 2021-2026</w:t>
              </w:r>
            </w:hyperlink>
            <w:r w:rsidRPr="00FF192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 which came into effect on 25 January 2024, re</w:t>
            </w:r>
            <w:r w:rsidRPr="00FF1928">
              <w:rPr>
                <w:rFonts w:asciiTheme="minorHAnsi" w:hAnsiTheme="minorHAnsi" w:cstheme="minorHAnsi"/>
                <w:color w:val="000000" w:themeColor="text1"/>
              </w:rPr>
              <w:t xml:space="preserve">affirmed the </w:t>
            </w:r>
            <w:r w:rsidR="00F52ECA">
              <w:rPr>
                <w:rFonts w:asciiTheme="minorHAnsi" w:hAnsiTheme="minorHAnsi" w:cstheme="minorHAnsi"/>
                <w:color w:val="000000" w:themeColor="text1"/>
              </w:rPr>
              <w:t xml:space="preserve">University’s </w:t>
            </w:r>
            <w:r w:rsidRPr="00FF1928">
              <w:rPr>
                <w:rFonts w:asciiTheme="minorHAnsi" w:hAnsiTheme="minorHAnsi" w:cstheme="minorHAnsi"/>
                <w:color w:val="000000" w:themeColor="text1"/>
              </w:rPr>
              <w:t>commitment to academic freedom</w:t>
            </w:r>
            <w:r w:rsidRPr="00830909">
              <w:rPr>
                <w:rFonts w:asciiTheme="minorHAnsi" w:hAnsiTheme="minorHAnsi" w:cstheme="minorHAnsi"/>
              </w:rPr>
              <w:t>.</w:t>
            </w:r>
          </w:p>
        </w:tc>
      </w:tr>
      <w:tr w:rsidR="001B109C" w:rsidRPr="00E41388" w14:paraId="0EA45E0C" w14:textId="77777777" w:rsidTr="00EA41B1">
        <w:trPr>
          <w:cantSplit/>
        </w:trPr>
        <w:tc>
          <w:tcPr>
            <w:tcW w:w="5000" w:type="pct"/>
          </w:tcPr>
          <w:p w14:paraId="767F59C9" w14:textId="6521BCE0" w:rsidR="001B109C" w:rsidRDefault="00462848" w:rsidP="00F30BFA">
            <w:pPr>
              <w:pStyle w:val="Heading4"/>
              <w:keepLines w:val="0"/>
              <w:spacing w:before="180" w:after="60"/>
            </w:pPr>
            <w:r>
              <w:lastRenderedPageBreak/>
              <w:t>S</w:t>
            </w:r>
            <w:r w:rsidR="001B109C" w:rsidRPr="00F30BFA">
              <w:t xml:space="preserve">trategies for Improving </w:t>
            </w:r>
            <w:r w:rsidR="00F30BFA">
              <w:t>E</w:t>
            </w:r>
            <w:r w:rsidR="001B109C" w:rsidRPr="00F30BFA">
              <w:t xml:space="preserve">quality of </w:t>
            </w:r>
            <w:r w:rsidR="00F30BFA">
              <w:t>O</w:t>
            </w:r>
            <w:r w:rsidR="001B109C" w:rsidRPr="00F30BFA">
              <w:t xml:space="preserve">pportunity in </w:t>
            </w:r>
            <w:r w:rsidR="00F30BFA">
              <w:t>H</w:t>
            </w:r>
            <w:r w:rsidR="001B109C" w:rsidRPr="00F30BFA">
              <w:t xml:space="preserve">igher </w:t>
            </w:r>
            <w:r w:rsidR="00F30BFA">
              <w:t>E</w:t>
            </w:r>
            <w:r w:rsidR="001B109C" w:rsidRPr="00F30BFA">
              <w:t>ducation</w:t>
            </w:r>
          </w:p>
        </w:tc>
      </w:tr>
      <w:bookmarkStart w:id="0" w:name="_Hlk150338733"/>
      <w:bookmarkStart w:id="1" w:name="_Hlk150338471"/>
      <w:tr w:rsidR="001B109C" w:rsidRPr="00E41388" w14:paraId="1A37823C" w14:textId="77777777" w:rsidTr="00363F38">
        <w:tc>
          <w:tcPr>
            <w:tcW w:w="5000" w:type="pct"/>
          </w:tcPr>
          <w:p w14:paraId="3EBB6386" w14:textId="1D5C9CCF" w:rsidR="00D22AEA" w:rsidRDefault="00D22AEA" w:rsidP="00AE0473">
            <w:pPr>
              <w:autoSpaceDE w:val="0"/>
              <w:autoSpaceDN w:val="0"/>
              <w:adjustRightInd w:val="0"/>
              <w:spacing w:before="120" w:after="120" w:line="260" w:lineRule="atLeast"/>
            </w:pPr>
            <w:r>
              <w:fldChar w:fldCharType="begin"/>
            </w:r>
            <w:r>
              <w:instrText>HYPERLINK "https://about.uq.edu.au/uq-initiatives/initiative/queensland-commitment"</w:instrText>
            </w:r>
            <w:r>
              <w:fldChar w:fldCharType="separate"/>
            </w:r>
            <w:r>
              <w:rPr>
                <w:rStyle w:val="Hyperlink"/>
                <w:rFonts w:ascii="Calibri" w:hAnsi="Calibri" w:cs="Calibri"/>
              </w:rPr>
              <w:t>The Q</w:t>
            </w:r>
            <w:r w:rsidRPr="000126E4">
              <w:rPr>
                <w:rStyle w:val="Hyperlink"/>
                <w:rFonts w:ascii="Calibri" w:hAnsi="Calibri" w:cs="Calibri"/>
              </w:rPr>
              <w:t>ueensland Commitment</w:t>
            </w:r>
            <w:r>
              <w:fldChar w:fldCharType="end"/>
            </w:r>
            <w:r w:rsidRPr="00A80B7B">
              <w:rPr>
                <w:rFonts w:ascii="Calibri" w:hAnsi="Calibri" w:cs="Calibri"/>
                <w:color w:val="000000"/>
              </w:rPr>
              <w:t xml:space="preserve"> is a core </w:t>
            </w:r>
            <w:r w:rsidR="00AE0473">
              <w:rPr>
                <w:rFonts w:ascii="Calibri" w:hAnsi="Calibri" w:cs="Calibri"/>
                <w:color w:val="000000"/>
              </w:rPr>
              <w:t>UQ</w:t>
            </w:r>
            <w:r w:rsidRPr="00A80B7B">
              <w:rPr>
                <w:rFonts w:ascii="Calibri" w:hAnsi="Calibri" w:cs="Calibri"/>
                <w:color w:val="000000"/>
              </w:rPr>
              <w:t xml:space="preserve"> strategy</w:t>
            </w:r>
            <w:r w:rsidRPr="00AE0473">
              <w:rPr>
                <w:rFonts w:ascii="Calibri" w:hAnsi="Calibri" w:cs="Calibri"/>
                <w:color w:val="4F2985"/>
              </w:rPr>
              <w:t xml:space="preserve">. </w:t>
            </w:r>
            <w:r w:rsidRPr="00AE0473">
              <w:rPr>
                <w:rFonts w:ascii="Calibri" w:hAnsi="Calibri" w:cs="Calibri"/>
                <w:color w:val="000000"/>
              </w:rPr>
              <w:t>Th</w:t>
            </w:r>
            <w:r w:rsidRPr="00A80B7B">
              <w:rPr>
                <w:rFonts w:ascii="Calibri" w:hAnsi="Calibri" w:cs="Calibri"/>
                <w:color w:val="000000"/>
              </w:rPr>
              <w:t>is commitment aims to uplift educational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80B7B">
              <w:rPr>
                <w:rFonts w:ascii="Calibri" w:hAnsi="Calibri" w:cs="Calibri"/>
                <w:color w:val="000000"/>
              </w:rPr>
              <w:t xml:space="preserve">attainment for the most underrepresented groups. </w:t>
            </w:r>
            <w:r>
              <w:rPr>
                <w:rFonts w:ascii="Calibri" w:eastAsia="Calibri" w:hAnsi="Calibri" w:cs="Calibri"/>
              </w:rPr>
              <w:t>Through</w:t>
            </w:r>
            <w:r w:rsidRPr="00AE0473">
              <w:rPr>
                <w:rFonts w:ascii="Calibri" w:eastAsia="Calibri" w:hAnsi="Calibri" w:cs="Calibri"/>
              </w:rPr>
              <w:t xml:space="preserve"> The Queensland Commitment</w:t>
            </w:r>
            <w:r w:rsidR="00E31A95">
              <w:rPr>
                <w:rFonts w:ascii="Calibri" w:eastAsia="Calibri" w:hAnsi="Calibri" w:cs="Calibri"/>
              </w:rPr>
              <w:t>,</w:t>
            </w:r>
            <w:r>
              <w:t xml:space="preserve"> we aspire to have</w:t>
            </w:r>
            <w:r w:rsidRPr="61119591">
              <w:rPr>
                <w:rFonts w:ascii="Calibri" w:eastAsia="Calibri" w:hAnsi="Calibri" w:cs="Calibri"/>
              </w:rPr>
              <w:t>:</w:t>
            </w:r>
          </w:p>
          <w:p w14:paraId="04F21AC3" w14:textId="71906254" w:rsidR="00D22AEA" w:rsidRDefault="00D22AEA" w:rsidP="00D22AE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60" w:lineRule="atLeast"/>
              <w:rPr>
                <w:rFonts w:cstheme="minorHAnsi"/>
                <w:color w:val="000000"/>
              </w:rPr>
            </w:pPr>
            <w:r w:rsidRPr="000F1A5C">
              <w:rPr>
                <w:rFonts w:ascii="Calibri" w:hAnsi="Calibri" w:cs="Calibri"/>
                <w:color w:val="000000"/>
              </w:rPr>
              <w:t xml:space="preserve">30 per cent of our domestic undergraduate students </w:t>
            </w:r>
            <w:r w:rsidR="00E31A95">
              <w:rPr>
                <w:rFonts w:ascii="Calibri" w:hAnsi="Calibri" w:cs="Calibri"/>
                <w:color w:val="000000"/>
              </w:rPr>
              <w:t>come</w:t>
            </w:r>
            <w:r w:rsidRPr="000F1A5C">
              <w:rPr>
                <w:rFonts w:ascii="Calibri" w:hAnsi="Calibri" w:cs="Calibri"/>
                <w:color w:val="000000"/>
              </w:rPr>
              <w:t xml:space="preserve"> from a low socio-economic</w:t>
            </w:r>
            <w:r w:rsidR="00E31A95">
              <w:rPr>
                <w:rFonts w:ascii="Calibri" w:hAnsi="Calibri" w:cs="Calibri"/>
                <w:color w:val="000000"/>
              </w:rPr>
              <w:t xml:space="preserve">, </w:t>
            </w:r>
            <w:r w:rsidRPr="000F1A5C">
              <w:rPr>
                <w:rFonts w:ascii="Calibri" w:hAnsi="Calibri" w:cs="Calibri"/>
                <w:color w:val="000000"/>
              </w:rPr>
              <w:t>regional</w:t>
            </w:r>
            <w:r w:rsidR="00E31A95">
              <w:rPr>
                <w:rFonts w:ascii="Calibri" w:hAnsi="Calibri" w:cs="Calibri"/>
                <w:color w:val="000000"/>
              </w:rPr>
              <w:t xml:space="preserve">, or </w:t>
            </w:r>
            <w:r w:rsidRPr="000F1A5C">
              <w:rPr>
                <w:rFonts w:ascii="Calibri" w:hAnsi="Calibri" w:cs="Calibri"/>
                <w:color w:val="000000"/>
              </w:rPr>
              <w:t>remote background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cstheme="minorHAnsi"/>
                <w:color w:val="000000"/>
              </w:rPr>
              <w:t xml:space="preserve">This is based on population parity of Queensland applicants </w:t>
            </w:r>
            <w:r w:rsidR="00E31A95">
              <w:rPr>
                <w:rFonts w:cstheme="minorHAnsi"/>
                <w:color w:val="000000"/>
              </w:rPr>
              <w:t>with</w:t>
            </w:r>
            <w:r>
              <w:rPr>
                <w:rFonts w:cstheme="minorHAnsi"/>
                <w:color w:val="000000"/>
              </w:rPr>
              <w:t xml:space="preserve"> a selection rank of 70 or above</w:t>
            </w:r>
          </w:p>
          <w:p w14:paraId="7254469C" w14:textId="7A074BC1" w:rsidR="00AC7C0F" w:rsidRPr="001B0BC2" w:rsidRDefault="00AC7C0F" w:rsidP="00D22AE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60" w:lineRule="atLeast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Pr="001F4442">
              <w:rPr>
                <w:rFonts w:ascii="Calibri" w:hAnsi="Calibri" w:cs="Calibri"/>
                <w:color w:val="000000"/>
              </w:rPr>
              <w:t xml:space="preserve">he proportion of domestic students identifying as Aboriginal and/or Torres Strait Islander will </w:t>
            </w:r>
            <w:r w:rsidRPr="001B0BC2">
              <w:rPr>
                <w:rFonts w:cstheme="minorHAnsi"/>
                <w:color w:val="000000"/>
              </w:rPr>
              <w:t>reflect the representation of people identifying as Aboriginal and/or Torres Strait Islander in Queensland.</w:t>
            </w:r>
          </w:p>
          <w:p w14:paraId="50793D44" w14:textId="4C6B063C" w:rsidR="00CE40A8" w:rsidRDefault="0080026F" w:rsidP="0027578A">
            <w:pPr>
              <w:autoSpaceDE w:val="0"/>
              <w:autoSpaceDN w:val="0"/>
              <w:adjustRightInd w:val="0"/>
              <w:spacing w:before="120" w:after="120" w:line="260" w:lineRule="atLeast"/>
              <w:rPr>
                <w:rFonts w:cstheme="minorHAnsi"/>
                <w:color w:val="000000"/>
              </w:rPr>
            </w:pPr>
            <w:hyperlink r:id="rId27" w:history="1">
              <w:r w:rsidRPr="00D22AEA">
                <w:rPr>
                  <w:rStyle w:val="Hyperlink"/>
                  <w:rFonts w:cstheme="minorHAnsi"/>
                </w:rPr>
                <w:t xml:space="preserve">The </w:t>
              </w:r>
              <w:r w:rsidR="00D22AEA" w:rsidRPr="00D22AEA">
                <w:rPr>
                  <w:rStyle w:val="Hyperlink"/>
                  <w:rFonts w:cstheme="minorHAnsi"/>
                </w:rPr>
                <w:t>Queensland Commitment R</w:t>
              </w:r>
              <w:r w:rsidRPr="00D22AEA">
                <w:rPr>
                  <w:rStyle w:val="Hyperlink"/>
                  <w:rFonts w:cstheme="minorHAnsi"/>
                </w:rPr>
                <w:t>oadmap</w:t>
              </w:r>
            </w:hyperlink>
            <w:r>
              <w:rPr>
                <w:rFonts w:cstheme="minorHAnsi"/>
                <w:color w:val="000000"/>
              </w:rPr>
              <w:t xml:space="preserve"> o</w:t>
            </w:r>
            <w:r w:rsidRPr="0080026F">
              <w:rPr>
                <w:rFonts w:cstheme="minorHAnsi"/>
                <w:color w:val="000000"/>
              </w:rPr>
              <w:t xml:space="preserve">utlines </w:t>
            </w:r>
            <w:r w:rsidR="00D22AEA" w:rsidRPr="0080026F">
              <w:rPr>
                <w:rFonts w:cstheme="minorHAnsi"/>
                <w:color w:val="000000"/>
              </w:rPr>
              <w:t>58 strategic actions that we will take towards more equitable access to education by 2032.</w:t>
            </w:r>
            <w:r w:rsidR="00D22AEA">
              <w:rPr>
                <w:rFonts w:cstheme="minorHAnsi"/>
                <w:color w:val="000000"/>
              </w:rPr>
              <w:t xml:space="preserve"> </w:t>
            </w:r>
            <w:r w:rsidR="00D22AEA" w:rsidRPr="0080026F">
              <w:rPr>
                <w:rFonts w:cstheme="minorHAnsi"/>
                <w:color w:val="000000"/>
              </w:rPr>
              <w:t>Our commitment to equity aligns with the </w:t>
            </w:r>
            <w:hyperlink r:id="rId28" w:history="1">
              <w:r w:rsidR="00D22AEA" w:rsidRPr="0080026F">
                <w:rPr>
                  <w:rStyle w:val="Hyperlink"/>
                  <w:rFonts w:cstheme="minorHAnsi"/>
                </w:rPr>
                <w:t>Australian Universities Accord</w:t>
              </w:r>
            </w:hyperlink>
            <w:r w:rsidR="00D22AEA" w:rsidRPr="0080026F">
              <w:rPr>
                <w:rFonts w:cstheme="minorHAnsi"/>
                <w:color w:val="000000"/>
              </w:rPr>
              <w:t> and its vision for transformative reform in our sector. </w:t>
            </w:r>
            <w:r w:rsidR="00D22AEA">
              <w:rPr>
                <w:rFonts w:cstheme="minorHAnsi"/>
                <w:color w:val="000000"/>
              </w:rPr>
              <w:t xml:space="preserve">Our </w:t>
            </w:r>
            <w:hyperlink r:id="rId29" w:history="1">
              <w:r w:rsidR="00D22AEA" w:rsidRPr="00CE40A8">
                <w:rPr>
                  <w:rStyle w:val="Hyperlink"/>
                  <w:rFonts w:cstheme="minorHAnsi"/>
                </w:rPr>
                <w:t>Stretch Reconciliation Action Plan</w:t>
              </w:r>
            </w:hyperlink>
            <w:r w:rsidR="00D22AEA">
              <w:rPr>
                <w:rFonts w:cstheme="minorHAnsi"/>
                <w:color w:val="000000"/>
              </w:rPr>
              <w:t xml:space="preserve"> outlines</w:t>
            </w:r>
            <w:r w:rsidR="0053060C">
              <w:rPr>
                <w:rFonts w:cstheme="minorHAnsi"/>
                <w:color w:val="000000"/>
              </w:rPr>
              <w:t xml:space="preserve"> specific</w:t>
            </w:r>
            <w:r w:rsidR="00D22AEA">
              <w:rPr>
                <w:rFonts w:cstheme="minorHAnsi"/>
                <w:color w:val="000000"/>
              </w:rPr>
              <w:t xml:space="preserve"> deliverables </w:t>
            </w:r>
            <w:r w:rsidR="0053060C">
              <w:rPr>
                <w:rFonts w:cstheme="minorHAnsi"/>
                <w:color w:val="000000"/>
              </w:rPr>
              <w:t xml:space="preserve">aimed at </w:t>
            </w:r>
            <w:r w:rsidR="00D22AEA">
              <w:rPr>
                <w:rFonts w:cstheme="minorHAnsi"/>
                <w:color w:val="000000"/>
              </w:rPr>
              <w:t xml:space="preserve">increasing </w:t>
            </w:r>
            <w:r w:rsidR="0053060C">
              <w:rPr>
                <w:rFonts w:cstheme="minorHAnsi"/>
                <w:color w:val="000000"/>
              </w:rPr>
              <w:t xml:space="preserve">the </w:t>
            </w:r>
            <w:r w:rsidR="00D22AEA" w:rsidRPr="00CE40A8">
              <w:rPr>
                <w:rFonts w:cstheme="minorHAnsi"/>
                <w:color w:val="000000"/>
              </w:rPr>
              <w:t>representation of Aboriginal and Torres Strait Islander students in</w:t>
            </w:r>
            <w:r w:rsidR="00D22AEA">
              <w:rPr>
                <w:rFonts w:cstheme="minorHAnsi"/>
                <w:color w:val="000000"/>
              </w:rPr>
              <w:t xml:space="preserve"> </w:t>
            </w:r>
            <w:r w:rsidR="00D22AEA" w:rsidRPr="00CE40A8">
              <w:rPr>
                <w:rFonts w:cstheme="minorHAnsi"/>
                <w:color w:val="000000"/>
              </w:rPr>
              <w:t>higher education</w:t>
            </w:r>
            <w:r w:rsidR="00CE40A8">
              <w:rPr>
                <w:rFonts w:cstheme="minorHAnsi"/>
                <w:color w:val="000000"/>
              </w:rPr>
              <w:t xml:space="preserve">. </w:t>
            </w:r>
          </w:p>
          <w:p w14:paraId="1700039F" w14:textId="77777777" w:rsidR="00AC7C0F" w:rsidRPr="001B0BC2" w:rsidRDefault="00AC7C0F" w:rsidP="0027578A">
            <w:pPr>
              <w:autoSpaceDE w:val="0"/>
              <w:autoSpaceDN w:val="0"/>
              <w:adjustRightInd w:val="0"/>
              <w:spacing w:before="120" w:after="120" w:line="260" w:lineRule="atLeast"/>
              <w:rPr>
                <w:rFonts w:cstheme="minorHAnsi"/>
              </w:rPr>
            </w:pPr>
            <w:r w:rsidRPr="001B0BC2">
              <w:rPr>
                <w:rFonts w:cstheme="minorHAnsi"/>
                <w:iCs/>
              </w:rPr>
              <w:t>UQ already has an extensive portfolio of initiatives that support students throughout every phase of study, from pre-access to attainment. Examples include:</w:t>
            </w:r>
          </w:p>
          <w:p w14:paraId="311D78B6" w14:textId="4D985769" w:rsidR="00D22AEA" w:rsidRPr="001D7C3A" w:rsidRDefault="00D22AEA" w:rsidP="00D22AE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60" w:lineRule="atLeast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Pre-access</w:t>
            </w:r>
            <w:r w:rsidRPr="001D7C3A">
              <w:rPr>
                <w:rFonts w:cstheme="minorHAnsi"/>
              </w:rPr>
              <w:t xml:space="preserve">: </w:t>
            </w:r>
            <w:hyperlink r:id="rId30" w:history="1">
              <w:proofErr w:type="spellStart"/>
              <w:r w:rsidRPr="001D7C3A">
                <w:rPr>
                  <w:rStyle w:val="Hyperlink"/>
                  <w:rFonts w:cstheme="minorHAnsi"/>
                </w:rPr>
                <w:t>InspireU</w:t>
              </w:r>
              <w:proofErr w:type="spellEnd"/>
            </w:hyperlink>
            <w:r w:rsidRPr="001D7C3A">
              <w:rPr>
                <w:rFonts w:cstheme="minorHAnsi"/>
              </w:rPr>
              <w:t xml:space="preserve"> provides enriching experiences for Aboriginal and/or Torres Strait Islander secondary school students through week</w:t>
            </w:r>
            <w:r w:rsidR="0053060C">
              <w:rPr>
                <w:rFonts w:cstheme="minorHAnsi"/>
              </w:rPr>
              <w:t>-</w:t>
            </w:r>
            <w:r w:rsidRPr="001D7C3A">
              <w:rPr>
                <w:rFonts w:cstheme="minorHAnsi"/>
              </w:rPr>
              <w:t xml:space="preserve">long on-campus camps. </w:t>
            </w:r>
            <w:r w:rsidRPr="1C1681E5">
              <w:t xml:space="preserve">Working closely with selected schools in the South-East and South-West Queensland, and in collaboration with Country University Centres (CUC), </w:t>
            </w:r>
            <w:r>
              <w:t xml:space="preserve">the </w:t>
            </w:r>
            <w:hyperlink r:id="rId31" w:history="1">
              <w:r w:rsidRPr="006A0978">
                <w:rPr>
                  <w:rStyle w:val="Hyperlink"/>
                </w:rPr>
                <w:t>Outreach Program</w:t>
              </w:r>
            </w:hyperlink>
            <w:r w:rsidRPr="1C1681E5">
              <w:t xml:space="preserve"> nurtures students’ educational ambitions to increase tertiary education participation and success for underrepresented students</w:t>
            </w:r>
            <w:r>
              <w:t>.</w:t>
            </w:r>
            <w:r w:rsidRPr="00570515">
              <w:rPr>
                <w:b/>
                <w:bCs/>
              </w:rPr>
              <w:t xml:space="preserve"> </w:t>
            </w:r>
            <w:r w:rsidRPr="00885031">
              <w:t>The Regional Communities Outreach</w:t>
            </w:r>
            <w:r>
              <w:t xml:space="preserve"> program</w:t>
            </w:r>
            <w:r w:rsidRPr="00570515">
              <w:t xml:space="preserve"> expands </w:t>
            </w:r>
            <w:r w:rsidR="0004235C">
              <w:t>participation activities in South-West Queensland through partnerships with</w:t>
            </w:r>
            <w:r w:rsidRPr="00570515">
              <w:t xml:space="preserve"> schools, study hubs, and community engagement. </w:t>
            </w:r>
          </w:p>
          <w:p w14:paraId="45569670" w14:textId="4D588117" w:rsidR="00D22AEA" w:rsidRPr="001B0BC2" w:rsidRDefault="00D22AEA" w:rsidP="00D22AE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60" w:lineRule="atLeast"/>
              <w:ind w:left="357" w:hanging="357"/>
              <w:contextualSpacing w:val="0"/>
              <w:rPr>
                <w:rFonts w:cstheme="minorHAnsi"/>
              </w:rPr>
            </w:pPr>
            <w:r>
              <w:rPr>
                <w:b/>
                <w:bCs/>
              </w:rPr>
              <w:t>Access</w:t>
            </w:r>
            <w:r w:rsidRPr="001D7C3A">
              <w:rPr>
                <w:b/>
                <w:bCs/>
              </w:rPr>
              <w:t xml:space="preserve">: </w:t>
            </w:r>
            <w:r w:rsidRPr="001D7C3A">
              <w:rPr>
                <w:rFonts w:cstheme="minorHAnsi"/>
              </w:rPr>
              <w:t xml:space="preserve">The </w:t>
            </w:r>
            <w:hyperlink r:id="rId32" w:history="1">
              <w:r w:rsidRPr="001D7C3A">
                <w:rPr>
                  <w:rStyle w:val="Hyperlink"/>
                  <w:rFonts w:cstheme="minorHAnsi"/>
                </w:rPr>
                <w:t>Young Achievers Program</w:t>
              </w:r>
            </w:hyperlink>
            <w:r w:rsidRPr="001D7C3A">
              <w:rPr>
                <w:rFonts w:cstheme="minorHAnsi"/>
              </w:rPr>
              <w:t xml:space="preserve"> (YAP) supports the aspirations of senior secondary school students with academic potential from underrepresented groups. Participants benefit </w:t>
            </w:r>
            <w:r w:rsidRPr="001D7C3A">
              <w:rPr>
                <w:rFonts w:cstheme="minorHAnsi"/>
              </w:rPr>
              <w:lastRenderedPageBreak/>
              <w:t xml:space="preserve">from mentoring, on-campus experiences, financial assistance during senior secondary school, and a scholarship </w:t>
            </w:r>
            <w:r>
              <w:rPr>
                <w:rFonts w:cstheme="minorHAnsi"/>
              </w:rPr>
              <w:t xml:space="preserve">and priority learner support program </w:t>
            </w:r>
            <w:r w:rsidRPr="001D7C3A">
              <w:rPr>
                <w:rFonts w:cstheme="minorHAnsi"/>
              </w:rPr>
              <w:t>when they enrol in a UQ undergraduate program.</w:t>
            </w:r>
            <w:r>
              <w:rPr>
                <w:rFonts w:cstheme="minorHAnsi"/>
              </w:rPr>
              <w:t xml:space="preserve"> From 2026</w:t>
            </w:r>
            <w:r w:rsidR="0053060C">
              <w:rPr>
                <w:rFonts w:cstheme="minorHAnsi"/>
              </w:rPr>
              <w:t>,</w:t>
            </w:r>
            <w:r w:rsidRPr="001D7C3A">
              <w:rPr>
                <w:rFonts w:cstheme="minorHAnsi"/>
              </w:rPr>
              <w:t xml:space="preserve"> </w:t>
            </w:r>
            <w:hyperlink r:id="rId33" w:history="1">
              <w:r>
                <w:rPr>
                  <w:rStyle w:val="Hyperlink"/>
                  <w:rFonts w:cstheme="minorHAnsi"/>
                  <w:iCs/>
                </w:rPr>
                <w:t>The Queensland Commitment Scholarship</w:t>
              </w:r>
            </w:hyperlink>
            <w:r w:rsidRPr="001B0BC2">
              <w:rPr>
                <w:rFonts w:cstheme="minorHAnsi"/>
              </w:rPr>
              <w:t xml:space="preserve"> </w:t>
            </w:r>
            <w:r w:rsidR="002E0855">
              <w:rPr>
                <w:rFonts w:cstheme="minorHAnsi"/>
              </w:rPr>
              <w:t xml:space="preserve">will </w:t>
            </w:r>
            <w:r w:rsidRPr="001B0BC2">
              <w:rPr>
                <w:rFonts w:cstheme="minorHAnsi"/>
              </w:rPr>
              <w:t>provide an annual scholarship of $</w:t>
            </w:r>
            <w:r>
              <w:rPr>
                <w:rFonts w:cstheme="minorHAnsi"/>
              </w:rPr>
              <w:t>7</w:t>
            </w:r>
            <w:r w:rsidRPr="001B0BC2">
              <w:rPr>
                <w:rFonts w:cstheme="minorHAnsi"/>
              </w:rPr>
              <w:t>,000 and five adjustment ranks to all new domestic undergraduate students who have experienced financial hardship.</w:t>
            </w:r>
          </w:p>
          <w:p w14:paraId="6F2FBFD4" w14:textId="40FF7383" w:rsidR="006504B6" w:rsidRDefault="0020593D" w:rsidP="0027578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60" w:lineRule="atLeast"/>
              <w:ind w:left="360"/>
              <w:contextualSpacing w:val="0"/>
              <w:rPr>
                <w:rFonts w:ascii="GothamNarrow-Light" w:hAnsi="GothamNarrow-Light" w:cs="GothamNarrow-Light"/>
              </w:rPr>
            </w:pPr>
            <w:r w:rsidRPr="006504B6">
              <w:rPr>
                <w:b/>
                <w:bCs/>
              </w:rPr>
              <w:t>Participation</w:t>
            </w:r>
            <w:r w:rsidRPr="1D959E53">
              <w:t xml:space="preserve">: </w:t>
            </w:r>
            <w:r w:rsidR="006504B6">
              <w:t xml:space="preserve">The Priority Learning Support Program provides wraparound support to </w:t>
            </w:r>
            <w:r w:rsidR="006504B6" w:rsidRPr="00EC0811">
              <w:t xml:space="preserve">students </w:t>
            </w:r>
            <w:r w:rsidR="006504B6">
              <w:t>with a</w:t>
            </w:r>
            <w:r w:rsidR="006504B6" w:rsidRPr="00EC0811">
              <w:t xml:space="preserve"> The Queensland Commitment Scholarship</w:t>
            </w:r>
            <w:r w:rsidR="006504B6">
              <w:t xml:space="preserve">, those </w:t>
            </w:r>
            <w:r w:rsidR="006504B6" w:rsidRPr="00EC0811">
              <w:t xml:space="preserve">from the Young Achievers Program, </w:t>
            </w:r>
            <w:r w:rsidR="006504B6">
              <w:t xml:space="preserve">and </w:t>
            </w:r>
            <w:r w:rsidR="006504B6" w:rsidRPr="00EC0811">
              <w:t xml:space="preserve">Refugee and Humanitarian Award </w:t>
            </w:r>
            <w:r w:rsidR="006504B6">
              <w:t>students</w:t>
            </w:r>
            <w:r w:rsidR="006504B6" w:rsidRPr="006504B6">
              <w:rPr>
                <w:rFonts w:ascii="GothamNarrow-Light" w:hAnsi="GothamNarrow-Light" w:cs="GothamNarrow-Light"/>
              </w:rPr>
              <w:t xml:space="preserve">. </w:t>
            </w:r>
            <w:r w:rsidRPr="1D959E53">
              <w:t xml:space="preserve">The </w:t>
            </w:r>
            <w:hyperlink r:id="rId34">
              <w:r w:rsidRPr="1D959E53">
                <w:rPr>
                  <w:rStyle w:val="Hyperlink"/>
                </w:rPr>
                <w:t>Aboriginal and Torres Strait Islander Studies (ATSIS) Unit</w:t>
              </w:r>
            </w:hyperlink>
            <w:r w:rsidRPr="1D959E53">
              <w:t xml:space="preserve"> supports Indigenous students from pre-enrolment through to graduation by</w:t>
            </w:r>
            <w:r w:rsidRPr="006504B6">
              <w:rPr>
                <w:rFonts w:ascii="GothamNarrow-Light" w:hAnsi="GothamNarrow-Light" w:cs="GothamNarrow-Light"/>
              </w:rPr>
              <w:t xml:space="preserve"> providing academic assistance and advice on employment, scholarships, financial support, and social, sporting and professional events. UQ’s </w:t>
            </w:r>
            <w:hyperlink r:id="rId35">
              <w:r w:rsidRPr="006504B6">
                <w:rPr>
                  <w:rStyle w:val="Hyperlink"/>
                  <w:rFonts w:ascii="GothamNarrow-Light" w:hAnsi="GothamNarrow-Light" w:cs="GothamNarrow-Light"/>
                </w:rPr>
                <w:t>Accessibility and Welfare Team</w:t>
              </w:r>
            </w:hyperlink>
            <w:r w:rsidRPr="006504B6">
              <w:rPr>
                <w:rFonts w:ascii="GothamNarrow-Light" w:hAnsi="GothamNarrow-Light" w:cs="GothamNarrow-Light"/>
                <w:b/>
                <w:bCs/>
              </w:rPr>
              <w:t xml:space="preserve"> </w:t>
            </w:r>
            <w:r w:rsidR="0053060C" w:rsidRPr="006504B6">
              <w:rPr>
                <w:rFonts w:ascii="GothamNarrow-Light" w:hAnsi="GothamNarrow-Light" w:cs="GothamNarrow-Light"/>
              </w:rPr>
              <w:t>provides</w:t>
            </w:r>
            <w:r w:rsidRPr="006504B6">
              <w:rPr>
                <w:rFonts w:ascii="GothamNarrow-Light" w:hAnsi="GothamNarrow-Light" w:cs="GothamNarrow-Light"/>
              </w:rPr>
              <w:t xml:space="preserve"> advice, support, referrals</w:t>
            </w:r>
            <w:r w:rsidR="002E0855">
              <w:rPr>
                <w:rFonts w:ascii="GothamNarrow-Light" w:hAnsi="GothamNarrow-Light" w:cs="GothamNarrow-Light"/>
              </w:rPr>
              <w:t>, and assistance to students who have a disability, as well as</w:t>
            </w:r>
            <w:r w:rsidRPr="006504B6">
              <w:rPr>
                <w:rFonts w:ascii="GothamNarrow-Light" w:hAnsi="GothamNarrow-Light" w:cs="GothamNarrow-Light"/>
              </w:rPr>
              <w:t xml:space="preserve"> those with significant responsibilities caring for a person with a disability. </w:t>
            </w:r>
            <w:r w:rsidR="00B20A74">
              <w:rPr>
                <w:rFonts w:ascii="GothamNarrow-Light" w:hAnsi="GothamNarrow-Light" w:cs="GothamNarrow-Light"/>
              </w:rPr>
              <w:t xml:space="preserve">The </w:t>
            </w:r>
            <w:hyperlink r:id="rId36">
              <w:r w:rsidRPr="006504B6">
                <w:rPr>
                  <w:rStyle w:val="Hyperlink"/>
                  <w:rFonts w:ascii="GothamNarrow-Light" w:hAnsi="GothamNarrow-Light" w:cs="GothamNarrow-Light"/>
                </w:rPr>
                <w:t>Neurodivergent Hub</w:t>
              </w:r>
            </w:hyperlink>
            <w:r w:rsidRPr="006504B6">
              <w:rPr>
                <w:rFonts w:ascii="GothamNarrow-Light" w:hAnsi="GothamNarrow-Light" w:cs="GothamNarrow-Light"/>
              </w:rPr>
              <w:t xml:space="preserve"> hosts a range of programs and events. </w:t>
            </w:r>
          </w:p>
          <w:p w14:paraId="7C4EE535" w14:textId="4A10523D" w:rsidR="001B109C" w:rsidRPr="006504B6" w:rsidRDefault="00D22AEA" w:rsidP="006504B6">
            <w:pPr>
              <w:autoSpaceDE w:val="0"/>
              <w:autoSpaceDN w:val="0"/>
              <w:adjustRightInd w:val="0"/>
              <w:spacing w:before="120" w:after="120" w:line="260" w:lineRule="atLeast"/>
              <w:rPr>
                <w:rFonts w:ascii="GothamNarrow-Light" w:hAnsi="GothamNarrow-Light" w:cs="GothamNarrow-Light"/>
              </w:rPr>
            </w:pPr>
            <w:r w:rsidRPr="006504B6">
              <w:rPr>
                <w:rFonts w:eastAsia="Times New Roman" w:cs="Arial"/>
                <w:szCs w:val="24"/>
                <w:lang w:eastAsia="en-AU"/>
              </w:rPr>
              <w:t xml:space="preserve">A project is underway to design an institutional transition framework that will enhance the student learning experience and improve student success outcomes across </w:t>
            </w:r>
            <w:r w:rsidR="00EC0811" w:rsidRPr="006504B6">
              <w:rPr>
                <w:rFonts w:eastAsia="Times New Roman" w:cs="Arial"/>
                <w:szCs w:val="24"/>
                <w:lang w:eastAsia="en-AU"/>
              </w:rPr>
              <w:t>UQ</w:t>
            </w:r>
            <w:r w:rsidR="00AC7C0F" w:rsidRPr="006504B6">
              <w:rPr>
                <w:rFonts w:ascii="GothamNarrow-Light" w:hAnsi="GothamNarrow-Light" w:cs="GothamNarrow-Light"/>
              </w:rPr>
              <w:t>.</w:t>
            </w:r>
            <w:bookmarkEnd w:id="0"/>
            <w:bookmarkEnd w:id="1"/>
          </w:p>
          <w:p w14:paraId="22B87A46" w14:textId="78FD6E59" w:rsidR="001D7C3A" w:rsidRPr="0038512B" w:rsidRDefault="001D7C3A" w:rsidP="00D17211">
            <w:pPr>
              <w:autoSpaceDE w:val="0"/>
              <w:autoSpaceDN w:val="0"/>
              <w:adjustRightInd w:val="0"/>
              <w:spacing w:before="120" w:after="120" w:line="260" w:lineRule="atLeast"/>
              <w:rPr>
                <w:rFonts w:ascii="GothamNarrow-Light" w:hAnsi="GothamNarrow-Light" w:cs="GothamNarrow-Light"/>
              </w:rPr>
            </w:pPr>
            <w:r>
              <w:rPr>
                <w:rFonts w:ascii="GothamNarrow-Light" w:hAnsi="GothamNarrow-Light" w:cs="GothamNarrow-Light"/>
              </w:rPr>
              <w:t>UQ’s</w:t>
            </w:r>
            <w:r w:rsidR="00D17211">
              <w:rPr>
                <w:rFonts w:ascii="GothamNarrow-Light" w:hAnsi="GothamNarrow-Light" w:cs="GothamNarrow-Light"/>
              </w:rPr>
              <w:t xml:space="preserve"> </w:t>
            </w:r>
            <w:r>
              <w:rPr>
                <w:rFonts w:ascii="GothamNarrow-Light" w:hAnsi="GothamNarrow-Light" w:cs="GothamNarrow-Light"/>
              </w:rPr>
              <w:t xml:space="preserve">Equity Plan outlines that the </w:t>
            </w:r>
            <w:r w:rsidR="00D17211">
              <w:rPr>
                <w:rFonts w:ascii="GothamNarrow-Light" w:hAnsi="GothamNarrow-Light" w:cs="GothamNarrow-Light"/>
              </w:rPr>
              <w:t xml:space="preserve">$122,000 </w:t>
            </w:r>
            <w:r>
              <w:rPr>
                <w:rFonts w:ascii="GothamNarrow-Light" w:hAnsi="GothamNarrow-Light" w:cs="GothamNarrow-Light"/>
              </w:rPr>
              <w:t>additional HECG funding will be utilised</w:t>
            </w:r>
            <w:r w:rsidR="00D17211">
              <w:rPr>
                <w:rFonts w:ascii="GothamNarrow-Light" w:hAnsi="GothamNarrow-Light" w:cs="GothamNarrow-Light"/>
              </w:rPr>
              <w:t xml:space="preserve"> for </w:t>
            </w:r>
            <w:r w:rsidR="00D17211" w:rsidRPr="00D17211">
              <w:rPr>
                <w:rFonts w:ascii="GothamNarrow-Light" w:hAnsi="GothamNarrow-Light" w:cs="GothamNarrow-Light"/>
              </w:rPr>
              <w:t>UQ Res Student Accommodation Scholarships</w:t>
            </w:r>
            <w:r w:rsidR="00D17211">
              <w:rPr>
                <w:rFonts w:ascii="GothamNarrow-Light" w:hAnsi="GothamNarrow-Light" w:cs="GothamNarrow-Light"/>
              </w:rPr>
              <w:t>. T</w:t>
            </w:r>
            <w:r w:rsidR="00D17211" w:rsidRPr="00D17211">
              <w:rPr>
                <w:rFonts w:ascii="GothamNarrow-Light" w:hAnsi="GothamNarrow-Light" w:cs="GothamNarrow-Light"/>
              </w:rPr>
              <w:t>h</w:t>
            </w:r>
            <w:r w:rsidR="00D17211">
              <w:rPr>
                <w:rFonts w:ascii="GothamNarrow-Light" w:hAnsi="GothamNarrow-Light" w:cs="GothamNarrow-Light"/>
              </w:rPr>
              <w:t>e</w:t>
            </w:r>
            <w:r w:rsidR="00D17211" w:rsidRPr="00D17211">
              <w:rPr>
                <w:rFonts w:ascii="GothamNarrow-Light" w:hAnsi="GothamNarrow-Light" w:cs="GothamNarrow-Light"/>
              </w:rPr>
              <w:t xml:space="preserve"> scholarship program extend</w:t>
            </w:r>
            <w:r w:rsidR="00D17211">
              <w:rPr>
                <w:rFonts w:ascii="GothamNarrow-Light" w:hAnsi="GothamNarrow-Light" w:cs="GothamNarrow-Light"/>
              </w:rPr>
              <w:t>s</w:t>
            </w:r>
            <w:r w:rsidR="00D17211" w:rsidRPr="00D17211">
              <w:rPr>
                <w:rFonts w:ascii="GothamNarrow-Light" w:hAnsi="GothamNarrow-Light" w:cs="GothamNarrow-Light"/>
              </w:rPr>
              <w:t xml:space="preserve"> existing supports to students from low </w:t>
            </w:r>
            <w:r w:rsidR="00963DA2">
              <w:rPr>
                <w:rFonts w:ascii="GothamNarrow-Light" w:hAnsi="GothamNarrow-Light" w:cs="GothamNarrow-Light"/>
              </w:rPr>
              <w:t>socio-economic</w:t>
            </w:r>
            <w:r w:rsidR="00D17211" w:rsidRPr="00D17211">
              <w:rPr>
                <w:rFonts w:ascii="GothamNarrow-Light" w:hAnsi="GothamNarrow-Light" w:cs="GothamNarrow-Light"/>
              </w:rPr>
              <w:t xml:space="preserve">, rural and regional backgrounds, providing an additional </w:t>
            </w:r>
            <w:r w:rsidR="00D17211">
              <w:rPr>
                <w:rFonts w:ascii="GothamNarrow-Light" w:hAnsi="GothamNarrow-Light" w:cs="GothamNarrow-Light"/>
              </w:rPr>
              <w:t>six</w:t>
            </w:r>
            <w:r w:rsidR="00D17211" w:rsidRPr="00D17211">
              <w:rPr>
                <w:rFonts w:ascii="GothamNarrow-Light" w:hAnsi="GothamNarrow-Light" w:cs="GothamNarrow-Light"/>
              </w:rPr>
              <w:t xml:space="preserve"> spaces for each of 2026 and 2027 (i.e.</w:t>
            </w:r>
            <w:r w:rsidR="0053060C">
              <w:rPr>
                <w:rFonts w:ascii="GothamNarrow-Light" w:hAnsi="GothamNarrow-Light" w:cs="GothamNarrow-Light"/>
              </w:rPr>
              <w:t>,</w:t>
            </w:r>
            <w:r w:rsidR="00D17211" w:rsidRPr="00D17211">
              <w:rPr>
                <w:rFonts w:ascii="GothamNarrow-Light" w:hAnsi="GothamNarrow-Light" w:cs="GothamNarrow-Light"/>
              </w:rPr>
              <w:t xml:space="preserve"> 12 </w:t>
            </w:r>
            <w:r w:rsidR="002E0855">
              <w:rPr>
                <w:rFonts w:ascii="GothamNarrow-Light" w:hAnsi="GothamNarrow-Light" w:cs="GothamNarrow-Light"/>
              </w:rPr>
              <w:t>extra</w:t>
            </w:r>
            <w:r w:rsidR="00D17211" w:rsidRPr="00D17211">
              <w:rPr>
                <w:rFonts w:ascii="GothamNarrow-Light" w:hAnsi="GothamNarrow-Light" w:cs="GothamNarrow-Light"/>
              </w:rPr>
              <w:t xml:space="preserve"> in total).</w:t>
            </w:r>
            <w:r w:rsidR="00D17211">
              <w:rPr>
                <w:rFonts w:ascii="GothamNarrow-Light" w:hAnsi="GothamNarrow-Light" w:cs="GothamNarrow-Light"/>
              </w:rPr>
              <w:t xml:space="preserve"> </w:t>
            </w:r>
            <w:r w:rsidR="00D17211" w:rsidRPr="00D17211">
              <w:rPr>
                <w:rFonts w:ascii="GothamNarrow-Light" w:hAnsi="GothamNarrow-Light" w:cs="GothamNarrow-Light"/>
              </w:rPr>
              <w:t xml:space="preserve">There is emerging evidence that supportive residential programs encourage the ongoing participation of low </w:t>
            </w:r>
            <w:r w:rsidR="00963DA2">
              <w:rPr>
                <w:rFonts w:ascii="GothamNarrow-Light" w:hAnsi="GothamNarrow-Light" w:cs="GothamNarrow-Light"/>
              </w:rPr>
              <w:t>socio-economic</w:t>
            </w:r>
            <w:r w:rsidR="00D17211" w:rsidRPr="00D17211">
              <w:rPr>
                <w:rFonts w:ascii="GothamNarrow-Light" w:hAnsi="GothamNarrow-Light" w:cs="GothamNarrow-Light"/>
              </w:rPr>
              <w:t xml:space="preserve">, rural and regional students in higher education, particularly where students must relocate to access campus-based learning experiences.  </w:t>
            </w:r>
          </w:p>
        </w:tc>
      </w:tr>
      <w:tr w:rsidR="001B109C" w:rsidRPr="00E41388" w14:paraId="39ADE404" w14:textId="77777777" w:rsidTr="00EA41B1">
        <w:trPr>
          <w:cantSplit/>
        </w:trPr>
        <w:tc>
          <w:tcPr>
            <w:tcW w:w="5000" w:type="pct"/>
          </w:tcPr>
          <w:p w14:paraId="5E8BF11E" w14:textId="0E120B78" w:rsidR="001B109C" w:rsidRPr="002A58A5" w:rsidRDefault="001B109C" w:rsidP="00F30BFA">
            <w:pPr>
              <w:pStyle w:val="Heading4"/>
              <w:keepLines w:val="0"/>
              <w:spacing w:before="180" w:after="60"/>
              <w:rPr>
                <w:iCs w:val="0"/>
              </w:rPr>
            </w:pPr>
            <w:r>
              <w:lastRenderedPageBreak/>
              <w:t xml:space="preserve">Strategies for </w:t>
            </w:r>
            <w:r w:rsidR="00F30BFA">
              <w:t>Improving T</w:t>
            </w:r>
            <w:r w:rsidRPr="00E169EE">
              <w:t xml:space="preserve">eaching and </w:t>
            </w:r>
            <w:r w:rsidR="00F30BFA">
              <w:t>L</w:t>
            </w:r>
            <w:r w:rsidRPr="00E169EE">
              <w:t>earning</w:t>
            </w:r>
          </w:p>
        </w:tc>
      </w:tr>
      <w:tr w:rsidR="001B109C" w:rsidRPr="00E41388" w14:paraId="3701A312" w14:textId="77777777" w:rsidTr="00081C21">
        <w:trPr>
          <w:trHeight w:val="50"/>
        </w:trPr>
        <w:tc>
          <w:tcPr>
            <w:tcW w:w="5000" w:type="pct"/>
            <w:tcBorders>
              <w:bottom w:val="single" w:sz="4" w:space="0" w:color="auto"/>
            </w:tcBorders>
          </w:tcPr>
          <w:p w14:paraId="3646E318" w14:textId="5C32A838" w:rsidR="00AE0473" w:rsidRDefault="00963DA2" w:rsidP="003E71EE">
            <w:pPr>
              <w:pStyle w:val="NormalIndent"/>
              <w:spacing w:line="260" w:lineRule="atLeast"/>
              <w:ind w:left="0"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963DA2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UQ has a long-standing reputation for excellence in teaching and learning, consistently recognised through national awards and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positive </w:t>
            </w:r>
            <w:r w:rsidRPr="00963DA2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student feedback.</w:t>
            </w: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</w:t>
            </w:r>
            <w:r w:rsidR="000733C0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UQ has w</w:t>
            </w:r>
            <w:r w:rsidR="000733C0" w:rsidRPr="000733C0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on more Australian Awards for University Teaching than any other university in the country.</w:t>
            </w:r>
            <w:r w:rsidR="000733C0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</w:t>
            </w:r>
            <w:r w:rsidRPr="00963DA2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QILT Student Experience Survey results also place UQ among the nation’s top five universities for teaching.</w:t>
            </w:r>
            <w:r w:rsidR="000733C0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In the 2024 survey, 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78.1% of undergraduate students rated UQ’s </w:t>
            </w: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O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verall</w:t>
            </w: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T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eacher </w:t>
            </w: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Q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uality positively</w:t>
            </w:r>
            <w:r w:rsidR="00AE0473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giving </w:t>
            </w:r>
            <w:r w:rsidR="00AE0473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UQ </w:t>
            </w: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a </w:t>
            </w:r>
            <w:r w:rsidR="00AE0473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national </w:t>
            </w:r>
            <w:r w:rsidR="00AE0473" w:rsidRPr="00AE0473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statistical rank of 5</w:t>
            </w:r>
            <w:r w:rsidR="00AE0473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. 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While for the </w:t>
            </w:r>
            <w:r w:rsidR="00930246" w:rsidRP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Teaching Quality and Engagement Scale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,</w:t>
            </w:r>
            <w:r w:rsidR="00930246" w:rsidRP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</w:t>
            </w:r>
            <w:r w:rsidR="003E71EE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UQ had a national statistical rank of 2, with 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81.5% of</w:t>
            </w:r>
            <w:r w:rsidR="000733C0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 U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Q undergraduates </w:t>
            </w:r>
            <w:r w:rsidR="0053060C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re</w:t>
            </w: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sponding 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positive</w:t>
            </w:r>
            <w:r w:rsidR="0053060C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ly</w:t>
            </w:r>
            <w:r w:rsidR="00930246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. </w:t>
            </w:r>
          </w:p>
          <w:p w14:paraId="7A3DD27E" w14:textId="1C9911E0" w:rsidR="00074976" w:rsidRDefault="0093765C" w:rsidP="003610E4">
            <w:pPr>
              <w:pStyle w:val="NormalIndent"/>
              <w:spacing w:line="260" w:lineRule="atLeast"/>
              <w:ind w:left="0"/>
              <w:contextualSpacing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The</w:t>
            </w:r>
            <w:r>
              <w:rPr>
                <w:rFonts w:cstheme="minorHAnsi"/>
                <w:iCs/>
                <w:color w:val="000000" w:themeColor="text1"/>
              </w:rPr>
              <w:t xml:space="preserve"> </w:t>
            </w:r>
            <w:hyperlink r:id="rId37" w:history="1">
              <w:r w:rsidR="00074976" w:rsidRPr="00FF1928">
                <w:rPr>
                  <w:rStyle w:val="Hyperlink"/>
                  <w:color w:val="000000" w:themeColor="text1"/>
                </w:rPr>
                <w:t>Learning and Student Experience Roadmap</w:t>
              </w:r>
            </w:hyperlink>
            <w:r w:rsidR="00074976">
              <w:rPr>
                <w:color w:val="000000" w:themeColor="text1"/>
              </w:rPr>
              <w:t xml:space="preserve"> </w:t>
            </w:r>
            <w:r w:rsidRPr="0093765C">
              <w:rPr>
                <w:color w:val="000000" w:themeColor="text1"/>
              </w:rPr>
              <w:t>outlines our priorities and focus areas for learning, teaching, and student support, experiences</w:t>
            </w:r>
            <w:r w:rsidR="0053060C">
              <w:rPr>
                <w:color w:val="000000" w:themeColor="text1"/>
              </w:rPr>
              <w:t>,</w:t>
            </w:r>
            <w:r w:rsidRPr="0093765C">
              <w:rPr>
                <w:color w:val="000000" w:themeColor="text1"/>
              </w:rPr>
              <w:t xml:space="preserve"> and engagement through to 2032</w:t>
            </w:r>
            <w:r>
              <w:rPr>
                <w:color w:val="000000" w:themeColor="text1"/>
              </w:rPr>
              <w:t>. Key themes include</w:t>
            </w:r>
            <w:r w:rsidR="00074976">
              <w:rPr>
                <w:color w:val="000000" w:themeColor="text1"/>
              </w:rPr>
              <w:t>:</w:t>
            </w:r>
          </w:p>
          <w:p w14:paraId="5BAACC91" w14:textId="1F879A13" w:rsidR="00074976" w:rsidRDefault="00074976" w:rsidP="003610E4">
            <w:pPr>
              <w:pStyle w:val="NormalIndent"/>
              <w:numPr>
                <w:ilvl w:val="0"/>
                <w:numId w:val="33"/>
              </w:numPr>
              <w:spacing w:line="260" w:lineRule="atLeast"/>
              <w:ind w:left="357" w:hanging="357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074976">
              <w:rPr>
                <w:color w:val="000000" w:themeColor="text1"/>
              </w:rPr>
              <w:t xml:space="preserve">n inclusive and vibrant student community </w:t>
            </w:r>
          </w:p>
          <w:p w14:paraId="6D739831" w14:textId="10EC8DDC" w:rsidR="00074976" w:rsidRDefault="00074976" w:rsidP="003610E4">
            <w:pPr>
              <w:pStyle w:val="NormalIndent"/>
              <w:numPr>
                <w:ilvl w:val="0"/>
                <w:numId w:val="33"/>
              </w:numPr>
              <w:spacing w:line="260" w:lineRule="atLeast"/>
              <w:ind w:left="357" w:hanging="357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074976">
              <w:rPr>
                <w:color w:val="000000" w:themeColor="text1"/>
              </w:rPr>
              <w:t xml:space="preserve">n enriching educational experience </w:t>
            </w:r>
          </w:p>
          <w:p w14:paraId="6FC61B68" w14:textId="326452FC" w:rsidR="00074976" w:rsidRDefault="00074976" w:rsidP="003610E4">
            <w:pPr>
              <w:pStyle w:val="NormalIndent"/>
              <w:numPr>
                <w:ilvl w:val="0"/>
                <w:numId w:val="33"/>
              </w:numPr>
              <w:spacing w:line="260" w:lineRule="atLeast"/>
              <w:ind w:left="357" w:hanging="357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Pr="00074976">
              <w:rPr>
                <w:color w:val="000000" w:themeColor="text1"/>
              </w:rPr>
              <w:t xml:space="preserve">ransformative curricula, pedagogies and assessment </w:t>
            </w:r>
          </w:p>
          <w:p w14:paraId="759EEE62" w14:textId="5C2A3B3D" w:rsidR="00074976" w:rsidRDefault="00074976" w:rsidP="003610E4">
            <w:pPr>
              <w:pStyle w:val="NormalIndent"/>
              <w:numPr>
                <w:ilvl w:val="0"/>
                <w:numId w:val="33"/>
              </w:numPr>
              <w:spacing w:line="260" w:lineRule="atLeast"/>
              <w:ind w:left="357" w:hanging="357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74976">
              <w:rPr>
                <w:color w:val="000000" w:themeColor="text1"/>
              </w:rPr>
              <w:t xml:space="preserve">utstanding, </w:t>
            </w:r>
            <w:r w:rsidR="0053060C">
              <w:rPr>
                <w:color w:val="000000" w:themeColor="text1"/>
              </w:rPr>
              <w:t>purpose-designed</w:t>
            </w:r>
            <w:r w:rsidRPr="00074976">
              <w:rPr>
                <w:color w:val="000000" w:themeColor="text1"/>
              </w:rPr>
              <w:t xml:space="preserve"> learning environments and systems</w:t>
            </w:r>
          </w:p>
          <w:p w14:paraId="7CAB1511" w14:textId="659F2951" w:rsidR="00074976" w:rsidRPr="00074976" w:rsidRDefault="00074976" w:rsidP="003610E4">
            <w:pPr>
              <w:pStyle w:val="NormalIndent"/>
              <w:numPr>
                <w:ilvl w:val="0"/>
                <w:numId w:val="33"/>
              </w:numPr>
              <w:spacing w:line="260" w:lineRule="atLeast"/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074976">
              <w:rPr>
                <w:color w:val="000000" w:themeColor="text1"/>
              </w:rPr>
              <w:t xml:space="preserve">ecognising and rewarding </w:t>
            </w:r>
            <w:proofErr w:type="gramStart"/>
            <w:r w:rsidRPr="00074976">
              <w:rPr>
                <w:color w:val="000000" w:themeColor="text1"/>
              </w:rPr>
              <w:t>innovation, and</w:t>
            </w:r>
            <w:proofErr w:type="gramEnd"/>
            <w:r w:rsidRPr="00074976">
              <w:rPr>
                <w:color w:val="000000" w:themeColor="text1"/>
              </w:rPr>
              <w:t xml:space="preserve"> supporting staff and partners.</w:t>
            </w:r>
          </w:p>
          <w:p w14:paraId="37A82BD8" w14:textId="7FF5F631" w:rsidR="0038512B" w:rsidRPr="0038512B" w:rsidRDefault="0038512B" w:rsidP="003610E4">
            <w:pPr>
              <w:pStyle w:val="NormalIndent"/>
              <w:spacing w:line="260" w:lineRule="atLeast"/>
              <w:ind w:left="0"/>
              <w:contextualSpacing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38512B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 xml:space="preserve">Our 2032 measures of success for teaching and learning, as set out in </w:t>
            </w:r>
            <w:hyperlink r:id="rId38" w:history="1">
              <w:r w:rsidR="0093765C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The U</w:t>
              </w:r>
              <w:r w:rsidR="0093765C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>niversity of Queensland Strategic Plan 2022-2025</w:t>
              </w:r>
            </w:hyperlink>
            <w:r w:rsidRPr="0038512B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, are:</w:t>
            </w:r>
          </w:p>
          <w:p w14:paraId="49A6C2ED" w14:textId="4A718AD8" w:rsidR="0038512B" w:rsidRPr="0038512B" w:rsidRDefault="0038512B" w:rsidP="003610E4">
            <w:pPr>
              <w:pStyle w:val="NormalIndent"/>
              <w:numPr>
                <w:ilvl w:val="0"/>
                <w:numId w:val="34"/>
              </w:numPr>
              <w:spacing w:line="260" w:lineRule="atLeast"/>
              <w:contextualSpacing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38512B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No. 1 in Queensland for graduate employment outcomes three years after completion</w:t>
            </w:r>
          </w:p>
          <w:p w14:paraId="1D90E68D" w14:textId="1CD29A7A" w:rsidR="0038512B" w:rsidRPr="0038512B" w:rsidRDefault="0038512B" w:rsidP="003610E4">
            <w:pPr>
              <w:pStyle w:val="NormalIndent"/>
              <w:numPr>
                <w:ilvl w:val="0"/>
                <w:numId w:val="34"/>
              </w:numPr>
              <w:spacing w:line="260" w:lineRule="atLeast"/>
              <w:contextualSpacing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38512B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Top 5 in Australia for sense of belonging, overall quality of teaching, overall student experience among undergraduate students (as measured in the national Student Experience Survey)</w:t>
            </w:r>
          </w:p>
          <w:p w14:paraId="5AE96AA4" w14:textId="567CFDD4" w:rsidR="0038512B" w:rsidRPr="0038512B" w:rsidRDefault="0038512B" w:rsidP="003610E4">
            <w:pPr>
              <w:pStyle w:val="NormalIndent"/>
              <w:numPr>
                <w:ilvl w:val="0"/>
                <w:numId w:val="34"/>
              </w:numPr>
              <w:spacing w:line="260" w:lineRule="atLeast"/>
              <w:contextualSpacing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38512B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lastRenderedPageBreak/>
              <w:t>50 per cent of bachelor’s graduates will have completed an entrepreneurship, global, volunteering or leadership experience</w:t>
            </w:r>
          </w:p>
          <w:p w14:paraId="47ACF0FE" w14:textId="1422A11C" w:rsidR="0038512B" w:rsidRPr="0038512B" w:rsidRDefault="0038512B" w:rsidP="003610E4">
            <w:pPr>
              <w:pStyle w:val="NormalIndent"/>
              <w:numPr>
                <w:ilvl w:val="0"/>
                <w:numId w:val="34"/>
              </w:numPr>
              <w:spacing w:line="260" w:lineRule="atLeast"/>
              <w:contextualSpacing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38512B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Double our domestic postgraduate coursework commencements to 5,000</w:t>
            </w:r>
          </w:p>
          <w:p w14:paraId="50A60AD4" w14:textId="0F8B62A7" w:rsidR="0038512B" w:rsidRPr="0038512B" w:rsidRDefault="0038512B" w:rsidP="003610E4">
            <w:pPr>
              <w:pStyle w:val="NormalIndent"/>
              <w:numPr>
                <w:ilvl w:val="0"/>
                <w:numId w:val="34"/>
              </w:numPr>
              <w:spacing w:line="260" w:lineRule="atLeast"/>
              <w:contextualSpacing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38512B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10,000 participants per year completing an executive education or short course offering</w:t>
            </w:r>
          </w:p>
          <w:p w14:paraId="51613D96" w14:textId="71544BF9" w:rsidR="0038512B" w:rsidRDefault="0038512B" w:rsidP="003610E4">
            <w:pPr>
              <w:pStyle w:val="NormalIndent"/>
              <w:numPr>
                <w:ilvl w:val="0"/>
                <w:numId w:val="34"/>
              </w:numPr>
              <w:spacing w:line="260" w:lineRule="atLeast"/>
              <w:ind w:left="357" w:hanging="357"/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</w:pPr>
            <w:r w:rsidRPr="0038512B">
              <w:rPr>
                <w:rFonts w:asciiTheme="minorHAnsi" w:hAnsiTheme="minorHAnsi" w:cstheme="minorHAnsi"/>
                <w:iCs/>
                <w:color w:val="000000" w:themeColor="text1"/>
                <w:szCs w:val="22"/>
              </w:rPr>
              <w:t>45% market share of domestic undergraduate first preferences for students with an ATAR rank above 90.</w:t>
            </w:r>
          </w:p>
          <w:p w14:paraId="3EFF2720" w14:textId="221BC13E" w:rsidR="00B33791" w:rsidRPr="00B33791" w:rsidRDefault="003610E4" w:rsidP="00B33791">
            <w:pPr>
              <w:pStyle w:val="BodyText"/>
              <w:rPr>
                <w:rFonts w:cs="Calibri"/>
                <w:iCs/>
                <w:color w:val="000000" w:themeColor="text1"/>
              </w:rPr>
            </w:pPr>
            <w:r w:rsidRPr="003610E4">
              <w:rPr>
                <w:rStyle w:val="Strong"/>
                <w:b w:val="0"/>
                <w:bCs w:val="0"/>
              </w:rPr>
              <w:t xml:space="preserve">UQ is currently developing its 2026–2029 strategic plan and will update its </w:t>
            </w:r>
            <w:r>
              <w:rPr>
                <w:rStyle w:val="Strong"/>
                <w:b w:val="0"/>
                <w:bCs w:val="0"/>
              </w:rPr>
              <w:t>teaching and learning objectives</w:t>
            </w:r>
            <w:r w:rsidR="00A02B3B">
              <w:rPr>
                <w:rStyle w:val="Strong"/>
                <w:b w:val="0"/>
                <w:bCs w:val="0"/>
              </w:rPr>
              <w:t xml:space="preserve">, </w:t>
            </w:r>
            <w:r>
              <w:rPr>
                <w:rStyle w:val="Strong"/>
                <w:b w:val="0"/>
                <w:bCs w:val="0"/>
              </w:rPr>
              <w:t>strategies</w:t>
            </w:r>
            <w:r w:rsidR="00A02B3B">
              <w:rPr>
                <w:rStyle w:val="Strong"/>
                <w:b w:val="0"/>
                <w:bCs w:val="0"/>
              </w:rPr>
              <w:t xml:space="preserve"> and performance measures. We </w:t>
            </w:r>
            <w:r w:rsidR="00B33791">
              <w:rPr>
                <w:rStyle w:val="Strong"/>
                <w:b w:val="0"/>
                <w:bCs w:val="0"/>
              </w:rPr>
              <w:t>remain committed to</w:t>
            </w:r>
            <w:r w:rsidR="0093765C">
              <w:rPr>
                <w:rStyle w:val="Strong"/>
                <w:b w:val="0"/>
                <w:bCs w:val="0"/>
              </w:rPr>
              <w:t xml:space="preserve"> developing</w:t>
            </w:r>
            <w:r w:rsidR="00B33791">
              <w:rPr>
                <w:rStyle w:val="Strong"/>
                <w:b w:val="0"/>
                <w:bCs w:val="0"/>
              </w:rPr>
              <w:t xml:space="preserve"> </w:t>
            </w:r>
            <w:r w:rsidR="0093765C" w:rsidRPr="0038512B">
              <w:rPr>
                <w:rFonts w:cstheme="minorHAnsi"/>
                <w:iCs/>
                <w:color w:val="000000" w:themeColor="text1"/>
              </w:rPr>
              <w:t>highly sought-after graduates</w:t>
            </w:r>
            <w:r w:rsidR="002E0855">
              <w:rPr>
                <w:rFonts w:cstheme="minorHAnsi"/>
                <w:iCs/>
                <w:color w:val="000000" w:themeColor="text1"/>
              </w:rPr>
              <w:t xml:space="preserve"> who are ready to succeed in the workforce through diverse,</w:t>
            </w:r>
            <w:r w:rsidR="009B24F2" w:rsidRPr="009B24F2">
              <w:rPr>
                <w:rFonts w:cstheme="minorHAnsi"/>
                <w:iCs/>
                <w:color w:val="000000" w:themeColor="text1"/>
              </w:rPr>
              <w:t xml:space="preserve"> future-focused educational experiences</w:t>
            </w:r>
            <w:r w:rsidR="00B33791" w:rsidRPr="00B33791">
              <w:rPr>
                <w:rFonts w:cs="Calibri"/>
                <w:iCs/>
                <w:color w:val="000000" w:themeColor="text1"/>
              </w:rPr>
              <w:t>.</w:t>
            </w:r>
          </w:p>
          <w:p w14:paraId="20FCDFFE" w14:textId="604EB1EC" w:rsidR="00B33791" w:rsidRPr="003E3BF5" w:rsidRDefault="00B33791" w:rsidP="00B33791">
            <w:pPr>
              <w:pStyle w:val="BodyText"/>
              <w:contextualSpacing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T</w:t>
            </w:r>
            <w:r w:rsidRPr="003E3BF5">
              <w:rPr>
                <w:rFonts w:ascii="Calibri" w:hAnsi="Calibri" w:cs="Calibri"/>
                <w:spacing w:val="-2"/>
              </w:rPr>
              <w:t>o proactively support students at risk of disengaging</w:t>
            </w:r>
            <w:r w:rsidR="000733C0">
              <w:rPr>
                <w:rFonts w:ascii="Calibri" w:hAnsi="Calibri" w:cs="Calibri"/>
                <w:spacing w:val="-2"/>
              </w:rPr>
              <w:t xml:space="preserve">, UQ launched </w:t>
            </w:r>
            <w:r w:rsidRPr="003E3BF5">
              <w:rPr>
                <w:rFonts w:ascii="Calibri" w:hAnsi="Calibri" w:cs="Calibri"/>
                <w:spacing w:val="-2"/>
              </w:rPr>
              <w:t>the Early Intervention Support Initiative (EISI) 2021</w:t>
            </w:r>
            <w:r w:rsidR="005403EC">
              <w:rPr>
                <w:rFonts w:ascii="Calibri" w:hAnsi="Calibri" w:cs="Calibri"/>
                <w:spacing w:val="-2"/>
              </w:rPr>
              <w:t xml:space="preserve">, refining it in </w:t>
            </w:r>
            <w:r w:rsidRPr="003E3BF5">
              <w:rPr>
                <w:rFonts w:ascii="Calibri" w:hAnsi="Calibri" w:cs="Calibri"/>
                <w:spacing w:val="-2"/>
              </w:rPr>
              <w:t xml:space="preserve">2024 </w:t>
            </w:r>
            <w:r w:rsidR="005403EC">
              <w:rPr>
                <w:rFonts w:ascii="Calibri" w:hAnsi="Calibri" w:cs="Calibri"/>
                <w:spacing w:val="-2"/>
              </w:rPr>
              <w:t>to align with the</w:t>
            </w:r>
            <w:r w:rsidRPr="003E3BF5">
              <w:rPr>
                <w:rFonts w:ascii="Calibri" w:hAnsi="Calibri" w:cs="Calibri"/>
                <w:spacing w:val="-2"/>
              </w:rPr>
              <w:t xml:space="preserve"> </w:t>
            </w:r>
            <w:r w:rsidRPr="005403EC">
              <w:rPr>
                <w:rFonts w:ascii="Calibri" w:hAnsi="Calibri" w:cs="Calibri"/>
                <w:i/>
                <w:iCs/>
                <w:spacing w:val="-2"/>
              </w:rPr>
              <w:t xml:space="preserve">Higher Education </w:t>
            </w:r>
            <w:r w:rsidRPr="003E3BF5">
              <w:rPr>
                <w:rFonts w:ascii="Calibri" w:hAnsi="Calibri" w:cs="Calibri"/>
                <w:i/>
                <w:iCs/>
                <w:spacing w:val="-2"/>
              </w:rPr>
              <w:t>Support Act 2023</w:t>
            </w:r>
            <w:r w:rsidRPr="003E3BF5">
              <w:rPr>
                <w:rFonts w:ascii="Calibri" w:hAnsi="Calibri" w:cs="Calibri"/>
                <w:spacing w:val="-2"/>
              </w:rPr>
              <w:t xml:space="preserve">. </w:t>
            </w:r>
            <w:r w:rsidR="005403EC" w:rsidRPr="005403EC">
              <w:rPr>
                <w:rFonts w:ascii="Calibri" w:hAnsi="Calibri" w:cs="Calibri"/>
                <w:spacing w:val="-2"/>
              </w:rPr>
              <w:t>Inspired by Georgia State’s predictive analytics model, EISI aims to</w:t>
            </w:r>
            <w:r w:rsidRPr="003E3BF5">
              <w:rPr>
                <w:rFonts w:ascii="Calibri" w:hAnsi="Calibri" w:cs="Calibri"/>
                <w:spacing w:val="-2"/>
              </w:rPr>
              <w:t>:</w:t>
            </w:r>
          </w:p>
          <w:p w14:paraId="100CCED2" w14:textId="5EC92DEC" w:rsidR="005403EC" w:rsidRDefault="005403EC" w:rsidP="00B33791">
            <w:pPr>
              <w:pStyle w:val="ListBullet"/>
              <w:numPr>
                <w:ilvl w:val="0"/>
                <w:numId w:val="36"/>
              </w:numPr>
              <w:spacing w:before="120" w:after="120" w:line="260" w:lineRule="atLeast"/>
              <w:ind w:left="284" w:hanging="284"/>
              <w:rPr>
                <w:rFonts w:ascii="Calibri" w:hAnsi="Calibri" w:cs="Calibri"/>
                <w:spacing w:val="-2"/>
              </w:rPr>
            </w:pPr>
            <w:r w:rsidRPr="005403EC">
              <w:rPr>
                <w:rFonts w:ascii="Calibri" w:hAnsi="Calibri" w:cs="Calibri"/>
                <w:spacing w:val="-2"/>
              </w:rPr>
              <w:t xml:space="preserve">Use data to identify students facing academic challenges and </w:t>
            </w:r>
            <w:r w:rsidR="00B20A74">
              <w:rPr>
                <w:rFonts w:ascii="Calibri" w:hAnsi="Calibri" w:cs="Calibri"/>
                <w:spacing w:val="-2"/>
              </w:rPr>
              <w:t xml:space="preserve">contact them </w:t>
            </w:r>
            <w:r w:rsidRPr="005403EC">
              <w:rPr>
                <w:rFonts w:ascii="Calibri" w:hAnsi="Calibri" w:cs="Calibri"/>
                <w:spacing w:val="-2"/>
              </w:rPr>
              <w:t xml:space="preserve">before census to connect them with relevant support and help them make informed study </w:t>
            </w:r>
            <w:r w:rsidR="0053060C">
              <w:rPr>
                <w:rFonts w:ascii="Calibri" w:hAnsi="Calibri" w:cs="Calibri"/>
                <w:spacing w:val="-2"/>
              </w:rPr>
              <w:t>decisions.</w:t>
            </w:r>
          </w:p>
          <w:p w14:paraId="7D904007" w14:textId="180AEFB6" w:rsidR="00B33791" w:rsidRPr="003E3BF5" w:rsidRDefault="00B33791" w:rsidP="00B33791">
            <w:pPr>
              <w:pStyle w:val="ListBullet"/>
              <w:numPr>
                <w:ilvl w:val="0"/>
                <w:numId w:val="36"/>
              </w:numPr>
              <w:spacing w:before="120" w:after="120" w:line="260" w:lineRule="atLeast"/>
              <w:ind w:left="284" w:hanging="284"/>
              <w:rPr>
                <w:rFonts w:ascii="Calibri" w:hAnsi="Calibri" w:cs="Calibri"/>
                <w:spacing w:val="-2"/>
              </w:rPr>
            </w:pPr>
            <w:r w:rsidRPr="003E3BF5">
              <w:rPr>
                <w:rFonts w:ascii="Calibri" w:hAnsi="Calibri" w:cs="Calibri"/>
                <w:spacing w:val="-2"/>
              </w:rPr>
              <w:t>Implement initiatives to improve student outcomes, reduce academic progression warnings, and prevent unnecessary fee</w:t>
            </w:r>
            <w:r w:rsidR="005403EC">
              <w:rPr>
                <w:rFonts w:ascii="Calibri" w:hAnsi="Calibri" w:cs="Calibri"/>
                <w:spacing w:val="-2"/>
              </w:rPr>
              <w:t>s.</w:t>
            </w:r>
          </w:p>
          <w:p w14:paraId="21F538F7" w14:textId="4407CEBF" w:rsidR="00B33791" w:rsidRPr="003E3BF5" w:rsidRDefault="005403EC" w:rsidP="00B33791">
            <w:pPr>
              <w:pStyle w:val="ListBullet"/>
              <w:numPr>
                <w:ilvl w:val="0"/>
                <w:numId w:val="36"/>
              </w:numPr>
              <w:spacing w:before="120" w:after="120" w:line="260" w:lineRule="atLeast"/>
              <w:ind w:left="284" w:hanging="284"/>
              <w:contextualSpacing w:val="0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A</w:t>
            </w:r>
            <w:r w:rsidR="00B33791" w:rsidRPr="003E3BF5">
              <w:rPr>
                <w:rFonts w:ascii="Calibri" w:hAnsi="Calibri" w:cs="Calibri"/>
                <w:spacing w:val="-2"/>
              </w:rPr>
              <w:t>nalyse data to refine methods and report outcomes.</w:t>
            </w:r>
          </w:p>
          <w:p w14:paraId="456A8FF8" w14:textId="1D9910A0" w:rsidR="003E71EE" w:rsidRDefault="00930246" w:rsidP="003E71EE">
            <w:pPr>
              <w:pStyle w:val="NormalIndent"/>
              <w:spacing w:line="260" w:lineRule="atLeast"/>
              <w:ind w:left="0"/>
            </w:pPr>
            <w:r>
              <w:rPr>
                <w:rFonts w:cs="Calibri"/>
                <w:iCs/>
                <w:color w:val="000000" w:themeColor="text1"/>
                <w:szCs w:val="22"/>
              </w:rPr>
              <w:t xml:space="preserve">UQ has developed </w:t>
            </w:r>
            <w:r w:rsidR="0053060C">
              <w:rPr>
                <w:rFonts w:cs="Calibri"/>
                <w:iCs/>
                <w:color w:val="000000" w:themeColor="text1"/>
                <w:szCs w:val="22"/>
              </w:rPr>
              <w:t xml:space="preserve">a </w:t>
            </w:r>
            <w:r w:rsidRPr="003938F6">
              <w:t>whole-of-institution approach to enabling AI readiness and resilience</w:t>
            </w:r>
            <w:r>
              <w:t xml:space="preserve">: </w:t>
            </w:r>
            <w:hyperlink r:id="rId39" w:history="1">
              <w:r w:rsidR="00286FCE" w:rsidRPr="00526996">
                <w:rPr>
                  <w:rStyle w:val="Hyperlink"/>
                  <w:i/>
                  <w:iCs/>
                </w:rPr>
                <w:t>Lead through Learning: UQ’s AI Education Action Plan 2025–2027</w:t>
              </w:r>
            </w:hyperlink>
            <w:r w:rsidR="00286FCE" w:rsidRPr="003938F6">
              <w:t>. The plan is shaped by four strategic priorities: preparing learners for an AI-shaped future; enabling educators to teach with AI; innovating curriculum and assessment; and leading change through collaboration across the sector.</w:t>
            </w:r>
          </w:p>
          <w:p w14:paraId="74D1FDC7" w14:textId="7D24BCB7" w:rsidR="003E71EE" w:rsidRPr="007E3E37" w:rsidRDefault="000D5A65" w:rsidP="000D5A65">
            <w:pPr>
              <w:pStyle w:val="NormalIndent"/>
              <w:spacing w:line="260" w:lineRule="atLeast"/>
              <w:ind w:left="0"/>
              <w:rPr>
                <w:rFonts w:asciiTheme="minorHAnsi" w:hAnsiTheme="minorHAnsi" w:cstheme="minorHAnsi"/>
                <w:i/>
                <w:color w:val="FF0000"/>
                <w:szCs w:val="22"/>
              </w:rPr>
            </w:pPr>
            <w:r>
              <w:rPr>
                <w:iCs/>
                <w:color w:val="000000" w:themeColor="text1"/>
              </w:rPr>
              <w:t>T</w:t>
            </w:r>
            <w:r w:rsidR="003E71EE" w:rsidRPr="00B651F0">
              <w:rPr>
                <w:iCs/>
                <w:color w:val="000000" w:themeColor="text1"/>
              </w:rPr>
              <w:t>o address Accord recommendation 31</w:t>
            </w:r>
            <w:r w:rsidR="006B1939">
              <w:rPr>
                <w:iCs/>
                <w:color w:val="000000" w:themeColor="text1"/>
              </w:rPr>
              <w:t>—</w:t>
            </w:r>
            <w:r w:rsidR="00526996">
              <w:rPr>
                <w:iCs/>
                <w:color w:val="000000" w:themeColor="text1"/>
              </w:rPr>
              <w:t>'</w:t>
            </w:r>
            <w:r w:rsidR="003E71EE" w:rsidRPr="000D5A65">
              <w:rPr>
                <w:iCs/>
                <w:color w:val="000000" w:themeColor="text1"/>
              </w:rPr>
              <w:t>Improve workforce capability and capacity, through professional learning and teaching standards for academics and minimum teaching qualifications for higher education teaching roles</w:t>
            </w:r>
            <w:r w:rsidR="00526996">
              <w:rPr>
                <w:iCs/>
                <w:color w:val="000000" w:themeColor="text1"/>
              </w:rPr>
              <w:t>’</w:t>
            </w:r>
            <w:r w:rsidR="006B1939">
              <w:rPr>
                <w:iCs/>
                <w:color w:val="000000" w:themeColor="text1"/>
              </w:rPr>
              <w:t>—</w:t>
            </w:r>
            <w:r w:rsidRPr="00B651F0">
              <w:rPr>
                <w:iCs/>
                <w:color w:val="000000" w:themeColor="text1"/>
              </w:rPr>
              <w:t xml:space="preserve">UQ </w:t>
            </w:r>
            <w:r>
              <w:rPr>
                <w:iCs/>
                <w:color w:val="000000" w:themeColor="text1"/>
              </w:rPr>
              <w:t xml:space="preserve">offers </w:t>
            </w:r>
            <w:r w:rsidRPr="00B651F0">
              <w:rPr>
                <w:iCs/>
                <w:color w:val="000000" w:themeColor="text1"/>
              </w:rPr>
              <w:t>a Graduate Certificate in University Teaching Practice</w:t>
            </w:r>
            <w:r>
              <w:rPr>
                <w:i/>
                <w:color w:val="000000" w:themeColor="text1"/>
              </w:rPr>
              <w:t>.</w:t>
            </w:r>
            <w:r w:rsidR="003E71EE">
              <w:rPr>
                <w:iCs/>
                <w:color w:val="000000" w:themeColor="text1"/>
              </w:rPr>
              <w:t xml:space="preserve"> </w:t>
            </w:r>
            <w:r w:rsidRPr="000D5A65">
              <w:rPr>
                <w:iCs/>
                <w:color w:val="000000" w:themeColor="text1"/>
              </w:rPr>
              <w:t>The program, provided at no cost to all UQ staff with teaching responsibilities, models personalised and flexible approaches to supporting student learning</w:t>
            </w:r>
            <w:r>
              <w:rPr>
                <w:iCs/>
                <w:color w:val="000000" w:themeColor="text1"/>
              </w:rPr>
              <w:t>. It is a</w:t>
            </w:r>
            <w:r w:rsidR="003E71EE" w:rsidRPr="00B651F0">
              <w:rPr>
                <w:iCs/>
                <w:color w:val="000000" w:themeColor="text1"/>
              </w:rPr>
              <w:t xml:space="preserve">ccredited to meet </w:t>
            </w:r>
            <w:r w:rsidR="00526996">
              <w:rPr>
                <w:iCs/>
                <w:color w:val="000000" w:themeColor="text1"/>
              </w:rPr>
              <w:t xml:space="preserve">the </w:t>
            </w:r>
            <w:r w:rsidR="003E71EE" w:rsidRPr="00B651F0">
              <w:rPr>
                <w:iCs/>
                <w:color w:val="000000" w:themeColor="text1"/>
              </w:rPr>
              <w:t xml:space="preserve">requirements for </w:t>
            </w:r>
            <w:r w:rsidR="002E0855">
              <w:rPr>
                <w:iCs/>
                <w:color w:val="000000" w:themeColor="text1"/>
              </w:rPr>
              <w:t>recognition as a Higher Education Academy Associate Fellow or Fellow</w:t>
            </w:r>
            <w:r w:rsidR="003E71EE" w:rsidRPr="00B651F0">
              <w:rPr>
                <w:iCs/>
                <w:color w:val="000000" w:themeColor="text1"/>
              </w:rPr>
              <w:t>.</w:t>
            </w:r>
          </w:p>
        </w:tc>
      </w:tr>
      <w:tr w:rsidR="001B109C" w:rsidRPr="00E41388" w14:paraId="3EB68E1B" w14:textId="77777777" w:rsidTr="00EA41B1">
        <w:trPr>
          <w:cantSplit/>
        </w:trPr>
        <w:tc>
          <w:tcPr>
            <w:tcW w:w="5000" w:type="pct"/>
          </w:tcPr>
          <w:p w14:paraId="54D9B30B" w14:textId="09B691CB" w:rsidR="001B109C" w:rsidRPr="00E169EE" w:rsidRDefault="001B109C" w:rsidP="00F30BFA">
            <w:pPr>
              <w:pStyle w:val="Heading4"/>
              <w:keepLines w:val="0"/>
              <w:spacing w:before="180" w:after="60"/>
            </w:pPr>
            <w:r>
              <w:lastRenderedPageBreak/>
              <w:t xml:space="preserve">Strategies for </w:t>
            </w:r>
            <w:r w:rsidR="006F2406">
              <w:t>I</w:t>
            </w:r>
            <w:r>
              <w:t xml:space="preserve">mproving </w:t>
            </w:r>
            <w:r w:rsidRPr="00E169EE">
              <w:t>Re</w:t>
            </w:r>
            <w:r w:rsidR="00F30BFA">
              <w:t>search,</w:t>
            </w:r>
            <w:r>
              <w:t xml:space="preserve"> </w:t>
            </w:r>
            <w:r w:rsidR="00F30BFA">
              <w:t>R</w:t>
            </w:r>
            <w:r>
              <w:t xml:space="preserve">esearch </w:t>
            </w:r>
            <w:r w:rsidR="00F30BFA">
              <w:t>T</w:t>
            </w:r>
            <w:r>
              <w:t xml:space="preserve">raining, and </w:t>
            </w:r>
            <w:r w:rsidR="00F30BFA">
              <w:t>I</w:t>
            </w:r>
            <w:r>
              <w:t>nnovation</w:t>
            </w:r>
          </w:p>
        </w:tc>
      </w:tr>
      <w:tr w:rsidR="001B109C" w:rsidRPr="00E41388" w14:paraId="0DB3C874" w14:textId="77777777" w:rsidTr="002E43C6">
        <w:tc>
          <w:tcPr>
            <w:tcW w:w="5000" w:type="pct"/>
          </w:tcPr>
          <w:p w14:paraId="67E9E001" w14:textId="5A702196" w:rsidR="0038512B" w:rsidRDefault="0038512B" w:rsidP="00747591">
            <w:pPr>
              <w:spacing w:before="120" w:after="120" w:line="260" w:lineRule="atLeast"/>
              <w:ind w:left="-20" w:right="-23"/>
              <w:contextualSpacing/>
            </w:pPr>
            <w:r w:rsidRPr="61119591">
              <w:rPr>
                <w:rFonts w:ascii="Calibri" w:eastAsia="Calibri" w:hAnsi="Calibri" w:cs="Calibri"/>
              </w:rPr>
              <w:t xml:space="preserve">UQ’s </w:t>
            </w:r>
            <w:hyperlink r:id="rId40">
              <w:r w:rsidRPr="61119591">
                <w:rPr>
                  <w:rStyle w:val="Hyperlink"/>
                  <w:rFonts w:ascii="Calibri" w:eastAsia="Calibri" w:hAnsi="Calibri" w:cs="Calibri"/>
                  <w:color w:val="7F4594"/>
                </w:rPr>
                <w:t>Research Roadmap 2023-2032</w:t>
              </w:r>
            </w:hyperlink>
            <w:r w:rsidRPr="61119591">
              <w:rPr>
                <w:rFonts w:ascii="Calibri" w:eastAsia="Calibri" w:hAnsi="Calibri" w:cs="Calibri"/>
              </w:rPr>
              <w:t xml:space="preserve"> outlines UQ’s decadal ambition to create change across the varied dimensions of research and innovation. The </w:t>
            </w:r>
            <w:proofErr w:type="gramStart"/>
            <w:r w:rsidRPr="61119591">
              <w:rPr>
                <w:rFonts w:ascii="Calibri" w:eastAsia="Calibri" w:hAnsi="Calibri" w:cs="Calibri"/>
              </w:rPr>
              <w:t>Roadmap</w:t>
            </w:r>
            <w:proofErr w:type="gramEnd"/>
            <w:r w:rsidRPr="61119591">
              <w:rPr>
                <w:rFonts w:ascii="Calibri" w:eastAsia="Calibri" w:hAnsi="Calibri" w:cs="Calibri"/>
              </w:rPr>
              <w:t xml:space="preserve"> identifies priorities and actions to enhance UQ’s research leadership and impact across four pillars: </w:t>
            </w:r>
          </w:p>
          <w:p w14:paraId="425AB3A6" w14:textId="366A9EB6" w:rsidR="0038512B" w:rsidRDefault="0038512B" w:rsidP="00747591">
            <w:pPr>
              <w:pStyle w:val="ListParagraph"/>
              <w:numPr>
                <w:ilvl w:val="0"/>
                <w:numId w:val="30"/>
              </w:numPr>
              <w:spacing w:before="120" w:after="120" w:line="260" w:lineRule="atLeast"/>
              <w:ind w:left="357" w:right="-23" w:hanging="357"/>
              <w:contextualSpacing w:val="0"/>
            </w:pPr>
            <w:r w:rsidRPr="00747591">
              <w:rPr>
                <w:rFonts w:ascii="Calibri" w:eastAsia="Calibri" w:hAnsi="Calibri" w:cs="Calibri"/>
                <w:b/>
                <w:bCs/>
              </w:rPr>
              <w:t xml:space="preserve">Researchers and Research Culture: </w:t>
            </w:r>
            <w:r w:rsidR="006B1939" w:rsidRPr="006B1939">
              <w:rPr>
                <w:rFonts w:ascii="Calibri" w:eastAsia="Calibri" w:hAnsi="Calibri" w:cs="Calibri"/>
              </w:rPr>
              <w:t>UQ’s success is built on the talent and creativity of its staff.</w:t>
            </w:r>
            <w:r w:rsidRPr="00747591">
              <w:rPr>
                <w:rFonts w:ascii="Calibri" w:eastAsia="Calibri" w:hAnsi="Calibri" w:cs="Calibri"/>
              </w:rPr>
              <w:t xml:space="preserve"> Our development programs support academic researchers and research professionals </w:t>
            </w:r>
            <w:r w:rsidR="002E0855">
              <w:rPr>
                <w:rFonts w:ascii="Calibri" w:eastAsia="Calibri" w:hAnsi="Calibri" w:cs="Calibri"/>
              </w:rPr>
              <w:t>in growing their capabilities, enabling them to capitalise on</w:t>
            </w:r>
            <w:r w:rsidRPr="00747591">
              <w:rPr>
                <w:rFonts w:ascii="Calibri" w:eastAsia="Calibri" w:hAnsi="Calibri" w:cs="Calibri"/>
              </w:rPr>
              <w:t xml:space="preserve"> new opportunities. Truth and inclusivity are critical elements of UQ’s </w:t>
            </w:r>
            <w:r w:rsidR="0093765C" w:rsidRPr="00747591">
              <w:rPr>
                <w:rFonts w:ascii="Calibri" w:eastAsia="Calibri" w:hAnsi="Calibri" w:cs="Calibri"/>
              </w:rPr>
              <w:t>values,</w:t>
            </w:r>
            <w:r w:rsidRPr="00747591">
              <w:rPr>
                <w:rFonts w:ascii="Calibri" w:eastAsia="Calibri" w:hAnsi="Calibri" w:cs="Calibri"/>
              </w:rPr>
              <w:t xml:space="preserve"> and </w:t>
            </w:r>
            <w:r w:rsidR="006B1939">
              <w:rPr>
                <w:rFonts w:ascii="Calibri" w:eastAsia="Calibri" w:hAnsi="Calibri" w:cs="Calibri"/>
              </w:rPr>
              <w:t xml:space="preserve">we </w:t>
            </w:r>
            <w:r w:rsidRPr="00747591">
              <w:rPr>
                <w:rFonts w:ascii="Calibri" w:eastAsia="Calibri" w:hAnsi="Calibri" w:cs="Calibri"/>
              </w:rPr>
              <w:t>build on UQ’s commitment to research integrity and data management to develop our responsible research culture and commitment to open research. We continue to embed UQ’s Academic and Development Framework</w:t>
            </w:r>
            <w:r w:rsidR="006B1939">
              <w:rPr>
                <w:rFonts w:ascii="Calibri" w:eastAsia="Calibri" w:hAnsi="Calibri" w:cs="Calibri"/>
              </w:rPr>
              <w:t xml:space="preserve">, which </w:t>
            </w:r>
            <w:r w:rsidRPr="00747591">
              <w:rPr>
                <w:rFonts w:ascii="Calibri" w:eastAsia="Calibri" w:hAnsi="Calibri" w:cs="Calibri"/>
              </w:rPr>
              <w:t xml:space="preserve">emphasises </w:t>
            </w:r>
            <w:r w:rsidR="006B1939">
              <w:rPr>
                <w:rFonts w:ascii="Calibri" w:eastAsia="Calibri" w:hAnsi="Calibri" w:cs="Calibri"/>
              </w:rPr>
              <w:t xml:space="preserve">that </w:t>
            </w:r>
            <w:r w:rsidRPr="00747591">
              <w:rPr>
                <w:rFonts w:ascii="Calibri" w:eastAsia="Calibri" w:hAnsi="Calibri" w:cs="Calibri"/>
              </w:rPr>
              <w:t>academic success can be gained through</w:t>
            </w:r>
            <w:r w:rsidR="00ED589A">
              <w:rPr>
                <w:rFonts w:ascii="Calibri" w:eastAsia="Calibri" w:hAnsi="Calibri" w:cs="Calibri"/>
              </w:rPr>
              <w:t xml:space="preserve"> a variety</w:t>
            </w:r>
            <w:r w:rsidR="003F0589">
              <w:rPr>
                <w:rFonts w:ascii="Calibri" w:eastAsia="Calibri" w:hAnsi="Calibri" w:cs="Calibri"/>
              </w:rPr>
              <w:t xml:space="preserve"> of pathways, including</w:t>
            </w:r>
            <w:r w:rsidRPr="00747591">
              <w:rPr>
                <w:rFonts w:ascii="Calibri" w:eastAsia="Calibri" w:hAnsi="Calibri" w:cs="Calibri"/>
              </w:rPr>
              <w:t xml:space="preserve"> industry engagement and commercialisation.</w:t>
            </w:r>
            <w:r w:rsidRPr="00747591">
              <w:rPr>
                <w:rFonts w:ascii="Calibri" w:eastAsia="Calibri" w:hAnsi="Calibri" w:cs="Calibri"/>
                <w:i/>
                <w:iCs/>
                <w:color w:val="FF0000"/>
              </w:rPr>
              <w:t xml:space="preserve"> </w:t>
            </w:r>
          </w:p>
          <w:p w14:paraId="2F52E802" w14:textId="0E9A2E20" w:rsidR="0038512B" w:rsidRDefault="0038512B" w:rsidP="00747591">
            <w:pPr>
              <w:pStyle w:val="ListParagraph"/>
              <w:numPr>
                <w:ilvl w:val="0"/>
                <w:numId w:val="30"/>
              </w:numPr>
              <w:spacing w:before="120" w:after="120" w:line="260" w:lineRule="atLeast"/>
              <w:ind w:left="357" w:right="-23" w:hanging="357"/>
            </w:pPr>
            <w:r w:rsidRPr="00747591">
              <w:rPr>
                <w:rFonts w:ascii="Calibri" w:eastAsia="Calibri" w:hAnsi="Calibri" w:cs="Calibri"/>
                <w:b/>
                <w:bCs/>
              </w:rPr>
              <w:t xml:space="preserve">Research and Innovation Enabling Capabilities and Commercialisation: </w:t>
            </w:r>
            <w:r w:rsidRPr="00747591">
              <w:rPr>
                <w:rFonts w:ascii="Calibri" w:eastAsia="Calibri" w:hAnsi="Calibri" w:cs="Calibri"/>
              </w:rPr>
              <w:t xml:space="preserve">UQ is recognised for the impact of its research and has had outstanding success in commercialisation. Our Research Roadmap emphasises </w:t>
            </w:r>
            <w:r w:rsidR="0053060C">
              <w:rPr>
                <w:rFonts w:ascii="Calibri" w:eastAsia="Calibri" w:hAnsi="Calibri" w:cs="Calibri"/>
              </w:rPr>
              <w:t>high-quality</w:t>
            </w:r>
            <w:r w:rsidRPr="00747591">
              <w:rPr>
                <w:rFonts w:ascii="Calibri" w:eastAsia="Calibri" w:hAnsi="Calibri" w:cs="Calibri"/>
              </w:rPr>
              <w:t xml:space="preserve"> research, knowledge exchange and end-user impact. As a leading public research university, UQ also </w:t>
            </w:r>
            <w:r w:rsidR="006B1939">
              <w:rPr>
                <w:rFonts w:ascii="Calibri" w:eastAsia="Calibri" w:hAnsi="Calibri" w:cs="Calibri"/>
              </w:rPr>
              <w:t xml:space="preserve">plays </w:t>
            </w:r>
            <w:r w:rsidRPr="00747591">
              <w:rPr>
                <w:rFonts w:ascii="Calibri" w:eastAsia="Calibri" w:hAnsi="Calibri" w:cs="Calibri"/>
              </w:rPr>
              <w:t xml:space="preserve">a </w:t>
            </w:r>
            <w:r w:rsidR="002E0855">
              <w:rPr>
                <w:rFonts w:ascii="Calibri" w:eastAsia="Calibri" w:hAnsi="Calibri" w:cs="Calibri"/>
              </w:rPr>
              <w:t>significant</w:t>
            </w:r>
            <w:r w:rsidRPr="00747591">
              <w:rPr>
                <w:rFonts w:ascii="Calibri" w:eastAsia="Calibri" w:hAnsi="Calibri" w:cs="Calibri"/>
              </w:rPr>
              <w:t xml:space="preserve"> role in </w:t>
            </w:r>
            <w:r w:rsidR="002E0855">
              <w:rPr>
                <w:rFonts w:ascii="Calibri" w:eastAsia="Calibri" w:hAnsi="Calibri" w:cs="Calibri"/>
              </w:rPr>
              <w:t xml:space="preserve">collaborating at the state and national levels to address the </w:t>
            </w:r>
            <w:r w:rsidRPr="00747591">
              <w:rPr>
                <w:rFonts w:ascii="Calibri" w:eastAsia="Calibri" w:hAnsi="Calibri" w:cs="Calibri"/>
              </w:rPr>
              <w:t xml:space="preserve">complex challenges facing Australia. An impact focus </w:t>
            </w:r>
            <w:r w:rsidRPr="00747591">
              <w:rPr>
                <w:rFonts w:ascii="Calibri" w:eastAsia="Calibri" w:hAnsi="Calibri" w:cs="Calibri"/>
              </w:rPr>
              <w:lastRenderedPageBreak/>
              <w:t xml:space="preserve">enables researchers to engage productively with partners to develop research collaborations, co-create new knowledge and solutions, and translate ideas into products.   </w:t>
            </w:r>
            <w:r w:rsidR="0070372E">
              <w:rPr>
                <w:rFonts w:ascii="Calibri" w:eastAsia="Calibri" w:hAnsi="Calibri" w:cs="Calibri"/>
              </w:rPr>
              <w:br/>
            </w:r>
          </w:p>
          <w:p w14:paraId="615A8729" w14:textId="0C617558" w:rsidR="0038512B" w:rsidRPr="009B24F2" w:rsidRDefault="0038512B" w:rsidP="00747591">
            <w:pPr>
              <w:pStyle w:val="ListParagraph"/>
              <w:numPr>
                <w:ilvl w:val="0"/>
                <w:numId w:val="30"/>
              </w:numPr>
              <w:spacing w:before="120" w:after="120" w:line="260" w:lineRule="atLeast"/>
              <w:ind w:left="357" w:right="-23" w:hanging="357"/>
              <w:rPr>
                <w:rFonts w:ascii="Calibri" w:eastAsia="Calibri" w:hAnsi="Calibri" w:cs="Calibri"/>
              </w:rPr>
            </w:pPr>
            <w:r w:rsidRPr="009B24F2">
              <w:rPr>
                <w:rFonts w:ascii="Calibri" w:eastAsia="Calibri" w:hAnsi="Calibri" w:cs="Calibri"/>
                <w:b/>
                <w:bCs/>
              </w:rPr>
              <w:t xml:space="preserve">Research Infrastructure, Systems and Precincts: </w:t>
            </w:r>
            <w:r w:rsidRPr="009B24F2">
              <w:rPr>
                <w:rFonts w:ascii="Calibri" w:eastAsia="Calibri" w:hAnsi="Calibri" w:cs="Calibri"/>
              </w:rPr>
              <w:t>To ensure that UQ stays at the leading edge in research</w:t>
            </w:r>
            <w:r w:rsidR="0053060C" w:rsidRPr="009B24F2">
              <w:rPr>
                <w:rFonts w:ascii="Calibri" w:eastAsia="Calibri" w:hAnsi="Calibri" w:cs="Calibri"/>
              </w:rPr>
              <w:t>,</w:t>
            </w:r>
            <w:r w:rsidRPr="009B24F2">
              <w:rPr>
                <w:rFonts w:ascii="Calibri" w:eastAsia="Calibri" w:hAnsi="Calibri" w:cs="Calibri"/>
              </w:rPr>
              <w:t xml:space="preserve"> we </w:t>
            </w:r>
            <w:r w:rsidR="006B1939" w:rsidRPr="009B24F2">
              <w:rPr>
                <w:rFonts w:ascii="Calibri" w:eastAsia="Calibri" w:hAnsi="Calibri" w:cs="Calibri"/>
              </w:rPr>
              <w:t xml:space="preserve">must </w:t>
            </w:r>
            <w:r w:rsidRPr="009B24F2">
              <w:rPr>
                <w:rFonts w:ascii="Calibri" w:eastAsia="Calibri" w:hAnsi="Calibri" w:cs="Calibri"/>
              </w:rPr>
              <w:t>provide our researchers with the tools, systems</w:t>
            </w:r>
            <w:r w:rsidR="009B24F2" w:rsidRPr="009B24F2">
              <w:rPr>
                <w:rFonts w:ascii="Calibri" w:eastAsia="Calibri" w:hAnsi="Calibri" w:cs="Calibri"/>
              </w:rPr>
              <w:t>,</w:t>
            </w:r>
            <w:r w:rsidRPr="009B24F2">
              <w:rPr>
                <w:rFonts w:ascii="Calibri" w:eastAsia="Calibri" w:hAnsi="Calibri" w:cs="Calibri"/>
              </w:rPr>
              <w:t xml:space="preserve"> and support they need to excel. </w:t>
            </w:r>
            <w:r w:rsidR="005C763F" w:rsidRPr="009B24F2">
              <w:rPr>
                <w:rFonts w:ascii="Calibri" w:eastAsia="Calibri" w:hAnsi="Calibri" w:cs="Calibri"/>
              </w:rPr>
              <w:t xml:space="preserve">We will build and maintain integrated </w:t>
            </w:r>
            <w:r w:rsidR="00300B82">
              <w:rPr>
                <w:rFonts w:ascii="Calibri" w:eastAsia="Calibri" w:hAnsi="Calibri" w:cs="Calibri"/>
              </w:rPr>
              <w:t>and sustainable</w:t>
            </w:r>
            <w:r w:rsidR="005C763F" w:rsidRPr="009B24F2">
              <w:rPr>
                <w:rFonts w:ascii="Calibri" w:eastAsia="Calibri" w:hAnsi="Calibri" w:cs="Calibri"/>
              </w:rPr>
              <w:t xml:space="preserve"> research infrastructure and digital platforms</w:t>
            </w:r>
            <w:r w:rsidR="00300B82">
              <w:rPr>
                <w:rFonts w:ascii="Calibri" w:eastAsia="Calibri" w:hAnsi="Calibri" w:cs="Calibri"/>
              </w:rPr>
              <w:t xml:space="preserve"> that meet the needs of </w:t>
            </w:r>
            <w:r w:rsidR="005C763F" w:rsidRPr="009B24F2">
              <w:rPr>
                <w:rFonts w:ascii="Calibri" w:eastAsia="Calibri" w:hAnsi="Calibri" w:cs="Calibri"/>
              </w:rPr>
              <w:t xml:space="preserve">UQ and Queensland. </w:t>
            </w:r>
            <w:r w:rsidRPr="009B24F2">
              <w:rPr>
                <w:rFonts w:ascii="Calibri" w:eastAsia="Calibri" w:hAnsi="Calibri" w:cs="Calibri"/>
              </w:rPr>
              <w:t xml:space="preserve">We will </w:t>
            </w:r>
            <w:r w:rsidR="00B20A74">
              <w:rPr>
                <w:rFonts w:ascii="Calibri" w:eastAsia="Calibri" w:hAnsi="Calibri" w:cs="Calibri"/>
              </w:rPr>
              <w:t xml:space="preserve">support </w:t>
            </w:r>
            <w:r w:rsidRPr="009B24F2">
              <w:rPr>
                <w:rFonts w:ascii="Calibri" w:eastAsia="Calibri" w:hAnsi="Calibri" w:cs="Calibri"/>
              </w:rPr>
              <w:t xml:space="preserve">the skilled research specialists who </w:t>
            </w:r>
            <w:r w:rsidR="0070372E">
              <w:rPr>
                <w:rFonts w:ascii="Calibri" w:eastAsia="Calibri" w:hAnsi="Calibri" w:cs="Calibri"/>
              </w:rPr>
              <w:t>manage</w:t>
            </w:r>
            <w:r w:rsidR="0070372E" w:rsidRPr="009B24F2">
              <w:rPr>
                <w:rFonts w:ascii="Calibri" w:eastAsia="Calibri" w:hAnsi="Calibri" w:cs="Calibri"/>
              </w:rPr>
              <w:t xml:space="preserve"> </w:t>
            </w:r>
            <w:r w:rsidR="00B20A74">
              <w:rPr>
                <w:rFonts w:ascii="Calibri" w:eastAsia="Calibri" w:hAnsi="Calibri" w:cs="Calibri"/>
              </w:rPr>
              <w:t xml:space="preserve">our </w:t>
            </w:r>
            <w:r w:rsidRPr="009B24F2">
              <w:rPr>
                <w:rFonts w:ascii="Calibri" w:eastAsia="Calibri" w:hAnsi="Calibri" w:cs="Calibri"/>
              </w:rPr>
              <w:t xml:space="preserve">research infrastructure through clear career pathways and development opportunities. </w:t>
            </w:r>
            <w:r w:rsidR="00B20A74" w:rsidRPr="00B20A74">
              <w:rPr>
                <w:rFonts w:ascii="Calibri" w:eastAsia="Calibri" w:hAnsi="Calibri" w:cs="Calibri"/>
              </w:rPr>
              <w:t xml:space="preserve">In addition to NCRIS facilities, </w:t>
            </w:r>
            <w:r w:rsidR="00300B82">
              <w:rPr>
                <w:rFonts w:ascii="Calibri" w:eastAsia="Calibri" w:hAnsi="Calibri" w:cs="Calibri"/>
              </w:rPr>
              <w:t xml:space="preserve">we </w:t>
            </w:r>
            <w:r w:rsidR="00B20A74" w:rsidRPr="00B20A74">
              <w:rPr>
                <w:rFonts w:ascii="Calibri" w:eastAsia="Calibri" w:hAnsi="Calibri" w:cs="Calibri"/>
              </w:rPr>
              <w:t xml:space="preserve">will continue to strengthen </w:t>
            </w:r>
            <w:r w:rsidR="00300B82">
              <w:rPr>
                <w:rFonts w:ascii="Calibri" w:eastAsia="Calibri" w:hAnsi="Calibri" w:cs="Calibri"/>
              </w:rPr>
              <w:t xml:space="preserve">our </w:t>
            </w:r>
            <w:r w:rsidR="00B20A74" w:rsidRPr="00B20A74">
              <w:rPr>
                <w:rFonts w:ascii="Calibri" w:eastAsia="Calibri" w:hAnsi="Calibri" w:cs="Calibri"/>
              </w:rPr>
              <w:t>Collaborative Research Platforms, which are professionally managed, state-of-the-art facilities available for shared use across UQ and with external partners.</w:t>
            </w:r>
          </w:p>
          <w:p w14:paraId="419F01AD" w14:textId="22DAA906" w:rsidR="0038512B" w:rsidRDefault="0038512B" w:rsidP="0093765C">
            <w:pPr>
              <w:spacing w:before="120" w:after="120" w:line="260" w:lineRule="atLeast"/>
              <w:ind w:left="357" w:right="-23"/>
              <w:contextualSpacing/>
            </w:pPr>
            <w:r w:rsidRPr="61119591">
              <w:rPr>
                <w:rFonts w:ascii="Calibri" w:eastAsia="Calibri" w:hAnsi="Calibri" w:cs="Calibri"/>
              </w:rPr>
              <w:t xml:space="preserve">UQ is committed to building our translational research capabilities and industry partnerships through leadership and participation in innovation precincts. </w:t>
            </w:r>
            <w:r w:rsidR="00747591">
              <w:rPr>
                <w:rFonts w:ascii="Calibri" w:eastAsia="Calibri" w:hAnsi="Calibri" w:cs="Calibri"/>
              </w:rPr>
              <w:t>During 2024</w:t>
            </w:r>
            <w:r w:rsidR="0053060C">
              <w:rPr>
                <w:rFonts w:ascii="Calibri" w:eastAsia="Calibri" w:hAnsi="Calibri" w:cs="Calibri"/>
              </w:rPr>
              <w:t>,</w:t>
            </w:r>
            <w:r w:rsidR="00747591">
              <w:rPr>
                <w:rFonts w:ascii="Calibri" w:eastAsia="Calibri" w:hAnsi="Calibri" w:cs="Calibri"/>
              </w:rPr>
              <w:t xml:space="preserve"> we</w:t>
            </w:r>
            <w:r w:rsidRPr="61119591">
              <w:rPr>
                <w:rFonts w:ascii="Calibri" w:eastAsia="Calibri" w:hAnsi="Calibri" w:cs="Calibri"/>
              </w:rPr>
              <w:t xml:space="preserve"> expand</w:t>
            </w:r>
            <w:r w:rsidR="00747591">
              <w:rPr>
                <w:rFonts w:ascii="Calibri" w:eastAsia="Calibri" w:hAnsi="Calibri" w:cs="Calibri"/>
              </w:rPr>
              <w:t>ed</w:t>
            </w:r>
            <w:r w:rsidRPr="61119591">
              <w:rPr>
                <w:rFonts w:ascii="Calibri" w:eastAsia="Calibri" w:hAnsi="Calibri" w:cs="Calibri"/>
              </w:rPr>
              <w:t xml:space="preserve"> our translational partnerships at Dutton Park campus to underpin the Queensland Government’s vision for the </w:t>
            </w:r>
            <w:proofErr w:type="spellStart"/>
            <w:r w:rsidRPr="61119591">
              <w:rPr>
                <w:rFonts w:ascii="Calibri" w:eastAsia="Calibri" w:hAnsi="Calibri" w:cs="Calibri"/>
              </w:rPr>
              <w:t>Boggo</w:t>
            </w:r>
            <w:proofErr w:type="spellEnd"/>
            <w:r w:rsidRPr="61119591">
              <w:rPr>
                <w:rFonts w:ascii="Calibri" w:eastAsia="Calibri" w:hAnsi="Calibri" w:cs="Calibri"/>
              </w:rPr>
              <w:t xml:space="preserve"> Road Innovation Precinct. </w:t>
            </w:r>
            <w:r w:rsidRPr="61119591">
              <w:rPr>
                <w:rFonts w:ascii="Calibri" w:eastAsia="Calibri" w:hAnsi="Calibri" w:cs="Calibri"/>
                <w:i/>
                <w:iCs/>
                <w:color w:val="FF0000"/>
              </w:rPr>
              <w:t xml:space="preserve"> </w:t>
            </w:r>
          </w:p>
          <w:p w14:paraId="0C102065" w14:textId="29AB3131" w:rsidR="0038512B" w:rsidRPr="00BC0080" w:rsidRDefault="0038512B" w:rsidP="00747591">
            <w:pPr>
              <w:pStyle w:val="ListParagraph"/>
              <w:numPr>
                <w:ilvl w:val="0"/>
                <w:numId w:val="30"/>
              </w:numPr>
              <w:spacing w:before="120" w:after="120" w:line="260" w:lineRule="atLeast"/>
              <w:ind w:left="357" w:right="-23" w:hanging="357"/>
              <w:rPr>
                <w:rFonts w:ascii="Calibri" w:eastAsia="Calibri" w:hAnsi="Calibri" w:cs="Calibri"/>
                <w:b/>
                <w:bCs/>
              </w:rPr>
            </w:pPr>
            <w:r w:rsidRPr="61119591">
              <w:rPr>
                <w:rFonts w:ascii="Calibri" w:eastAsia="Calibri" w:hAnsi="Calibri" w:cs="Calibri"/>
                <w:b/>
                <w:bCs/>
              </w:rPr>
              <w:t>Research Investment and Cross-disciplinary Collaboration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00BC0080">
              <w:rPr>
                <w:rFonts w:ascii="Calibri" w:eastAsia="Calibri" w:hAnsi="Calibri" w:cs="Calibri"/>
              </w:rPr>
              <w:t xml:space="preserve">UQ has </w:t>
            </w:r>
            <w:r w:rsidR="0070372E">
              <w:rPr>
                <w:rFonts w:ascii="Calibri" w:eastAsia="Calibri" w:hAnsi="Calibri" w:cs="Calibri"/>
              </w:rPr>
              <w:t>one of the</w:t>
            </w:r>
            <w:r w:rsidR="0070372E" w:rsidRPr="00BC0080">
              <w:rPr>
                <w:rFonts w:ascii="Calibri" w:eastAsia="Calibri" w:hAnsi="Calibri" w:cs="Calibri"/>
              </w:rPr>
              <w:t xml:space="preserve"> </w:t>
            </w:r>
            <w:r w:rsidRPr="00BC0080">
              <w:rPr>
                <w:rFonts w:ascii="Calibri" w:eastAsia="Calibri" w:hAnsi="Calibri" w:cs="Calibri"/>
              </w:rPr>
              <w:t xml:space="preserve">most comprehensive discipline </w:t>
            </w:r>
            <w:r w:rsidR="002E0855">
              <w:rPr>
                <w:rFonts w:ascii="Calibri" w:eastAsia="Calibri" w:hAnsi="Calibri" w:cs="Calibri"/>
              </w:rPr>
              <w:t>profiles</w:t>
            </w:r>
            <w:r w:rsidRPr="00BC0080">
              <w:rPr>
                <w:rFonts w:ascii="Calibri" w:eastAsia="Calibri" w:hAnsi="Calibri" w:cs="Calibri"/>
              </w:rPr>
              <w:t xml:space="preserve"> of any </w:t>
            </w:r>
            <w:r w:rsidR="00B20A74">
              <w:rPr>
                <w:rFonts w:ascii="Calibri" w:eastAsia="Calibri" w:hAnsi="Calibri" w:cs="Calibri"/>
              </w:rPr>
              <w:t>u</w:t>
            </w:r>
            <w:r w:rsidRPr="00BC0080">
              <w:rPr>
                <w:rFonts w:ascii="Calibri" w:eastAsia="Calibri" w:hAnsi="Calibri" w:cs="Calibri"/>
              </w:rPr>
              <w:t xml:space="preserve">niversity within Australia. This positions us </w:t>
            </w:r>
            <w:r w:rsidR="002E0855">
              <w:rPr>
                <w:rFonts w:ascii="Calibri" w:eastAsia="Calibri" w:hAnsi="Calibri" w:cs="Calibri"/>
              </w:rPr>
              <w:t>exceptionally</w:t>
            </w:r>
            <w:r w:rsidRPr="00BC0080">
              <w:rPr>
                <w:rFonts w:ascii="Calibri" w:eastAsia="Calibri" w:hAnsi="Calibri" w:cs="Calibri"/>
              </w:rPr>
              <w:t xml:space="preserve"> well to deliver cross-sectoral</w:t>
            </w:r>
            <w:r w:rsidR="002E0855">
              <w:rPr>
                <w:rFonts w:ascii="Calibri" w:eastAsia="Calibri" w:hAnsi="Calibri" w:cs="Calibri"/>
              </w:rPr>
              <w:t>, mission-driven research that aligns with industry, government, and community priorities, as well as the</w:t>
            </w:r>
            <w:r w:rsidRPr="00BC0080">
              <w:rPr>
                <w:rFonts w:ascii="Calibri" w:eastAsia="Calibri" w:hAnsi="Calibri" w:cs="Calibri"/>
              </w:rPr>
              <w:t xml:space="preserve"> UN Sustainable Development Goals</w:t>
            </w:r>
            <w:r w:rsidR="00B20A74">
              <w:rPr>
                <w:rFonts w:ascii="Calibri" w:eastAsia="Calibri" w:hAnsi="Calibri" w:cs="Calibri"/>
              </w:rPr>
              <w:t xml:space="preserve">. The </w:t>
            </w:r>
            <w:r w:rsidRPr="00BC0080">
              <w:rPr>
                <w:rFonts w:ascii="Calibri" w:eastAsia="Calibri" w:hAnsi="Calibri" w:cs="Calibri"/>
              </w:rPr>
              <w:t xml:space="preserve">implementation of our new </w:t>
            </w:r>
            <w:hyperlink r:id="rId41" w:history="1">
              <w:r w:rsidRPr="00BC0080">
                <w:rPr>
                  <w:rStyle w:val="Hyperlink"/>
                  <w:rFonts w:ascii="Calibri" w:eastAsia="Calibri" w:hAnsi="Calibri" w:cs="Calibri"/>
                </w:rPr>
                <w:t>Research Centres and Research Networks Policy</w:t>
              </w:r>
            </w:hyperlink>
            <w:r w:rsidRPr="00BC0080">
              <w:rPr>
                <w:rFonts w:ascii="Calibri" w:eastAsia="Calibri" w:hAnsi="Calibri" w:cs="Calibri"/>
              </w:rPr>
              <w:t xml:space="preserve"> incentivises cross-disciplinary collaboration.</w:t>
            </w:r>
          </w:p>
          <w:p w14:paraId="550F4EDF" w14:textId="10C91099" w:rsidR="0038512B" w:rsidRDefault="0038512B" w:rsidP="00747591">
            <w:pPr>
              <w:spacing w:before="120" w:after="120" w:line="260" w:lineRule="atLeast"/>
              <w:ind w:left="-20" w:right="-23"/>
              <w:contextualSpacing/>
            </w:pPr>
            <w:r w:rsidRPr="61119591">
              <w:rPr>
                <w:rFonts w:ascii="Calibri" w:eastAsia="Calibri" w:hAnsi="Calibri" w:cs="Calibri"/>
              </w:rPr>
              <w:t xml:space="preserve">Our 2032 measures of success for research, as set out in </w:t>
            </w:r>
            <w:hyperlink r:id="rId42" w:history="1">
              <w:r w:rsidR="0093765C" w:rsidRPr="00FF1928">
                <w:rPr>
                  <w:rStyle w:val="Hyperlink"/>
                  <w:rFonts w:cstheme="minorHAnsi"/>
                  <w:color w:val="000000" w:themeColor="text1"/>
                </w:rPr>
                <w:t>The University of Queensland Strategic Plan 2022-2025</w:t>
              </w:r>
            </w:hyperlink>
            <w:r w:rsidRPr="61119591">
              <w:rPr>
                <w:rFonts w:ascii="Calibri" w:eastAsia="Calibri" w:hAnsi="Calibri" w:cs="Calibri"/>
              </w:rPr>
              <w:t>, are:</w:t>
            </w:r>
          </w:p>
          <w:p w14:paraId="086ED0B5" w14:textId="77777777" w:rsidR="002E43C6" w:rsidRDefault="0038512B" w:rsidP="00747591">
            <w:pPr>
              <w:pStyle w:val="ListParagraph"/>
              <w:numPr>
                <w:ilvl w:val="0"/>
                <w:numId w:val="31"/>
              </w:numPr>
              <w:spacing w:before="120" w:after="120" w:line="260" w:lineRule="atLeast"/>
              <w:ind w:right="-23"/>
              <w:rPr>
                <w:rFonts w:ascii="Calibri" w:eastAsia="Calibri" w:hAnsi="Calibri" w:cs="Calibri"/>
              </w:rPr>
            </w:pPr>
            <w:r w:rsidRPr="00203562">
              <w:rPr>
                <w:rFonts w:ascii="Calibri" w:eastAsia="Calibri" w:hAnsi="Calibri" w:cs="Calibri"/>
              </w:rPr>
              <w:t>Top 50 in the Aggregate Ranking of Top Universities</w:t>
            </w:r>
          </w:p>
          <w:p w14:paraId="122BF610" w14:textId="77777777" w:rsidR="001B109C" w:rsidRPr="00A02B3B" w:rsidRDefault="0038512B" w:rsidP="00747591">
            <w:pPr>
              <w:pStyle w:val="ListParagraph"/>
              <w:numPr>
                <w:ilvl w:val="0"/>
                <w:numId w:val="31"/>
              </w:numPr>
              <w:spacing w:before="120" w:after="120" w:line="260" w:lineRule="atLeast"/>
              <w:ind w:right="-23"/>
              <w:rPr>
                <w:rFonts w:ascii="Calibri" w:eastAsia="Calibri" w:hAnsi="Calibri" w:cs="Calibri"/>
              </w:rPr>
            </w:pPr>
            <w:r w:rsidRPr="002E43C6">
              <w:rPr>
                <w:rFonts w:eastAsia="Calibri" w:cs="Calibri"/>
              </w:rPr>
              <w:t>Number 1 nationally in commercialisation and top 5 per cent globally for commercialisation of university IP.</w:t>
            </w:r>
          </w:p>
          <w:p w14:paraId="40DA31C2" w14:textId="79A1C21B" w:rsidR="00A02B3B" w:rsidRPr="0093765C" w:rsidRDefault="00A02B3B" w:rsidP="00A02B3B">
            <w:pPr>
              <w:spacing w:before="120" w:after="120" w:line="260" w:lineRule="atLeast"/>
              <w:ind w:right="-23"/>
            </w:pPr>
            <w:r w:rsidRPr="003610E4">
              <w:rPr>
                <w:rStyle w:val="Strong"/>
                <w:b w:val="0"/>
                <w:bCs w:val="0"/>
              </w:rPr>
              <w:t xml:space="preserve">UQ is currently developing its 2026–2029 strategic plan and will update its </w:t>
            </w:r>
            <w:r>
              <w:rPr>
                <w:rStyle w:val="Strong"/>
                <w:b w:val="0"/>
                <w:bCs w:val="0"/>
              </w:rPr>
              <w:t>research and innovation objectives, strategies</w:t>
            </w:r>
            <w:r w:rsidR="0053060C">
              <w:rPr>
                <w:rStyle w:val="Strong"/>
                <w:b w:val="0"/>
                <w:bCs w:val="0"/>
              </w:rPr>
              <w:t>,</w:t>
            </w:r>
            <w:r>
              <w:rPr>
                <w:rStyle w:val="Strong"/>
                <w:b w:val="0"/>
                <w:bCs w:val="0"/>
              </w:rPr>
              <w:t xml:space="preserve"> and performance measures. We remain committed to leveraging the </w:t>
            </w:r>
            <w:r w:rsidRPr="00A02B3B">
              <w:rPr>
                <w:rStyle w:val="Strong"/>
                <w:b w:val="0"/>
                <w:bCs w:val="0"/>
              </w:rPr>
              <w:t xml:space="preserve">breadth and depth of </w:t>
            </w:r>
            <w:r w:rsidR="0093765C" w:rsidRPr="00526996">
              <w:rPr>
                <w:rStyle w:val="Strong"/>
                <w:b w:val="0"/>
                <w:bCs w:val="0"/>
              </w:rPr>
              <w:t xml:space="preserve">our </w:t>
            </w:r>
            <w:r w:rsidRPr="00526996">
              <w:rPr>
                <w:rStyle w:val="Strong"/>
                <w:b w:val="0"/>
                <w:bCs w:val="0"/>
              </w:rPr>
              <w:t>research capabilities and vibrant precincts to address the world’s</w:t>
            </w:r>
            <w:r w:rsidR="00526996" w:rsidRPr="00526996">
              <w:rPr>
                <w:rStyle w:val="Strong"/>
                <w:b w:val="0"/>
                <w:bCs w:val="0"/>
              </w:rPr>
              <w:t xml:space="preserve"> most pressing challenges</w:t>
            </w:r>
            <w:r w:rsidR="0094012A" w:rsidRPr="0094012A">
              <w:t xml:space="preserve">. </w:t>
            </w:r>
          </w:p>
        </w:tc>
      </w:tr>
      <w:tr w:rsidR="001B109C" w:rsidRPr="00E41388" w14:paraId="23C06863" w14:textId="77777777" w:rsidTr="00EA41B1">
        <w:trPr>
          <w:cantSplit/>
        </w:trPr>
        <w:tc>
          <w:tcPr>
            <w:tcW w:w="5000" w:type="pct"/>
          </w:tcPr>
          <w:p w14:paraId="451DCFF9" w14:textId="3BDD3562" w:rsidR="001B109C" w:rsidRPr="00E169EE" w:rsidRDefault="00F30BFA" w:rsidP="00F30BFA">
            <w:pPr>
              <w:pStyle w:val="Heading4"/>
              <w:keepLines w:val="0"/>
              <w:spacing w:before="180" w:after="60"/>
            </w:pPr>
            <w:r>
              <w:lastRenderedPageBreak/>
              <w:t>S</w:t>
            </w:r>
            <w:r w:rsidR="001B109C" w:rsidRPr="00045147">
              <w:t>trategies for</w:t>
            </w:r>
            <w:r w:rsidR="001B109C" w:rsidRPr="0011467F">
              <w:t xml:space="preserve"> </w:t>
            </w:r>
            <w:r>
              <w:t>E</w:t>
            </w:r>
            <w:r w:rsidR="001B109C" w:rsidRPr="0011467F">
              <w:t xml:space="preserve">ngaging with </w:t>
            </w:r>
            <w:r>
              <w:t>I</w:t>
            </w:r>
            <w:r w:rsidR="001B109C" w:rsidRPr="0011467F">
              <w:t>ndustry</w:t>
            </w:r>
          </w:p>
        </w:tc>
      </w:tr>
      <w:tr w:rsidR="001B109C" w:rsidRPr="00E41388" w14:paraId="37972037" w14:textId="77777777" w:rsidTr="002E43C6">
        <w:tc>
          <w:tcPr>
            <w:tcW w:w="5000" w:type="pct"/>
          </w:tcPr>
          <w:p w14:paraId="3466C278" w14:textId="77777777" w:rsidR="0038512B" w:rsidRDefault="0038512B" w:rsidP="0093765C">
            <w:pPr>
              <w:pStyle w:val="NormalIndent"/>
              <w:spacing w:line="260" w:lineRule="atLeast"/>
              <w:ind w:left="0"/>
              <w:rPr>
                <w:rFonts w:asciiTheme="minorHAnsi" w:hAnsiTheme="minorHAnsi" w:cstheme="minorHAnsi"/>
                <w:iCs/>
                <w:szCs w:val="22"/>
              </w:rPr>
            </w:pPr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UQ seeks to build partnerships with industry that incorporate long-term research programs, </w:t>
            </w:r>
            <w:r>
              <w:rPr>
                <w:rFonts w:asciiTheme="minorHAnsi" w:hAnsiTheme="minorHAnsi" w:cstheme="minorHAnsi"/>
                <w:iCs/>
                <w:szCs w:val="22"/>
              </w:rPr>
              <w:t>higher degree by research (HDR)</w:t>
            </w:r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 student supervision, staff exchange, and teaching programs. These partnerships seek to drive value (impact) into our industry, government, and community partners. </w:t>
            </w:r>
          </w:p>
          <w:p w14:paraId="49F3BA31" w14:textId="278AF161" w:rsidR="0038512B" w:rsidRPr="00090C4F" w:rsidRDefault="0038512B" w:rsidP="0093765C">
            <w:pPr>
              <w:pStyle w:val="NormalIndent"/>
              <w:spacing w:line="260" w:lineRule="atLeast"/>
              <w:ind w:left="0"/>
              <w:rPr>
                <w:rFonts w:asciiTheme="minorHAnsi" w:hAnsiTheme="minorHAnsi" w:cstheme="minorBidi"/>
              </w:rPr>
            </w:pPr>
            <w:proofErr w:type="gramStart"/>
            <w:r w:rsidRPr="00090C4F">
              <w:rPr>
                <w:rFonts w:asciiTheme="minorHAnsi" w:hAnsiTheme="minorHAnsi" w:cstheme="minorHAnsi"/>
                <w:iCs/>
                <w:szCs w:val="22"/>
              </w:rPr>
              <w:t>UQ’s</w:t>
            </w:r>
            <w:proofErr w:type="gramEnd"/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="00E82D55">
              <w:rPr>
                <w:rFonts w:asciiTheme="minorHAnsi" w:hAnsiTheme="minorHAnsi" w:cstheme="minorHAnsi"/>
                <w:iCs/>
                <w:szCs w:val="22"/>
              </w:rPr>
              <w:t>recently established</w:t>
            </w:r>
            <w:r w:rsidR="00E82D55" w:rsidRPr="00090C4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bookmarkStart w:id="2" w:name="_Hlk210717510"/>
            <w:r w:rsidR="005C763F" w:rsidRPr="00022EA5">
              <w:rPr>
                <w:rFonts w:asciiTheme="minorHAnsi" w:hAnsiTheme="minorHAnsi" w:cstheme="minorHAnsi"/>
                <w:iCs/>
                <w:szCs w:val="22"/>
              </w:rPr>
              <w:t xml:space="preserve">Strategic </w:t>
            </w:r>
            <w:r w:rsidR="0076384E" w:rsidRPr="00022EA5">
              <w:rPr>
                <w:rFonts w:asciiTheme="minorHAnsi" w:hAnsiTheme="minorHAnsi" w:cstheme="minorHAnsi"/>
                <w:iCs/>
                <w:szCs w:val="22"/>
              </w:rPr>
              <w:t xml:space="preserve">Partnerships </w:t>
            </w:r>
            <w:bookmarkEnd w:id="2"/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function drives </w:t>
            </w:r>
            <w:r w:rsidR="002E0855">
              <w:rPr>
                <w:rFonts w:asciiTheme="minorHAnsi" w:hAnsiTheme="minorHAnsi" w:cstheme="minorHAnsi"/>
                <w:iCs/>
                <w:szCs w:val="22"/>
              </w:rPr>
              <w:t>significant</w:t>
            </w:r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 research partnerships and supports further development of </w:t>
            </w:r>
            <w:r w:rsidR="0053060C">
              <w:rPr>
                <w:rFonts w:asciiTheme="minorHAnsi" w:hAnsiTheme="minorHAnsi" w:cstheme="minorHAnsi"/>
                <w:iCs/>
                <w:szCs w:val="22"/>
              </w:rPr>
              <w:t>demand-driven</w:t>
            </w:r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 research at UQ</w:t>
            </w:r>
            <w:r w:rsidR="00790970">
              <w:rPr>
                <w:rFonts w:asciiTheme="minorHAnsi" w:hAnsiTheme="minorHAnsi" w:cstheme="minorHAnsi"/>
                <w:iCs/>
                <w:szCs w:val="22"/>
              </w:rPr>
              <w:t>. It does this</w:t>
            </w:r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 through </w:t>
            </w:r>
            <w:r w:rsidR="0053060C">
              <w:rPr>
                <w:rFonts w:asciiTheme="minorHAnsi" w:hAnsiTheme="minorHAnsi" w:cstheme="minorHAnsi"/>
                <w:iCs/>
                <w:szCs w:val="22"/>
              </w:rPr>
              <w:t xml:space="preserve">the </w:t>
            </w:r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development of </w:t>
            </w:r>
            <w:r w:rsidR="0070372E">
              <w:rPr>
                <w:rFonts w:asciiTheme="minorHAnsi" w:hAnsiTheme="minorHAnsi" w:cstheme="minorHAnsi"/>
                <w:iCs/>
                <w:szCs w:val="22"/>
              </w:rPr>
              <w:t xml:space="preserve">major </w:t>
            </w:r>
            <w:r w:rsidRPr="00090C4F">
              <w:rPr>
                <w:rFonts w:asciiTheme="minorHAnsi" w:hAnsiTheme="minorHAnsi" w:cstheme="minorHAnsi"/>
                <w:iCs/>
                <w:szCs w:val="22"/>
              </w:rPr>
              <w:t>portfolios of work</w:t>
            </w:r>
            <w:r w:rsidR="008B37A6">
              <w:rPr>
                <w:rFonts w:asciiTheme="minorHAnsi" w:hAnsiTheme="minorHAnsi" w:cstheme="minorHAnsi"/>
                <w:iCs/>
                <w:szCs w:val="22"/>
              </w:rPr>
              <w:t xml:space="preserve"> across discipline areas</w:t>
            </w:r>
            <w:r w:rsidRPr="00090C4F">
              <w:rPr>
                <w:rFonts w:asciiTheme="minorHAnsi" w:hAnsiTheme="minorHAnsi" w:cstheme="minorHAnsi"/>
                <w:iCs/>
                <w:szCs w:val="22"/>
              </w:rPr>
              <w:t>, building partnerships with industry, government, and other universities, and major initiatives such as the Trailblazer, AEA</w:t>
            </w:r>
            <w:r w:rsidR="0053060C">
              <w:rPr>
                <w:rFonts w:asciiTheme="minorHAnsi" w:hAnsiTheme="minorHAnsi" w:cstheme="minorHAnsi"/>
                <w:iCs/>
                <w:szCs w:val="22"/>
              </w:rPr>
              <w:t>,</w:t>
            </w:r>
            <w:r w:rsidRPr="00090C4F">
              <w:rPr>
                <w:rFonts w:asciiTheme="minorHAnsi" w:hAnsiTheme="minorHAnsi" w:cstheme="minorHAnsi"/>
                <w:iCs/>
                <w:szCs w:val="22"/>
              </w:rPr>
              <w:t xml:space="preserve"> and CRC programs. </w:t>
            </w:r>
            <w:r w:rsidRPr="560547F1">
              <w:rPr>
                <w:rFonts w:asciiTheme="minorHAnsi" w:hAnsiTheme="minorHAnsi" w:cstheme="minorBidi"/>
              </w:rPr>
              <w:t xml:space="preserve">Portfolios </w:t>
            </w:r>
            <w:r w:rsidR="00790970">
              <w:rPr>
                <w:rFonts w:asciiTheme="minorHAnsi" w:hAnsiTheme="minorHAnsi" w:cstheme="minorBidi"/>
              </w:rPr>
              <w:t xml:space="preserve">of work </w:t>
            </w:r>
            <w:r w:rsidRPr="560547F1">
              <w:rPr>
                <w:rFonts w:asciiTheme="minorHAnsi" w:hAnsiTheme="minorHAnsi" w:cstheme="minorBidi"/>
              </w:rPr>
              <w:t>include minerals and resources, defence, national security and space, advance</w:t>
            </w:r>
            <w:r w:rsidR="004E24BE">
              <w:rPr>
                <w:rFonts w:asciiTheme="minorHAnsi" w:hAnsiTheme="minorHAnsi" w:cstheme="minorBidi"/>
              </w:rPr>
              <w:t>d</w:t>
            </w:r>
            <w:r w:rsidRPr="560547F1">
              <w:rPr>
                <w:rFonts w:asciiTheme="minorHAnsi" w:hAnsiTheme="minorHAnsi" w:cstheme="minorBidi"/>
              </w:rPr>
              <w:t xml:space="preserve"> manufacturing technologies, food and agriculture, health and medical sciences, </w:t>
            </w:r>
            <w:r w:rsidR="002E0855">
              <w:rPr>
                <w:rFonts w:asciiTheme="minorHAnsi" w:hAnsiTheme="minorHAnsi" w:cstheme="minorBidi"/>
              </w:rPr>
              <w:t xml:space="preserve">energy transitions, climate change and the </w:t>
            </w:r>
            <w:r w:rsidRPr="560547F1">
              <w:rPr>
                <w:rFonts w:asciiTheme="minorHAnsi" w:hAnsiTheme="minorHAnsi" w:cstheme="minorBidi"/>
              </w:rPr>
              <w:t>environment</w:t>
            </w:r>
            <w:r w:rsidR="004E24BE">
              <w:rPr>
                <w:rFonts w:asciiTheme="minorHAnsi" w:hAnsiTheme="minorHAnsi" w:cstheme="minorBidi"/>
              </w:rPr>
              <w:t>,</w:t>
            </w:r>
            <w:r w:rsidR="00DF7C91">
              <w:rPr>
                <w:rFonts w:asciiTheme="minorHAnsi" w:hAnsiTheme="minorHAnsi" w:cstheme="minorBidi"/>
              </w:rPr>
              <w:t xml:space="preserve"> humanities and social sciences, </w:t>
            </w:r>
            <w:r w:rsidRPr="560547F1">
              <w:rPr>
                <w:rFonts w:asciiTheme="minorHAnsi" w:hAnsiTheme="minorHAnsi" w:cstheme="minorBidi"/>
              </w:rPr>
              <w:t xml:space="preserve">and </w:t>
            </w:r>
            <w:r w:rsidR="0070372E">
              <w:rPr>
                <w:rFonts w:asciiTheme="minorHAnsi" w:hAnsiTheme="minorHAnsi" w:cstheme="minorBidi"/>
              </w:rPr>
              <w:t xml:space="preserve">the </w:t>
            </w:r>
            <w:r w:rsidRPr="560547F1">
              <w:rPr>
                <w:rFonts w:asciiTheme="minorHAnsi" w:hAnsiTheme="minorHAnsi" w:cstheme="minorBidi"/>
              </w:rPr>
              <w:t xml:space="preserve">Brisbane </w:t>
            </w:r>
            <w:r w:rsidR="0094012A">
              <w:rPr>
                <w:rFonts w:asciiTheme="minorHAnsi" w:hAnsiTheme="minorHAnsi" w:cstheme="minorBidi"/>
              </w:rPr>
              <w:t xml:space="preserve">Games </w:t>
            </w:r>
            <w:r w:rsidRPr="560547F1">
              <w:rPr>
                <w:rFonts w:asciiTheme="minorHAnsi" w:hAnsiTheme="minorHAnsi" w:cstheme="minorBidi"/>
              </w:rPr>
              <w:t>2032 (Olympics and Paralympics).</w:t>
            </w:r>
          </w:p>
          <w:p w14:paraId="397884D8" w14:textId="3A463623" w:rsidR="0038512B" w:rsidRDefault="0038512B" w:rsidP="0093765C">
            <w:pPr>
              <w:pStyle w:val="NormalIndent"/>
              <w:spacing w:line="260" w:lineRule="atLeast"/>
              <w:ind w:left="0"/>
              <w:rPr>
                <w:rFonts w:asciiTheme="minorHAnsi" w:hAnsiTheme="minorHAnsi" w:cstheme="minorBidi"/>
              </w:rPr>
            </w:pPr>
            <w:r w:rsidRPr="007601FE">
              <w:rPr>
                <w:rFonts w:asciiTheme="minorHAnsi" w:hAnsiTheme="minorHAnsi" w:cstheme="minorBidi"/>
              </w:rPr>
              <w:t>UQ</w:t>
            </w:r>
            <w:r w:rsidRPr="75916EA2">
              <w:rPr>
                <w:rFonts w:asciiTheme="minorHAnsi" w:hAnsiTheme="minorHAnsi" w:cstheme="minorBidi"/>
              </w:rPr>
              <w:t xml:space="preserve"> </w:t>
            </w:r>
            <w:r w:rsidRPr="5FAC5C0D">
              <w:rPr>
                <w:rFonts w:asciiTheme="minorHAnsi" w:hAnsiTheme="minorHAnsi" w:cstheme="minorBidi"/>
              </w:rPr>
              <w:t>is</w:t>
            </w:r>
            <w:r w:rsidRPr="75916EA2">
              <w:rPr>
                <w:rFonts w:asciiTheme="minorHAnsi" w:hAnsiTheme="minorHAnsi" w:cstheme="minorBidi"/>
              </w:rPr>
              <w:t xml:space="preserve"> implementing </w:t>
            </w:r>
            <w:r>
              <w:rPr>
                <w:rFonts w:asciiTheme="minorHAnsi" w:hAnsiTheme="minorHAnsi" w:cstheme="minorBidi"/>
              </w:rPr>
              <w:t xml:space="preserve">new </w:t>
            </w:r>
            <w:r w:rsidRPr="75916EA2">
              <w:rPr>
                <w:rFonts w:asciiTheme="minorHAnsi" w:hAnsiTheme="minorHAnsi" w:cstheme="minorBidi"/>
              </w:rPr>
              <w:t>tools, reporting</w:t>
            </w:r>
            <w:r w:rsidR="00790970">
              <w:rPr>
                <w:rFonts w:asciiTheme="minorHAnsi" w:hAnsiTheme="minorHAnsi" w:cstheme="minorBidi"/>
              </w:rPr>
              <w:t>,</w:t>
            </w:r>
            <w:r w:rsidRPr="75916EA2">
              <w:rPr>
                <w:rFonts w:asciiTheme="minorHAnsi" w:hAnsiTheme="minorHAnsi" w:cstheme="minorBidi"/>
              </w:rPr>
              <w:t xml:space="preserve"> and training to support </w:t>
            </w:r>
            <w:r w:rsidR="00790970">
              <w:rPr>
                <w:rFonts w:asciiTheme="minorHAnsi" w:hAnsiTheme="minorHAnsi" w:cstheme="minorBidi"/>
              </w:rPr>
              <w:t xml:space="preserve">better </w:t>
            </w:r>
            <w:r w:rsidR="0053060C">
              <w:rPr>
                <w:rFonts w:asciiTheme="minorHAnsi" w:hAnsiTheme="minorHAnsi" w:cstheme="minorBidi"/>
              </w:rPr>
              <w:t>cross-organisational</w:t>
            </w:r>
            <w:r w:rsidRPr="75916EA2">
              <w:rPr>
                <w:rFonts w:asciiTheme="minorHAnsi" w:hAnsiTheme="minorHAnsi" w:cstheme="minorBidi"/>
              </w:rPr>
              <w:t xml:space="preserve"> </w:t>
            </w:r>
            <w:r w:rsidRPr="307F91D8">
              <w:rPr>
                <w:rFonts w:asciiTheme="minorHAnsi" w:hAnsiTheme="minorHAnsi" w:cstheme="minorBidi"/>
              </w:rPr>
              <w:t>collaboration</w:t>
            </w:r>
            <w:r w:rsidRPr="75916EA2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with industry partners</w:t>
            </w:r>
            <w:r w:rsidRPr="7AA24ED0">
              <w:rPr>
                <w:rFonts w:asciiTheme="minorHAnsi" w:hAnsiTheme="minorHAnsi" w:cstheme="minorBidi"/>
              </w:rPr>
              <w:t>.</w:t>
            </w:r>
            <w:r w:rsidRPr="28B44CDE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 xml:space="preserve"> </w:t>
            </w:r>
            <w:bookmarkStart w:id="3" w:name="_Hlk210717481"/>
            <w:r w:rsidR="00790970">
              <w:rPr>
                <w:rFonts w:asciiTheme="minorHAnsi" w:hAnsiTheme="minorHAnsi" w:cstheme="minorBidi"/>
              </w:rPr>
              <w:t>W</w:t>
            </w:r>
            <w:r>
              <w:rPr>
                <w:rFonts w:asciiTheme="minorHAnsi" w:hAnsiTheme="minorHAnsi" w:cstheme="minorBidi"/>
              </w:rPr>
              <w:t xml:space="preserve">e </w:t>
            </w:r>
            <w:r w:rsidR="0070372E">
              <w:rPr>
                <w:rFonts w:asciiTheme="minorHAnsi" w:hAnsiTheme="minorHAnsi" w:cstheme="minorBidi"/>
              </w:rPr>
              <w:t>have</w:t>
            </w:r>
            <w:r>
              <w:rPr>
                <w:rFonts w:asciiTheme="minorHAnsi" w:hAnsiTheme="minorHAnsi" w:cstheme="minorBidi"/>
              </w:rPr>
              <w:t xml:space="preserve"> implemen</w:t>
            </w:r>
            <w:r w:rsidR="0070372E">
              <w:rPr>
                <w:rFonts w:asciiTheme="minorHAnsi" w:hAnsiTheme="minorHAnsi" w:cstheme="minorBidi"/>
              </w:rPr>
              <w:t xml:space="preserve">ted </w:t>
            </w:r>
            <w:r>
              <w:rPr>
                <w:rFonts w:asciiTheme="minorHAnsi" w:hAnsiTheme="minorHAnsi" w:cstheme="minorBidi"/>
              </w:rPr>
              <w:t xml:space="preserve">a client management system for </w:t>
            </w:r>
            <w:r>
              <w:rPr>
                <w:rFonts w:asciiTheme="minorHAnsi" w:hAnsiTheme="minorHAnsi" w:cstheme="minorBidi"/>
              </w:rPr>
              <w:lastRenderedPageBreak/>
              <w:t>industry partnerships</w:t>
            </w:r>
            <w:r w:rsidR="00790970">
              <w:rPr>
                <w:rFonts w:asciiTheme="minorHAnsi" w:hAnsiTheme="minorHAnsi" w:cstheme="minorBidi"/>
              </w:rPr>
              <w:t>,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790970" w:rsidRPr="00790970">
              <w:rPr>
                <w:rFonts w:asciiTheme="minorHAnsi" w:hAnsiTheme="minorHAnsi" w:cstheme="minorBidi"/>
              </w:rPr>
              <w:t>enabling business development professionals across the University to collaborate more effectively and strengthen our research engagement with industry</w:t>
            </w:r>
            <w:r>
              <w:rPr>
                <w:rFonts w:asciiTheme="minorHAnsi" w:hAnsiTheme="minorHAnsi" w:cstheme="minorBidi"/>
              </w:rPr>
              <w:t>.</w:t>
            </w:r>
          </w:p>
          <w:bookmarkEnd w:id="3"/>
          <w:p w14:paraId="434BE281" w14:textId="7DE47046" w:rsidR="0038512B" w:rsidRPr="003418A7" w:rsidRDefault="0094012A" w:rsidP="0093765C">
            <w:pPr>
              <w:pStyle w:val="NormalIndent"/>
              <w:spacing w:line="260" w:lineRule="atLeast"/>
              <w:ind w:left="0"/>
              <w:rPr>
                <w:rFonts w:asciiTheme="minorHAnsi" w:hAnsiTheme="minorHAnsi" w:cstheme="minorBidi"/>
              </w:rPr>
            </w:pPr>
            <w:r w:rsidRPr="0094012A">
              <w:rPr>
                <w:rFonts w:asciiTheme="minorHAnsi" w:hAnsiTheme="minorHAnsi" w:cstheme="minorBidi"/>
              </w:rPr>
              <w:t>UQ is</w:t>
            </w:r>
            <w:r w:rsidR="00526996">
              <w:rPr>
                <w:rFonts w:asciiTheme="minorHAnsi" w:hAnsiTheme="minorHAnsi" w:cstheme="minorBidi"/>
              </w:rPr>
              <w:t xml:space="preserve"> well</w:t>
            </w:r>
            <w:r w:rsidRPr="0094012A">
              <w:rPr>
                <w:rFonts w:asciiTheme="minorHAnsi" w:hAnsiTheme="minorHAnsi" w:cstheme="minorBidi"/>
              </w:rPr>
              <w:t xml:space="preserve"> positioned to recognise the entrepreneurial and industry-engaged activities of higher degree by research students and researchers.</w:t>
            </w:r>
            <w:r w:rsidR="0038512B">
              <w:rPr>
                <w:rFonts w:asciiTheme="minorHAnsi" w:hAnsiTheme="minorHAnsi" w:cstheme="minorBidi"/>
              </w:rPr>
              <w:t xml:space="preserve"> </w:t>
            </w:r>
            <w:r w:rsidR="00526996">
              <w:rPr>
                <w:rFonts w:asciiTheme="minorHAnsi" w:hAnsiTheme="minorHAnsi" w:cstheme="minorBidi"/>
              </w:rPr>
              <w:t>D</w:t>
            </w:r>
            <w:r w:rsidR="0038512B">
              <w:rPr>
                <w:rFonts w:asciiTheme="minorHAnsi" w:hAnsiTheme="minorHAnsi" w:cstheme="minorBidi"/>
              </w:rPr>
              <w:t xml:space="preserve">ata from </w:t>
            </w:r>
            <w:hyperlink r:id="rId43" w:history="1">
              <w:proofErr w:type="spellStart"/>
              <w:r w:rsidR="0038512B" w:rsidRPr="00D77A4F">
                <w:rPr>
                  <w:rStyle w:val="Hyperlink"/>
                  <w:rFonts w:asciiTheme="minorHAnsi" w:hAnsiTheme="minorHAnsi" w:cstheme="minorBidi"/>
                </w:rPr>
                <w:t>UniQuest</w:t>
              </w:r>
              <w:proofErr w:type="spellEnd"/>
            </w:hyperlink>
            <w:r w:rsidR="0038512B">
              <w:rPr>
                <w:rFonts w:asciiTheme="minorHAnsi" w:hAnsiTheme="minorHAnsi" w:cstheme="minorBidi"/>
              </w:rPr>
              <w:t xml:space="preserve"> on invention disclosures and the progress of commercialisation projects </w:t>
            </w:r>
            <w:r w:rsidR="00526996">
              <w:rPr>
                <w:rFonts w:asciiTheme="minorHAnsi" w:hAnsiTheme="minorHAnsi" w:cstheme="minorBidi"/>
              </w:rPr>
              <w:t xml:space="preserve">is being integrated </w:t>
            </w:r>
            <w:r w:rsidR="0038512B">
              <w:rPr>
                <w:rFonts w:asciiTheme="minorHAnsi" w:hAnsiTheme="minorHAnsi" w:cstheme="minorBidi"/>
              </w:rPr>
              <w:t>into an academic’s electronic portfolio of achievement.</w:t>
            </w:r>
          </w:p>
          <w:p w14:paraId="473718F1" w14:textId="46CEBA86" w:rsidR="0038512B" w:rsidRPr="00D4547E" w:rsidRDefault="0038512B" w:rsidP="0093765C">
            <w:pPr>
              <w:pStyle w:val="NormalIndent"/>
              <w:spacing w:line="260" w:lineRule="atLeast"/>
              <w:ind w:left="0"/>
              <w:rPr>
                <w:rFonts w:asciiTheme="minorHAnsi" w:hAnsiTheme="minorHAnsi" w:cstheme="minorHAnsi"/>
                <w:iCs/>
                <w:szCs w:val="22"/>
              </w:rPr>
            </w:pPr>
            <w:r w:rsidRPr="00D4547E">
              <w:rPr>
                <w:rFonts w:asciiTheme="minorHAnsi" w:hAnsiTheme="minorHAnsi" w:cstheme="minorHAnsi"/>
                <w:iCs/>
                <w:szCs w:val="22"/>
              </w:rPr>
              <w:t>Our 2032 measures of success</w:t>
            </w:r>
            <w:r>
              <w:rPr>
                <w:rFonts w:asciiTheme="minorHAnsi" w:hAnsiTheme="minorHAnsi" w:cstheme="minorHAnsi"/>
                <w:iCs/>
                <w:szCs w:val="22"/>
              </w:rPr>
              <w:t xml:space="preserve"> for research partnerships with industry</w:t>
            </w:r>
            <w:r w:rsidRPr="00D4547E">
              <w:rPr>
                <w:rFonts w:asciiTheme="minorHAnsi" w:hAnsiTheme="minorHAnsi" w:cstheme="minorHAnsi"/>
                <w:iCs/>
                <w:szCs w:val="22"/>
              </w:rPr>
              <w:t xml:space="preserve">, as set out in </w:t>
            </w:r>
            <w:hyperlink r:id="rId44" w:history="1">
              <w:r w:rsidR="0093765C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The U</w:t>
              </w:r>
              <w:r w:rsidR="0093765C" w:rsidRPr="00FF1928">
                <w:rPr>
                  <w:rStyle w:val="Hyperlink"/>
                  <w:rFonts w:asciiTheme="minorHAnsi" w:hAnsiTheme="minorHAnsi" w:cstheme="minorHAnsi"/>
                  <w:color w:val="000000" w:themeColor="text1"/>
                  <w:szCs w:val="22"/>
                </w:rPr>
                <w:t>niversity of Queensland Strategic Plan 2022-2025</w:t>
              </w:r>
            </w:hyperlink>
            <w:r w:rsidRPr="00D4547E">
              <w:rPr>
                <w:rFonts w:asciiTheme="minorHAnsi" w:hAnsiTheme="minorHAnsi" w:cstheme="minorHAnsi"/>
                <w:iCs/>
                <w:szCs w:val="22"/>
              </w:rPr>
              <w:t>, are:</w:t>
            </w:r>
          </w:p>
          <w:p w14:paraId="27C4A7FA" w14:textId="4D8CC027" w:rsidR="0038512B" w:rsidRPr="00D4547E" w:rsidRDefault="0038512B" w:rsidP="00A46E04">
            <w:pPr>
              <w:pStyle w:val="NormalIndent"/>
              <w:numPr>
                <w:ilvl w:val="0"/>
                <w:numId w:val="29"/>
              </w:numPr>
              <w:spacing w:line="260" w:lineRule="atLeast"/>
              <w:ind w:left="357" w:hanging="357"/>
              <w:contextualSpacing/>
              <w:rPr>
                <w:rFonts w:asciiTheme="minorHAnsi" w:hAnsiTheme="minorHAnsi" w:cstheme="minorHAnsi"/>
                <w:iCs/>
                <w:szCs w:val="22"/>
              </w:rPr>
            </w:pPr>
            <w:r w:rsidRPr="00D4547E">
              <w:rPr>
                <w:rFonts w:asciiTheme="minorHAnsi" w:hAnsiTheme="minorHAnsi" w:cstheme="minorHAnsi"/>
                <w:iCs/>
                <w:szCs w:val="22"/>
              </w:rPr>
              <w:t>Attract at least 10 per cent of national funding for priority</w:t>
            </w:r>
            <w:r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  <w:r w:rsidRPr="00D4547E">
              <w:rPr>
                <w:rFonts w:asciiTheme="minorHAnsi" w:hAnsiTheme="minorHAnsi" w:cstheme="minorHAnsi"/>
                <w:iCs/>
                <w:szCs w:val="22"/>
              </w:rPr>
              <w:t>driven research and double industry and philanthropic research funding</w:t>
            </w:r>
          </w:p>
          <w:p w14:paraId="3E6CDC31" w14:textId="43DA1028" w:rsidR="0038512B" w:rsidRPr="00D4547E" w:rsidRDefault="0038512B" w:rsidP="00A46E04">
            <w:pPr>
              <w:pStyle w:val="NormalIndent"/>
              <w:numPr>
                <w:ilvl w:val="0"/>
                <w:numId w:val="29"/>
              </w:numPr>
              <w:spacing w:line="260" w:lineRule="atLeast"/>
              <w:ind w:left="357" w:hanging="357"/>
              <w:contextualSpacing/>
              <w:rPr>
                <w:rFonts w:asciiTheme="minorHAnsi" w:hAnsiTheme="minorHAnsi" w:cstheme="minorHAnsi"/>
                <w:iCs/>
                <w:szCs w:val="22"/>
              </w:rPr>
            </w:pPr>
            <w:r w:rsidRPr="00D4547E">
              <w:rPr>
                <w:rFonts w:asciiTheme="minorHAnsi" w:hAnsiTheme="minorHAnsi" w:cstheme="minorHAnsi"/>
                <w:iCs/>
                <w:szCs w:val="22"/>
              </w:rPr>
              <w:t>75 per cent of HDR graduates to complete a career development experience or industry placement</w:t>
            </w:r>
          </w:p>
          <w:p w14:paraId="64F6A006" w14:textId="5E874A8B" w:rsidR="001B109C" w:rsidRPr="002E43C6" w:rsidRDefault="0038512B" w:rsidP="00A46E04">
            <w:pPr>
              <w:pStyle w:val="NormalIndent"/>
              <w:numPr>
                <w:ilvl w:val="0"/>
                <w:numId w:val="29"/>
              </w:numPr>
              <w:spacing w:line="260" w:lineRule="atLeast"/>
              <w:ind w:left="357" w:hanging="357"/>
              <w:contextualSpacing/>
              <w:rPr>
                <w:rFonts w:asciiTheme="minorHAnsi" w:hAnsiTheme="minorHAnsi" w:cstheme="minorHAnsi"/>
                <w:iCs/>
                <w:szCs w:val="22"/>
              </w:rPr>
            </w:pPr>
            <w:r w:rsidRPr="00D4547E">
              <w:rPr>
                <w:rFonts w:asciiTheme="minorHAnsi" w:hAnsiTheme="minorHAnsi" w:cstheme="minorHAnsi"/>
                <w:iCs/>
                <w:szCs w:val="22"/>
              </w:rPr>
              <w:t>Lead the development of 10 new research partnerships that provide at least $10 million of investment per year</w:t>
            </w:r>
            <w:r w:rsidR="002E43C6">
              <w:rPr>
                <w:rFonts w:asciiTheme="minorHAnsi" w:hAnsiTheme="minorHAnsi" w:cstheme="minorHAnsi"/>
                <w:iCs/>
                <w:szCs w:val="22"/>
              </w:rPr>
              <w:t>.</w:t>
            </w:r>
          </w:p>
          <w:p w14:paraId="6465FC91" w14:textId="77782AF1" w:rsidR="0093765C" w:rsidRPr="007E3E37" w:rsidRDefault="0093765C" w:rsidP="0093765C">
            <w:pPr>
              <w:spacing w:before="120" w:after="120" w:line="260" w:lineRule="atLeast"/>
              <w:ind w:right="-23"/>
              <w:rPr>
                <w:rFonts w:cstheme="minorHAnsi"/>
                <w:i/>
                <w:color w:val="FF0000"/>
              </w:rPr>
            </w:pPr>
            <w:r w:rsidRPr="003610E4">
              <w:rPr>
                <w:rStyle w:val="Strong"/>
                <w:b w:val="0"/>
                <w:bCs w:val="0"/>
              </w:rPr>
              <w:t xml:space="preserve">UQ is currently developing its 2026–2029 strategic plan and will update its </w:t>
            </w:r>
            <w:r>
              <w:rPr>
                <w:rStyle w:val="Strong"/>
                <w:b w:val="0"/>
                <w:bCs w:val="0"/>
              </w:rPr>
              <w:t xml:space="preserve">research and innovation objectives, strategies and performance measures. We remain committed to being a </w:t>
            </w:r>
            <w:r w:rsidRPr="00A02B3B">
              <w:rPr>
                <w:rStyle w:val="Strong"/>
                <w:b w:val="0"/>
                <w:bCs w:val="0"/>
              </w:rPr>
              <w:t>trusted and agile partner, and widely regarded as a leader in entrepreneurship, knowledge exchange and commercialisation</w:t>
            </w:r>
            <w:r>
              <w:rPr>
                <w:rStyle w:val="Strong"/>
                <w:b w:val="0"/>
                <w:bCs w:val="0"/>
              </w:rPr>
              <w:t xml:space="preserve">. </w:t>
            </w:r>
          </w:p>
        </w:tc>
      </w:tr>
    </w:tbl>
    <w:p w14:paraId="3BBBBA25" w14:textId="77777777" w:rsidR="001B109C" w:rsidRDefault="001B109C" w:rsidP="001B10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0E0F4" w14:textId="77777777" w:rsidR="001B109C" w:rsidRDefault="001B109C" w:rsidP="001B109C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22BD5D" w14:textId="77777777" w:rsidR="001B109C" w:rsidRDefault="001B109C" w:rsidP="001B10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B109C" w:rsidRPr="00E169EE" w14:paraId="53425073" w14:textId="77777777" w:rsidTr="00962F05">
        <w:tc>
          <w:tcPr>
            <w:tcW w:w="4508" w:type="dxa"/>
          </w:tcPr>
          <w:p w14:paraId="68C798FC" w14:textId="77777777" w:rsidR="001B109C" w:rsidRPr="00E114B4" w:rsidRDefault="001B109C" w:rsidP="00962F05">
            <w:pPr>
              <w:spacing w:before="28" w:line="210" w:lineRule="exact"/>
              <w:textAlignment w:val="baseline"/>
              <w:rPr>
                <w:rFonts w:eastAsia="Calibri" w:cstheme="minorHAnsi"/>
                <w:color w:val="000000"/>
                <w:spacing w:val="-3"/>
                <w:sz w:val="24"/>
                <w:szCs w:val="24"/>
              </w:rPr>
            </w:pPr>
            <w:r w:rsidRPr="00E114B4">
              <w:rPr>
                <w:rFonts w:eastAsia="Calibri" w:cstheme="minorHAnsi"/>
                <w:color w:val="000000"/>
                <w:spacing w:val="-3"/>
                <w:sz w:val="24"/>
                <w:szCs w:val="24"/>
              </w:rPr>
              <w:t>SIGNED for and on behalf of</w:t>
            </w:r>
          </w:p>
          <w:p w14:paraId="4C44F3A8" w14:textId="77777777" w:rsidR="001B109C" w:rsidRPr="00E114B4" w:rsidRDefault="001B109C" w:rsidP="00962F05">
            <w:pPr>
              <w:spacing w:before="275" w:line="210" w:lineRule="exact"/>
              <w:textAlignment w:val="baseline"/>
              <w:rPr>
                <w:rFonts w:eastAsia="Calibri" w:cstheme="minorHAnsi"/>
                <w:color w:val="000000"/>
                <w:spacing w:val="-4"/>
                <w:sz w:val="24"/>
                <w:szCs w:val="24"/>
              </w:rPr>
            </w:pPr>
            <w:r w:rsidRPr="00E114B4">
              <w:rPr>
                <w:rFonts w:eastAsia="Calibri" w:cstheme="minorHAnsi"/>
                <w:color w:val="000000"/>
                <w:spacing w:val="-4"/>
                <w:sz w:val="24"/>
                <w:szCs w:val="24"/>
              </w:rPr>
              <w:t>THE COMMONWEALTH OF AUSTRALIA</w:t>
            </w:r>
          </w:p>
          <w:p w14:paraId="0C445464" w14:textId="0200A781" w:rsidR="001B109C" w:rsidRPr="00E114B4" w:rsidRDefault="0070372E" w:rsidP="00962F05">
            <w:pPr>
              <w:spacing w:before="275" w:line="210" w:lineRule="exact"/>
              <w:textAlignment w:val="baseline"/>
              <w:rPr>
                <w:rFonts w:eastAsia="Calibri" w:cstheme="minorHAnsi"/>
                <w:color w:val="000000"/>
                <w:spacing w:val="-4"/>
                <w:sz w:val="24"/>
                <w:szCs w:val="24"/>
              </w:rPr>
            </w:pPr>
            <w:r w:rsidRPr="00E114B4">
              <w:rPr>
                <w:rFonts w:eastAsia="Calibri" w:cstheme="minorHAnsi"/>
                <w:color w:val="000000"/>
                <w:spacing w:val="-4"/>
                <w:sz w:val="24"/>
                <w:szCs w:val="24"/>
              </w:rPr>
              <w:t>B</w:t>
            </w:r>
            <w:r w:rsidR="001B109C" w:rsidRPr="00E114B4">
              <w:rPr>
                <w:rFonts w:eastAsia="Calibri" w:cstheme="minorHAnsi"/>
                <w:color w:val="000000"/>
                <w:spacing w:val="-4"/>
                <w:sz w:val="24"/>
                <w:szCs w:val="24"/>
              </w:rPr>
              <w:t>y</w:t>
            </w:r>
          </w:p>
        </w:tc>
        <w:tc>
          <w:tcPr>
            <w:tcW w:w="4508" w:type="dxa"/>
          </w:tcPr>
          <w:p w14:paraId="34664A6F" w14:textId="77777777" w:rsidR="001B109C" w:rsidRPr="00E114B4" w:rsidRDefault="001B109C" w:rsidP="00962F05">
            <w:pPr>
              <w:rPr>
                <w:rFonts w:cstheme="minorHAnsi"/>
                <w:sz w:val="24"/>
                <w:szCs w:val="24"/>
              </w:rPr>
            </w:pPr>
            <w:r w:rsidRPr="00E114B4">
              <w:rPr>
                <w:rFonts w:cstheme="minorHAnsi"/>
                <w:sz w:val="24"/>
                <w:szCs w:val="24"/>
              </w:rPr>
              <w:t>In the presence of:</w:t>
            </w:r>
          </w:p>
        </w:tc>
      </w:tr>
      <w:tr w:rsidR="001B109C" w:rsidRPr="00E169EE" w14:paraId="186905E2" w14:textId="77777777" w:rsidTr="00962F05">
        <w:tc>
          <w:tcPr>
            <w:tcW w:w="4508" w:type="dxa"/>
          </w:tcPr>
          <w:p w14:paraId="32153A99" w14:textId="4190F080" w:rsidR="001B109C" w:rsidRPr="00E114B4" w:rsidRDefault="00DA045B" w:rsidP="00962F05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  <w:r w:rsidRPr="001E1D51">
              <w:rPr>
                <w:b/>
                <w:bCs/>
              </w:rPr>
              <w:t>Jessica Mohr</w:t>
            </w:r>
            <w:r w:rsidRPr="00DC5CCA">
              <w:rPr>
                <w:sz w:val="20"/>
                <w:szCs w:val="20"/>
              </w:rPr>
              <w:tab/>
            </w:r>
            <w:r>
              <w:tab/>
            </w:r>
          </w:p>
          <w:p w14:paraId="7375CBDB" w14:textId="77777777" w:rsidR="001B109C" w:rsidRPr="00E114B4" w:rsidRDefault="001B109C" w:rsidP="00962F05">
            <w:pPr>
              <w:rPr>
                <w:rFonts w:cstheme="minorHAnsi"/>
              </w:rPr>
            </w:pPr>
            <w:r w:rsidRPr="00E114B4">
              <w:rPr>
                <w:rFonts w:cstheme="minorHAnsi"/>
              </w:rPr>
              <w:t>Full name (please print)</w:t>
            </w:r>
          </w:p>
        </w:tc>
        <w:tc>
          <w:tcPr>
            <w:tcW w:w="4508" w:type="dxa"/>
          </w:tcPr>
          <w:p w14:paraId="091A8D51" w14:textId="23AE1BBA" w:rsidR="001B109C" w:rsidRPr="00E114B4" w:rsidRDefault="00890745" w:rsidP="00962F05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  <w:r w:rsidRPr="001E1D51">
              <w:rPr>
                <w:b/>
                <w:bCs/>
              </w:rPr>
              <w:t>Rachel Searl</w:t>
            </w:r>
          </w:p>
          <w:p w14:paraId="5AAC2089" w14:textId="77777777" w:rsidR="001B109C" w:rsidRPr="00E114B4" w:rsidRDefault="001B109C" w:rsidP="00962F05">
            <w:pPr>
              <w:rPr>
                <w:rFonts w:cstheme="minorHAnsi"/>
              </w:rPr>
            </w:pPr>
            <w:r w:rsidRPr="00E114B4">
              <w:rPr>
                <w:rFonts w:cstheme="minorHAnsi"/>
              </w:rPr>
              <w:t>Witness (please print)</w:t>
            </w:r>
          </w:p>
        </w:tc>
      </w:tr>
      <w:tr w:rsidR="001B109C" w:rsidRPr="00E169EE" w14:paraId="6D0DB948" w14:textId="77777777" w:rsidTr="00962F05">
        <w:tc>
          <w:tcPr>
            <w:tcW w:w="4508" w:type="dxa"/>
          </w:tcPr>
          <w:p w14:paraId="101367FA" w14:textId="7B10077C" w:rsidR="001B109C" w:rsidRPr="00E114B4" w:rsidRDefault="00B20E75" w:rsidP="00962F05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  <w:r w:rsidRPr="00DC5CCA">
              <w:rPr>
                <w:b/>
                <w:bCs/>
              </w:rPr>
              <w:t>First Assistant Secretary</w:t>
            </w:r>
          </w:p>
          <w:p w14:paraId="53889020" w14:textId="77777777" w:rsidR="001B109C" w:rsidRPr="00E114B4" w:rsidRDefault="001B109C" w:rsidP="00962F05">
            <w:pPr>
              <w:rPr>
                <w:rFonts w:cstheme="minorHAnsi"/>
              </w:rPr>
            </w:pPr>
            <w:r w:rsidRPr="00E114B4">
              <w:rPr>
                <w:rFonts w:cstheme="minorHAnsi"/>
              </w:rPr>
              <w:t>Position</w:t>
            </w:r>
          </w:p>
          <w:p w14:paraId="390DFF35" w14:textId="77777777" w:rsidR="001B109C" w:rsidRPr="00E114B4" w:rsidRDefault="001B109C" w:rsidP="00962F05">
            <w:pPr>
              <w:rPr>
                <w:rFonts w:cstheme="minorHAnsi"/>
              </w:rPr>
            </w:pPr>
            <w:r w:rsidRPr="00E114B4">
              <w:rPr>
                <w:rFonts w:cstheme="minorHAnsi"/>
              </w:rPr>
              <w:t>of the Department of Education</w:t>
            </w:r>
          </w:p>
        </w:tc>
        <w:tc>
          <w:tcPr>
            <w:tcW w:w="4508" w:type="dxa"/>
          </w:tcPr>
          <w:p w14:paraId="69045716" w14:textId="4979A43B" w:rsidR="001B109C" w:rsidRPr="00E114B4" w:rsidRDefault="00FC083D" w:rsidP="00962F05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  <w:r w:rsidRPr="00E91A60">
              <w:rPr>
                <w:b/>
                <w:bCs/>
              </w:rPr>
              <w:t>Executive Officer</w:t>
            </w:r>
          </w:p>
          <w:p w14:paraId="668DE817" w14:textId="77777777" w:rsidR="001B109C" w:rsidRPr="00E114B4" w:rsidRDefault="001B109C" w:rsidP="00962F05">
            <w:pPr>
              <w:rPr>
                <w:rFonts w:cstheme="minorHAnsi"/>
              </w:rPr>
            </w:pPr>
            <w:r w:rsidRPr="00E114B4">
              <w:rPr>
                <w:rFonts w:cstheme="minorHAnsi"/>
              </w:rPr>
              <w:t>Position or profession of witness (please print)</w:t>
            </w:r>
          </w:p>
        </w:tc>
      </w:tr>
      <w:tr w:rsidR="001B109C" w:rsidRPr="00E169EE" w14:paraId="38C68E43" w14:textId="77777777" w:rsidTr="00962F05">
        <w:tc>
          <w:tcPr>
            <w:tcW w:w="4508" w:type="dxa"/>
          </w:tcPr>
          <w:p w14:paraId="4289F3D2" w14:textId="77777777" w:rsidR="001B109C" w:rsidRPr="00E114B4" w:rsidRDefault="001B109C" w:rsidP="00962F05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</w:p>
          <w:p w14:paraId="415B9216" w14:textId="77777777" w:rsidR="001B109C" w:rsidRPr="00E114B4" w:rsidRDefault="001B109C" w:rsidP="00962F05">
            <w:pPr>
              <w:rPr>
                <w:rFonts w:cstheme="minorHAnsi"/>
              </w:rPr>
            </w:pPr>
            <w:r w:rsidRPr="00E114B4">
              <w:rPr>
                <w:rFonts w:cstheme="minorHAnsi"/>
              </w:rPr>
              <w:t>Signature</w:t>
            </w:r>
          </w:p>
        </w:tc>
        <w:tc>
          <w:tcPr>
            <w:tcW w:w="4508" w:type="dxa"/>
          </w:tcPr>
          <w:p w14:paraId="710024D0" w14:textId="77777777" w:rsidR="001B109C" w:rsidRPr="00E114B4" w:rsidRDefault="001B109C" w:rsidP="00962F05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</w:p>
          <w:p w14:paraId="2D914310" w14:textId="77777777" w:rsidR="001B109C" w:rsidRPr="00E114B4" w:rsidRDefault="001B109C" w:rsidP="00962F05">
            <w:pPr>
              <w:rPr>
                <w:rFonts w:cstheme="minorHAnsi"/>
              </w:rPr>
            </w:pPr>
            <w:r w:rsidRPr="00E114B4">
              <w:rPr>
                <w:rFonts w:cstheme="minorHAnsi"/>
              </w:rPr>
              <w:t>Signature</w:t>
            </w:r>
          </w:p>
        </w:tc>
      </w:tr>
      <w:tr w:rsidR="001B109C" w:rsidRPr="00E169EE" w14:paraId="4B1444B6" w14:textId="77777777" w:rsidTr="00962F05">
        <w:tc>
          <w:tcPr>
            <w:tcW w:w="4508" w:type="dxa"/>
          </w:tcPr>
          <w:p w14:paraId="344C64D3" w14:textId="0E6F2CCA" w:rsidR="001B109C" w:rsidRPr="00601882" w:rsidRDefault="00601882" w:rsidP="00962F05">
            <w:pPr>
              <w:pBdr>
                <w:bottom w:val="single" w:sz="12" w:space="1" w:color="auto"/>
              </w:pBdr>
              <w:rPr>
                <w:rFonts w:cstheme="minorHAnsi"/>
              </w:rPr>
            </w:pPr>
            <w:r>
              <w:rPr>
                <w:rFonts w:cstheme="minorHAnsi"/>
              </w:rPr>
              <w:t>01/12/2025</w:t>
            </w:r>
          </w:p>
          <w:p w14:paraId="71C4CD3D" w14:textId="77777777" w:rsidR="001B109C" w:rsidRPr="00E169EE" w:rsidRDefault="001B109C" w:rsidP="00962F05">
            <w:pPr>
              <w:rPr>
                <w:rFonts w:cstheme="minorHAnsi"/>
              </w:rPr>
            </w:pPr>
            <w:r w:rsidRPr="00E169EE">
              <w:rPr>
                <w:rFonts w:cstheme="minorHAnsi"/>
              </w:rPr>
              <w:t>Date</w:t>
            </w:r>
          </w:p>
        </w:tc>
        <w:tc>
          <w:tcPr>
            <w:tcW w:w="4508" w:type="dxa"/>
          </w:tcPr>
          <w:p w14:paraId="26028E27" w14:textId="77777777" w:rsidR="001B109C" w:rsidRPr="00F60B66" w:rsidRDefault="001B109C" w:rsidP="00962F05">
            <w:pPr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1B109C" w:rsidRPr="00E169EE" w14:paraId="45CC96F9" w14:textId="77777777" w:rsidTr="00962F05">
        <w:tc>
          <w:tcPr>
            <w:tcW w:w="4508" w:type="dxa"/>
          </w:tcPr>
          <w:p w14:paraId="639CCC16" w14:textId="77777777" w:rsidR="001B109C" w:rsidRDefault="001B109C" w:rsidP="00962F05">
            <w:pPr>
              <w:spacing w:before="28" w:line="210" w:lineRule="exact"/>
              <w:textAlignment w:val="baseline"/>
              <w:rPr>
                <w:rFonts w:eastAsia="Calibri" w:cstheme="minorHAnsi"/>
                <w:color w:val="000000"/>
                <w:spacing w:val="-3"/>
                <w:sz w:val="24"/>
                <w:szCs w:val="24"/>
              </w:rPr>
            </w:pPr>
            <w:r w:rsidRPr="00E169EE">
              <w:rPr>
                <w:rFonts w:eastAsia="Calibri" w:cstheme="minorHAnsi"/>
                <w:color w:val="000000"/>
                <w:spacing w:val="-3"/>
                <w:sz w:val="24"/>
                <w:szCs w:val="24"/>
              </w:rPr>
              <w:t>SIGNED for and on behalf of</w:t>
            </w:r>
          </w:p>
          <w:p w14:paraId="114E5D42" w14:textId="6F8F0E5C" w:rsidR="001B109C" w:rsidRPr="00E169EE" w:rsidRDefault="00C83701" w:rsidP="00962F05">
            <w:pPr>
              <w:spacing w:before="28" w:line="210" w:lineRule="exact"/>
              <w:textAlignment w:val="baseline"/>
              <w:rPr>
                <w:rFonts w:eastAsia="Calibri" w:cstheme="minorHAnsi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pacing w:val="-4"/>
                <w:sz w:val="24"/>
                <w:szCs w:val="24"/>
              </w:rPr>
              <w:t>THE UNIVERSITY OF QUEENSLAND</w:t>
            </w:r>
          </w:p>
          <w:p w14:paraId="065C6AB9" w14:textId="77777777" w:rsidR="001B109C" w:rsidRPr="00E169EE" w:rsidRDefault="001B109C" w:rsidP="00962F05">
            <w:pPr>
              <w:spacing w:before="275" w:line="210" w:lineRule="exact"/>
              <w:textAlignment w:val="baseline"/>
              <w:rPr>
                <w:rFonts w:eastAsia="Calibri" w:cstheme="minorHAnsi"/>
                <w:color w:val="000000"/>
                <w:spacing w:val="-4"/>
              </w:rPr>
            </w:pPr>
            <w:r w:rsidRPr="00E169EE">
              <w:rPr>
                <w:rFonts w:eastAsia="Calibri" w:cstheme="minorHAnsi"/>
                <w:color w:val="000000"/>
                <w:spacing w:val="-4"/>
              </w:rPr>
              <w:t>by</w:t>
            </w:r>
          </w:p>
        </w:tc>
        <w:tc>
          <w:tcPr>
            <w:tcW w:w="4508" w:type="dxa"/>
          </w:tcPr>
          <w:p w14:paraId="2276E219" w14:textId="77777777" w:rsidR="001B109C" w:rsidRPr="002F4604" w:rsidRDefault="001B109C" w:rsidP="00962F05">
            <w:pPr>
              <w:rPr>
                <w:rFonts w:cstheme="minorHAnsi"/>
              </w:rPr>
            </w:pPr>
            <w:r w:rsidRPr="002F4604">
              <w:rPr>
                <w:rFonts w:cstheme="minorHAnsi"/>
                <w:sz w:val="24"/>
                <w:szCs w:val="24"/>
              </w:rPr>
              <w:t>In the presence of:</w:t>
            </w:r>
          </w:p>
        </w:tc>
      </w:tr>
      <w:tr w:rsidR="001B109C" w:rsidRPr="00E169EE" w14:paraId="5AAB6D63" w14:textId="77777777" w:rsidTr="00962F05">
        <w:tc>
          <w:tcPr>
            <w:tcW w:w="4508" w:type="dxa"/>
          </w:tcPr>
          <w:p w14:paraId="54C8A9A5" w14:textId="5E5DB8C4" w:rsidR="001B109C" w:rsidRPr="00E169EE" w:rsidRDefault="00DC1963" w:rsidP="00962F05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Deborah Jane Terry</w:t>
            </w:r>
          </w:p>
          <w:p w14:paraId="3120FAF4" w14:textId="77777777" w:rsidR="001B109C" w:rsidRPr="00E169EE" w:rsidRDefault="001B109C" w:rsidP="00962F05">
            <w:pPr>
              <w:rPr>
                <w:rFonts w:cstheme="minorHAnsi"/>
              </w:rPr>
            </w:pPr>
            <w:r w:rsidRPr="00E169EE">
              <w:rPr>
                <w:rFonts w:cstheme="minorHAnsi"/>
              </w:rPr>
              <w:t>Full name (please print)</w:t>
            </w:r>
          </w:p>
        </w:tc>
        <w:tc>
          <w:tcPr>
            <w:tcW w:w="4508" w:type="dxa"/>
          </w:tcPr>
          <w:p w14:paraId="59483E94" w14:textId="20643930" w:rsidR="001B109C" w:rsidRPr="002F4604" w:rsidRDefault="00DC1963" w:rsidP="00962F05">
            <w:pPr>
              <w:pBdr>
                <w:bottom w:val="single" w:sz="12" w:space="1" w:color="auto"/>
              </w:pBd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Sarah Thomas</w:t>
            </w:r>
          </w:p>
          <w:p w14:paraId="439588BC" w14:textId="77777777" w:rsidR="001B109C" w:rsidRPr="002F4604" w:rsidRDefault="001B109C" w:rsidP="00962F05">
            <w:pPr>
              <w:rPr>
                <w:rFonts w:cstheme="minorHAnsi"/>
              </w:rPr>
            </w:pPr>
            <w:r w:rsidRPr="002F4604">
              <w:rPr>
                <w:rFonts w:cstheme="minorHAnsi"/>
              </w:rPr>
              <w:t>Witness (please print)</w:t>
            </w:r>
          </w:p>
        </w:tc>
      </w:tr>
      <w:tr w:rsidR="001B109C" w:rsidRPr="00E169EE" w14:paraId="20B90866" w14:textId="77777777" w:rsidTr="00962F05">
        <w:tc>
          <w:tcPr>
            <w:tcW w:w="4508" w:type="dxa"/>
          </w:tcPr>
          <w:p w14:paraId="7D9047AD" w14:textId="3BFD1FE8" w:rsidR="001B109C" w:rsidRPr="00E169EE" w:rsidRDefault="00DC1963" w:rsidP="00962F05">
            <w:pPr>
              <w:pBdr>
                <w:bottom w:val="single" w:sz="12" w:space="1" w:color="auto"/>
              </w:pBd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Vice-Chancellor and President</w:t>
            </w:r>
          </w:p>
          <w:p w14:paraId="231ABA73" w14:textId="77777777" w:rsidR="001B109C" w:rsidRPr="00E169EE" w:rsidRDefault="001B109C" w:rsidP="00962F05">
            <w:pPr>
              <w:spacing w:after="0"/>
              <w:rPr>
                <w:rFonts w:cstheme="minorHAnsi"/>
              </w:rPr>
            </w:pPr>
            <w:r w:rsidRPr="00E169EE">
              <w:rPr>
                <w:rFonts w:cstheme="minorHAnsi"/>
              </w:rPr>
              <w:t>Position</w:t>
            </w:r>
          </w:p>
          <w:p w14:paraId="536F9855" w14:textId="77777777" w:rsidR="001B109C" w:rsidRPr="00E169EE" w:rsidRDefault="001B109C" w:rsidP="00962F05">
            <w:pPr>
              <w:spacing w:after="0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7B33C473" w14:textId="571C1A9B" w:rsidR="001B109C" w:rsidRPr="002F4604" w:rsidRDefault="00DC1963" w:rsidP="00962F05">
            <w:pPr>
              <w:pBdr>
                <w:bottom w:val="single" w:sz="12" w:space="1" w:color="auto"/>
              </w:pBd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Executive Assistant</w:t>
            </w:r>
          </w:p>
          <w:p w14:paraId="0C046C3D" w14:textId="77777777" w:rsidR="001B109C" w:rsidRPr="002F4604" w:rsidRDefault="001B109C" w:rsidP="00962F05">
            <w:pPr>
              <w:spacing w:after="0"/>
              <w:rPr>
                <w:rFonts w:cstheme="minorHAnsi"/>
              </w:rPr>
            </w:pPr>
            <w:r w:rsidRPr="002F4604">
              <w:rPr>
                <w:rFonts w:cstheme="minorHAnsi"/>
              </w:rPr>
              <w:t>Position or profession of witness (please print)</w:t>
            </w:r>
          </w:p>
        </w:tc>
      </w:tr>
      <w:tr w:rsidR="001B109C" w:rsidRPr="00E169EE" w14:paraId="51440CFB" w14:textId="77777777" w:rsidTr="00962F05">
        <w:trPr>
          <w:trHeight w:val="80"/>
        </w:trPr>
        <w:tc>
          <w:tcPr>
            <w:tcW w:w="4508" w:type="dxa"/>
          </w:tcPr>
          <w:p w14:paraId="7583F948" w14:textId="77777777" w:rsidR="001B109C" w:rsidRPr="00E169EE" w:rsidRDefault="001B109C" w:rsidP="00962F05">
            <w:pPr>
              <w:pBdr>
                <w:bottom w:val="single" w:sz="12" w:space="1" w:color="auto"/>
              </w:pBdr>
              <w:spacing w:after="0"/>
              <w:rPr>
                <w:rFonts w:cstheme="minorHAnsi"/>
                <w:b/>
                <w:bCs/>
              </w:rPr>
            </w:pPr>
          </w:p>
          <w:p w14:paraId="62FF4341" w14:textId="77777777" w:rsidR="001B109C" w:rsidRPr="00E169EE" w:rsidRDefault="001B109C" w:rsidP="00962F05">
            <w:pPr>
              <w:spacing w:after="0"/>
              <w:rPr>
                <w:rFonts w:cstheme="minorHAnsi"/>
              </w:rPr>
            </w:pPr>
            <w:r w:rsidRPr="00E169EE">
              <w:rPr>
                <w:rFonts w:cstheme="minorHAnsi"/>
              </w:rPr>
              <w:t>Signature</w:t>
            </w:r>
          </w:p>
        </w:tc>
        <w:tc>
          <w:tcPr>
            <w:tcW w:w="4508" w:type="dxa"/>
          </w:tcPr>
          <w:p w14:paraId="75C3F771" w14:textId="77777777" w:rsidR="001B109C" w:rsidRPr="002F4604" w:rsidRDefault="001B109C" w:rsidP="00962F05">
            <w:pPr>
              <w:pBdr>
                <w:bottom w:val="single" w:sz="12" w:space="1" w:color="auto"/>
              </w:pBdr>
              <w:spacing w:after="0"/>
              <w:rPr>
                <w:rFonts w:cstheme="minorHAnsi"/>
                <w:b/>
                <w:bCs/>
              </w:rPr>
            </w:pPr>
          </w:p>
          <w:p w14:paraId="79F89A4A" w14:textId="77777777" w:rsidR="001B109C" w:rsidRPr="002F4604" w:rsidRDefault="001B109C" w:rsidP="00962F05">
            <w:pPr>
              <w:spacing w:after="0"/>
              <w:rPr>
                <w:rFonts w:cstheme="minorHAnsi"/>
              </w:rPr>
            </w:pPr>
            <w:r w:rsidRPr="002F4604">
              <w:rPr>
                <w:rFonts w:cstheme="minorHAnsi"/>
              </w:rPr>
              <w:t>Signature</w:t>
            </w:r>
          </w:p>
        </w:tc>
      </w:tr>
    </w:tbl>
    <w:p w14:paraId="3AB2DC04" w14:textId="77777777" w:rsidR="001B109C" w:rsidRPr="00285733" w:rsidRDefault="001B109C" w:rsidP="001B109C"/>
    <w:p w14:paraId="7F0711AD" w14:textId="77777777" w:rsidR="001B109C" w:rsidRPr="001B109C" w:rsidRDefault="001B109C" w:rsidP="001B109C">
      <w:pPr>
        <w:pStyle w:val="NormalIndent"/>
        <w:spacing w:line="240" w:lineRule="auto"/>
        <w:ind w:left="0"/>
        <w:rPr>
          <w:rFonts w:asciiTheme="minorHAnsi" w:hAnsiTheme="minorHAnsi" w:cstheme="minorHAnsi"/>
          <w:szCs w:val="22"/>
        </w:rPr>
      </w:pPr>
    </w:p>
    <w:sectPr w:rsidR="001B109C" w:rsidRPr="001B109C" w:rsidSect="00D86284">
      <w:footerReference w:type="default" r:id="rId45"/>
      <w:footerReference w:type="first" r:id="rId46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47CB" w14:textId="77777777" w:rsidR="00F3089B" w:rsidRDefault="00F3089B" w:rsidP="000A6228">
      <w:pPr>
        <w:spacing w:after="0" w:line="240" w:lineRule="auto"/>
      </w:pPr>
      <w:r>
        <w:separator/>
      </w:r>
    </w:p>
  </w:endnote>
  <w:endnote w:type="continuationSeparator" w:id="0">
    <w:p w14:paraId="487996AE" w14:textId="77777777" w:rsidR="00F3089B" w:rsidRDefault="00F3089B" w:rsidP="000A6228">
      <w:pPr>
        <w:spacing w:after="0" w:line="240" w:lineRule="auto"/>
      </w:pPr>
      <w:r>
        <w:continuationSeparator/>
      </w:r>
    </w:p>
  </w:endnote>
  <w:endnote w:type="continuationNotice" w:id="1">
    <w:p w14:paraId="551F9D30" w14:textId="77777777" w:rsidR="00F3089B" w:rsidRDefault="00F30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othamNarrow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3558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2C5743" w14:textId="50E924DF" w:rsidR="0029618B" w:rsidRDefault="0029618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304C76" w14:textId="745619E5" w:rsidR="00D86284" w:rsidRDefault="00D86284">
    <w:pPr>
      <w:pStyle w:val="Footer"/>
    </w:pPr>
  </w:p>
  <w:p w14:paraId="53B95D11" w14:textId="77777777" w:rsidR="006C1BBB" w:rsidRDefault="006C1B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1401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76C45E" w14:textId="50C78817" w:rsidR="0029618B" w:rsidRDefault="0029618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2FC99A" w14:textId="77777777" w:rsidR="0029618B" w:rsidRDefault="00296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D485" w14:textId="77777777" w:rsidR="00F3089B" w:rsidRDefault="00F3089B" w:rsidP="000A6228">
      <w:pPr>
        <w:spacing w:after="0" w:line="240" w:lineRule="auto"/>
      </w:pPr>
      <w:r>
        <w:separator/>
      </w:r>
    </w:p>
  </w:footnote>
  <w:footnote w:type="continuationSeparator" w:id="0">
    <w:p w14:paraId="14555B14" w14:textId="77777777" w:rsidR="00F3089B" w:rsidRDefault="00F3089B" w:rsidP="000A6228">
      <w:pPr>
        <w:spacing w:after="0" w:line="240" w:lineRule="auto"/>
      </w:pPr>
      <w:r>
        <w:continuationSeparator/>
      </w:r>
    </w:p>
  </w:footnote>
  <w:footnote w:type="continuationNotice" w:id="1">
    <w:p w14:paraId="26737111" w14:textId="77777777" w:rsidR="00F3089B" w:rsidRDefault="00F308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9D149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62A2DE2"/>
    <w:multiLevelType w:val="hybridMultilevel"/>
    <w:tmpl w:val="F2A0A1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301559"/>
    <w:multiLevelType w:val="hybridMultilevel"/>
    <w:tmpl w:val="8D8463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B751030"/>
    <w:multiLevelType w:val="hybridMultilevel"/>
    <w:tmpl w:val="6A90A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6373C"/>
    <w:multiLevelType w:val="hybridMultilevel"/>
    <w:tmpl w:val="19901A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D47A67"/>
    <w:multiLevelType w:val="hybridMultilevel"/>
    <w:tmpl w:val="3BA2369A"/>
    <w:lvl w:ilvl="0" w:tplc="0C090001">
      <w:start w:val="1"/>
      <w:numFmt w:val="bullet"/>
      <w:lvlText w:val=""/>
      <w:lvlJc w:val="left"/>
      <w:pPr>
        <w:ind w:left="3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20" w15:restartNumberingAfterBreak="0">
    <w:nsid w:val="403312E7"/>
    <w:multiLevelType w:val="hybridMultilevel"/>
    <w:tmpl w:val="B69053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CE0BEC"/>
    <w:multiLevelType w:val="hybridMultilevel"/>
    <w:tmpl w:val="FC4A2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370B8"/>
    <w:multiLevelType w:val="hybridMultilevel"/>
    <w:tmpl w:val="1AA8EC9A"/>
    <w:lvl w:ilvl="0" w:tplc="155004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912B91"/>
    <w:multiLevelType w:val="hybridMultilevel"/>
    <w:tmpl w:val="13CCF1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560241"/>
    <w:multiLevelType w:val="hybridMultilevel"/>
    <w:tmpl w:val="6FD81F06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5" w15:restartNumberingAfterBreak="0">
    <w:nsid w:val="4973037C"/>
    <w:multiLevelType w:val="hybridMultilevel"/>
    <w:tmpl w:val="44E8C6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C5F6C"/>
    <w:multiLevelType w:val="hybridMultilevel"/>
    <w:tmpl w:val="DE38B1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D277E"/>
    <w:multiLevelType w:val="hybridMultilevel"/>
    <w:tmpl w:val="88E40D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0E69AE"/>
    <w:multiLevelType w:val="hybridMultilevel"/>
    <w:tmpl w:val="8FBA4A2A"/>
    <w:lvl w:ilvl="0" w:tplc="9F3E99B2">
      <w:start w:val="1"/>
      <w:numFmt w:val="decimal"/>
      <w:lvlText w:val="%1."/>
      <w:lvlJc w:val="left"/>
      <w:pPr>
        <w:ind w:left="720" w:hanging="360"/>
      </w:pPr>
    </w:lvl>
    <w:lvl w:ilvl="1" w:tplc="BE88057E">
      <w:start w:val="1"/>
      <w:numFmt w:val="lowerLetter"/>
      <w:lvlText w:val="%2."/>
      <w:lvlJc w:val="left"/>
      <w:pPr>
        <w:ind w:left="1440" w:hanging="360"/>
      </w:pPr>
    </w:lvl>
    <w:lvl w:ilvl="2" w:tplc="3260DCCE">
      <w:start w:val="1"/>
      <w:numFmt w:val="lowerRoman"/>
      <w:lvlText w:val="%3."/>
      <w:lvlJc w:val="right"/>
      <w:pPr>
        <w:ind w:left="2160" w:hanging="180"/>
      </w:pPr>
    </w:lvl>
    <w:lvl w:ilvl="3" w:tplc="69DE0588">
      <w:start w:val="1"/>
      <w:numFmt w:val="decimal"/>
      <w:lvlText w:val="%4."/>
      <w:lvlJc w:val="left"/>
      <w:pPr>
        <w:ind w:left="2880" w:hanging="360"/>
      </w:pPr>
    </w:lvl>
    <w:lvl w:ilvl="4" w:tplc="83C0CB14">
      <w:start w:val="1"/>
      <w:numFmt w:val="lowerLetter"/>
      <w:lvlText w:val="%5."/>
      <w:lvlJc w:val="left"/>
      <w:pPr>
        <w:ind w:left="3600" w:hanging="360"/>
      </w:pPr>
    </w:lvl>
    <w:lvl w:ilvl="5" w:tplc="61DCB7D6">
      <w:start w:val="1"/>
      <w:numFmt w:val="lowerRoman"/>
      <w:lvlText w:val="%6."/>
      <w:lvlJc w:val="right"/>
      <w:pPr>
        <w:ind w:left="4320" w:hanging="180"/>
      </w:pPr>
    </w:lvl>
    <w:lvl w:ilvl="6" w:tplc="14346556">
      <w:start w:val="1"/>
      <w:numFmt w:val="decimal"/>
      <w:lvlText w:val="%7."/>
      <w:lvlJc w:val="left"/>
      <w:pPr>
        <w:ind w:left="5040" w:hanging="360"/>
      </w:pPr>
    </w:lvl>
    <w:lvl w:ilvl="7" w:tplc="20442820">
      <w:start w:val="1"/>
      <w:numFmt w:val="lowerLetter"/>
      <w:lvlText w:val="%8."/>
      <w:lvlJc w:val="left"/>
      <w:pPr>
        <w:ind w:left="5760" w:hanging="360"/>
      </w:pPr>
    </w:lvl>
    <w:lvl w:ilvl="8" w:tplc="CC38F95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08808EE"/>
    <w:multiLevelType w:val="hybridMultilevel"/>
    <w:tmpl w:val="70DC2D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030F3B"/>
    <w:multiLevelType w:val="hybridMultilevel"/>
    <w:tmpl w:val="FE2EF15E"/>
    <w:lvl w:ilvl="0" w:tplc="4AA62698">
      <w:numFmt w:val="bullet"/>
      <w:lvlText w:val="•"/>
      <w:lvlJc w:val="left"/>
      <w:pPr>
        <w:ind w:left="1444" w:hanging="735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7E2642D"/>
    <w:multiLevelType w:val="hybridMultilevel"/>
    <w:tmpl w:val="6172C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949A5"/>
    <w:multiLevelType w:val="hybridMultilevel"/>
    <w:tmpl w:val="14A670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560429">
    <w:abstractNumId w:val="13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7"/>
  </w:num>
  <w:num w:numId="11" w16cid:durableId="419833051">
    <w:abstractNumId w:val="32"/>
  </w:num>
  <w:num w:numId="12" w16cid:durableId="1758015391">
    <w:abstractNumId w:val="12"/>
  </w:num>
  <w:num w:numId="13" w16cid:durableId="1395660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1"/>
  </w:num>
  <w:num w:numId="15" w16cid:durableId="928125744">
    <w:abstractNumId w:val="6"/>
  </w:num>
  <w:num w:numId="16" w16cid:durableId="1172835113">
    <w:abstractNumId w:val="33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9"/>
  </w:num>
  <w:num w:numId="20" w16cid:durableId="495650377">
    <w:abstractNumId w:val="30"/>
  </w:num>
  <w:num w:numId="21" w16cid:durableId="1733191421">
    <w:abstractNumId w:val="21"/>
  </w:num>
  <w:num w:numId="22" w16cid:durableId="1455439968">
    <w:abstractNumId w:val="26"/>
  </w:num>
  <w:num w:numId="23" w16cid:durableId="934091243">
    <w:abstractNumId w:val="35"/>
  </w:num>
  <w:num w:numId="24" w16cid:durableId="536359709">
    <w:abstractNumId w:val="25"/>
  </w:num>
  <w:num w:numId="25" w16cid:durableId="1401176463">
    <w:abstractNumId w:val="23"/>
  </w:num>
  <w:num w:numId="26" w16cid:durableId="1728534034">
    <w:abstractNumId w:val="34"/>
  </w:num>
  <w:num w:numId="27" w16cid:durableId="630402372">
    <w:abstractNumId w:val="10"/>
  </w:num>
  <w:num w:numId="28" w16cid:durableId="876157740">
    <w:abstractNumId w:val="15"/>
  </w:num>
  <w:num w:numId="29" w16cid:durableId="356741636">
    <w:abstractNumId w:val="24"/>
  </w:num>
  <w:num w:numId="30" w16cid:durableId="1026950685">
    <w:abstractNumId w:val="28"/>
  </w:num>
  <w:num w:numId="31" w16cid:durableId="747508074">
    <w:abstractNumId w:val="19"/>
  </w:num>
  <w:num w:numId="32" w16cid:durableId="2029133179">
    <w:abstractNumId w:val="20"/>
  </w:num>
  <w:num w:numId="33" w16cid:durableId="1767651424">
    <w:abstractNumId w:val="8"/>
  </w:num>
  <w:num w:numId="34" w16cid:durableId="1397627722">
    <w:abstractNumId w:val="14"/>
  </w:num>
  <w:num w:numId="35" w16cid:durableId="1882549896">
    <w:abstractNumId w:val="31"/>
  </w:num>
  <w:num w:numId="36" w16cid:durableId="98575463">
    <w:abstractNumId w:val="22"/>
  </w:num>
  <w:num w:numId="37" w16cid:durableId="18874517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29A"/>
    <w:rsid w:val="00012366"/>
    <w:rsid w:val="0002140A"/>
    <w:rsid w:val="00021FBE"/>
    <w:rsid w:val="00022EA5"/>
    <w:rsid w:val="0004235C"/>
    <w:rsid w:val="00045E1D"/>
    <w:rsid w:val="000521D7"/>
    <w:rsid w:val="000733C0"/>
    <w:rsid w:val="00074976"/>
    <w:rsid w:val="00081C21"/>
    <w:rsid w:val="000960CF"/>
    <w:rsid w:val="000A0B58"/>
    <w:rsid w:val="000A3A19"/>
    <w:rsid w:val="000A6228"/>
    <w:rsid w:val="000A63AD"/>
    <w:rsid w:val="000B5D40"/>
    <w:rsid w:val="000B5DBD"/>
    <w:rsid w:val="000B7EC6"/>
    <w:rsid w:val="000D1A0D"/>
    <w:rsid w:val="000D5A65"/>
    <w:rsid w:val="000D758D"/>
    <w:rsid w:val="000E726A"/>
    <w:rsid w:val="00100BBA"/>
    <w:rsid w:val="00107D87"/>
    <w:rsid w:val="00107DD5"/>
    <w:rsid w:val="0012343A"/>
    <w:rsid w:val="00133B8D"/>
    <w:rsid w:val="0013611E"/>
    <w:rsid w:val="001515BF"/>
    <w:rsid w:val="0015549C"/>
    <w:rsid w:val="0017134D"/>
    <w:rsid w:val="001937AD"/>
    <w:rsid w:val="00196CDA"/>
    <w:rsid w:val="001A6B93"/>
    <w:rsid w:val="001B109C"/>
    <w:rsid w:val="001C1523"/>
    <w:rsid w:val="001D7C3A"/>
    <w:rsid w:val="001E3BF1"/>
    <w:rsid w:val="001E6DBC"/>
    <w:rsid w:val="0020593D"/>
    <w:rsid w:val="002100DF"/>
    <w:rsid w:val="00217414"/>
    <w:rsid w:val="00221D8F"/>
    <w:rsid w:val="002272DB"/>
    <w:rsid w:val="00235752"/>
    <w:rsid w:val="00241CF3"/>
    <w:rsid w:val="00263700"/>
    <w:rsid w:val="00271871"/>
    <w:rsid w:val="00272D33"/>
    <w:rsid w:val="0027578A"/>
    <w:rsid w:val="00276047"/>
    <w:rsid w:val="002775F3"/>
    <w:rsid w:val="00282FF8"/>
    <w:rsid w:val="00286FCE"/>
    <w:rsid w:val="0029618B"/>
    <w:rsid w:val="002A4458"/>
    <w:rsid w:val="002C1F0F"/>
    <w:rsid w:val="002D3EFA"/>
    <w:rsid w:val="002D589A"/>
    <w:rsid w:val="002E0855"/>
    <w:rsid w:val="002E43C6"/>
    <w:rsid w:val="002E491A"/>
    <w:rsid w:val="002F4604"/>
    <w:rsid w:val="00300B82"/>
    <w:rsid w:val="00304890"/>
    <w:rsid w:val="0030691D"/>
    <w:rsid w:val="00326ACC"/>
    <w:rsid w:val="003610E4"/>
    <w:rsid w:val="00363F38"/>
    <w:rsid w:val="0038512B"/>
    <w:rsid w:val="003E3BF5"/>
    <w:rsid w:val="003E71EE"/>
    <w:rsid w:val="003F0589"/>
    <w:rsid w:val="0040155D"/>
    <w:rsid w:val="0041713E"/>
    <w:rsid w:val="00421D3F"/>
    <w:rsid w:val="00423785"/>
    <w:rsid w:val="0042692C"/>
    <w:rsid w:val="004333AF"/>
    <w:rsid w:val="00443E89"/>
    <w:rsid w:val="00452D26"/>
    <w:rsid w:val="00453608"/>
    <w:rsid w:val="00462848"/>
    <w:rsid w:val="00463568"/>
    <w:rsid w:val="0049333E"/>
    <w:rsid w:val="00495704"/>
    <w:rsid w:val="004A06CD"/>
    <w:rsid w:val="004A0B89"/>
    <w:rsid w:val="004A4B6F"/>
    <w:rsid w:val="004A4CF9"/>
    <w:rsid w:val="004D2965"/>
    <w:rsid w:val="004D2D9D"/>
    <w:rsid w:val="004E03D1"/>
    <w:rsid w:val="004E24BE"/>
    <w:rsid w:val="004E6C1C"/>
    <w:rsid w:val="004F6905"/>
    <w:rsid w:val="00520BA6"/>
    <w:rsid w:val="00526996"/>
    <w:rsid w:val="0053060C"/>
    <w:rsid w:val="005403EC"/>
    <w:rsid w:val="00541139"/>
    <w:rsid w:val="00547FB7"/>
    <w:rsid w:val="0057028F"/>
    <w:rsid w:val="005759A0"/>
    <w:rsid w:val="00591F57"/>
    <w:rsid w:val="00593D8D"/>
    <w:rsid w:val="005A75C9"/>
    <w:rsid w:val="005B187D"/>
    <w:rsid w:val="005C763F"/>
    <w:rsid w:val="005F015E"/>
    <w:rsid w:val="005F35D6"/>
    <w:rsid w:val="00601882"/>
    <w:rsid w:val="00620802"/>
    <w:rsid w:val="006232DC"/>
    <w:rsid w:val="0063094F"/>
    <w:rsid w:val="00645B84"/>
    <w:rsid w:val="006504B6"/>
    <w:rsid w:val="0066638E"/>
    <w:rsid w:val="0068223F"/>
    <w:rsid w:val="006920D5"/>
    <w:rsid w:val="00697A84"/>
    <w:rsid w:val="006A4079"/>
    <w:rsid w:val="006A7B7C"/>
    <w:rsid w:val="006B1939"/>
    <w:rsid w:val="006B2B77"/>
    <w:rsid w:val="006C1BBB"/>
    <w:rsid w:val="006C7BF2"/>
    <w:rsid w:val="006D67F3"/>
    <w:rsid w:val="006E6078"/>
    <w:rsid w:val="006F1FFF"/>
    <w:rsid w:val="006F2406"/>
    <w:rsid w:val="006F6D10"/>
    <w:rsid w:val="0070372E"/>
    <w:rsid w:val="007100B3"/>
    <w:rsid w:val="00712B94"/>
    <w:rsid w:val="00713579"/>
    <w:rsid w:val="00717352"/>
    <w:rsid w:val="00747591"/>
    <w:rsid w:val="007517BA"/>
    <w:rsid w:val="00761E18"/>
    <w:rsid w:val="0076384E"/>
    <w:rsid w:val="0077782B"/>
    <w:rsid w:val="00790970"/>
    <w:rsid w:val="007A284E"/>
    <w:rsid w:val="007B2CA1"/>
    <w:rsid w:val="007C42AC"/>
    <w:rsid w:val="007C6C99"/>
    <w:rsid w:val="007D0ABC"/>
    <w:rsid w:val="007E1D68"/>
    <w:rsid w:val="0080026F"/>
    <w:rsid w:val="008034C4"/>
    <w:rsid w:val="008042F5"/>
    <w:rsid w:val="0081560B"/>
    <w:rsid w:val="0081689D"/>
    <w:rsid w:val="008317CB"/>
    <w:rsid w:val="0086428D"/>
    <w:rsid w:val="008718F7"/>
    <w:rsid w:val="00886959"/>
    <w:rsid w:val="00890745"/>
    <w:rsid w:val="00893A34"/>
    <w:rsid w:val="00896D5A"/>
    <w:rsid w:val="008A36E1"/>
    <w:rsid w:val="008A37A7"/>
    <w:rsid w:val="008A7AB4"/>
    <w:rsid w:val="008B0736"/>
    <w:rsid w:val="008B37A6"/>
    <w:rsid w:val="008C1F5A"/>
    <w:rsid w:val="008D4FA9"/>
    <w:rsid w:val="0090601B"/>
    <w:rsid w:val="00907EBF"/>
    <w:rsid w:val="00913D0F"/>
    <w:rsid w:val="00930246"/>
    <w:rsid w:val="009354D0"/>
    <w:rsid w:val="0093765C"/>
    <w:rsid w:val="0094012A"/>
    <w:rsid w:val="00941847"/>
    <w:rsid w:val="00950B06"/>
    <w:rsid w:val="00960E4C"/>
    <w:rsid w:val="00963DA2"/>
    <w:rsid w:val="00970069"/>
    <w:rsid w:val="009721EB"/>
    <w:rsid w:val="009741FE"/>
    <w:rsid w:val="009769D1"/>
    <w:rsid w:val="00980B05"/>
    <w:rsid w:val="00981303"/>
    <w:rsid w:val="00994D60"/>
    <w:rsid w:val="009A08CE"/>
    <w:rsid w:val="009A7D57"/>
    <w:rsid w:val="009B24F2"/>
    <w:rsid w:val="009B706E"/>
    <w:rsid w:val="009C1E72"/>
    <w:rsid w:val="009C423A"/>
    <w:rsid w:val="009E65CA"/>
    <w:rsid w:val="009E79ED"/>
    <w:rsid w:val="00A02B3B"/>
    <w:rsid w:val="00A07596"/>
    <w:rsid w:val="00A14260"/>
    <w:rsid w:val="00A179FB"/>
    <w:rsid w:val="00A17A08"/>
    <w:rsid w:val="00A2072C"/>
    <w:rsid w:val="00A314D3"/>
    <w:rsid w:val="00A4187C"/>
    <w:rsid w:val="00A46E04"/>
    <w:rsid w:val="00A60673"/>
    <w:rsid w:val="00A6067A"/>
    <w:rsid w:val="00A814BD"/>
    <w:rsid w:val="00A818DE"/>
    <w:rsid w:val="00AA4A43"/>
    <w:rsid w:val="00AB2A61"/>
    <w:rsid w:val="00AC1872"/>
    <w:rsid w:val="00AC21EE"/>
    <w:rsid w:val="00AC7C0F"/>
    <w:rsid w:val="00AD13D0"/>
    <w:rsid w:val="00AD255D"/>
    <w:rsid w:val="00AD631F"/>
    <w:rsid w:val="00AE0473"/>
    <w:rsid w:val="00AE21FF"/>
    <w:rsid w:val="00AF1F18"/>
    <w:rsid w:val="00B04FA8"/>
    <w:rsid w:val="00B0726E"/>
    <w:rsid w:val="00B1255E"/>
    <w:rsid w:val="00B20A74"/>
    <w:rsid w:val="00B20E75"/>
    <w:rsid w:val="00B219D1"/>
    <w:rsid w:val="00B2331B"/>
    <w:rsid w:val="00B33791"/>
    <w:rsid w:val="00B37F99"/>
    <w:rsid w:val="00B57ED9"/>
    <w:rsid w:val="00B63748"/>
    <w:rsid w:val="00B64B3D"/>
    <w:rsid w:val="00B65AF9"/>
    <w:rsid w:val="00B72125"/>
    <w:rsid w:val="00B81FA4"/>
    <w:rsid w:val="00B8794C"/>
    <w:rsid w:val="00B95EF4"/>
    <w:rsid w:val="00BB6509"/>
    <w:rsid w:val="00BC248C"/>
    <w:rsid w:val="00BE78CE"/>
    <w:rsid w:val="00C01EC0"/>
    <w:rsid w:val="00C212D2"/>
    <w:rsid w:val="00C2270F"/>
    <w:rsid w:val="00C244EE"/>
    <w:rsid w:val="00C319A4"/>
    <w:rsid w:val="00C32AE5"/>
    <w:rsid w:val="00C72224"/>
    <w:rsid w:val="00C75706"/>
    <w:rsid w:val="00C83701"/>
    <w:rsid w:val="00CA4815"/>
    <w:rsid w:val="00CC1725"/>
    <w:rsid w:val="00CE40A8"/>
    <w:rsid w:val="00CF6562"/>
    <w:rsid w:val="00D17211"/>
    <w:rsid w:val="00D22AEA"/>
    <w:rsid w:val="00D22F93"/>
    <w:rsid w:val="00D23ABC"/>
    <w:rsid w:val="00D354A5"/>
    <w:rsid w:val="00D43C68"/>
    <w:rsid w:val="00D5688A"/>
    <w:rsid w:val="00D65E8B"/>
    <w:rsid w:val="00D7558A"/>
    <w:rsid w:val="00D82BFE"/>
    <w:rsid w:val="00D86284"/>
    <w:rsid w:val="00D87654"/>
    <w:rsid w:val="00DA045B"/>
    <w:rsid w:val="00DB2992"/>
    <w:rsid w:val="00DC1963"/>
    <w:rsid w:val="00DC5980"/>
    <w:rsid w:val="00DD2B46"/>
    <w:rsid w:val="00DD3400"/>
    <w:rsid w:val="00DD3642"/>
    <w:rsid w:val="00DF3F63"/>
    <w:rsid w:val="00DF7157"/>
    <w:rsid w:val="00DF7C91"/>
    <w:rsid w:val="00E06ED6"/>
    <w:rsid w:val="00E0752E"/>
    <w:rsid w:val="00E114B4"/>
    <w:rsid w:val="00E30B4D"/>
    <w:rsid w:val="00E3180B"/>
    <w:rsid w:val="00E31A95"/>
    <w:rsid w:val="00E47DD6"/>
    <w:rsid w:val="00E529E5"/>
    <w:rsid w:val="00E55C8C"/>
    <w:rsid w:val="00E779DF"/>
    <w:rsid w:val="00E82D55"/>
    <w:rsid w:val="00EA41B1"/>
    <w:rsid w:val="00EA521A"/>
    <w:rsid w:val="00EB4C2F"/>
    <w:rsid w:val="00EC0811"/>
    <w:rsid w:val="00ED0DDF"/>
    <w:rsid w:val="00ED589A"/>
    <w:rsid w:val="00EE2E52"/>
    <w:rsid w:val="00EF5C61"/>
    <w:rsid w:val="00F07246"/>
    <w:rsid w:val="00F1000D"/>
    <w:rsid w:val="00F11041"/>
    <w:rsid w:val="00F3089B"/>
    <w:rsid w:val="00F30BFA"/>
    <w:rsid w:val="00F311A4"/>
    <w:rsid w:val="00F47A67"/>
    <w:rsid w:val="00F51A48"/>
    <w:rsid w:val="00F52ECA"/>
    <w:rsid w:val="00F60B66"/>
    <w:rsid w:val="00F82C2C"/>
    <w:rsid w:val="00F85913"/>
    <w:rsid w:val="00FA7392"/>
    <w:rsid w:val="00FC083D"/>
    <w:rsid w:val="00FC2B31"/>
    <w:rsid w:val="00FD4D6E"/>
    <w:rsid w:val="00FD6383"/>
    <w:rsid w:val="00FD7A94"/>
    <w:rsid w:val="00FF1928"/>
    <w:rsid w:val="00FF5BC8"/>
    <w:rsid w:val="62E47E4A"/>
    <w:rsid w:val="6DC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382439BE-0947-4D0E-9C29-81C0E492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5C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5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NormalIndent">
    <w:name w:val="Normal Indent"/>
    <w:basedOn w:val="Normal"/>
    <w:link w:val="NormalIndentChar"/>
    <w:uiPriority w:val="99"/>
    <w:rsid w:val="001B109C"/>
    <w:pPr>
      <w:spacing w:before="120" w:after="120" w:line="220" w:lineRule="atLeast"/>
      <w:ind w:left="709"/>
    </w:pPr>
    <w:rPr>
      <w:rFonts w:ascii="Calibri" w:eastAsia="Times New Roman" w:hAnsi="Calibri" w:cs="Times New Roman"/>
      <w:szCs w:val="24"/>
      <w:lang w:eastAsia="en-AU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1B109C"/>
    <w:rPr>
      <w:rFonts w:ascii="Calibri" w:eastAsia="Times New Roman" w:hAnsi="Calibri" w:cs="Times New Roman"/>
      <w:szCs w:val="24"/>
      <w:lang w:eastAsia="en-AU"/>
    </w:rPr>
  </w:style>
  <w:style w:type="character" w:styleId="Emphasis">
    <w:name w:val="Emphasis"/>
    <w:basedOn w:val="DefaultParagraphFont"/>
    <w:uiPriority w:val="99"/>
    <w:qFormat/>
    <w:rsid w:val="001B109C"/>
    <w:rPr>
      <w:rFonts w:ascii="Calibri" w:hAnsi="Calibri" w:cs="Times New Roman"/>
      <w:b w:val="0"/>
      <w:i/>
      <w:sz w:val="22"/>
    </w:rPr>
  </w:style>
  <w:style w:type="character" w:customStyle="1" w:styleId="normaltextrun">
    <w:name w:val="normaltextrun"/>
    <w:basedOn w:val="DefaultParagraphFont"/>
    <w:rsid w:val="001B109C"/>
  </w:style>
  <w:style w:type="paragraph" w:styleId="Revision">
    <w:name w:val="Revision"/>
    <w:hidden/>
    <w:uiPriority w:val="99"/>
    <w:semiHidden/>
    <w:rsid w:val="00FA73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5F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00DF"/>
    <w:rPr>
      <w:color w:val="CE372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7C0F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38512B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38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hyperlink" Target="https://partners-community.uq.edu.au/sites/default/files/2024-04/the-queensland-commitment-roadmap.pdf" TargetMode="External"/><Relationship Id="rId26" Type="http://schemas.openxmlformats.org/officeDocument/2006/relationships/hyperlink" Target="https://staff.uq.edu.au/files/132552/Proposed%20EA%202021%202026_10%20Nov%202023.pdf" TargetMode="External"/><Relationship Id="rId39" Type="http://schemas.openxmlformats.org/officeDocument/2006/relationships/hyperlink" Target="https://itali.uq.edu.au/event/11630/lead-through-learning" TargetMode="External"/><Relationship Id="rId21" Type="http://schemas.openxmlformats.org/officeDocument/2006/relationships/hyperlink" Target="https://respect.uq.edu.au/files/1090/Sexual%20Misconduct%20Strategic%20Framework_2021.pdf" TargetMode="External"/><Relationship Id="rId34" Type="http://schemas.openxmlformats.org/officeDocument/2006/relationships/hyperlink" Target="https://indigenous-engagement.uq.edu.au/atsisu" TargetMode="External"/><Relationship Id="rId42" Type="http://schemas.openxmlformats.org/officeDocument/2006/relationships/hyperlink" Target="https://www.uq.edu.au/about/strategic-plan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bout.uq.edu.au/sites/default/files/2024-12/Learning-Student-Experience-Roadmap.pdf" TargetMode="External"/><Relationship Id="rId29" Type="http://schemas.openxmlformats.org/officeDocument/2006/relationships/hyperlink" Target="https://about.uq.edu.au/strategy-values/reconciliation/stretch-ra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research-support.uq.edu.au/resources-and-support/ethics-integrity-and-compliance/research-integrity/disclosure-interests-and-management-conflicts-interest" TargetMode="External"/><Relationship Id="rId32" Type="http://schemas.openxmlformats.org/officeDocument/2006/relationships/hyperlink" Target="https://young-achievers.uq.edu.au/" TargetMode="External"/><Relationship Id="rId37" Type="http://schemas.openxmlformats.org/officeDocument/2006/relationships/hyperlink" Target="https://about.uq.edu.au/sites/default/files/2024-12/Learning-Student-Experience-Roadmap.pdf" TargetMode="External"/><Relationship Id="rId40" Type="http://schemas.openxmlformats.org/officeDocument/2006/relationships/hyperlink" Target="https://research.uq.edu.au/strategy/research-roadmap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uq.edu.au/about/organisation/policies-procedures-guidelines/annual-reports" TargetMode="External"/><Relationship Id="rId23" Type="http://schemas.openxmlformats.org/officeDocument/2006/relationships/hyperlink" Target="https://ppl.app.uq.edu.au/content/1.50.14-foreign-influence-disclosure" TargetMode="External"/><Relationship Id="rId28" Type="http://schemas.openxmlformats.org/officeDocument/2006/relationships/hyperlink" Target="https://www.education.gov.au/australian-universities-accord" TargetMode="External"/><Relationship Id="rId36" Type="http://schemas.openxmlformats.org/officeDocument/2006/relationships/hyperlink" Target="https://my.uq.edu.au/information-and-services/student-support/diversity-disability-inclusion/neurodivergent-hub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bout.uq.edu.au/strategy-values/reconciliation/stretch-rap" TargetMode="External"/><Relationship Id="rId31" Type="http://schemas.openxmlformats.org/officeDocument/2006/relationships/hyperlink" Target="https://life.uq.edu.au/outreachprogram" TargetMode="External"/><Relationship Id="rId44" Type="http://schemas.openxmlformats.org/officeDocument/2006/relationships/hyperlink" Target="https://www.uq.edu.au/about/strategic-pla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q.edu.au/about/strategic-plan" TargetMode="External"/><Relationship Id="rId22" Type="http://schemas.openxmlformats.org/officeDocument/2006/relationships/hyperlink" Target="https://respect.uq.edu.au/files/4815/Action%20Plan%20on%20Sexual%20Misconduct%20Prevention%20and%20Response%202024-2027%20website.pdf" TargetMode="External"/><Relationship Id="rId27" Type="http://schemas.openxmlformats.org/officeDocument/2006/relationships/hyperlink" Target="https://partners-community.uq.edu.au/queensland-commitment/roadmap" TargetMode="External"/><Relationship Id="rId30" Type="http://schemas.openxmlformats.org/officeDocument/2006/relationships/hyperlink" Target="https://study.uq.edu.au/information-resources/aboriginal-torres-strait-islander-students/inspireu" TargetMode="External"/><Relationship Id="rId35" Type="http://schemas.openxmlformats.org/officeDocument/2006/relationships/hyperlink" Target="https://my.uq.edu.au/information-and-services/student-support/diversity-disability-inclusion" TargetMode="External"/><Relationship Id="rId43" Type="http://schemas.openxmlformats.org/officeDocument/2006/relationships/hyperlink" Target="https://uniquest.com.au/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research.uq.edu.au/strategy/research-roadmap" TargetMode="External"/><Relationship Id="rId25" Type="http://schemas.openxmlformats.org/officeDocument/2006/relationships/hyperlink" Target="https://ppl.app.uq.edu.au/content/1.50.03-freedom-speech-and-academic-freedom" TargetMode="External"/><Relationship Id="rId33" Type="http://schemas.openxmlformats.org/officeDocument/2006/relationships/hyperlink" Target="https://scholarships.uq.edu.au/scholarship/uq-link-scholarship" TargetMode="External"/><Relationship Id="rId38" Type="http://schemas.openxmlformats.org/officeDocument/2006/relationships/hyperlink" Target="https://www.uq.edu.au/about/strategic-plan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policies.uq.edu.au/document/view-current.php?id=88" TargetMode="External"/><Relationship Id="rId41" Type="http://schemas.openxmlformats.org/officeDocument/2006/relationships/hyperlink" Target="https://ppl.app.uq.edu.au/content/1.00.03-research-centres-and-research-networks-policy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6138AF4CB284D930A08DC3809C1D3" ma:contentTypeVersion="17" ma:contentTypeDescription="Create a new document." ma:contentTypeScope="" ma:versionID="60ba93596bb056ad26c101ca221cb0bd">
  <xsd:schema xmlns:xsd="http://www.w3.org/2001/XMLSchema" xmlns:xs="http://www.w3.org/2001/XMLSchema" xmlns:p="http://schemas.microsoft.com/office/2006/metadata/properties" xmlns:ns2="fea52c8c-9806-4a1c-8ca9-6928160f6c09" xmlns:ns3="6e75ac5a-1f9e-40aa-9df5-998dd543a947" targetNamespace="http://schemas.microsoft.com/office/2006/metadata/properties" ma:root="true" ma:fieldsID="de19e3e377286d2be77325670ce047b9" ns2:_="" ns3:_="">
    <xsd:import namespace="fea52c8c-9806-4a1c-8ca9-6928160f6c09"/>
    <xsd:import namespace="6e75ac5a-1f9e-40aa-9df5-998dd543a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52c8c-9806-4a1c-8ca9-6928160f6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5ac5a-1f9e-40aa-9df5-998dd543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e8b0ff3-da8a-4b47-8bbf-e69e6dea2796}" ma:internalName="TaxCatchAll" ma:showField="CatchAllData" ma:web="6e75ac5a-1f9e-40aa-9df5-998dd543a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52c8c-9806-4a1c-8ca9-6928160f6c09">
      <Terms xmlns="http://schemas.microsoft.com/office/infopath/2007/PartnerControls"/>
    </lcf76f155ced4ddcb4097134ff3c332f>
    <TaxCatchAll xmlns="6e75ac5a-1f9e-40aa-9df5-998dd543a947" xsi:nil="true"/>
    <Comment xmlns="fea52c8c-9806-4a1c-8ca9-6928160f6c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8BD5B-8E79-44B1-90F9-0C1E5DB50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52c8c-9806-4a1c-8ca9-6928160f6c09"/>
    <ds:schemaRef ds:uri="6e75ac5a-1f9e-40aa-9df5-998dd543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836FB-0FEA-4EB6-8C1F-B6512B7A70B1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ea52c8c-9806-4a1c-8ca9-6928160f6c09"/>
    <ds:schemaRef ds:uri="6e75ac5a-1f9e-40aa-9df5-998dd543a947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2622</Words>
  <Characters>16263</Characters>
  <Application>Microsoft Office Word</Application>
  <DocSecurity>0</DocSecurity>
  <Lines>276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Mission-Based Compact</vt:lpstr>
    </vt:vector>
  </TitlesOfParts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Mission-Based Compact</dc:title>
  <dc:subject/>
  <dc:creator>ASHTON,Michael</dc:creator>
  <cp:keywords/>
  <dc:description/>
  <cp:lastModifiedBy>LEAP,Andrew</cp:lastModifiedBy>
  <cp:revision>9</cp:revision>
  <cp:lastPrinted>2025-12-01T05:30:00Z</cp:lastPrinted>
  <dcterms:created xsi:type="dcterms:W3CDTF">2025-11-23T23:00:00Z</dcterms:created>
  <dcterms:modified xsi:type="dcterms:W3CDTF">2025-12-17T04:42:00Z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0x0101001E36138AF4CB284D930A08DC3809C1D3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  <property fmtid="{D5CDD505-2E9C-101B-9397-08002B2CF9AE}" pid="14" name="MSIP_Label_0f488380-630a-4f55-a077-a19445e3f360_Enabled">
    <vt:lpwstr>true</vt:lpwstr>
  </property>
  <property fmtid="{D5CDD505-2E9C-101B-9397-08002B2CF9AE}" pid="15" name="MSIP_Label_0f488380-630a-4f55-a077-a19445e3f360_SetDate">
    <vt:lpwstr>2025-09-15T02:21:42Z</vt:lpwstr>
  </property>
  <property fmtid="{D5CDD505-2E9C-101B-9397-08002B2CF9AE}" pid="16" name="MSIP_Label_0f488380-630a-4f55-a077-a19445e3f360_Method">
    <vt:lpwstr>Standard</vt:lpwstr>
  </property>
  <property fmtid="{D5CDD505-2E9C-101B-9397-08002B2CF9AE}" pid="17" name="MSIP_Label_0f488380-630a-4f55-a077-a19445e3f360_Name">
    <vt:lpwstr>OFFICIAL - INTERNAL</vt:lpwstr>
  </property>
  <property fmtid="{D5CDD505-2E9C-101B-9397-08002B2CF9AE}" pid="18" name="MSIP_Label_0f488380-630a-4f55-a077-a19445e3f360_SiteId">
    <vt:lpwstr>b6e377cf-9db3-46cb-91a2-fad9605bb15c</vt:lpwstr>
  </property>
  <property fmtid="{D5CDD505-2E9C-101B-9397-08002B2CF9AE}" pid="19" name="MSIP_Label_0f488380-630a-4f55-a077-a19445e3f360_ActionId">
    <vt:lpwstr>5eb075a5-91db-4e33-8b28-f8f5dc98a236</vt:lpwstr>
  </property>
  <property fmtid="{D5CDD505-2E9C-101B-9397-08002B2CF9AE}" pid="20" name="MSIP_Label_0f488380-630a-4f55-a077-a19445e3f360_ContentBits">
    <vt:lpwstr>0</vt:lpwstr>
  </property>
  <property fmtid="{D5CDD505-2E9C-101B-9397-08002B2CF9AE}" pid="21" name="MSIP_Label_0f488380-630a-4f55-a077-a19445e3f360_Tag">
    <vt:lpwstr>10, 3, 0, 1</vt:lpwstr>
  </property>
  <property fmtid="{D5CDD505-2E9C-101B-9397-08002B2CF9AE}" pid="22" name="GrammarlyDocumentId">
    <vt:lpwstr>9997efd5-4ccd-4130-a8e8-1f00f2410a0c</vt:lpwstr>
  </property>
</Properties>
</file>