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087D25B">
        <w:trPr>
          <w:cantSplit/>
        </w:trPr>
        <w:tc>
          <w:tcPr>
            <w:tcW w:w="5000" w:type="pct"/>
            <w:tcBorders>
              <w:bottom w:val="single" w:sz="4" w:space="0" w:color="auto"/>
            </w:tcBorders>
          </w:tcPr>
          <w:p w14:paraId="2DC984E7" w14:textId="1D476E76" w:rsidR="001B109C" w:rsidRPr="00F34B1E" w:rsidRDefault="001B109C">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AE684B">
              <w:t>University of Notre Dame Australia</w:t>
            </w:r>
          </w:p>
          <w:p w14:paraId="26FC6577" w14:textId="0C0D0CA3" w:rsidR="001B109C" w:rsidRPr="0007338F" w:rsidRDefault="001B109C">
            <w:pPr>
              <w:rPr>
                <w:rFonts w:cstheme="minorHAnsi"/>
                <w:i/>
                <w:iCs/>
                <w:sz w:val="24"/>
                <w:szCs w:val="24"/>
              </w:rPr>
            </w:pPr>
          </w:p>
        </w:tc>
      </w:tr>
      <w:tr w:rsidR="001B109C" w:rsidRPr="00E41388" w14:paraId="2126955C" w14:textId="77777777" w:rsidTr="6087D25B">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087D25B">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E24202">
              <w:rPr>
                <w:rFonts w:asciiTheme="minorHAnsi" w:hAnsiTheme="minorHAnsi" w:cstheme="minorHAnsi"/>
                <w:szCs w:val="22"/>
              </w:rPr>
              <w:t>All strategies should provide qualitative and/or quantitative measures of assessment</w:t>
            </w:r>
            <w:r w:rsidRPr="00E24202">
              <w:rPr>
                <w:rFonts w:ascii="Times New Roman" w:hAnsi="Times New Roman"/>
                <w:sz w:val="24"/>
              </w:rPr>
              <w:t>.</w:t>
            </w:r>
          </w:p>
        </w:tc>
      </w:tr>
      <w:tr w:rsidR="001B109C" w:rsidRPr="00E41388" w14:paraId="63ACD26A" w14:textId="77777777" w:rsidTr="6087D25B">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087D25B">
        <w:trPr>
          <w:cantSplit/>
          <w:trHeight w:val="1123"/>
        </w:trPr>
        <w:tc>
          <w:tcPr>
            <w:tcW w:w="5000" w:type="pct"/>
            <w:tcBorders>
              <w:bottom w:val="single" w:sz="4" w:space="0" w:color="auto"/>
            </w:tcBorders>
          </w:tcPr>
          <w:p w14:paraId="3FB6E06F" w14:textId="77777777" w:rsidR="00D8656A" w:rsidRDefault="00D8656A" w:rsidP="0034564B">
            <w:pPr>
              <w:pStyle w:val="TableParagraph"/>
              <w:ind w:left="88" w:right="128"/>
              <w:rPr>
                <w:sz w:val="20"/>
                <w:lang w:val="en-AU"/>
              </w:rPr>
            </w:pPr>
          </w:p>
          <w:p w14:paraId="1B716C0B" w14:textId="02BA4A09" w:rsidR="0034564B" w:rsidRDefault="0034564B" w:rsidP="0034564B">
            <w:pPr>
              <w:pStyle w:val="TableParagraph"/>
              <w:ind w:left="88" w:right="128"/>
              <w:rPr>
                <w:sz w:val="20"/>
                <w:lang w:val="en-AU"/>
              </w:rPr>
            </w:pPr>
            <w:r w:rsidRPr="006A7B15">
              <w:rPr>
                <w:sz w:val="20"/>
                <w:lang w:val="en-AU"/>
              </w:rPr>
              <w:t>The University of Notre Dame Australia (UNDA) provides university education within a context of Catholic faith and values, maintaining excellence in teaching, scholarship, research, professional training, and pastoral care.</w:t>
            </w:r>
            <w:r>
              <w:rPr>
                <w:sz w:val="20"/>
                <w:lang w:val="en-AU"/>
              </w:rPr>
              <w:t xml:space="preserve"> </w:t>
            </w:r>
            <w:r w:rsidRPr="006A7B15">
              <w:rPr>
                <w:sz w:val="20"/>
                <w:lang w:val="en-AU"/>
              </w:rPr>
              <w:t xml:space="preserve">UNDA's </w:t>
            </w:r>
            <w:r w:rsidR="00444BBE">
              <w:rPr>
                <w:sz w:val="20"/>
                <w:lang w:val="en-AU"/>
              </w:rPr>
              <w:t xml:space="preserve">current </w:t>
            </w:r>
            <w:r w:rsidRPr="006A7B15">
              <w:rPr>
                <w:sz w:val="20"/>
                <w:lang w:val="en-AU"/>
              </w:rPr>
              <w:t xml:space="preserve">Strategic Plan progresses strongly across </w:t>
            </w:r>
            <w:r>
              <w:rPr>
                <w:sz w:val="20"/>
                <w:lang w:val="en-AU"/>
              </w:rPr>
              <w:t>its five</w:t>
            </w:r>
            <w:r w:rsidRPr="006A7B15">
              <w:rPr>
                <w:sz w:val="20"/>
                <w:lang w:val="en-AU"/>
              </w:rPr>
              <w:t xml:space="preserve"> pillars</w:t>
            </w:r>
            <w:r>
              <w:rPr>
                <w:sz w:val="20"/>
                <w:lang w:val="en-AU"/>
              </w:rPr>
              <w:t>.</w:t>
            </w:r>
            <w:r w:rsidRPr="006A7B15">
              <w:rPr>
                <w:sz w:val="20"/>
                <w:lang w:val="en-AU"/>
              </w:rPr>
              <w:t xml:space="preserve"> The next strategic plan, commencing January 2027, will guide transformation in higher education while remaining grounded in Catholic mission and founding values. </w:t>
            </w:r>
          </w:p>
          <w:p w14:paraId="694AB191" w14:textId="77777777" w:rsidR="0034564B" w:rsidRDefault="0034564B" w:rsidP="0034564B">
            <w:pPr>
              <w:pStyle w:val="TableParagraph"/>
              <w:ind w:left="88" w:right="128"/>
              <w:rPr>
                <w:b/>
                <w:bCs/>
                <w:sz w:val="20"/>
              </w:rPr>
            </w:pPr>
          </w:p>
          <w:p w14:paraId="718B0421" w14:textId="6E104433" w:rsidR="0034564B" w:rsidRDefault="0034564B" w:rsidP="0034564B">
            <w:pPr>
              <w:pStyle w:val="TableParagraph"/>
              <w:ind w:left="88" w:right="128"/>
              <w:rPr>
                <w:sz w:val="20"/>
                <w:szCs w:val="20"/>
              </w:rPr>
            </w:pPr>
            <w:r w:rsidRPr="032F65BD">
              <w:rPr>
                <w:sz w:val="20"/>
                <w:szCs w:val="20"/>
              </w:rPr>
              <w:t>UNDA's strategic approach advances multiple Government priorities</w:t>
            </w:r>
            <w:r>
              <w:rPr>
                <w:sz w:val="20"/>
                <w:szCs w:val="20"/>
              </w:rPr>
              <w:t>; aligning</w:t>
            </w:r>
            <w:r w:rsidRPr="006A7B15">
              <w:rPr>
                <w:sz w:val="20"/>
                <w:lang w:val="en-AU"/>
              </w:rPr>
              <w:t xml:space="preserve"> with the Accord, including achieving 80</w:t>
            </w:r>
            <w:r>
              <w:rPr>
                <w:sz w:val="20"/>
                <w:lang w:val="en-AU"/>
              </w:rPr>
              <w:t>%</w:t>
            </w:r>
            <w:r w:rsidRPr="006A7B15">
              <w:rPr>
                <w:sz w:val="20"/>
                <w:lang w:val="en-AU"/>
              </w:rPr>
              <w:t xml:space="preserve"> workforce tertiary qualification by 2050. </w:t>
            </w:r>
            <w:r w:rsidRPr="032F65BD">
              <w:rPr>
                <w:sz w:val="20"/>
                <w:szCs w:val="20"/>
              </w:rPr>
              <w:t xml:space="preserve">Our Catholic mission facilitates authentic community engagement through Catholic </w:t>
            </w:r>
            <w:r>
              <w:rPr>
                <w:sz w:val="20"/>
                <w:szCs w:val="20"/>
              </w:rPr>
              <w:t>networks and</w:t>
            </w:r>
            <w:r w:rsidRPr="032F65BD">
              <w:rPr>
                <w:sz w:val="20"/>
                <w:szCs w:val="20"/>
              </w:rPr>
              <w:t xml:space="preserve"> partnerships. Our commitment to flexible, multimodal delivery directly aligns with Government's Needs Based Funding initiative and the expanded demand-driven system for disadvantaged students launching in 2027. Our </w:t>
            </w:r>
            <w:r w:rsidR="00444BBE">
              <w:rPr>
                <w:sz w:val="20"/>
                <w:szCs w:val="20"/>
              </w:rPr>
              <w:t>FFUR</w:t>
            </w:r>
            <w:r w:rsidRPr="032F65BD">
              <w:rPr>
                <w:sz w:val="20"/>
                <w:szCs w:val="20"/>
              </w:rPr>
              <w:t xml:space="preserve"> programs</w:t>
            </w:r>
            <w:r>
              <w:rPr>
                <w:sz w:val="20"/>
                <w:szCs w:val="20"/>
              </w:rPr>
              <w:t xml:space="preserve"> (through</w:t>
            </w:r>
            <w:r w:rsidRPr="032F65BD">
              <w:rPr>
                <w:sz w:val="20"/>
                <w:szCs w:val="20"/>
              </w:rPr>
              <w:t xml:space="preserve"> Tertiary Pathway and UniPath initiatives</w:t>
            </w:r>
            <w:r>
              <w:rPr>
                <w:sz w:val="20"/>
                <w:szCs w:val="20"/>
              </w:rPr>
              <w:t>)</w:t>
            </w:r>
            <w:r w:rsidRPr="032F65BD">
              <w:rPr>
                <w:sz w:val="20"/>
                <w:szCs w:val="20"/>
              </w:rPr>
              <w:t xml:space="preserve">, together with our Experience-Based Entry model position </w:t>
            </w:r>
            <w:r w:rsidR="00444BBE">
              <w:rPr>
                <w:sz w:val="20"/>
                <w:szCs w:val="20"/>
              </w:rPr>
              <w:t>UNDA</w:t>
            </w:r>
            <w:r w:rsidRPr="032F65BD">
              <w:rPr>
                <w:sz w:val="20"/>
                <w:szCs w:val="20"/>
              </w:rPr>
              <w:t xml:space="preserve"> to </w:t>
            </w:r>
            <w:r>
              <w:rPr>
                <w:sz w:val="20"/>
                <w:szCs w:val="20"/>
              </w:rPr>
              <w:t>impact</w:t>
            </w:r>
            <w:r w:rsidRPr="032F65BD">
              <w:rPr>
                <w:sz w:val="20"/>
                <w:szCs w:val="20"/>
              </w:rPr>
              <w:t>.</w:t>
            </w:r>
          </w:p>
          <w:p w14:paraId="7D2A5ADF" w14:textId="77777777" w:rsidR="0034564B" w:rsidRPr="00C701FC" w:rsidRDefault="0034564B" w:rsidP="0034564B">
            <w:pPr>
              <w:pStyle w:val="TableParagraph"/>
              <w:ind w:left="88" w:right="128"/>
              <w:rPr>
                <w:sz w:val="20"/>
              </w:rPr>
            </w:pPr>
          </w:p>
          <w:p w14:paraId="5CED2B00" w14:textId="747B8869" w:rsidR="0034564B" w:rsidRPr="00936F35" w:rsidRDefault="0034564B" w:rsidP="0034564B">
            <w:pPr>
              <w:pStyle w:val="TableParagraph"/>
              <w:ind w:left="88" w:right="128"/>
              <w:rPr>
                <w:sz w:val="20"/>
              </w:rPr>
            </w:pPr>
            <w:r w:rsidRPr="00936F35">
              <w:rPr>
                <w:sz w:val="20"/>
              </w:rPr>
              <w:t>We recogni</w:t>
            </w:r>
            <w:r w:rsidR="005E2168">
              <w:rPr>
                <w:sz w:val="20"/>
              </w:rPr>
              <w:t>s</w:t>
            </w:r>
            <w:r w:rsidRPr="00936F35">
              <w:rPr>
                <w:sz w:val="20"/>
              </w:rPr>
              <w:t>e national workforce needs</w:t>
            </w:r>
            <w:r>
              <w:rPr>
                <w:sz w:val="20"/>
              </w:rPr>
              <w:t xml:space="preserve">, including </w:t>
            </w:r>
            <w:r w:rsidRPr="003C65DC">
              <w:rPr>
                <w:sz w:val="20"/>
              </w:rPr>
              <w:t>Health Sciences</w:t>
            </w:r>
            <w:r>
              <w:rPr>
                <w:sz w:val="20"/>
              </w:rPr>
              <w:t xml:space="preserve"> (</w:t>
            </w:r>
            <w:r w:rsidRPr="003C65DC">
              <w:rPr>
                <w:sz w:val="20"/>
              </w:rPr>
              <w:t>nursing, allied health, and physiotherapy</w:t>
            </w:r>
            <w:r>
              <w:rPr>
                <w:sz w:val="20"/>
              </w:rPr>
              <w:t xml:space="preserve">) and </w:t>
            </w:r>
            <w:r w:rsidRPr="003C65DC">
              <w:rPr>
                <w:sz w:val="20"/>
              </w:rPr>
              <w:t xml:space="preserve">Education </w:t>
            </w:r>
            <w:r>
              <w:rPr>
                <w:sz w:val="20"/>
              </w:rPr>
              <w:t>(</w:t>
            </w:r>
            <w:r w:rsidRPr="003C65DC">
              <w:rPr>
                <w:sz w:val="20"/>
              </w:rPr>
              <w:t>particularly early childhood and primary education</w:t>
            </w:r>
            <w:r>
              <w:rPr>
                <w:sz w:val="20"/>
              </w:rPr>
              <w:t xml:space="preserve">). UNDA is committed to </w:t>
            </w:r>
            <w:r w:rsidR="002154AD">
              <w:rPr>
                <w:sz w:val="20"/>
              </w:rPr>
              <w:t>national</w:t>
            </w:r>
            <w:r>
              <w:rPr>
                <w:sz w:val="20"/>
              </w:rPr>
              <w:t xml:space="preserve"> needs</w:t>
            </w:r>
            <w:r w:rsidR="00EE3829">
              <w:rPr>
                <w:sz w:val="20"/>
              </w:rPr>
              <w:t xml:space="preserve"> with a combination of </w:t>
            </w:r>
            <w:r w:rsidR="00EE3829" w:rsidRPr="00971E2A">
              <w:rPr>
                <w:sz w:val="20"/>
                <w:lang w:val="en-AU"/>
              </w:rPr>
              <w:t xml:space="preserve">mission-driven, workforce-relevant programs, flexible delivery, and </w:t>
            </w:r>
            <w:r w:rsidR="00EE3829">
              <w:rPr>
                <w:sz w:val="20"/>
                <w:lang w:val="en-AU"/>
              </w:rPr>
              <w:t>service to new cohorts</w:t>
            </w:r>
            <w:r>
              <w:rPr>
                <w:sz w:val="20"/>
              </w:rPr>
              <w:t xml:space="preserve"> </w:t>
            </w:r>
            <w:r w:rsidR="00EE3829">
              <w:rPr>
                <w:sz w:val="20"/>
              </w:rPr>
              <w:t>including</w:t>
            </w:r>
            <w:r>
              <w:rPr>
                <w:sz w:val="20"/>
              </w:rPr>
              <w:t xml:space="preserve"> </w:t>
            </w:r>
            <w:r w:rsidRPr="00B11C94">
              <w:rPr>
                <w:sz w:val="20"/>
                <w:lang w:val="en-AU"/>
              </w:rPr>
              <w:t>expansion of teacher education</w:t>
            </w:r>
            <w:r>
              <w:rPr>
                <w:sz w:val="20"/>
                <w:lang w:val="en-AU"/>
              </w:rPr>
              <w:t>,</w:t>
            </w:r>
            <w:r w:rsidRPr="00B11C94">
              <w:rPr>
                <w:sz w:val="20"/>
                <w:lang w:val="en-AU"/>
              </w:rPr>
              <w:t xml:space="preserve"> </w:t>
            </w:r>
            <w:r>
              <w:rPr>
                <w:sz w:val="20"/>
                <w:lang w:val="en-AU"/>
              </w:rPr>
              <w:t>M</w:t>
            </w:r>
            <w:r w:rsidRPr="00B11C94">
              <w:rPr>
                <w:sz w:val="20"/>
                <w:lang w:val="en-AU"/>
              </w:rPr>
              <w:t xml:space="preserve">edicine </w:t>
            </w:r>
            <w:r>
              <w:rPr>
                <w:sz w:val="20"/>
                <w:lang w:val="en-AU"/>
              </w:rPr>
              <w:t xml:space="preserve">(e.g. our remote Kimberley Centre for Remote Medical Training), and five new </w:t>
            </w:r>
            <w:r w:rsidRPr="00C701FC">
              <w:rPr>
                <w:sz w:val="20"/>
              </w:rPr>
              <w:t>health-related programs</w:t>
            </w:r>
          </w:p>
          <w:p w14:paraId="119780EF" w14:textId="77777777" w:rsidR="0034564B" w:rsidRPr="00F9380E" w:rsidRDefault="0034564B" w:rsidP="0034564B">
            <w:pPr>
              <w:pStyle w:val="TableParagraph"/>
              <w:ind w:left="88" w:right="128"/>
              <w:rPr>
                <w:b/>
                <w:bCs/>
                <w:sz w:val="20"/>
              </w:rPr>
            </w:pPr>
          </w:p>
          <w:p w14:paraId="7C3A13CF" w14:textId="1E035876" w:rsidR="0034564B" w:rsidRDefault="00071F90" w:rsidP="0034564B">
            <w:pPr>
              <w:pStyle w:val="TableParagraph"/>
              <w:ind w:left="88" w:right="128"/>
              <w:rPr>
                <w:sz w:val="20"/>
              </w:rPr>
            </w:pPr>
            <w:r>
              <w:rPr>
                <w:sz w:val="20"/>
                <w:lang w:val="en-AU"/>
              </w:rPr>
              <w:t>A</w:t>
            </w:r>
            <w:r w:rsidR="0034564B" w:rsidRPr="00B22BAF">
              <w:rPr>
                <w:sz w:val="20"/>
                <w:lang w:val="en-AU"/>
              </w:rPr>
              <w:t xml:space="preserve">ll members of </w:t>
            </w:r>
            <w:r w:rsidR="0034564B">
              <w:rPr>
                <w:sz w:val="20"/>
                <w:lang w:val="en-AU"/>
              </w:rPr>
              <w:t>our</w:t>
            </w:r>
            <w:r w:rsidR="0034564B" w:rsidRPr="00B22BAF">
              <w:rPr>
                <w:sz w:val="20"/>
                <w:lang w:val="en-AU"/>
              </w:rPr>
              <w:t xml:space="preserve"> community have the right to feel safe and </w:t>
            </w:r>
            <w:proofErr w:type="gramStart"/>
            <w:r w:rsidR="0034564B" w:rsidRPr="00B22BAF">
              <w:rPr>
                <w:sz w:val="20"/>
                <w:lang w:val="en-AU"/>
              </w:rPr>
              <w:t>secure, and</w:t>
            </w:r>
            <w:proofErr w:type="gramEnd"/>
            <w:r w:rsidR="0034564B" w:rsidRPr="00B22BAF">
              <w:rPr>
                <w:sz w:val="20"/>
                <w:lang w:val="en-AU"/>
              </w:rPr>
              <w:t xml:space="preserve"> be </w:t>
            </w:r>
            <w:proofErr w:type="gramStart"/>
            <w:r w:rsidR="0034564B" w:rsidRPr="00B22BAF">
              <w:rPr>
                <w:sz w:val="20"/>
                <w:lang w:val="en-AU"/>
              </w:rPr>
              <w:t>treated with respect and dignity at all times</w:t>
            </w:r>
            <w:proofErr w:type="gramEnd"/>
            <w:r w:rsidR="0034564B" w:rsidRPr="00B22BAF">
              <w:rPr>
                <w:sz w:val="20"/>
                <w:lang w:val="en-AU"/>
              </w:rPr>
              <w:t>.</w:t>
            </w:r>
            <w:r w:rsidR="0034564B">
              <w:rPr>
                <w:sz w:val="20"/>
                <w:lang w:val="en-AU"/>
              </w:rPr>
              <w:t xml:space="preserve"> We</w:t>
            </w:r>
            <w:r w:rsidR="0034564B" w:rsidRPr="00223C60">
              <w:rPr>
                <w:sz w:val="20"/>
                <w:lang w:val="en-AU"/>
              </w:rPr>
              <w:t xml:space="preserve"> condemn</w:t>
            </w:r>
            <w:r w:rsidR="0034564B">
              <w:rPr>
                <w:sz w:val="20"/>
                <w:lang w:val="en-AU"/>
              </w:rPr>
              <w:t xml:space="preserve"> </w:t>
            </w:r>
            <w:r w:rsidR="0034564B" w:rsidRPr="00223C60">
              <w:rPr>
                <w:sz w:val="20"/>
                <w:lang w:val="en-AU"/>
              </w:rPr>
              <w:t>harassment, violence and unjust discrimination of every kind, and asserts that no one should be subject to physical or verbal harassment or abuse</w:t>
            </w:r>
            <w:r w:rsidR="0034564B">
              <w:rPr>
                <w:sz w:val="20"/>
                <w:lang w:val="en-AU"/>
              </w:rPr>
              <w:t xml:space="preserve">. </w:t>
            </w:r>
            <w:r w:rsidR="0034564B">
              <w:rPr>
                <w:sz w:val="20"/>
              </w:rPr>
              <w:t>UNDA is implementing its response to the</w:t>
            </w:r>
            <w:r w:rsidR="0034564B" w:rsidRPr="001D5549">
              <w:rPr>
                <w:sz w:val="20"/>
              </w:rPr>
              <w:t xml:space="preserve"> National Higher Education Code to Prevent and Respond to Gender-Based Violence</w:t>
            </w:r>
            <w:r w:rsidR="0034564B">
              <w:rPr>
                <w:sz w:val="20"/>
              </w:rPr>
              <w:t>,</w:t>
            </w:r>
            <w:r w:rsidR="0034564B" w:rsidRPr="001D5549">
              <w:rPr>
                <w:sz w:val="20"/>
              </w:rPr>
              <w:t xml:space="preserve"> and WGEA Gender Equality Indicators</w:t>
            </w:r>
            <w:r w:rsidR="0034564B">
              <w:rPr>
                <w:sz w:val="20"/>
              </w:rPr>
              <w:t>, t</w:t>
            </w:r>
            <w:r w:rsidR="0034564B" w:rsidRPr="001D5549">
              <w:rPr>
                <w:sz w:val="20"/>
              </w:rPr>
              <w:t>aking a coordinated approach to meeting our obligations</w:t>
            </w:r>
            <w:r w:rsidR="0034564B">
              <w:rPr>
                <w:sz w:val="20"/>
              </w:rPr>
              <w:t>.</w:t>
            </w:r>
          </w:p>
          <w:p w14:paraId="5B16D4DF" w14:textId="77777777" w:rsidR="0034564B" w:rsidRDefault="0034564B" w:rsidP="0034564B">
            <w:pPr>
              <w:pStyle w:val="TableParagraph"/>
              <w:ind w:left="88" w:right="128"/>
              <w:rPr>
                <w:sz w:val="20"/>
              </w:rPr>
            </w:pPr>
          </w:p>
          <w:p w14:paraId="15F165C7" w14:textId="0EF5CBDC" w:rsidR="0034564B" w:rsidRPr="00924323" w:rsidRDefault="0034564B" w:rsidP="0034564B">
            <w:pPr>
              <w:pStyle w:val="TableParagraph"/>
              <w:ind w:left="88" w:right="128"/>
              <w:rPr>
                <w:sz w:val="20"/>
                <w:lang w:val="en-AU"/>
              </w:rPr>
            </w:pPr>
            <w:r>
              <w:rPr>
                <w:sz w:val="20"/>
                <w:lang w:val="en-AU"/>
              </w:rPr>
              <w:t>UNDA’s</w:t>
            </w:r>
            <w:r w:rsidRPr="00924323">
              <w:rPr>
                <w:sz w:val="20"/>
                <w:lang w:val="en-AU"/>
              </w:rPr>
              <w:t xml:space="preserve"> approach to managing the threat of foreign interference aligns with the </w:t>
            </w:r>
            <w:r w:rsidRPr="00924323">
              <w:rPr>
                <w:i/>
                <w:iCs/>
                <w:sz w:val="20"/>
                <w:lang w:val="en-AU"/>
              </w:rPr>
              <w:t>Guidelines to Counter Foreign Interference in the Australian University Sector (</w:t>
            </w:r>
            <w:r w:rsidRPr="00924323">
              <w:rPr>
                <w:sz w:val="20"/>
                <w:lang w:val="en-AU"/>
              </w:rPr>
              <w:t xml:space="preserve">UFIT Guidelines). A working group </w:t>
            </w:r>
            <w:r w:rsidRPr="00924323">
              <w:rPr>
                <w:sz w:val="20"/>
              </w:rPr>
              <w:t xml:space="preserve">with representation from across </w:t>
            </w:r>
            <w:r>
              <w:rPr>
                <w:sz w:val="20"/>
              </w:rPr>
              <w:t>UNDA</w:t>
            </w:r>
            <w:r w:rsidRPr="00924323">
              <w:rPr>
                <w:sz w:val="20"/>
              </w:rPr>
              <w:t xml:space="preserve"> </w:t>
            </w:r>
            <w:r w:rsidRPr="00924323">
              <w:rPr>
                <w:sz w:val="20"/>
                <w:lang w:val="en-AU"/>
              </w:rPr>
              <w:t>provides oversight for ongoing implementation. This includes monitoring documented risk controls</w:t>
            </w:r>
            <w:r>
              <w:rPr>
                <w:sz w:val="20"/>
                <w:lang w:val="en-AU"/>
              </w:rPr>
              <w:t xml:space="preserve">, </w:t>
            </w:r>
            <w:r w:rsidRPr="00924323">
              <w:rPr>
                <w:sz w:val="20"/>
                <w:lang w:val="en-AU"/>
              </w:rPr>
              <w:t xml:space="preserve">treatment actions and reporting to </w:t>
            </w:r>
            <w:r>
              <w:rPr>
                <w:sz w:val="20"/>
                <w:lang w:val="en-AU"/>
              </w:rPr>
              <w:t>our</w:t>
            </w:r>
            <w:r w:rsidRPr="00924323">
              <w:rPr>
                <w:sz w:val="20"/>
                <w:lang w:val="en-AU"/>
              </w:rPr>
              <w:t xml:space="preserve"> Audit and Risk Committee. </w:t>
            </w:r>
            <w:r w:rsidRPr="00924323">
              <w:rPr>
                <w:sz w:val="20"/>
              </w:rPr>
              <w:t xml:space="preserve">Foreign interference risk identification and mitigation is further integrated into </w:t>
            </w:r>
            <w:r w:rsidR="003631A7">
              <w:rPr>
                <w:sz w:val="20"/>
              </w:rPr>
              <w:t>our</w:t>
            </w:r>
            <w:r w:rsidRPr="00924323">
              <w:rPr>
                <w:sz w:val="20"/>
              </w:rPr>
              <w:t xml:space="preserve"> policies and processes for managing conflict of interest, research funding and agreements, and third-party program delivery. </w:t>
            </w:r>
            <w:r w:rsidRPr="00924323">
              <w:rPr>
                <w:sz w:val="20"/>
                <w:lang w:val="en-AU"/>
              </w:rPr>
              <w:t xml:space="preserve">All proposed research or educational collaborative arrangements involving international partners are assessed to identify arrangements that require notification under the Foreign Arrangements Scheme. </w:t>
            </w:r>
            <w:r>
              <w:rPr>
                <w:sz w:val="20"/>
                <w:lang w:val="en-AU"/>
              </w:rPr>
              <w:t>UNDA’s</w:t>
            </w:r>
            <w:r w:rsidRPr="00924323">
              <w:rPr>
                <w:sz w:val="20"/>
                <w:lang w:val="en-AU"/>
              </w:rPr>
              <w:t xml:space="preserve"> current research</w:t>
            </w:r>
            <w:r w:rsidRPr="00924323">
              <w:rPr>
                <w:sz w:val="20"/>
              </w:rPr>
              <w:t xml:space="preserve"> focus and international interactions do not include high risk activities (such as critical technologies) or involve countries </w:t>
            </w:r>
            <w:r w:rsidRPr="00924323">
              <w:rPr>
                <w:sz w:val="20"/>
                <w:lang w:val="en-AU"/>
              </w:rPr>
              <w:t>that present a high risk of foreign interference.</w:t>
            </w:r>
          </w:p>
          <w:p w14:paraId="68DA32F2" w14:textId="77777777" w:rsidR="0034564B" w:rsidRDefault="0034564B" w:rsidP="0034564B">
            <w:pPr>
              <w:pStyle w:val="TableParagraph"/>
              <w:ind w:left="88" w:right="128"/>
              <w:rPr>
                <w:b/>
                <w:bCs/>
                <w:sz w:val="20"/>
              </w:rPr>
            </w:pPr>
          </w:p>
          <w:p w14:paraId="15E15BD6" w14:textId="568654CB" w:rsidR="0034564B" w:rsidRPr="008B0BE4" w:rsidRDefault="0034564B" w:rsidP="0034564B">
            <w:pPr>
              <w:pStyle w:val="TableParagraph"/>
              <w:ind w:left="88" w:right="128"/>
              <w:rPr>
                <w:sz w:val="20"/>
              </w:rPr>
            </w:pPr>
            <w:r w:rsidRPr="008B0BE4">
              <w:rPr>
                <w:sz w:val="20"/>
              </w:rPr>
              <w:t xml:space="preserve">UNDA continues to transform its technology and cyber landscape; balancing cost, a contemporary digital environment, </w:t>
            </w:r>
            <w:r>
              <w:rPr>
                <w:sz w:val="20"/>
              </w:rPr>
              <w:t xml:space="preserve">and </w:t>
            </w:r>
            <w:r w:rsidRPr="008B0BE4">
              <w:rPr>
                <w:sz w:val="20"/>
              </w:rPr>
              <w:t xml:space="preserve">student experience. </w:t>
            </w:r>
            <w:r w:rsidR="005E2168">
              <w:rPr>
                <w:sz w:val="20"/>
              </w:rPr>
              <w:t xml:space="preserve">We will </w:t>
            </w:r>
            <w:r>
              <w:rPr>
                <w:sz w:val="20"/>
              </w:rPr>
              <w:t xml:space="preserve">continue </w:t>
            </w:r>
            <w:proofErr w:type="spellStart"/>
            <w:r>
              <w:rPr>
                <w:sz w:val="20"/>
              </w:rPr>
              <w:t>moderni</w:t>
            </w:r>
            <w:r w:rsidR="005E2168">
              <w:rPr>
                <w:sz w:val="20"/>
              </w:rPr>
              <w:t>s</w:t>
            </w:r>
            <w:r>
              <w:rPr>
                <w:sz w:val="20"/>
              </w:rPr>
              <w:t>ing</w:t>
            </w:r>
            <w:proofErr w:type="spellEnd"/>
            <w:r>
              <w:rPr>
                <w:sz w:val="20"/>
              </w:rPr>
              <w:t xml:space="preserve"> </w:t>
            </w:r>
            <w:r w:rsidRPr="008B0BE4">
              <w:rPr>
                <w:sz w:val="20"/>
              </w:rPr>
              <w:t>our data environment to deliver trusted, timely, and connected data</w:t>
            </w:r>
            <w:r w:rsidR="003631A7">
              <w:rPr>
                <w:sz w:val="20"/>
              </w:rPr>
              <w:t>.</w:t>
            </w:r>
            <w:r w:rsidRPr="008B0BE4">
              <w:rPr>
                <w:sz w:val="20"/>
              </w:rPr>
              <w:t xml:space="preserve"> The benefits are a unified platform, improved governance and security, faster delivery, better insights, and lower operational risk. This will further enable our data security and deliver enhanced insights and improve student experience.</w:t>
            </w:r>
          </w:p>
          <w:p w14:paraId="018CE621" w14:textId="77777777" w:rsidR="0034564B" w:rsidRDefault="0034564B" w:rsidP="0034564B">
            <w:pPr>
              <w:pStyle w:val="TableParagraph"/>
              <w:ind w:left="88" w:right="128"/>
              <w:rPr>
                <w:b/>
                <w:bCs/>
                <w:sz w:val="20"/>
              </w:rPr>
            </w:pPr>
          </w:p>
          <w:p w14:paraId="2C91A87B" w14:textId="580694C8" w:rsidR="001B109C" w:rsidRPr="005774F2" w:rsidRDefault="0034564B" w:rsidP="00751BD8">
            <w:pPr>
              <w:pStyle w:val="TableParagraph"/>
              <w:ind w:left="0" w:right="128"/>
            </w:pPr>
            <w:r>
              <w:rPr>
                <w:sz w:val="20"/>
                <w:lang w:val="en-AU"/>
              </w:rPr>
              <w:t>T</w:t>
            </w:r>
            <w:r w:rsidRPr="007D2D51">
              <w:rPr>
                <w:sz w:val="20"/>
                <w:lang w:val="en-AU"/>
              </w:rPr>
              <w:t xml:space="preserve">he principles of academic freedom </w:t>
            </w:r>
            <w:r>
              <w:rPr>
                <w:sz w:val="20"/>
                <w:lang w:val="en-AU"/>
              </w:rPr>
              <w:t>(</w:t>
            </w:r>
            <w:r w:rsidRPr="007D2D51">
              <w:rPr>
                <w:sz w:val="20"/>
                <w:lang w:val="en-AU"/>
              </w:rPr>
              <w:t xml:space="preserve">recognised in </w:t>
            </w:r>
            <w:r>
              <w:rPr>
                <w:sz w:val="20"/>
                <w:lang w:val="en-AU"/>
              </w:rPr>
              <w:t>UNDA’s</w:t>
            </w:r>
            <w:r w:rsidRPr="007D2D51">
              <w:rPr>
                <w:sz w:val="20"/>
                <w:lang w:val="en-AU"/>
              </w:rPr>
              <w:t> </w:t>
            </w:r>
            <w:hyperlink r:id="rId14" w:tgtFrame="_blank" w:tooltip="STATEMENT: Academic Freedom" w:history="1">
              <w:r w:rsidRPr="007D2D51">
                <w:rPr>
                  <w:rStyle w:val="Hyperlink"/>
                  <w:sz w:val="20"/>
                  <w:lang w:val="en-AU"/>
                </w:rPr>
                <w:t>Statement: Academic Freedom</w:t>
              </w:r>
            </w:hyperlink>
            <w:r w:rsidR="00071F90">
              <w:t xml:space="preserve"> and </w:t>
            </w:r>
            <w:hyperlink r:id="rId15" w:tgtFrame="_blank" w:tooltip="POLICY: Protecting Academic Freedom and Freedom of Speech" w:history="1">
              <w:r w:rsidR="00071F90" w:rsidRPr="007D2D51">
                <w:rPr>
                  <w:rStyle w:val="Hyperlink"/>
                  <w:sz w:val="20"/>
                  <w:lang w:val="en-AU"/>
                </w:rPr>
                <w:t>Policy: Protecting Academic Freedom and Freedom of Speech</w:t>
              </w:r>
            </w:hyperlink>
            <w:r>
              <w:t xml:space="preserve">) </w:t>
            </w:r>
            <w:r w:rsidRPr="007D2D51">
              <w:rPr>
                <w:sz w:val="20"/>
                <w:lang w:val="en-AU"/>
              </w:rPr>
              <w:t>and freedom of speech are fundamental to our mission and culture.</w:t>
            </w:r>
            <w:r w:rsidRPr="0020367B">
              <w:rPr>
                <w:sz w:val="20"/>
                <w:lang w:val="en-AU"/>
              </w:rPr>
              <w:t xml:space="preserve"> </w:t>
            </w:r>
            <w:r>
              <w:rPr>
                <w:sz w:val="20"/>
                <w:lang w:val="en-AU"/>
              </w:rPr>
              <w:t>W</w:t>
            </w:r>
            <w:r w:rsidRPr="006940D4">
              <w:rPr>
                <w:sz w:val="20"/>
                <w:lang w:val="en-AU"/>
              </w:rPr>
              <w:t xml:space="preserve">e </w:t>
            </w:r>
            <w:r>
              <w:rPr>
                <w:sz w:val="20"/>
                <w:lang w:val="en-AU"/>
              </w:rPr>
              <w:t xml:space="preserve">are committed to </w:t>
            </w:r>
            <w:r w:rsidRPr="006940D4">
              <w:rPr>
                <w:sz w:val="20"/>
                <w:lang w:val="en-AU"/>
              </w:rPr>
              <w:t>the search for truth, the principle of the common good, and the pursuit of knowledge are informed by the community, faith, tradition and teaching authority of the Catholic Church.</w:t>
            </w:r>
            <w:r>
              <w:rPr>
                <w:sz w:val="20"/>
                <w:lang w:val="en-AU"/>
              </w:rPr>
              <w:t xml:space="preserve"> This is a cornerstone for our community. We encourage the </w:t>
            </w:r>
            <w:r w:rsidRPr="00C40BF3">
              <w:rPr>
                <w:sz w:val="20"/>
                <w:lang w:val="en-AU"/>
              </w:rPr>
              <w:t>right to pursue critical and open inquiry and to discuss freely, teach, assess, develop curricula, publish and research</w:t>
            </w:r>
            <w:r>
              <w:rPr>
                <w:sz w:val="20"/>
                <w:lang w:val="en-AU"/>
              </w:rPr>
              <w:t xml:space="preserve">. </w:t>
            </w:r>
            <w:r w:rsidRPr="0020367B">
              <w:rPr>
                <w:sz w:val="20"/>
                <w:lang w:val="en-AU"/>
              </w:rPr>
              <w:t>Our educational programs reflect our commitment to the Catholic intellectual tradition and incorporate relevant material derived from centuries of Catholic academic thinking</w:t>
            </w:r>
            <w:r>
              <w:rPr>
                <w:sz w:val="20"/>
                <w:lang w:val="en-AU"/>
              </w:rPr>
              <w:t>.</w:t>
            </w:r>
          </w:p>
        </w:tc>
      </w:tr>
      <w:tr w:rsidR="001B109C" w:rsidRPr="00E41388" w14:paraId="0EA45E0C" w14:textId="77777777" w:rsidTr="6087D25B">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6087D25B">
        <w:trPr>
          <w:cantSplit/>
        </w:trPr>
        <w:tc>
          <w:tcPr>
            <w:tcW w:w="5000" w:type="pct"/>
          </w:tcPr>
          <w:p w14:paraId="2F34B696" w14:textId="77777777" w:rsidR="001B109C" w:rsidRDefault="001B109C">
            <w:pPr>
              <w:pStyle w:val="NormalIndent"/>
              <w:spacing w:before="0" w:after="0"/>
              <w:ind w:left="0"/>
              <w:rPr>
                <w:rFonts w:asciiTheme="minorHAnsi" w:hAnsiTheme="minorHAnsi" w:cstheme="minorHAnsi"/>
                <w:i/>
                <w:color w:val="FF0000"/>
                <w:szCs w:val="22"/>
              </w:rPr>
            </w:pPr>
            <w:bookmarkStart w:id="0" w:name="_Hlk150338733"/>
          </w:p>
          <w:bookmarkEnd w:id="0"/>
          <w:p w14:paraId="1D864E5A" w14:textId="1F3F3115" w:rsidR="00F15EA6" w:rsidRDefault="00F15EA6" w:rsidP="00F15EA6">
            <w:pPr>
              <w:pStyle w:val="TableParagraph"/>
              <w:spacing w:before="1"/>
              <w:rPr>
                <w:sz w:val="20"/>
              </w:rPr>
            </w:pPr>
            <w:r w:rsidRPr="00F15EA6">
              <w:rPr>
                <w:sz w:val="20"/>
              </w:rPr>
              <w:t xml:space="preserve">UNDA's </w:t>
            </w:r>
            <w:r w:rsidR="001D172A">
              <w:rPr>
                <w:sz w:val="20"/>
              </w:rPr>
              <w:t xml:space="preserve">current </w:t>
            </w:r>
            <w:hyperlink r:id="rId16" w:history="1">
              <w:r w:rsidRPr="005B23EA">
                <w:rPr>
                  <w:rStyle w:val="Hyperlink"/>
                  <w:sz w:val="20"/>
                </w:rPr>
                <w:t xml:space="preserve">Strategic Plan </w:t>
              </w:r>
            </w:hyperlink>
            <w:r w:rsidRPr="00F15EA6">
              <w:rPr>
                <w:sz w:val="20"/>
              </w:rPr>
              <w:t xml:space="preserve"> commits to annual increases in enrolment of Aboriginal and Torres Strait Islander students (15% p.a.), students from low socioeconomic backgrounds (5%</w:t>
            </w:r>
            <w:r>
              <w:t xml:space="preserve"> p</w:t>
            </w:r>
            <w:r w:rsidRPr="00F15EA6">
              <w:rPr>
                <w:sz w:val="20"/>
              </w:rPr>
              <w:t xml:space="preserve">.a.), and students from regional and remote areas (1% p.a.). </w:t>
            </w:r>
            <w:r w:rsidR="00DB357C">
              <w:rPr>
                <w:sz w:val="20"/>
              </w:rPr>
              <w:t>Our next strategic plan will build upon</w:t>
            </w:r>
            <w:r w:rsidR="00ED5DCB">
              <w:rPr>
                <w:sz w:val="20"/>
              </w:rPr>
              <w:t xml:space="preserve"> these and be more inclusive of </w:t>
            </w:r>
            <w:r w:rsidR="00F8016B">
              <w:rPr>
                <w:sz w:val="20"/>
              </w:rPr>
              <w:t xml:space="preserve">opportunity for students with challenged ability. </w:t>
            </w:r>
            <w:r w:rsidR="009F611F">
              <w:rPr>
                <w:sz w:val="20"/>
              </w:rPr>
              <w:t>UNDA</w:t>
            </w:r>
            <w:r w:rsidRPr="00F15EA6">
              <w:rPr>
                <w:sz w:val="20"/>
              </w:rPr>
              <w:t xml:space="preserve"> is committed to enhancing education pathways for underrepresented cohorts, improving student retention and success, increasing graduating numbers from these groups, and engaging marginalised communities. These commitments will be refined through the next Strategic Planning process.</w:t>
            </w:r>
          </w:p>
          <w:p w14:paraId="6BCF76BB" w14:textId="77777777" w:rsidR="00EB09AC" w:rsidRPr="00F15EA6" w:rsidRDefault="00EB09AC" w:rsidP="00F15EA6">
            <w:pPr>
              <w:pStyle w:val="TableParagraph"/>
              <w:spacing w:before="1"/>
              <w:rPr>
                <w:sz w:val="20"/>
              </w:rPr>
            </w:pPr>
          </w:p>
          <w:p w14:paraId="44ADE341" w14:textId="0E004FDD" w:rsidR="00EB09AC" w:rsidRDefault="005658C2" w:rsidP="00F15EA6">
            <w:pPr>
              <w:pStyle w:val="TableParagraph"/>
              <w:spacing w:before="1"/>
              <w:rPr>
                <w:sz w:val="20"/>
              </w:rPr>
            </w:pPr>
            <w:r w:rsidRPr="00F15EA6">
              <w:rPr>
                <w:sz w:val="20"/>
              </w:rPr>
              <w:t>We welcome students of all or no faith</w:t>
            </w:r>
            <w:r>
              <w:rPr>
                <w:sz w:val="20"/>
              </w:rPr>
              <w:t xml:space="preserve">. </w:t>
            </w:r>
            <w:r w:rsidR="00F15EA6" w:rsidRPr="00F15EA6">
              <w:rPr>
                <w:sz w:val="20"/>
              </w:rPr>
              <w:t xml:space="preserve">Widening participation is essential to </w:t>
            </w:r>
            <w:r w:rsidR="009F611F">
              <w:rPr>
                <w:sz w:val="20"/>
              </w:rPr>
              <w:t>UNDA’s</w:t>
            </w:r>
            <w:r w:rsidR="00F15EA6" w:rsidRPr="00F15EA6">
              <w:rPr>
                <w:sz w:val="20"/>
              </w:rPr>
              <w:t xml:space="preserve"> mission and aligns with our pillars of Universality, Education for the Common Good, and Integral Human Development. Given the Accord's focus on significantly increasing equity participation, UNDA is investing in transformative, large-scale approaches that create lasting impact on student experiences.</w:t>
            </w:r>
            <w:r w:rsidR="00953C3D">
              <w:rPr>
                <w:sz w:val="20"/>
              </w:rPr>
              <w:t xml:space="preserve"> </w:t>
            </w:r>
            <w:r w:rsidR="00F15EA6" w:rsidRPr="00F15EA6">
              <w:rPr>
                <w:sz w:val="20"/>
              </w:rPr>
              <w:t xml:space="preserve">UNDA responds to ATEC's intent to increase participation dramatically over the next five years through greater engagement of students from traditionally underrepresented backgrounds and underserved communities. </w:t>
            </w:r>
          </w:p>
          <w:p w14:paraId="741269E2" w14:textId="77777777" w:rsidR="00EB09AC" w:rsidRDefault="00EB09AC" w:rsidP="00F15EA6">
            <w:pPr>
              <w:pStyle w:val="TableParagraph"/>
              <w:spacing w:before="1"/>
              <w:rPr>
                <w:sz w:val="20"/>
              </w:rPr>
            </w:pPr>
          </w:p>
          <w:p w14:paraId="100D0D9E" w14:textId="3D2AE686" w:rsidR="00F15EA6" w:rsidRDefault="00EB09AC" w:rsidP="032F65BD">
            <w:pPr>
              <w:pStyle w:val="TableParagraph"/>
              <w:spacing w:before="1"/>
              <w:rPr>
                <w:sz w:val="20"/>
                <w:szCs w:val="20"/>
              </w:rPr>
            </w:pPr>
            <w:r w:rsidRPr="032F65BD">
              <w:rPr>
                <w:sz w:val="20"/>
                <w:szCs w:val="20"/>
              </w:rPr>
              <w:t>T</w:t>
            </w:r>
            <w:r w:rsidR="00F15EA6" w:rsidRPr="032F65BD">
              <w:rPr>
                <w:sz w:val="20"/>
                <w:szCs w:val="20"/>
              </w:rPr>
              <w:t xml:space="preserve">he Greater Western Sydney region </w:t>
            </w:r>
            <w:r w:rsidR="007D38EE" w:rsidRPr="032F65BD">
              <w:rPr>
                <w:sz w:val="20"/>
                <w:szCs w:val="20"/>
              </w:rPr>
              <w:t xml:space="preserve">and Kimberley continue to </w:t>
            </w:r>
            <w:r w:rsidR="00F15EA6" w:rsidRPr="032F65BD">
              <w:rPr>
                <w:sz w:val="20"/>
                <w:szCs w:val="20"/>
              </w:rPr>
              <w:t>present</w:t>
            </w:r>
            <w:r w:rsidR="007D38EE" w:rsidRPr="032F65BD">
              <w:rPr>
                <w:sz w:val="20"/>
                <w:szCs w:val="20"/>
              </w:rPr>
              <w:t xml:space="preserve"> </w:t>
            </w:r>
            <w:r w:rsidR="00F15EA6" w:rsidRPr="032F65BD">
              <w:rPr>
                <w:sz w:val="20"/>
                <w:szCs w:val="20"/>
              </w:rPr>
              <w:t>opportunit</w:t>
            </w:r>
            <w:r w:rsidR="007D38EE" w:rsidRPr="032F65BD">
              <w:rPr>
                <w:sz w:val="20"/>
                <w:szCs w:val="20"/>
              </w:rPr>
              <w:t xml:space="preserve">ies </w:t>
            </w:r>
            <w:r w:rsidR="00F15EA6" w:rsidRPr="032F65BD">
              <w:rPr>
                <w:sz w:val="20"/>
                <w:szCs w:val="20"/>
              </w:rPr>
              <w:t xml:space="preserve">to demonstrate alignment with Government priorities. Our </w:t>
            </w:r>
            <w:r w:rsidR="007B1279" w:rsidRPr="032F65BD">
              <w:rPr>
                <w:sz w:val="20"/>
                <w:szCs w:val="20"/>
              </w:rPr>
              <w:t>Bro</w:t>
            </w:r>
            <w:r w:rsidR="009F611F">
              <w:rPr>
                <w:sz w:val="20"/>
                <w:szCs w:val="20"/>
              </w:rPr>
              <w:t>o</w:t>
            </w:r>
            <w:r w:rsidR="007B1279" w:rsidRPr="032F65BD">
              <w:rPr>
                <w:sz w:val="20"/>
                <w:szCs w:val="20"/>
              </w:rPr>
              <w:t xml:space="preserve">me campus, and </w:t>
            </w:r>
            <w:r w:rsidR="00A43C58" w:rsidRPr="032F65BD">
              <w:rPr>
                <w:sz w:val="20"/>
                <w:szCs w:val="20"/>
              </w:rPr>
              <w:t xml:space="preserve">presence in </w:t>
            </w:r>
            <w:r w:rsidR="00F15EA6" w:rsidRPr="032F65BD">
              <w:rPr>
                <w:sz w:val="20"/>
                <w:szCs w:val="20"/>
              </w:rPr>
              <w:t>Liverpool</w:t>
            </w:r>
            <w:r w:rsidR="007D38EE" w:rsidRPr="032F65BD">
              <w:rPr>
                <w:sz w:val="20"/>
                <w:szCs w:val="20"/>
              </w:rPr>
              <w:t>,</w:t>
            </w:r>
            <w:r w:rsidR="00F15EA6" w:rsidRPr="032F65BD">
              <w:rPr>
                <w:sz w:val="20"/>
                <w:szCs w:val="20"/>
              </w:rPr>
              <w:t xml:space="preserve"> Oran Park and Auburn </w:t>
            </w:r>
            <w:r w:rsidR="007B1279" w:rsidRPr="032F65BD">
              <w:rPr>
                <w:sz w:val="20"/>
                <w:szCs w:val="20"/>
              </w:rPr>
              <w:t xml:space="preserve">provide further opportunity to </w:t>
            </w:r>
            <w:r w:rsidR="00F15EA6" w:rsidRPr="032F65BD">
              <w:rPr>
                <w:sz w:val="20"/>
                <w:szCs w:val="20"/>
              </w:rPr>
              <w:t>target</w:t>
            </w:r>
            <w:r w:rsidR="007B1279" w:rsidRPr="032F65BD">
              <w:rPr>
                <w:sz w:val="20"/>
                <w:szCs w:val="20"/>
              </w:rPr>
              <w:t xml:space="preserve"> </w:t>
            </w:r>
            <w:r w:rsidR="00F11A95" w:rsidRPr="032F65BD">
              <w:rPr>
                <w:sz w:val="20"/>
                <w:szCs w:val="20"/>
              </w:rPr>
              <w:t>new students</w:t>
            </w:r>
            <w:r w:rsidR="00082651" w:rsidRPr="032F65BD">
              <w:rPr>
                <w:sz w:val="20"/>
                <w:szCs w:val="20"/>
              </w:rPr>
              <w:t xml:space="preserve">, </w:t>
            </w:r>
            <w:r w:rsidR="004564A5" w:rsidRPr="032F65BD">
              <w:rPr>
                <w:sz w:val="20"/>
                <w:szCs w:val="20"/>
              </w:rPr>
              <w:t>aspirational and growing Catholic and migrant populations</w:t>
            </w:r>
            <w:r w:rsidR="00E40204">
              <w:rPr>
                <w:sz w:val="20"/>
                <w:szCs w:val="20"/>
              </w:rPr>
              <w:t xml:space="preserve">. This </w:t>
            </w:r>
            <w:r w:rsidR="00F11A95" w:rsidRPr="032F65BD">
              <w:rPr>
                <w:sz w:val="20"/>
                <w:szCs w:val="20"/>
              </w:rPr>
              <w:t>align</w:t>
            </w:r>
            <w:r w:rsidR="00E40204">
              <w:rPr>
                <w:sz w:val="20"/>
                <w:szCs w:val="20"/>
              </w:rPr>
              <w:t xml:space="preserve">s </w:t>
            </w:r>
            <w:r w:rsidR="009C42BA" w:rsidRPr="032F65BD">
              <w:rPr>
                <w:sz w:val="20"/>
                <w:szCs w:val="20"/>
              </w:rPr>
              <w:t>with</w:t>
            </w:r>
            <w:r w:rsidR="00082651" w:rsidRPr="032F65BD">
              <w:rPr>
                <w:sz w:val="20"/>
                <w:szCs w:val="20"/>
              </w:rPr>
              <w:t xml:space="preserve"> UNDA’s mission </w:t>
            </w:r>
            <w:r w:rsidR="004564A5" w:rsidRPr="032F65BD">
              <w:rPr>
                <w:sz w:val="20"/>
                <w:szCs w:val="20"/>
              </w:rPr>
              <w:t xml:space="preserve">to serve and </w:t>
            </w:r>
            <w:proofErr w:type="gramStart"/>
            <w:r w:rsidR="004564A5" w:rsidRPr="032F65BD">
              <w:rPr>
                <w:sz w:val="20"/>
                <w:szCs w:val="20"/>
              </w:rPr>
              <w:t>impact</w:t>
            </w:r>
            <w:r w:rsidR="00E95BB7" w:rsidRPr="032F65BD">
              <w:rPr>
                <w:sz w:val="20"/>
                <w:szCs w:val="20"/>
              </w:rPr>
              <w:t>,</w:t>
            </w:r>
            <w:r w:rsidR="00F15EA6" w:rsidRPr="032F65BD">
              <w:rPr>
                <w:sz w:val="20"/>
                <w:szCs w:val="20"/>
              </w:rPr>
              <w:t xml:space="preserve"> </w:t>
            </w:r>
            <w:r w:rsidR="00E40204">
              <w:rPr>
                <w:sz w:val="20"/>
                <w:szCs w:val="20"/>
              </w:rPr>
              <w:t>and</w:t>
            </w:r>
            <w:proofErr w:type="gramEnd"/>
            <w:r w:rsidR="00E40204">
              <w:rPr>
                <w:sz w:val="20"/>
                <w:szCs w:val="20"/>
              </w:rPr>
              <w:t xml:space="preserve"> aligns </w:t>
            </w:r>
            <w:proofErr w:type="gramStart"/>
            <w:r w:rsidR="00A61743" w:rsidRPr="032F65BD">
              <w:rPr>
                <w:sz w:val="20"/>
                <w:szCs w:val="20"/>
              </w:rPr>
              <w:t>to</w:t>
            </w:r>
            <w:proofErr w:type="gramEnd"/>
            <w:r w:rsidR="00A61743" w:rsidRPr="032F65BD">
              <w:rPr>
                <w:sz w:val="20"/>
                <w:szCs w:val="20"/>
              </w:rPr>
              <w:t xml:space="preserve"> achieving the Accord's goal of 80</w:t>
            </w:r>
            <w:r w:rsidR="00C24CD0">
              <w:rPr>
                <w:sz w:val="20"/>
                <w:szCs w:val="20"/>
              </w:rPr>
              <w:t xml:space="preserve">% </w:t>
            </w:r>
            <w:r w:rsidR="00A61743" w:rsidRPr="032F65BD">
              <w:rPr>
                <w:sz w:val="20"/>
                <w:szCs w:val="20"/>
              </w:rPr>
              <w:t>workforce tertiary qualification by 2050</w:t>
            </w:r>
            <w:r w:rsidR="00F15EA6" w:rsidRPr="032F65BD">
              <w:rPr>
                <w:sz w:val="20"/>
                <w:szCs w:val="20"/>
              </w:rPr>
              <w:t>. We are committed to serving the professions, viewing education as a primary mechanism to address socio-economic inequalities, enhance individual lives, and build community and national resilience.</w:t>
            </w:r>
          </w:p>
          <w:p w14:paraId="6746CF15" w14:textId="77777777" w:rsidR="005658C2" w:rsidRDefault="005658C2" w:rsidP="00F15EA6">
            <w:pPr>
              <w:pStyle w:val="TableParagraph"/>
              <w:spacing w:before="1"/>
              <w:rPr>
                <w:sz w:val="20"/>
              </w:rPr>
            </w:pPr>
          </w:p>
          <w:p w14:paraId="5E204662" w14:textId="649E9CD9" w:rsidR="005658C2" w:rsidRDefault="008F7773" w:rsidP="032F65BD">
            <w:pPr>
              <w:pStyle w:val="TableParagraph"/>
              <w:spacing w:before="1"/>
              <w:rPr>
                <w:sz w:val="20"/>
                <w:szCs w:val="20"/>
              </w:rPr>
            </w:pPr>
            <w:r w:rsidRPr="032F65BD">
              <w:rPr>
                <w:sz w:val="20"/>
                <w:szCs w:val="20"/>
                <w:lang w:val="en-AU"/>
              </w:rPr>
              <w:t xml:space="preserve">The </w:t>
            </w:r>
            <w:r w:rsidR="005658C2" w:rsidRPr="032F65BD">
              <w:rPr>
                <w:sz w:val="20"/>
                <w:szCs w:val="20"/>
                <w:lang w:val="en-AU"/>
              </w:rPr>
              <w:t xml:space="preserve">Indigenous Education Office has maintained steady enrolment numbers, with close to 300 Indigenous students engaged across VET and Undergraduate programs, reflecting strong retention and access outcomes. </w:t>
            </w:r>
            <w:r w:rsidR="4731561E" w:rsidRPr="032F65BD">
              <w:rPr>
                <w:sz w:val="20"/>
                <w:szCs w:val="20"/>
                <w:lang w:val="en-AU"/>
              </w:rPr>
              <w:t>S</w:t>
            </w:r>
            <w:r w:rsidR="005658C2" w:rsidRPr="032F65BD">
              <w:rPr>
                <w:sz w:val="20"/>
                <w:szCs w:val="20"/>
                <w:lang w:val="en-AU"/>
              </w:rPr>
              <w:t xml:space="preserve">tudent support services </w:t>
            </w:r>
            <w:r w:rsidR="0B2EB4D8" w:rsidRPr="032F65BD">
              <w:rPr>
                <w:sz w:val="20"/>
                <w:szCs w:val="20"/>
                <w:lang w:val="en-AU"/>
              </w:rPr>
              <w:t xml:space="preserve">have been streamlined and </w:t>
            </w:r>
            <w:r w:rsidR="00CC6040" w:rsidRPr="032F65BD">
              <w:rPr>
                <w:sz w:val="20"/>
                <w:szCs w:val="20"/>
                <w:lang w:val="en-AU"/>
              </w:rPr>
              <w:t>integrated</w:t>
            </w:r>
            <w:r w:rsidR="005658C2" w:rsidRPr="032F65BD">
              <w:rPr>
                <w:sz w:val="20"/>
                <w:szCs w:val="20"/>
                <w:lang w:val="en-AU"/>
              </w:rPr>
              <w:t xml:space="preserve"> to ensure Indigenous student success across </w:t>
            </w:r>
            <w:r w:rsidR="00C24CD0">
              <w:rPr>
                <w:sz w:val="20"/>
                <w:szCs w:val="20"/>
                <w:lang w:val="en-AU"/>
              </w:rPr>
              <w:t>our</w:t>
            </w:r>
            <w:r w:rsidR="005658C2" w:rsidRPr="032F65BD">
              <w:rPr>
                <w:sz w:val="20"/>
                <w:szCs w:val="20"/>
                <w:lang w:val="en-AU"/>
              </w:rPr>
              <w:t xml:space="preserve"> environment. We have transitioned 2025 funding under ISSP and AFB grants, and are well-positioned for successful outcomes in 2026, ensuring continuity and growth of key programs. Future focus includes expanding VET program delivery at the Broome campus, with plans to create new roles to support increased participation. </w:t>
            </w:r>
          </w:p>
          <w:p w14:paraId="5F97878E" w14:textId="77777777" w:rsidR="00EB09AC" w:rsidRPr="00F15EA6" w:rsidRDefault="00EB09AC" w:rsidP="00F15EA6">
            <w:pPr>
              <w:pStyle w:val="TableParagraph"/>
              <w:spacing w:before="1"/>
              <w:rPr>
                <w:sz w:val="20"/>
              </w:rPr>
            </w:pPr>
          </w:p>
          <w:p w14:paraId="5FD0105B" w14:textId="5328F4DE" w:rsidR="00F15EA6" w:rsidRDefault="00F15EA6" w:rsidP="032F65BD">
            <w:pPr>
              <w:pStyle w:val="TableParagraph"/>
              <w:spacing w:before="1"/>
              <w:rPr>
                <w:sz w:val="20"/>
                <w:szCs w:val="20"/>
              </w:rPr>
            </w:pPr>
            <w:r w:rsidRPr="032F65BD">
              <w:rPr>
                <w:sz w:val="20"/>
                <w:szCs w:val="20"/>
              </w:rPr>
              <w:t>Pathway programs are offered at Sydney, Fremantle, and Broome campuses, catering to diverse populations including secondary school students, school leavers, international students, mature-age learners, and those from underrepresented backgrounds. These face-to-face programs develop academic skills, discipline-related content, academic literacies, understanding of university expectations, study skills, and support-seeking behaviours. Enabling programs provide valuable stepping-stones for those requiring additional preparation to meet entry requirements, particularly benefiting underrepresented cohorts and  students entering through non-ATAR pathways.</w:t>
            </w:r>
            <w:r w:rsidR="005658C2" w:rsidRPr="032F65BD">
              <w:rPr>
                <w:sz w:val="20"/>
                <w:szCs w:val="20"/>
              </w:rPr>
              <w:t xml:space="preserve"> </w:t>
            </w:r>
          </w:p>
          <w:p w14:paraId="72D1070E" w14:textId="77777777" w:rsidR="00953C3D" w:rsidRPr="00F15EA6" w:rsidRDefault="00953C3D" w:rsidP="00F15EA6">
            <w:pPr>
              <w:pStyle w:val="TableParagraph"/>
              <w:spacing w:before="1"/>
              <w:rPr>
                <w:sz w:val="20"/>
              </w:rPr>
            </w:pPr>
          </w:p>
          <w:p w14:paraId="22B87A46" w14:textId="75F8CEDA" w:rsidR="00F15EA6" w:rsidRDefault="00F15EA6" w:rsidP="00D62789">
            <w:pPr>
              <w:pStyle w:val="TableParagraph"/>
              <w:spacing w:before="1"/>
            </w:pPr>
            <w:r w:rsidRPr="00F15EA6">
              <w:rPr>
                <w:sz w:val="20"/>
              </w:rPr>
              <w:t>UNDA anticipates more students in</w:t>
            </w:r>
            <w:r w:rsidR="0085046F">
              <w:rPr>
                <w:sz w:val="20"/>
              </w:rPr>
              <w:t xml:space="preserve"> outer suburbs,</w:t>
            </w:r>
            <w:r w:rsidRPr="00F15EA6">
              <w:rPr>
                <w:sz w:val="20"/>
              </w:rPr>
              <w:t xml:space="preserve"> rural, regional, and remote areas </w:t>
            </w:r>
            <w:r w:rsidR="0085046F">
              <w:rPr>
                <w:sz w:val="20"/>
              </w:rPr>
              <w:t>will seek</w:t>
            </w:r>
            <w:r w:rsidR="0085046F" w:rsidRPr="00F15EA6">
              <w:rPr>
                <w:sz w:val="20"/>
              </w:rPr>
              <w:t xml:space="preserve"> </w:t>
            </w:r>
            <w:r w:rsidRPr="00F15EA6">
              <w:rPr>
                <w:sz w:val="20"/>
              </w:rPr>
              <w:t xml:space="preserve">access </w:t>
            </w:r>
            <w:r w:rsidR="008F7773">
              <w:rPr>
                <w:sz w:val="20"/>
              </w:rPr>
              <w:t xml:space="preserve">to </w:t>
            </w:r>
            <w:r w:rsidRPr="00F15EA6">
              <w:rPr>
                <w:sz w:val="20"/>
              </w:rPr>
              <w:t xml:space="preserve">pathways. Our success stems from strong engagement with </w:t>
            </w:r>
            <w:r w:rsidR="00660500" w:rsidRPr="00F15EA6">
              <w:rPr>
                <w:sz w:val="20"/>
              </w:rPr>
              <w:t xml:space="preserve">high school </w:t>
            </w:r>
            <w:r w:rsidRPr="00F15EA6">
              <w:rPr>
                <w:sz w:val="20"/>
              </w:rPr>
              <w:t xml:space="preserve">students and a holistic approach addressing non-academic needs including career advice, financial support, employment assistance, </w:t>
            </w:r>
            <w:proofErr w:type="gramStart"/>
            <w:r w:rsidRPr="00F15EA6">
              <w:rPr>
                <w:sz w:val="20"/>
              </w:rPr>
              <w:t>timetabling</w:t>
            </w:r>
            <w:proofErr w:type="gramEnd"/>
            <w:r w:rsidRPr="00F15EA6">
              <w:rPr>
                <w:sz w:val="20"/>
              </w:rPr>
              <w:t>, and accommodation support.</w:t>
            </w:r>
            <w:r w:rsidR="00D62789">
              <w:rPr>
                <w:sz w:val="20"/>
              </w:rPr>
              <w:t xml:space="preserve"> </w:t>
            </w:r>
            <w:r w:rsidRPr="00F15EA6">
              <w:rPr>
                <w:sz w:val="20"/>
              </w:rPr>
              <w:t>UNDA is piloting an Experience-Based Entry program to diversify student entry pathways in response to declining ATAR participation (18% decline in WA between 2018–2022). This initiative offers a more inclusive admissions model</w:t>
            </w:r>
            <w:r w:rsidR="00D62789">
              <w:rPr>
                <w:sz w:val="20"/>
              </w:rPr>
              <w:t>.</w:t>
            </w:r>
          </w:p>
        </w:tc>
      </w:tr>
      <w:tr w:rsidR="001B109C" w:rsidRPr="00E41388" w14:paraId="39ADE404" w14:textId="77777777" w:rsidTr="6087D25B">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6087D25B">
        <w:trPr>
          <w:cantSplit/>
          <w:trHeight w:val="977"/>
        </w:trPr>
        <w:tc>
          <w:tcPr>
            <w:tcW w:w="5000" w:type="pct"/>
            <w:tcBorders>
              <w:bottom w:val="single" w:sz="4" w:space="0" w:color="auto"/>
            </w:tcBorders>
          </w:tcPr>
          <w:p w14:paraId="624D71AD" w14:textId="77777777" w:rsidR="00D8656A" w:rsidRDefault="00D8656A" w:rsidP="00D526F3">
            <w:pPr>
              <w:pStyle w:val="TableParagraph"/>
              <w:spacing w:before="1"/>
              <w:rPr>
                <w:sz w:val="20"/>
                <w:lang w:val="en-AU"/>
              </w:rPr>
            </w:pPr>
          </w:p>
          <w:p w14:paraId="2A1C90B7" w14:textId="661582F2" w:rsidR="00D526F3" w:rsidRDefault="00D526F3" w:rsidP="00D526F3">
            <w:pPr>
              <w:pStyle w:val="TableParagraph"/>
              <w:spacing w:before="1"/>
              <w:rPr>
                <w:sz w:val="20"/>
                <w:lang w:val="en-AU"/>
              </w:rPr>
            </w:pPr>
            <w:r w:rsidRPr="00D526F3">
              <w:rPr>
                <w:sz w:val="20"/>
                <w:lang w:val="en-AU"/>
              </w:rPr>
              <w:t>Our vision is a university where equitable practice is embedded, diversity is celebrated, and students from all backgrounds</w:t>
            </w:r>
            <w:r w:rsidR="00B11BCB">
              <w:rPr>
                <w:sz w:val="20"/>
                <w:lang w:val="en-AU"/>
              </w:rPr>
              <w:t xml:space="preserve"> – </w:t>
            </w:r>
            <w:r w:rsidRPr="00D526F3">
              <w:rPr>
                <w:sz w:val="20"/>
                <w:lang w:val="en-AU"/>
              </w:rPr>
              <w:t>particularly those traditionally underrepresented in higher education</w:t>
            </w:r>
            <w:r w:rsidR="00B11BCB">
              <w:rPr>
                <w:sz w:val="20"/>
                <w:lang w:val="en-AU"/>
              </w:rPr>
              <w:t xml:space="preserve"> – </w:t>
            </w:r>
            <w:r w:rsidRPr="00D526F3">
              <w:rPr>
                <w:sz w:val="20"/>
                <w:lang w:val="en-AU"/>
              </w:rPr>
              <w:t>are welcomed and empowered to flourish. Our success in Skills Development and Peer Engagement must now be matched with improvements to QILT SES outcomes and Teaching Quality metrics.</w:t>
            </w:r>
          </w:p>
          <w:p w14:paraId="0B3BE6C5" w14:textId="77777777" w:rsidR="00FB7809" w:rsidRDefault="00FB7809" w:rsidP="00D526F3">
            <w:pPr>
              <w:pStyle w:val="TableParagraph"/>
              <w:spacing w:before="1"/>
              <w:rPr>
                <w:b/>
                <w:bCs/>
                <w:sz w:val="20"/>
                <w:lang w:val="en-AU"/>
              </w:rPr>
            </w:pPr>
          </w:p>
          <w:p w14:paraId="3B666FCB" w14:textId="27C2DB98" w:rsidR="00D526F3" w:rsidRDefault="00D526F3" w:rsidP="032F65BD">
            <w:pPr>
              <w:pStyle w:val="TableParagraph"/>
              <w:spacing w:before="1"/>
              <w:rPr>
                <w:sz w:val="20"/>
                <w:szCs w:val="20"/>
                <w:lang w:val="en-AU"/>
              </w:rPr>
            </w:pPr>
            <w:r w:rsidRPr="032F65BD">
              <w:rPr>
                <w:sz w:val="20"/>
                <w:szCs w:val="20"/>
                <w:lang w:val="en-AU"/>
              </w:rPr>
              <w:t xml:space="preserve">UNDA's Digital Learning and Teaching </w:t>
            </w:r>
            <w:r w:rsidR="000F30E4" w:rsidRPr="032F65BD">
              <w:rPr>
                <w:sz w:val="20"/>
                <w:szCs w:val="20"/>
                <w:lang w:val="en-AU"/>
              </w:rPr>
              <w:t xml:space="preserve">enhancement planning is to </w:t>
            </w:r>
            <w:r w:rsidRPr="032F65BD">
              <w:rPr>
                <w:sz w:val="20"/>
                <w:szCs w:val="20"/>
                <w:lang w:val="en-AU"/>
              </w:rPr>
              <w:t>establish</w:t>
            </w:r>
            <w:r w:rsidR="000F30E4" w:rsidRPr="032F65BD">
              <w:rPr>
                <w:sz w:val="20"/>
                <w:szCs w:val="20"/>
                <w:lang w:val="en-AU"/>
              </w:rPr>
              <w:t xml:space="preserve"> </w:t>
            </w:r>
            <w:r w:rsidRPr="032F65BD">
              <w:rPr>
                <w:sz w:val="20"/>
                <w:szCs w:val="20"/>
                <w:lang w:val="en-AU"/>
              </w:rPr>
              <w:t>a mission-driven roadmap to strengthen teaching quality, enhance the student experience, and build a future-ready digital ecosystem reflect</w:t>
            </w:r>
            <w:r w:rsidR="00270C76">
              <w:rPr>
                <w:sz w:val="20"/>
                <w:szCs w:val="20"/>
                <w:lang w:val="en-AU"/>
              </w:rPr>
              <w:t xml:space="preserve">ing </w:t>
            </w:r>
            <w:r w:rsidR="006C1C29">
              <w:rPr>
                <w:sz w:val="20"/>
                <w:szCs w:val="20"/>
                <w:lang w:val="en-AU"/>
              </w:rPr>
              <w:t>our</w:t>
            </w:r>
            <w:r w:rsidRPr="032F65BD">
              <w:rPr>
                <w:sz w:val="20"/>
                <w:szCs w:val="20"/>
                <w:lang w:val="en-AU"/>
              </w:rPr>
              <w:t xml:space="preserve"> Catholic identity and commitment to holistic formation.</w:t>
            </w:r>
            <w:r w:rsidR="000F30E4" w:rsidRPr="032F65BD">
              <w:rPr>
                <w:sz w:val="20"/>
                <w:szCs w:val="20"/>
                <w:lang w:val="en-AU"/>
              </w:rPr>
              <w:t xml:space="preserve"> It will </w:t>
            </w:r>
            <w:r w:rsidRPr="032F65BD">
              <w:rPr>
                <w:sz w:val="20"/>
                <w:szCs w:val="20"/>
                <w:lang w:val="en-AU"/>
              </w:rPr>
              <w:t>position</w:t>
            </w:r>
            <w:r w:rsidR="003A54CF" w:rsidRPr="032F65BD">
              <w:rPr>
                <w:sz w:val="20"/>
                <w:szCs w:val="20"/>
                <w:lang w:val="en-AU"/>
              </w:rPr>
              <w:t xml:space="preserve"> </w:t>
            </w:r>
            <w:r w:rsidRPr="032F65BD">
              <w:rPr>
                <w:sz w:val="20"/>
                <w:szCs w:val="20"/>
                <w:lang w:val="en-AU"/>
              </w:rPr>
              <w:t>technology as serving people</w:t>
            </w:r>
            <w:r w:rsidR="001566F4">
              <w:rPr>
                <w:sz w:val="20"/>
                <w:szCs w:val="20"/>
                <w:lang w:val="en-AU"/>
              </w:rPr>
              <w:t>;</w:t>
            </w:r>
            <w:r w:rsidRPr="032F65BD">
              <w:rPr>
                <w:sz w:val="20"/>
                <w:szCs w:val="20"/>
                <w:lang w:val="en-AU"/>
              </w:rPr>
              <w:t xml:space="preserve"> enriching relationships, pastoral care, rather than replacing </w:t>
            </w:r>
            <w:r w:rsidR="001D172A">
              <w:rPr>
                <w:sz w:val="20"/>
                <w:szCs w:val="20"/>
                <w:lang w:val="en-AU"/>
              </w:rPr>
              <w:t>people</w:t>
            </w:r>
            <w:r w:rsidRPr="032F65BD">
              <w:rPr>
                <w:sz w:val="20"/>
                <w:szCs w:val="20"/>
                <w:lang w:val="en-AU"/>
              </w:rPr>
              <w:t>. It unifies systems, pedagogy, and capability development to deliver an accessible, seamless, and values-aligned learning environment.</w:t>
            </w:r>
            <w:r w:rsidR="00833718" w:rsidRPr="032F65BD">
              <w:rPr>
                <w:sz w:val="20"/>
                <w:szCs w:val="20"/>
                <w:lang w:val="en-AU"/>
              </w:rPr>
              <w:t xml:space="preserve"> </w:t>
            </w:r>
            <w:r w:rsidRPr="032F65BD">
              <w:rPr>
                <w:sz w:val="20"/>
                <w:szCs w:val="20"/>
                <w:lang w:val="en-AU"/>
              </w:rPr>
              <w:t>Key initiatives include the activation of Blackboard Ultra as an enhanced and more engaging LMS platform across all programs by 2026, ensuring every course meets Universal Design for Learning (UDL) and WCAG 2.1 AA accessibility standards;  and professional development enabling at least 75% of staff to complete customised digital pedagogy training, aligned with the Core Ecosystem, by 2027.</w:t>
            </w:r>
          </w:p>
          <w:p w14:paraId="7D7A8721" w14:textId="77777777" w:rsidR="00833718" w:rsidRDefault="00833718" w:rsidP="00D526F3">
            <w:pPr>
              <w:pStyle w:val="TableParagraph"/>
              <w:spacing w:before="1"/>
              <w:rPr>
                <w:sz w:val="20"/>
                <w:lang w:val="en-AU"/>
              </w:rPr>
            </w:pPr>
          </w:p>
          <w:p w14:paraId="77C4C354" w14:textId="02124B9F" w:rsidR="00D526F3" w:rsidRDefault="00D526F3" w:rsidP="032F65BD">
            <w:pPr>
              <w:pStyle w:val="TableParagraph"/>
              <w:spacing w:before="1"/>
              <w:rPr>
                <w:sz w:val="20"/>
                <w:szCs w:val="20"/>
                <w:lang w:val="en-AU"/>
              </w:rPr>
            </w:pPr>
            <w:r w:rsidRPr="032F65BD">
              <w:rPr>
                <w:sz w:val="20"/>
                <w:szCs w:val="20"/>
                <w:lang w:val="en-AU"/>
              </w:rPr>
              <w:t>The Plan directly improves the student experience through consistency, accessibility, and inclusion, delivering a single, intuitive entry point to digital learning, a 10% increase in student satisfaction in inclusivity metrics, and targeting top 10 national rankings for educational experience. It enhances teaching quality through professional learning, peer-support networks, and innovation hubs that foster evidence-based digital pedagogy and AI-ready practice.</w:t>
            </w:r>
            <w:r w:rsidR="005650B5" w:rsidRPr="032F65BD">
              <w:rPr>
                <w:sz w:val="20"/>
                <w:szCs w:val="20"/>
                <w:lang w:val="en-AU"/>
              </w:rPr>
              <w:t xml:space="preserve"> </w:t>
            </w:r>
          </w:p>
          <w:p w14:paraId="3B3FF8AF" w14:textId="77777777" w:rsidR="00537574" w:rsidRDefault="00537574" w:rsidP="00D526F3">
            <w:pPr>
              <w:pStyle w:val="TableParagraph"/>
              <w:spacing w:before="1"/>
              <w:rPr>
                <w:b/>
                <w:bCs/>
                <w:sz w:val="20"/>
                <w:lang w:val="en-AU"/>
              </w:rPr>
            </w:pPr>
          </w:p>
          <w:p w14:paraId="197E5A8A" w14:textId="5B1F09BF" w:rsidR="00D526F3" w:rsidRPr="00D526F3" w:rsidRDefault="00562B8C" w:rsidP="032F65BD">
            <w:pPr>
              <w:pStyle w:val="TableParagraph"/>
              <w:spacing w:before="1"/>
              <w:rPr>
                <w:sz w:val="20"/>
                <w:szCs w:val="20"/>
                <w:lang w:val="en-AU"/>
              </w:rPr>
            </w:pPr>
            <w:r>
              <w:rPr>
                <w:sz w:val="20"/>
                <w:szCs w:val="20"/>
                <w:lang w:val="en-AU"/>
              </w:rPr>
              <w:t>We are</w:t>
            </w:r>
            <w:r w:rsidR="0963E62C" w:rsidRPr="032F65BD">
              <w:rPr>
                <w:sz w:val="20"/>
                <w:szCs w:val="20"/>
                <w:lang w:val="en-AU"/>
              </w:rPr>
              <w:t xml:space="preserve"> </w:t>
            </w:r>
            <w:r w:rsidR="00941458">
              <w:rPr>
                <w:sz w:val="20"/>
                <w:szCs w:val="20"/>
                <w:lang w:val="en-AU"/>
              </w:rPr>
              <w:t>seeking</w:t>
            </w:r>
            <w:r w:rsidR="0963E62C" w:rsidRPr="032F65BD">
              <w:rPr>
                <w:sz w:val="20"/>
                <w:szCs w:val="20"/>
                <w:lang w:val="en-AU"/>
              </w:rPr>
              <w:t xml:space="preserve"> to achieve 20% of academic staff with Advance HE Fellowships. The Fellowship will be given to staff that are exemplars in innovative curriculum</w:t>
            </w:r>
            <w:r w:rsidR="0963E62C" w:rsidRPr="032F65BD">
              <w:rPr>
                <w:rFonts w:asciiTheme="minorHAnsi" w:hAnsiTheme="minorHAnsi" w:cstheme="minorBidi"/>
                <w:color w:val="FF0000"/>
              </w:rPr>
              <w:t xml:space="preserve"> </w:t>
            </w:r>
            <w:r w:rsidR="0963E62C" w:rsidRPr="032F65BD">
              <w:rPr>
                <w:sz w:val="20"/>
                <w:szCs w:val="20"/>
                <w:lang w:val="en-AU"/>
              </w:rPr>
              <w:t xml:space="preserve">design and effective student learning, </w:t>
            </w:r>
            <w:r>
              <w:rPr>
                <w:sz w:val="20"/>
                <w:szCs w:val="20"/>
                <w:lang w:val="en-AU"/>
              </w:rPr>
              <w:t>utilising</w:t>
            </w:r>
            <w:r w:rsidR="0963E62C" w:rsidRPr="032F65BD">
              <w:rPr>
                <w:sz w:val="20"/>
                <w:szCs w:val="20"/>
                <w:lang w:val="en-AU"/>
              </w:rPr>
              <w:t xml:space="preserve"> teaching, learning and assessment practices </w:t>
            </w:r>
            <w:r>
              <w:rPr>
                <w:sz w:val="20"/>
                <w:szCs w:val="20"/>
                <w:lang w:val="en-AU"/>
              </w:rPr>
              <w:t xml:space="preserve">from </w:t>
            </w:r>
            <w:r w:rsidR="0963E62C" w:rsidRPr="032F65BD">
              <w:rPr>
                <w:sz w:val="20"/>
                <w:szCs w:val="20"/>
                <w:lang w:val="en-AU"/>
              </w:rPr>
              <w:t>our enhanced LMS. We are reviewing the Grad Cert in L&amp;T in HE to ensure enrolment and completion growth</w:t>
            </w:r>
            <w:r w:rsidR="009524DE">
              <w:rPr>
                <w:sz w:val="20"/>
                <w:szCs w:val="20"/>
                <w:lang w:val="en-AU"/>
              </w:rPr>
              <w:t xml:space="preserve">; </w:t>
            </w:r>
            <w:r w:rsidR="0963E62C" w:rsidRPr="032F65BD">
              <w:rPr>
                <w:sz w:val="20"/>
                <w:szCs w:val="20"/>
                <w:lang w:val="en-AU"/>
              </w:rPr>
              <w:t xml:space="preserve">linking it to AdvanceHe Fellowship </w:t>
            </w:r>
          </w:p>
          <w:p w14:paraId="6AAB7CB6" w14:textId="6146142D" w:rsidR="00D526F3" w:rsidRPr="00D526F3" w:rsidRDefault="00D526F3" w:rsidP="032F65BD">
            <w:pPr>
              <w:pStyle w:val="TableParagraph"/>
              <w:spacing w:before="1"/>
              <w:rPr>
                <w:sz w:val="20"/>
                <w:szCs w:val="20"/>
                <w:lang w:val="en-AU"/>
              </w:rPr>
            </w:pPr>
          </w:p>
          <w:p w14:paraId="75F7677E" w14:textId="45E74E99" w:rsidR="00D526F3" w:rsidRPr="00D526F3" w:rsidRDefault="34524EA5" w:rsidP="032F65BD">
            <w:pPr>
              <w:pStyle w:val="TableParagraph"/>
              <w:spacing w:before="1"/>
              <w:rPr>
                <w:sz w:val="20"/>
                <w:szCs w:val="20"/>
                <w:lang w:val="en-AU"/>
              </w:rPr>
            </w:pPr>
            <w:r w:rsidRPr="032F65BD">
              <w:rPr>
                <w:sz w:val="20"/>
                <w:szCs w:val="20"/>
                <w:lang w:val="en-AU"/>
              </w:rPr>
              <w:t>Through</w:t>
            </w:r>
            <w:r w:rsidR="00D526F3" w:rsidRPr="032F65BD">
              <w:rPr>
                <w:sz w:val="20"/>
                <w:szCs w:val="20"/>
                <w:lang w:val="en-AU"/>
              </w:rPr>
              <w:t xml:space="preserve"> our Student Equity &amp; Diversity Strategy, </w:t>
            </w:r>
            <w:r w:rsidR="009524DE">
              <w:rPr>
                <w:sz w:val="20"/>
                <w:szCs w:val="20"/>
                <w:lang w:val="en-AU"/>
              </w:rPr>
              <w:t>a</w:t>
            </w:r>
            <w:r w:rsidR="009D7685" w:rsidRPr="032F65BD">
              <w:rPr>
                <w:sz w:val="20"/>
                <w:szCs w:val="20"/>
                <w:lang w:val="en-AU"/>
              </w:rPr>
              <w:t xml:space="preserve">ctivities are designed to achieve measurable outcomes, drawing on the Student Equity in Higher Education Evaluation Framework. </w:t>
            </w:r>
            <w:r w:rsidR="006B1C9E">
              <w:rPr>
                <w:sz w:val="20"/>
                <w:szCs w:val="20"/>
                <w:lang w:val="en-AU"/>
              </w:rPr>
              <w:t>A</w:t>
            </w:r>
            <w:r w:rsidR="00D526F3" w:rsidRPr="032F65BD">
              <w:rPr>
                <w:sz w:val="20"/>
                <w:szCs w:val="20"/>
                <w:lang w:val="en-AU"/>
              </w:rPr>
              <w:t>ctions to enhance teaching quality include:</w:t>
            </w:r>
          </w:p>
          <w:p w14:paraId="2F4A379F" w14:textId="77777777" w:rsidR="00D526F3" w:rsidRPr="00D526F3" w:rsidRDefault="00D526F3" w:rsidP="00D526F3">
            <w:pPr>
              <w:pStyle w:val="TableParagraph"/>
              <w:numPr>
                <w:ilvl w:val="0"/>
                <w:numId w:val="32"/>
              </w:numPr>
              <w:spacing w:before="1"/>
              <w:rPr>
                <w:sz w:val="20"/>
                <w:lang w:val="en-AU"/>
              </w:rPr>
            </w:pPr>
            <w:r w:rsidRPr="00D526F3">
              <w:rPr>
                <w:sz w:val="20"/>
                <w:lang w:val="en-AU"/>
              </w:rPr>
              <w:t>Embedding Universal Design for Learning across curriculum, assessment, and pedagogy.</w:t>
            </w:r>
          </w:p>
          <w:p w14:paraId="4D44A980" w14:textId="77777777" w:rsidR="00D526F3" w:rsidRPr="00D526F3" w:rsidRDefault="00D526F3" w:rsidP="00D526F3">
            <w:pPr>
              <w:pStyle w:val="TableParagraph"/>
              <w:numPr>
                <w:ilvl w:val="0"/>
                <w:numId w:val="32"/>
              </w:numPr>
              <w:spacing w:before="1"/>
              <w:rPr>
                <w:sz w:val="20"/>
                <w:lang w:val="en-AU"/>
              </w:rPr>
            </w:pPr>
            <w:r w:rsidRPr="00D526F3">
              <w:rPr>
                <w:sz w:val="20"/>
                <w:lang w:val="en-AU"/>
              </w:rPr>
              <w:t>Providing targeted professional development and resources to build staff confidence and capability in inclusive teaching for diverse cohorts and awareness of support services.</w:t>
            </w:r>
          </w:p>
          <w:p w14:paraId="5E276C10" w14:textId="29562121" w:rsidR="00D526F3" w:rsidRPr="00D526F3" w:rsidRDefault="00D526F3" w:rsidP="00D526F3">
            <w:pPr>
              <w:pStyle w:val="TableParagraph"/>
              <w:numPr>
                <w:ilvl w:val="0"/>
                <w:numId w:val="32"/>
              </w:numPr>
              <w:spacing w:before="1"/>
              <w:rPr>
                <w:sz w:val="20"/>
                <w:lang w:val="en-AU"/>
              </w:rPr>
            </w:pPr>
            <w:r w:rsidRPr="00D526F3">
              <w:rPr>
                <w:sz w:val="20"/>
                <w:lang w:val="en-AU"/>
              </w:rPr>
              <w:t>Developing and evaluating high-quality flexible and hybrid delivery modes, student-centred timetabling, and automatic extension policies that enable students to balance study and life.</w:t>
            </w:r>
          </w:p>
          <w:p w14:paraId="2969967A" w14:textId="77777777" w:rsidR="00D526F3" w:rsidRPr="00D526F3" w:rsidRDefault="00D526F3" w:rsidP="00D526F3">
            <w:pPr>
              <w:pStyle w:val="TableParagraph"/>
              <w:numPr>
                <w:ilvl w:val="0"/>
                <w:numId w:val="32"/>
              </w:numPr>
              <w:spacing w:before="1"/>
              <w:rPr>
                <w:sz w:val="20"/>
                <w:lang w:val="en-AU"/>
              </w:rPr>
            </w:pPr>
            <w:r w:rsidRPr="00D526F3">
              <w:rPr>
                <w:sz w:val="20"/>
                <w:lang w:val="en-AU"/>
              </w:rPr>
              <w:t>Diversifying assessment methods to recognise students' varied strengths.</w:t>
            </w:r>
          </w:p>
          <w:p w14:paraId="52BE990A" w14:textId="77777777" w:rsidR="00D526F3" w:rsidRPr="00D526F3" w:rsidRDefault="00D526F3" w:rsidP="00D526F3">
            <w:pPr>
              <w:pStyle w:val="TableParagraph"/>
              <w:numPr>
                <w:ilvl w:val="0"/>
                <w:numId w:val="32"/>
              </w:numPr>
              <w:spacing w:before="1"/>
              <w:rPr>
                <w:sz w:val="20"/>
                <w:lang w:val="en-AU"/>
              </w:rPr>
            </w:pPr>
            <w:r w:rsidRPr="00D526F3">
              <w:rPr>
                <w:sz w:val="20"/>
                <w:lang w:val="en-AU"/>
              </w:rPr>
              <w:t>Improving hybrid teaching and use of assistive technology to enhance digital accessibility.</w:t>
            </w:r>
          </w:p>
          <w:p w14:paraId="750202D9" w14:textId="77777777" w:rsidR="00D526F3" w:rsidRPr="00833718" w:rsidRDefault="00D526F3" w:rsidP="00833718">
            <w:pPr>
              <w:pStyle w:val="TableParagraph"/>
              <w:numPr>
                <w:ilvl w:val="0"/>
                <w:numId w:val="32"/>
              </w:numPr>
              <w:spacing w:before="1"/>
              <w:rPr>
                <w:sz w:val="20"/>
                <w:lang w:val="en-AU"/>
              </w:rPr>
            </w:pPr>
            <w:r w:rsidRPr="00833718">
              <w:rPr>
                <w:sz w:val="20"/>
                <w:lang w:val="en-AU"/>
              </w:rPr>
              <w:t>Engaging students as partners through reference groups and sector benchmarking to inform teaching and learning practices.</w:t>
            </w:r>
          </w:p>
          <w:p w14:paraId="361C40A4" w14:textId="77777777" w:rsidR="001B109C" w:rsidRPr="00C64FAA" w:rsidRDefault="00D526F3" w:rsidP="00833718">
            <w:pPr>
              <w:pStyle w:val="TableParagraph"/>
              <w:numPr>
                <w:ilvl w:val="0"/>
                <w:numId w:val="32"/>
              </w:numPr>
              <w:spacing w:before="1"/>
              <w:rPr>
                <w:rFonts w:asciiTheme="minorHAnsi" w:hAnsiTheme="minorHAnsi" w:cstheme="minorHAnsi"/>
                <w:i/>
              </w:rPr>
            </w:pPr>
            <w:r w:rsidRPr="00833718">
              <w:rPr>
                <w:sz w:val="20"/>
                <w:lang w:val="en-AU"/>
              </w:rPr>
              <w:t>Integrating insights from contemporary research into our teaching and learning practices.</w:t>
            </w:r>
          </w:p>
          <w:p w14:paraId="3A50EB54" w14:textId="77777777" w:rsidR="00810CCA" w:rsidRPr="00C64FAA" w:rsidRDefault="00810CCA" w:rsidP="00810CCA">
            <w:pPr>
              <w:pStyle w:val="TableParagraph"/>
              <w:spacing w:before="1"/>
              <w:rPr>
                <w:sz w:val="20"/>
                <w:lang w:val="en-AU"/>
              </w:rPr>
            </w:pPr>
          </w:p>
          <w:p w14:paraId="74D1FDC7" w14:textId="68547030" w:rsidR="00810CCA" w:rsidRPr="00C64FAA" w:rsidRDefault="00B8475C" w:rsidP="032F65BD">
            <w:pPr>
              <w:pStyle w:val="TableParagraph"/>
              <w:spacing w:before="1"/>
              <w:rPr>
                <w:rFonts w:asciiTheme="minorHAnsi" w:hAnsiTheme="minorHAnsi" w:cstheme="minorBidi"/>
                <w:color w:val="FF0000"/>
              </w:rPr>
            </w:pPr>
            <w:r>
              <w:rPr>
                <w:sz w:val="20"/>
                <w:szCs w:val="20"/>
                <w:lang w:val="en-AU"/>
              </w:rPr>
              <w:t>UNDA</w:t>
            </w:r>
            <w:r w:rsidR="00810CCA" w:rsidRPr="032F65BD">
              <w:rPr>
                <w:sz w:val="20"/>
                <w:szCs w:val="20"/>
                <w:lang w:val="en-AU"/>
              </w:rPr>
              <w:t xml:space="preserve"> is expanding initiatives to identify and support at-risk students</w:t>
            </w:r>
            <w:r w:rsidR="00D64412">
              <w:rPr>
                <w:sz w:val="20"/>
                <w:szCs w:val="20"/>
                <w:lang w:val="en-AU"/>
              </w:rPr>
              <w:t>, including</w:t>
            </w:r>
            <w:r w:rsidR="00810CCA" w:rsidRPr="032F65BD">
              <w:rPr>
                <w:sz w:val="20"/>
                <w:szCs w:val="20"/>
                <w:lang w:val="en-AU"/>
              </w:rPr>
              <w:t xml:space="preserve"> expanding pre-census engagement with learning activities through proactive nudge and communication campaigns, and a Success Plan intervention targeted at students identified as academically at risk. </w:t>
            </w:r>
            <w:r w:rsidR="00D64412">
              <w:rPr>
                <w:sz w:val="20"/>
                <w:szCs w:val="20"/>
                <w:lang w:val="en-AU"/>
              </w:rPr>
              <w:t>E</w:t>
            </w:r>
            <w:r w:rsidR="00810CCA" w:rsidRPr="032F65BD">
              <w:rPr>
                <w:sz w:val="20"/>
                <w:szCs w:val="20"/>
                <w:lang w:val="en-AU"/>
              </w:rPr>
              <w:t xml:space="preserve">nhanced analytics and student feedback will allow for </w:t>
            </w:r>
            <w:r w:rsidR="00562B8C">
              <w:rPr>
                <w:sz w:val="20"/>
                <w:szCs w:val="20"/>
                <w:lang w:val="en-AU"/>
              </w:rPr>
              <w:t xml:space="preserve">further </w:t>
            </w:r>
            <w:r w:rsidR="00810CCA" w:rsidRPr="032F65BD">
              <w:rPr>
                <w:sz w:val="20"/>
                <w:szCs w:val="20"/>
                <w:lang w:val="en-AU"/>
              </w:rPr>
              <w:t xml:space="preserve">interventions. </w:t>
            </w:r>
            <w:r w:rsidR="1A2D2FBB" w:rsidRPr="032F65BD">
              <w:rPr>
                <w:sz w:val="20"/>
                <w:szCs w:val="20"/>
                <w:lang w:val="en-AU"/>
              </w:rPr>
              <w:t>Broader initiatives include</w:t>
            </w:r>
            <w:r w:rsidR="00810CCA" w:rsidRPr="032F65BD">
              <w:rPr>
                <w:sz w:val="20"/>
                <w:szCs w:val="20"/>
                <w:lang w:val="en-AU"/>
              </w:rPr>
              <w:t xml:space="preserve"> curriculum redevelopment, assessment redesign, further development of student </w:t>
            </w:r>
            <w:r w:rsidR="4F4B0359" w:rsidRPr="032F65BD">
              <w:rPr>
                <w:sz w:val="20"/>
                <w:szCs w:val="20"/>
                <w:lang w:val="en-AU"/>
              </w:rPr>
              <w:t xml:space="preserve">pulse </w:t>
            </w:r>
            <w:r w:rsidR="00810CCA" w:rsidRPr="032F65BD">
              <w:rPr>
                <w:sz w:val="20"/>
                <w:szCs w:val="20"/>
                <w:lang w:val="en-AU"/>
              </w:rPr>
              <w:t>surveys, and an institution-wide focus on uplifting first</w:t>
            </w:r>
            <w:r w:rsidR="00A32E65">
              <w:rPr>
                <w:sz w:val="20"/>
                <w:szCs w:val="20"/>
                <w:lang w:val="en-AU"/>
              </w:rPr>
              <w:t>-</w:t>
            </w:r>
            <w:r w:rsidR="00810CCA" w:rsidRPr="032F65BD">
              <w:rPr>
                <w:sz w:val="20"/>
                <w:szCs w:val="20"/>
                <w:lang w:val="en-AU"/>
              </w:rPr>
              <w:t>year experience</w:t>
            </w:r>
            <w:r w:rsidR="00B47B30">
              <w:rPr>
                <w:sz w:val="20"/>
                <w:szCs w:val="20"/>
                <w:lang w:val="en-AU"/>
              </w:rPr>
              <w:t>s</w:t>
            </w:r>
            <w:r w:rsidR="00810CCA" w:rsidRPr="032F65BD">
              <w:rPr>
                <w:sz w:val="20"/>
                <w:szCs w:val="20"/>
                <w:lang w:val="en-AU"/>
              </w:rPr>
              <w:t>.</w:t>
            </w:r>
          </w:p>
        </w:tc>
      </w:tr>
      <w:tr w:rsidR="001B109C" w:rsidRPr="00E41388" w14:paraId="3EB68E1B" w14:textId="77777777" w:rsidTr="6087D25B">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087D25B">
        <w:trPr>
          <w:cantSplit/>
        </w:trPr>
        <w:tc>
          <w:tcPr>
            <w:tcW w:w="5000" w:type="pct"/>
          </w:tcPr>
          <w:p w14:paraId="7909FAC3" w14:textId="77777777" w:rsidR="00326099" w:rsidRDefault="00326099">
            <w:pPr>
              <w:pStyle w:val="NormalIndent"/>
              <w:spacing w:before="0" w:after="0"/>
              <w:ind w:left="0"/>
              <w:rPr>
                <w:rFonts w:asciiTheme="minorHAnsi" w:hAnsiTheme="minorHAnsi" w:cstheme="minorHAnsi"/>
                <w:i/>
                <w:color w:val="FF0000"/>
                <w:szCs w:val="22"/>
              </w:rPr>
            </w:pPr>
          </w:p>
          <w:p w14:paraId="183C9E59" w14:textId="53C07F2C" w:rsidR="00C20319" w:rsidRPr="00C20319" w:rsidRDefault="00C20319" w:rsidP="00C20319">
            <w:pPr>
              <w:pStyle w:val="TableParagraph"/>
              <w:spacing w:before="1"/>
              <w:rPr>
                <w:sz w:val="20"/>
                <w:lang w:val="en-AU"/>
              </w:rPr>
            </w:pPr>
            <w:r w:rsidRPr="00C20319">
              <w:rPr>
                <w:sz w:val="20"/>
                <w:lang w:val="en-AU"/>
              </w:rPr>
              <w:t xml:space="preserve">As a Catholic university, </w:t>
            </w:r>
            <w:r w:rsidR="009978EE">
              <w:rPr>
                <w:sz w:val="20"/>
                <w:lang w:val="en-AU"/>
              </w:rPr>
              <w:t>UNDA</w:t>
            </w:r>
            <w:r w:rsidRPr="00C20319">
              <w:rPr>
                <w:sz w:val="20"/>
                <w:lang w:val="en-AU"/>
              </w:rPr>
              <w:t xml:space="preserve"> brings a distinctive perspective to the Australian research landscape as we address contemporary challenges and advance a better future. Our research vision investigates the causes and cures, problems and solutions, and fundamental truths of the world in which we live.</w:t>
            </w:r>
            <w:r>
              <w:rPr>
                <w:sz w:val="20"/>
                <w:lang w:val="en-AU"/>
              </w:rPr>
              <w:t xml:space="preserve"> </w:t>
            </w:r>
          </w:p>
          <w:p w14:paraId="68937BA5" w14:textId="149F0A68" w:rsidR="00C20319" w:rsidRDefault="00C20319" w:rsidP="00C20319">
            <w:pPr>
              <w:pStyle w:val="TableParagraph"/>
              <w:spacing w:before="1"/>
              <w:rPr>
                <w:sz w:val="20"/>
                <w:lang w:val="en-AU"/>
              </w:rPr>
            </w:pPr>
            <w:r w:rsidRPr="00C20319">
              <w:rPr>
                <w:sz w:val="20"/>
                <w:lang w:val="en-AU"/>
              </w:rPr>
              <w:t xml:space="preserve">Transformative Research represents UNDA's commitment to enriching learning and teaching through high-quality research and scholarship. This foundational pillar embodies </w:t>
            </w:r>
            <w:r w:rsidR="00296D4E">
              <w:rPr>
                <w:sz w:val="20"/>
                <w:lang w:val="en-AU"/>
              </w:rPr>
              <w:t>our</w:t>
            </w:r>
            <w:r w:rsidRPr="00C20319">
              <w:rPr>
                <w:sz w:val="20"/>
                <w:lang w:val="en-AU"/>
              </w:rPr>
              <w:t xml:space="preserve"> mission to create and transmit new knowledge while making meaningful positive impact by undertaking research that addresses real-world issues and challenges. The emphasis remains on developing knowledge and solutions with measurable impact, maintaining the highest standards of academic excellence while contributing to societal advancement and the common good.</w:t>
            </w:r>
          </w:p>
          <w:p w14:paraId="7CFB556F" w14:textId="6955B625" w:rsidR="00C20319" w:rsidRPr="00C20319" w:rsidRDefault="00C20319" w:rsidP="00C20319">
            <w:pPr>
              <w:pStyle w:val="TableParagraph"/>
              <w:spacing w:before="1"/>
              <w:rPr>
                <w:sz w:val="20"/>
                <w:lang w:val="en-AU"/>
              </w:rPr>
            </w:pPr>
            <w:r w:rsidRPr="00C20319">
              <w:rPr>
                <w:sz w:val="20"/>
                <w:lang w:val="en-AU"/>
              </w:rPr>
              <w:t xml:space="preserve">As a Catholic university, our research endeavours are guided by the fundamental belief that scholarship should serve humanity and contribute to integral human development. </w:t>
            </w:r>
            <w:r w:rsidR="009978EE">
              <w:rPr>
                <w:sz w:val="20"/>
                <w:lang w:val="en-AU"/>
              </w:rPr>
              <w:t>UNDA’s</w:t>
            </w:r>
            <w:r w:rsidRPr="00C20319">
              <w:rPr>
                <w:sz w:val="20"/>
                <w:lang w:val="en-AU"/>
              </w:rPr>
              <w:t xml:space="preserve"> research advances knowledge within academic disciplines while addressing pressing societal needs, reflecting our commitment to Catholic social teaching and the obligation to serve the wider community.</w:t>
            </w:r>
          </w:p>
          <w:p w14:paraId="51098420" w14:textId="77777777" w:rsidR="00C20319" w:rsidRDefault="00C20319" w:rsidP="00C20319">
            <w:pPr>
              <w:pStyle w:val="TableParagraph"/>
              <w:spacing w:before="1"/>
              <w:rPr>
                <w:sz w:val="20"/>
                <w:lang w:val="en-AU"/>
              </w:rPr>
            </w:pPr>
            <w:r w:rsidRPr="00C20319">
              <w:rPr>
                <w:sz w:val="20"/>
                <w:lang w:val="en-AU"/>
              </w:rPr>
              <w:t>The strategic focus for 2025 and beyond emphasises research performance and advancing our ambitious growth agenda to be recognised as a university known for Transformative Research that changes lives and communities for the common good.</w:t>
            </w:r>
          </w:p>
          <w:p w14:paraId="440C8056" w14:textId="77777777" w:rsidR="00C20319" w:rsidRPr="00C20319" w:rsidRDefault="00C20319" w:rsidP="00C20319">
            <w:pPr>
              <w:pStyle w:val="TableParagraph"/>
              <w:spacing w:before="1"/>
              <w:rPr>
                <w:sz w:val="20"/>
                <w:lang w:val="en-AU"/>
              </w:rPr>
            </w:pPr>
          </w:p>
          <w:p w14:paraId="751EA2C1" w14:textId="77777777" w:rsidR="00C20319" w:rsidRPr="00C20319" w:rsidRDefault="00C20319" w:rsidP="00C20319">
            <w:pPr>
              <w:pStyle w:val="TableParagraph"/>
              <w:spacing w:before="1"/>
              <w:rPr>
                <w:b/>
                <w:bCs/>
                <w:sz w:val="20"/>
                <w:lang w:val="en-AU"/>
              </w:rPr>
            </w:pPr>
            <w:r w:rsidRPr="00C20319">
              <w:rPr>
                <w:b/>
                <w:bCs/>
                <w:sz w:val="20"/>
                <w:lang w:val="en-AU"/>
              </w:rPr>
              <w:t>Strategic Initiatives</w:t>
            </w:r>
          </w:p>
          <w:p w14:paraId="3356ABDE" w14:textId="77777777" w:rsidR="00C20319" w:rsidRDefault="00C20319" w:rsidP="00C20319">
            <w:pPr>
              <w:pStyle w:val="TableParagraph"/>
              <w:spacing w:before="1"/>
              <w:rPr>
                <w:sz w:val="20"/>
                <w:lang w:val="en-AU"/>
              </w:rPr>
            </w:pPr>
            <w:r w:rsidRPr="00C20319">
              <w:rPr>
                <w:sz w:val="20"/>
                <w:lang w:val="en-AU"/>
              </w:rPr>
              <w:t>The establishment of the Vice Chancellor's Research Awards for excellence in research and research training, offered biennially and alternating with the Pro Vice-Chancellor Research's Big Ideas pitch scheme, provides ongoing recognition and incentive for research excellence while reinforcing our commitment to supporting outstanding scholarship.</w:t>
            </w:r>
          </w:p>
          <w:p w14:paraId="6D28FA94" w14:textId="77777777" w:rsidR="005F36D0" w:rsidRPr="00C20319" w:rsidRDefault="005F36D0" w:rsidP="00C20319">
            <w:pPr>
              <w:pStyle w:val="TableParagraph"/>
              <w:spacing w:before="1"/>
              <w:rPr>
                <w:sz w:val="20"/>
                <w:lang w:val="en-AU"/>
              </w:rPr>
            </w:pPr>
          </w:p>
          <w:p w14:paraId="1F0C30E7" w14:textId="7812F5F3" w:rsidR="00C20319" w:rsidRDefault="00C20319" w:rsidP="00C20319">
            <w:pPr>
              <w:pStyle w:val="TableParagraph"/>
              <w:spacing w:before="1"/>
              <w:rPr>
                <w:sz w:val="20"/>
                <w:lang w:val="en-AU"/>
              </w:rPr>
            </w:pPr>
            <w:r w:rsidRPr="00C20319">
              <w:rPr>
                <w:sz w:val="20"/>
                <w:lang w:val="en-AU"/>
              </w:rPr>
              <w:t>Our research partnership strategy includes strengthening collaboration with the University of Notre Dame</w:t>
            </w:r>
            <w:r w:rsidR="00296D4E">
              <w:rPr>
                <w:sz w:val="20"/>
                <w:lang w:val="en-AU"/>
              </w:rPr>
              <w:t xml:space="preserve"> (ND)</w:t>
            </w:r>
            <w:r w:rsidRPr="00C20319">
              <w:rPr>
                <w:sz w:val="20"/>
                <w:lang w:val="en-AU"/>
              </w:rPr>
              <w:t xml:space="preserve"> in the USA, particularly through the Centre for the History of Philosophy's partnership with the </w:t>
            </w:r>
            <w:r w:rsidR="00296D4E">
              <w:rPr>
                <w:sz w:val="20"/>
                <w:lang w:val="en-AU"/>
              </w:rPr>
              <w:t>ND’s</w:t>
            </w:r>
            <w:r w:rsidRPr="00C20319">
              <w:rPr>
                <w:sz w:val="20"/>
                <w:lang w:val="en-AU"/>
              </w:rPr>
              <w:t xml:space="preserve"> History of Philosophy Forum. The University is developing major research partnerships with key healthcare industry partners through the Institute for Health Research, reflecting our commitment to research that directly impacts human health and wellbeing.</w:t>
            </w:r>
          </w:p>
          <w:p w14:paraId="2968D5CF" w14:textId="77777777" w:rsidR="005F36D0" w:rsidRPr="00C20319" w:rsidRDefault="005F36D0" w:rsidP="00C20319">
            <w:pPr>
              <w:pStyle w:val="TableParagraph"/>
              <w:spacing w:before="1"/>
              <w:rPr>
                <w:sz w:val="20"/>
                <w:lang w:val="en-AU"/>
              </w:rPr>
            </w:pPr>
          </w:p>
          <w:p w14:paraId="31BCCBCF" w14:textId="77777777" w:rsidR="00C20319" w:rsidRDefault="00C20319" w:rsidP="00C20319">
            <w:pPr>
              <w:pStyle w:val="TableParagraph"/>
              <w:spacing w:before="1"/>
              <w:rPr>
                <w:sz w:val="20"/>
                <w:lang w:val="en-AU"/>
              </w:rPr>
            </w:pPr>
            <w:r w:rsidRPr="00C20319">
              <w:rPr>
                <w:sz w:val="20"/>
                <w:lang w:val="en-AU"/>
              </w:rPr>
              <w:t>The development of research philanthropy initiatives, particularly the establishment of a donor-funded research program in Jewish Philosophy through the Centre for the History of Philosophy, demonstrates our commitment to expanding research capacity while maintaining the distinctive Catholic intellectual tradition.</w:t>
            </w:r>
          </w:p>
          <w:p w14:paraId="4D025B56" w14:textId="77777777" w:rsidR="005F36D0" w:rsidRPr="00C20319" w:rsidRDefault="005F36D0" w:rsidP="00C20319">
            <w:pPr>
              <w:pStyle w:val="TableParagraph"/>
              <w:spacing w:before="1"/>
              <w:rPr>
                <w:sz w:val="20"/>
                <w:lang w:val="en-AU"/>
              </w:rPr>
            </w:pPr>
          </w:p>
          <w:p w14:paraId="32E39F63" w14:textId="77777777" w:rsidR="00C20319" w:rsidRPr="00C20319" w:rsidRDefault="00C20319" w:rsidP="00C20319">
            <w:pPr>
              <w:pStyle w:val="TableParagraph"/>
              <w:spacing w:before="1"/>
              <w:rPr>
                <w:sz w:val="20"/>
                <w:lang w:val="en-AU"/>
              </w:rPr>
            </w:pPr>
            <w:r w:rsidRPr="00C20319">
              <w:rPr>
                <w:sz w:val="20"/>
                <w:lang w:val="en-AU"/>
              </w:rPr>
              <w:t>The continued focus on external expert reviews of target Fields of Research provides evidence-based strategic development guidance, while the Notre Dame Transformative Research Fellowships program attracts outstanding researchers to priority research areas.</w:t>
            </w:r>
          </w:p>
          <w:p w14:paraId="616674FA" w14:textId="77777777" w:rsidR="00C20319" w:rsidRDefault="00C20319" w:rsidP="00C20319">
            <w:pPr>
              <w:pStyle w:val="TableParagraph"/>
              <w:spacing w:before="1"/>
              <w:rPr>
                <w:sz w:val="20"/>
                <w:lang w:val="en-AU"/>
              </w:rPr>
            </w:pPr>
            <w:r w:rsidRPr="00C20319">
              <w:rPr>
                <w:sz w:val="20"/>
                <w:lang w:val="en-AU"/>
              </w:rPr>
              <w:t>The development of online researcher support hubs for both Higher Degree Research students and staff represents our commitment to providing comprehensive support for the research community, ensuring all members have access to the resources and guidance needed to excel in their research endeavours.</w:t>
            </w:r>
          </w:p>
          <w:p w14:paraId="6E3B1B20" w14:textId="77777777" w:rsidR="00C20319" w:rsidRPr="00C20319" w:rsidRDefault="00C20319" w:rsidP="00C20319">
            <w:pPr>
              <w:pStyle w:val="TableParagraph"/>
              <w:spacing w:before="1"/>
              <w:rPr>
                <w:sz w:val="20"/>
                <w:lang w:val="en-AU"/>
              </w:rPr>
            </w:pPr>
          </w:p>
          <w:p w14:paraId="32A276C2" w14:textId="77777777" w:rsidR="00C20319" w:rsidRPr="00C20319" w:rsidRDefault="00C20319" w:rsidP="00C20319">
            <w:pPr>
              <w:pStyle w:val="TableParagraph"/>
              <w:spacing w:before="1"/>
              <w:rPr>
                <w:b/>
                <w:bCs/>
                <w:sz w:val="20"/>
                <w:lang w:val="en-AU"/>
              </w:rPr>
            </w:pPr>
            <w:r w:rsidRPr="00C20319">
              <w:rPr>
                <w:b/>
                <w:bCs/>
                <w:sz w:val="20"/>
                <w:lang w:val="en-AU"/>
              </w:rPr>
              <w:t>Strategic Outcomes by 2026</w:t>
            </w:r>
          </w:p>
          <w:p w14:paraId="1DB2C573" w14:textId="77777777" w:rsidR="00C20319" w:rsidRPr="00C20319" w:rsidRDefault="00C20319" w:rsidP="00C20319">
            <w:pPr>
              <w:pStyle w:val="TableParagraph"/>
              <w:numPr>
                <w:ilvl w:val="0"/>
                <w:numId w:val="33"/>
              </w:numPr>
              <w:spacing w:before="1"/>
              <w:rPr>
                <w:sz w:val="20"/>
                <w:lang w:val="en-AU"/>
              </w:rPr>
            </w:pPr>
            <w:r w:rsidRPr="00C20319">
              <w:rPr>
                <w:sz w:val="20"/>
                <w:lang w:val="en-AU"/>
              </w:rPr>
              <w:t>Excellence: Achieving World Standard performance in our target Fields of Research, with the quality of our research nationally and internationally recognised.</w:t>
            </w:r>
          </w:p>
          <w:p w14:paraId="6E4D7F80" w14:textId="77777777" w:rsidR="00C20319" w:rsidRPr="00C20319" w:rsidRDefault="00C20319" w:rsidP="00C20319">
            <w:pPr>
              <w:pStyle w:val="TableParagraph"/>
              <w:numPr>
                <w:ilvl w:val="0"/>
                <w:numId w:val="33"/>
              </w:numPr>
              <w:spacing w:before="1"/>
              <w:rPr>
                <w:sz w:val="20"/>
                <w:lang w:val="en-AU"/>
              </w:rPr>
            </w:pPr>
            <w:r w:rsidRPr="00C20319">
              <w:rPr>
                <w:sz w:val="20"/>
                <w:lang w:val="en-AU"/>
              </w:rPr>
              <w:t>Impact: Increased research engagement and impact outcomes, with significant growth in the size and scale of partnerships and documented evidence of research impact.</w:t>
            </w:r>
          </w:p>
          <w:p w14:paraId="2E215094" w14:textId="77777777" w:rsidR="00C20319" w:rsidRPr="00C20319" w:rsidRDefault="00C20319" w:rsidP="00C20319">
            <w:pPr>
              <w:pStyle w:val="TableParagraph"/>
              <w:numPr>
                <w:ilvl w:val="0"/>
                <w:numId w:val="33"/>
              </w:numPr>
              <w:spacing w:before="1"/>
              <w:rPr>
                <w:sz w:val="20"/>
                <w:lang w:val="en-AU"/>
              </w:rPr>
            </w:pPr>
            <w:r w:rsidRPr="00C20319">
              <w:rPr>
                <w:sz w:val="20"/>
                <w:lang w:val="en-AU"/>
              </w:rPr>
              <w:t>Investment: Increased external research income, with significant growth in philanthropic and industry partner research income.</w:t>
            </w:r>
          </w:p>
          <w:p w14:paraId="1EF122D9" w14:textId="13939973" w:rsidR="00C20319" w:rsidRPr="00C20319" w:rsidRDefault="00C20319" w:rsidP="00C20319">
            <w:pPr>
              <w:pStyle w:val="TableParagraph"/>
              <w:numPr>
                <w:ilvl w:val="0"/>
                <w:numId w:val="33"/>
              </w:numPr>
              <w:spacing w:before="1"/>
              <w:rPr>
                <w:sz w:val="20"/>
                <w:lang w:val="en-AU"/>
              </w:rPr>
            </w:pPr>
            <w:r w:rsidRPr="00C20319">
              <w:rPr>
                <w:sz w:val="20"/>
                <w:lang w:val="en-AU"/>
              </w:rPr>
              <w:t>Training (HDR): Increased high-quality HDR enrolments supported by industry partnerships and timely completions.</w:t>
            </w:r>
          </w:p>
          <w:p w14:paraId="40DA31C2" w14:textId="77777777" w:rsidR="001B109C" w:rsidRPr="00583B49" w:rsidRDefault="001B109C">
            <w:pPr>
              <w:pStyle w:val="NormalIndent"/>
              <w:spacing w:before="0" w:after="0"/>
              <w:ind w:left="0"/>
              <w:rPr>
                <w:rFonts w:asciiTheme="minorHAnsi" w:hAnsiTheme="minorHAnsi" w:cstheme="minorHAnsi"/>
                <w:i/>
                <w:color w:val="FF0000"/>
                <w:szCs w:val="22"/>
              </w:rPr>
            </w:pPr>
          </w:p>
        </w:tc>
      </w:tr>
      <w:tr w:rsidR="001B109C" w:rsidRPr="00E41388" w14:paraId="23C06863" w14:textId="77777777" w:rsidTr="6087D25B">
        <w:trPr>
          <w:cantSplit/>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087D25B">
        <w:trPr>
          <w:cantSplit/>
          <w:trHeight w:val="1033"/>
        </w:trPr>
        <w:tc>
          <w:tcPr>
            <w:tcW w:w="5000" w:type="pct"/>
          </w:tcPr>
          <w:p w14:paraId="2F94CC18" w14:textId="77777777" w:rsidR="001B109C" w:rsidRDefault="001B109C">
            <w:pPr>
              <w:pStyle w:val="NormalIndent"/>
              <w:spacing w:before="0" w:after="0"/>
              <w:ind w:left="0"/>
              <w:rPr>
                <w:rFonts w:asciiTheme="minorHAnsi" w:hAnsiTheme="minorHAnsi" w:cstheme="minorHAnsi"/>
                <w:i/>
                <w:color w:val="FF0000"/>
                <w:szCs w:val="22"/>
              </w:rPr>
            </w:pPr>
          </w:p>
          <w:p w14:paraId="491D0ABC" w14:textId="6918ADB7" w:rsidR="0078184B" w:rsidRDefault="0078184B" w:rsidP="0078184B">
            <w:pPr>
              <w:pStyle w:val="TableParagraph"/>
              <w:spacing w:before="1"/>
              <w:rPr>
                <w:sz w:val="20"/>
              </w:rPr>
            </w:pPr>
            <w:r w:rsidRPr="0078184B">
              <w:rPr>
                <w:sz w:val="20"/>
              </w:rPr>
              <w:t xml:space="preserve">Since our </w:t>
            </w:r>
            <w:r w:rsidR="00C500D8" w:rsidRPr="0078184B">
              <w:rPr>
                <w:sz w:val="20"/>
              </w:rPr>
              <w:t>establishment</w:t>
            </w:r>
            <w:r w:rsidRPr="0078184B">
              <w:rPr>
                <w:sz w:val="20"/>
              </w:rPr>
              <w:t xml:space="preserve">, </w:t>
            </w:r>
            <w:r w:rsidR="009006E0">
              <w:rPr>
                <w:sz w:val="20"/>
              </w:rPr>
              <w:t>UNDA</w:t>
            </w:r>
            <w:r w:rsidRPr="0078184B">
              <w:rPr>
                <w:sz w:val="20"/>
              </w:rPr>
              <w:t xml:space="preserve"> has provided professional </w:t>
            </w:r>
            <w:proofErr w:type="gramStart"/>
            <w:r w:rsidRPr="0078184B">
              <w:rPr>
                <w:sz w:val="20"/>
              </w:rPr>
              <w:t>experiences</w:t>
            </w:r>
            <w:proofErr w:type="gramEnd"/>
            <w:r w:rsidRPr="0078184B">
              <w:rPr>
                <w:sz w:val="20"/>
              </w:rPr>
              <w:t xml:space="preserve"> in authentic environments to ensure graduates are work-ready and equipped with the necessary skills to excel. Partnerships are critical, as the provision of excellent training for the professions forms part of </w:t>
            </w:r>
            <w:r w:rsidR="009006E0">
              <w:rPr>
                <w:sz w:val="20"/>
              </w:rPr>
              <w:t>our</w:t>
            </w:r>
            <w:r w:rsidRPr="0078184B">
              <w:rPr>
                <w:sz w:val="20"/>
              </w:rPr>
              <w:t xml:space="preserve"> Objects of the University. For our current and future strategic plans, engagement with industry and partners represents a critical lever enabling students to </w:t>
            </w:r>
            <w:proofErr w:type="gramStart"/>
            <w:r w:rsidRPr="0078184B">
              <w:rPr>
                <w:sz w:val="20"/>
              </w:rPr>
              <w:t>graduate job-</w:t>
            </w:r>
            <w:proofErr w:type="gramEnd"/>
            <w:r w:rsidRPr="0078184B">
              <w:rPr>
                <w:sz w:val="20"/>
              </w:rPr>
              <w:t>ready with community-mindedness and readiness to impact humanity beyond self.</w:t>
            </w:r>
          </w:p>
          <w:p w14:paraId="5DED79E5" w14:textId="77777777" w:rsidR="005F36D0" w:rsidRPr="0078184B" w:rsidRDefault="005F36D0" w:rsidP="0078184B">
            <w:pPr>
              <w:pStyle w:val="TableParagraph"/>
              <w:spacing w:before="1"/>
              <w:rPr>
                <w:sz w:val="20"/>
              </w:rPr>
            </w:pPr>
          </w:p>
          <w:p w14:paraId="7A31B685" w14:textId="77777777" w:rsidR="0078184B" w:rsidRPr="0078184B" w:rsidRDefault="0078184B" w:rsidP="0078184B">
            <w:pPr>
              <w:pStyle w:val="TableParagraph"/>
              <w:spacing w:before="1"/>
              <w:rPr>
                <w:b/>
                <w:bCs/>
                <w:sz w:val="20"/>
              </w:rPr>
            </w:pPr>
            <w:r w:rsidRPr="0078184B">
              <w:rPr>
                <w:b/>
                <w:bCs/>
                <w:sz w:val="20"/>
              </w:rPr>
              <w:t>Lifelong Learning and Continuing Education Framework and Action Plan</w:t>
            </w:r>
          </w:p>
          <w:p w14:paraId="6033FF8E" w14:textId="525003B3" w:rsidR="0078184B" w:rsidRPr="0078184B" w:rsidRDefault="0078184B" w:rsidP="0078184B">
            <w:pPr>
              <w:pStyle w:val="TableParagraph"/>
              <w:spacing w:before="1"/>
              <w:rPr>
                <w:sz w:val="20"/>
              </w:rPr>
            </w:pPr>
            <w:r w:rsidRPr="0078184B">
              <w:rPr>
                <w:sz w:val="20"/>
              </w:rPr>
              <w:t xml:space="preserve">UNDA's Lifelong Learning and Continuing Education Framework and Action Plan establishes a comprehensive continuing education program. </w:t>
            </w:r>
            <w:r w:rsidR="005E0CEC">
              <w:rPr>
                <w:sz w:val="20"/>
              </w:rPr>
              <w:t>It</w:t>
            </w:r>
            <w:r w:rsidRPr="0078184B">
              <w:rPr>
                <w:sz w:val="20"/>
              </w:rPr>
              <w:t xml:space="preserve"> defines the taxonomy for shorter-form, non-award offerings and establishes the roadmap to facilitate development of a sustainable program of offerings that are evidence-based, industry-aligned, and complement our degree programs.</w:t>
            </w:r>
          </w:p>
          <w:p w14:paraId="45DFD283" w14:textId="0A45FC2B" w:rsidR="0078184B" w:rsidRPr="0078184B" w:rsidRDefault="005E0CEC" w:rsidP="0078184B">
            <w:pPr>
              <w:pStyle w:val="TableParagraph"/>
              <w:spacing w:before="1"/>
              <w:rPr>
                <w:sz w:val="20"/>
              </w:rPr>
            </w:pPr>
            <w:r>
              <w:rPr>
                <w:sz w:val="20"/>
              </w:rPr>
              <w:t>It</w:t>
            </w:r>
            <w:r w:rsidR="0078184B" w:rsidRPr="0078184B">
              <w:rPr>
                <w:sz w:val="20"/>
              </w:rPr>
              <w:t xml:space="preserve"> supports:</w:t>
            </w:r>
          </w:p>
          <w:p w14:paraId="369BC2F5" w14:textId="77777777" w:rsidR="0078184B" w:rsidRPr="0078184B" w:rsidRDefault="0078184B" w:rsidP="006669B7">
            <w:pPr>
              <w:pStyle w:val="TableParagraph"/>
              <w:numPr>
                <w:ilvl w:val="0"/>
                <w:numId w:val="35"/>
              </w:numPr>
              <w:spacing w:before="1"/>
              <w:rPr>
                <w:sz w:val="20"/>
              </w:rPr>
            </w:pPr>
            <w:r w:rsidRPr="0078184B">
              <w:rPr>
                <w:sz w:val="20"/>
              </w:rPr>
              <w:t>Building additional pipelines into degree programs</w:t>
            </w:r>
          </w:p>
          <w:p w14:paraId="109302E7" w14:textId="77777777" w:rsidR="0078184B" w:rsidRPr="0078184B" w:rsidRDefault="0078184B" w:rsidP="006669B7">
            <w:pPr>
              <w:pStyle w:val="TableParagraph"/>
              <w:numPr>
                <w:ilvl w:val="0"/>
                <w:numId w:val="35"/>
              </w:numPr>
              <w:spacing w:before="1"/>
              <w:rPr>
                <w:sz w:val="20"/>
              </w:rPr>
            </w:pPr>
            <w:r w:rsidRPr="0078184B">
              <w:rPr>
                <w:sz w:val="20"/>
              </w:rPr>
              <w:t>Enhancing industry, community, and government partnerships</w:t>
            </w:r>
          </w:p>
          <w:p w14:paraId="72E31FD9" w14:textId="77777777" w:rsidR="0078184B" w:rsidRPr="0078184B" w:rsidRDefault="0078184B" w:rsidP="006669B7">
            <w:pPr>
              <w:pStyle w:val="TableParagraph"/>
              <w:numPr>
                <w:ilvl w:val="0"/>
                <w:numId w:val="35"/>
              </w:numPr>
              <w:spacing w:before="1"/>
              <w:rPr>
                <w:sz w:val="20"/>
              </w:rPr>
            </w:pPr>
            <w:r w:rsidRPr="0078184B">
              <w:rPr>
                <w:sz w:val="20"/>
              </w:rPr>
              <w:t>Maintaining currency with skills needs for improved graduate outcomes</w:t>
            </w:r>
          </w:p>
          <w:p w14:paraId="0E49B010" w14:textId="77777777" w:rsidR="0078184B" w:rsidRPr="0078184B" w:rsidRDefault="0078184B" w:rsidP="006669B7">
            <w:pPr>
              <w:pStyle w:val="TableParagraph"/>
              <w:numPr>
                <w:ilvl w:val="0"/>
                <w:numId w:val="35"/>
              </w:numPr>
              <w:spacing w:before="1"/>
              <w:rPr>
                <w:sz w:val="20"/>
              </w:rPr>
            </w:pPr>
            <w:r w:rsidRPr="0078184B">
              <w:rPr>
                <w:sz w:val="20"/>
              </w:rPr>
              <w:t>Ensuring the University provides educational offerings suited to a broader cohort of learners</w:t>
            </w:r>
          </w:p>
          <w:p w14:paraId="3BF3FC67" w14:textId="3DC72736" w:rsidR="0078184B" w:rsidRPr="0078184B" w:rsidRDefault="0078184B" w:rsidP="0078184B">
            <w:pPr>
              <w:pStyle w:val="TableParagraph"/>
              <w:spacing w:before="1"/>
              <w:rPr>
                <w:sz w:val="20"/>
              </w:rPr>
            </w:pPr>
            <w:r w:rsidRPr="0078184B">
              <w:rPr>
                <w:sz w:val="20"/>
              </w:rPr>
              <w:t>The Framework defines an ecosystem of non-award programs</w:t>
            </w:r>
            <w:r w:rsidR="003F4943">
              <w:rPr>
                <w:sz w:val="20"/>
              </w:rPr>
              <w:t xml:space="preserve"> – </w:t>
            </w:r>
            <w:r w:rsidRPr="0078184B">
              <w:rPr>
                <w:sz w:val="20"/>
              </w:rPr>
              <w:t>including learning bites, short courses, bootcamps, and micro-credentials</w:t>
            </w:r>
            <w:r w:rsidR="003F4943">
              <w:rPr>
                <w:sz w:val="20"/>
              </w:rPr>
              <w:t xml:space="preserve"> – </w:t>
            </w:r>
            <w:r w:rsidRPr="0078184B">
              <w:rPr>
                <w:sz w:val="20"/>
              </w:rPr>
              <w:t>that cater to different learner needs and life stages. Micro-credentials play a central role as assessed, industry-aligned, and potentially credit-bearing offerings that provide stackable pathways into formal qualifications. Bootcamps and short courses deliver targeted, practical skills development, while learning bites serve as flexible entry points. Together, these offerings enable students, alumni, and professionals to build skills rapidly and continuously, with potential recognition through credit or advanced standing.</w:t>
            </w:r>
          </w:p>
          <w:p w14:paraId="1A26C3CD" w14:textId="6200A22D" w:rsidR="0078184B" w:rsidRDefault="00E24202" w:rsidP="0078184B">
            <w:pPr>
              <w:pStyle w:val="TableParagraph"/>
              <w:spacing w:before="1"/>
              <w:rPr>
                <w:sz w:val="20"/>
              </w:rPr>
            </w:pPr>
            <w:r w:rsidRPr="0078184B">
              <w:rPr>
                <w:sz w:val="20"/>
              </w:rPr>
              <w:t>Partnerships</w:t>
            </w:r>
            <w:r w:rsidR="0078184B" w:rsidRPr="0078184B">
              <w:rPr>
                <w:sz w:val="20"/>
              </w:rPr>
              <w:t xml:space="preserve"> with industry and community organisations ensures offerings remain relevant and aligned with current workforce demands and future trends. These collaborations enable program co-design, employer endorsement, and integration of professional standards, strengthening </w:t>
            </w:r>
            <w:r w:rsidR="005E0CEC">
              <w:rPr>
                <w:sz w:val="20"/>
              </w:rPr>
              <w:t>our</w:t>
            </w:r>
            <w:r w:rsidR="0078184B" w:rsidRPr="0078184B">
              <w:rPr>
                <w:sz w:val="20"/>
              </w:rPr>
              <w:t xml:space="preserve"> external relationships while supporting graduate employability and professional advancement. This approach aligns with the Accord by broadening access, fostering equity, and creating seamless pathways between schools, VET, higher education, and work.</w:t>
            </w:r>
          </w:p>
          <w:p w14:paraId="16603E7D" w14:textId="77777777" w:rsidR="00781ECE" w:rsidRPr="0078184B" w:rsidRDefault="00781ECE" w:rsidP="0078184B">
            <w:pPr>
              <w:pStyle w:val="TableParagraph"/>
              <w:spacing w:before="1"/>
              <w:rPr>
                <w:sz w:val="20"/>
              </w:rPr>
            </w:pPr>
          </w:p>
          <w:p w14:paraId="5C3254C8" w14:textId="53594844" w:rsidR="0078184B" w:rsidRPr="0078184B" w:rsidRDefault="0078184B" w:rsidP="0078184B">
            <w:pPr>
              <w:pStyle w:val="TableParagraph"/>
              <w:spacing w:before="1"/>
              <w:rPr>
                <w:b/>
                <w:bCs/>
                <w:sz w:val="20"/>
              </w:rPr>
            </w:pPr>
            <w:r w:rsidRPr="0078184B">
              <w:rPr>
                <w:b/>
                <w:bCs/>
                <w:sz w:val="20"/>
              </w:rPr>
              <w:t xml:space="preserve">Employability </w:t>
            </w:r>
          </w:p>
          <w:p w14:paraId="11EB572C" w14:textId="233627E8" w:rsidR="0078184B" w:rsidRPr="0078184B" w:rsidRDefault="0078184B" w:rsidP="0078184B">
            <w:pPr>
              <w:pStyle w:val="TableParagraph"/>
              <w:spacing w:before="1"/>
              <w:rPr>
                <w:sz w:val="20"/>
              </w:rPr>
            </w:pPr>
            <w:r w:rsidRPr="0078184B">
              <w:rPr>
                <w:sz w:val="20"/>
              </w:rPr>
              <w:t>UNDA's Employability Framework</w:t>
            </w:r>
            <w:r w:rsidR="000F30E4">
              <w:rPr>
                <w:sz w:val="20"/>
              </w:rPr>
              <w:t xml:space="preserve"> (under development)</w:t>
            </w:r>
            <w:r w:rsidR="000F30E4" w:rsidRPr="0078184B" w:rsidDel="000F30E4">
              <w:rPr>
                <w:sz w:val="20"/>
              </w:rPr>
              <w:t xml:space="preserve"> </w:t>
            </w:r>
            <w:r w:rsidRPr="0078184B">
              <w:rPr>
                <w:sz w:val="20"/>
              </w:rPr>
              <w:t xml:space="preserve"> provides a whole-of-institution approach ensuring every student is prepared for meaningful work, lifelong learning, and leadership for the common good. It integrates Career Development, Experiential Learning (including Work Integrated Learning), and Industry &amp; Community Engagement within a unified student lifecycle model: Discover, Develop, Drive.</w:t>
            </w:r>
          </w:p>
          <w:p w14:paraId="0C7BF6A6" w14:textId="4C4544F2" w:rsidR="0078184B" w:rsidRDefault="0078184B" w:rsidP="0078184B">
            <w:pPr>
              <w:pStyle w:val="TableParagraph"/>
              <w:spacing w:before="1"/>
              <w:rPr>
                <w:sz w:val="20"/>
              </w:rPr>
            </w:pPr>
            <w:r w:rsidRPr="0078184B">
              <w:rPr>
                <w:sz w:val="20"/>
              </w:rPr>
              <w:t xml:space="preserve">Building on </w:t>
            </w:r>
            <w:r w:rsidR="000E1FD7">
              <w:rPr>
                <w:sz w:val="20"/>
              </w:rPr>
              <w:t>our</w:t>
            </w:r>
            <w:r w:rsidRPr="0078184B">
              <w:rPr>
                <w:sz w:val="20"/>
              </w:rPr>
              <w:t xml:space="preserve"> strong graduate outcomes, the Framework responds to emerging challenges including </w:t>
            </w:r>
            <w:proofErr w:type="gramStart"/>
            <w:r w:rsidRPr="0078184B">
              <w:rPr>
                <w:sz w:val="20"/>
              </w:rPr>
              <w:t>a diversifying</w:t>
            </w:r>
            <w:proofErr w:type="gramEnd"/>
            <w:r w:rsidRPr="0078184B">
              <w:rPr>
                <w:sz w:val="20"/>
              </w:rPr>
              <w:t xml:space="preserve"> student cohort, shifting workforce needs, and new national policy directions under the Accord. It embeds employability across curriculum and co-curriculum, guided by principles of inclusivity, collaboration, and mission alignment.</w:t>
            </w:r>
          </w:p>
          <w:p w14:paraId="1ADE8E64" w14:textId="77777777" w:rsidR="005F36D0" w:rsidRPr="0078184B" w:rsidRDefault="005F36D0" w:rsidP="0078184B">
            <w:pPr>
              <w:pStyle w:val="TableParagraph"/>
              <w:spacing w:before="1"/>
              <w:rPr>
                <w:sz w:val="20"/>
              </w:rPr>
            </w:pPr>
          </w:p>
          <w:p w14:paraId="0AB1F29C" w14:textId="7D4F3066" w:rsidR="0078184B" w:rsidRPr="0078184B" w:rsidRDefault="0078184B" w:rsidP="0078184B">
            <w:pPr>
              <w:pStyle w:val="TableParagraph"/>
              <w:spacing w:before="1"/>
              <w:rPr>
                <w:sz w:val="20"/>
              </w:rPr>
            </w:pPr>
            <w:r w:rsidRPr="0078184B">
              <w:rPr>
                <w:sz w:val="20"/>
              </w:rPr>
              <w:t xml:space="preserve">The Framework directly supports </w:t>
            </w:r>
            <w:r w:rsidR="000E1FD7">
              <w:rPr>
                <w:sz w:val="20"/>
              </w:rPr>
              <w:t>our</w:t>
            </w:r>
            <w:r w:rsidRPr="0078184B">
              <w:rPr>
                <w:sz w:val="20"/>
              </w:rPr>
              <w:t xml:space="preserve"> Compact priorities by addressing student success, equity, and workforce readiness. It ensures compliance with the Higher Education Standards Framework (2021), HESA 2003, and ESOS 2000, while aligning with Commonwealth priorities for career development and work-integrated learning. Key measures include embedding</w:t>
            </w:r>
            <w:r w:rsidRPr="0078184B">
              <w:rPr>
                <w:rFonts w:cstheme="minorHAnsi"/>
                <w:i/>
                <w:color w:val="FF0000"/>
                <w:lang w:val="en-AU"/>
              </w:rPr>
              <w:t xml:space="preserve"> </w:t>
            </w:r>
            <w:r w:rsidRPr="0078184B">
              <w:rPr>
                <w:sz w:val="20"/>
              </w:rPr>
              <w:t>employability in 100% of programs, achieving 80% student participation in WIL, and exceeding national graduate employment benchmarks by +5%.</w:t>
            </w:r>
          </w:p>
          <w:p w14:paraId="67B4F5E7" w14:textId="0C7ED33C" w:rsidR="0078184B" w:rsidRPr="0078184B" w:rsidRDefault="0078184B" w:rsidP="0078184B">
            <w:pPr>
              <w:pStyle w:val="TableParagraph"/>
              <w:spacing w:before="1"/>
              <w:rPr>
                <w:sz w:val="20"/>
              </w:rPr>
            </w:pPr>
            <w:r w:rsidRPr="0078184B">
              <w:rPr>
                <w:sz w:val="20"/>
              </w:rPr>
              <w:t xml:space="preserve">Strategic enablers include expanded career services staffing, investment in digital platforms such as CareerHub, enhanced data and governance capability, and stronger industry partnerships across Catholic, regional, and global networks. By </w:t>
            </w:r>
            <w:r w:rsidR="0069090E">
              <w:rPr>
                <w:sz w:val="20"/>
              </w:rPr>
              <w:t>aligning</w:t>
            </w:r>
            <w:r w:rsidR="0069090E" w:rsidRPr="0078184B">
              <w:rPr>
                <w:sz w:val="20"/>
              </w:rPr>
              <w:t xml:space="preserve"> </w:t>
            </w:r>
            <w:r w:rsidRPr="0078184B">
              <w:rPr>
                <w:sz w:val="20"/>
              </w:rPr>
              <w:t xml:space="preserve">employability with the Lifelong Learning Framework, students and alumni can continue reskilling through micro-credentials and stackable learning, ensuring employability becomes a defining feature of </w:t>
            </w:r>
            <w:r w:rsidR="000C69D6">
              <w:rPr>
                <w:sz w:val="20"/>
              </w:rPr>
              <w:t>a UNDA</w:t>
            </w:r>
            <w:r w:rsidRPr="0078184B">
              <w:rPr>
                <w:sz w:val="20"/>
              </w:rPr>
              <w:t xml:space="preserve"> experience.</w:t>
            </w:r>
          </w:p>
          <w:p w14:paraId="6465FC91" w14:textId="7710C6E2" w:rsidR="0078184B" w:rsidRPr="007E3E37" w:rsidRDefault="0078184B" w:rsidP="00D719BD">
            <w:pPr>
              <w:pStyle w:val="TableParagraph"/>
              <w:spacing w:before="1"/>
              <w:rPr>
                <w:rFonts w:asciiTheme="minorHAnsi" w:hAnsiTheme="minorHAnsi" w:cstheme="minorHAnsi"/>
                <w:i/>
                <w:color w:val="FF0000"/>
              </w:rPr>
            </w:pPr>
          </w:p>
        </w:tc>
      </w:tr>
    </w:tbl>
    <w:p w14:paraId="2BE0E0F4" w14:textId="5C8EB299" w:rsidR="001B109C" w:rsidRDefault="001B109C" w:rsidP="001B109C">
      <w:pPr>
        <w:spacing w:after="160"/>
        <w:rPr>
          <w:rFonts w:ascii="Times New Roman" w:hAnsi="Times New Roman" w:cs="Times New Roman"/>
          <w:b/>
          <w:bCs/>
          <w:sz w:val="24"/>
          <w:szCs w:val="24"/>
        </w:rPr>
      </w:pPr>
    </w:p>
    <w:p w14:paraId="6D22BD5D" w14:textId="47E33C4D"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2BAF327B" w:rsidR="001B109C" w:rsidRPr="00E114B4" w:rsidRDefault="00DF486F">
            <w:pPr>
              <w:pBdr>
                <w:bottom w:val="single" w:sz="12" w:space="1" w:color="auto"/>
              </w:pBdr>
              <w:rPr>
                <w:rFonts w:cstheme="minorHAnsi"/>
                <w:b/>
                <w:bCs/>
              </w:rPr>
            </w:pPr>
            <w:r w:rsidRPr="001E1D51">
              <w:rPr>
                <w:b/>
                <w:bCs/>
              </w:rPr>
              <w:t>Jessica Mohr</w:t>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3F292AA9" w:rsidR="001B109C" w:rsidRPr="00E114B4" w:rsidRDefault="00DD5C00">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46A88FA2" w:rsidR="001B109C" w:rsidRPr="00E114B4" w:rsidRDefault="00104344">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5BC68B15" w:rsidR="001B109C" w:rsidRPr="00E114B4" w:rsidRDefault="006321B4">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07D2BD7B" w:rsidR="001B109C" w:rsidRPr="00347A45" w:rsidRDefault="00347A45">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2FB11185" w:rsidR="001B109C" w:rsidRPr="00E169EE" w:rsidRDefault="00DD5CB8">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The University of Notre Dame Australia</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5A4D6D31" w:rsidR="001B109C" w:rsidRPr="00E169EE" w:rsidRDefault="00DD5CB8">
            <w:pPr>
              <w:pBdr>
                <w:bottom w:val="single" w:sz="12" w:space="1" w:color="auto"/>
              </w:pBdr>
              <w:rPr>
                <w:rFonts w:cstheme="minorHAnsi"/>
                <w:b/>
                <w:bCs/>
              </w:rPr>
            </w:pPr>
            <w:r>
              <w:rPr>
                <w:rFonts w:cstheme="minorHAnsi"/>
                <w:b/>
                <w:bCs/>
              </w:rPr>
              <w:t>Francis Campbell</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22242AF1" w:rsidR="001B109C" w:rsidRPr="002F4604" w:rsidRDefault="00DD5CB8">
            <w:pPr>
              <w:pBdr>
                <w:bottom w:val="single" w:sz="12" w:space="1" w:color="auto"/>
              </w:pBdr>
              <w:rPr>
                <w:rFonts w:cstheme="minorHAnsi"/>
                <w:b/>
                <w:bCs/>
              </w:rPr>
            </w:pPr>
            <w:r>
              <w:rPr>
                <w:rFonts w:cstheme="minorHAnsi"/>
                <w:b/>
                <w:bCs/>
              </w:rPr>
              <w:t>Eleni Mastrocostas</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64F983F2" w:rsidR="001B109C" w:rsidRPr="00E169EE" w:rsidRDefault="00DD5CB8">
            <w:pPr>
              <w:pBdr>
                <w:bottom w:val="single" w:sz="12" w:space="1" w:color="auto"/>
              </w:pBdr>
              <w:spacing w:after="0"/>
              <w:rPr>
                <w:rFonts w:cstheme="minorHAnsi"/>
                <w:b/>
                <w:bCs/>
              </w:rPr>
            </w:pPr>
            <w:r>
              <w:rPr>
                <w:rFonts w:cstheme="minorHAnsi"/>
                <w:b/>
                <w:bCs/>
              </w:rPr>
              <w:t>Vice Chancellor</w:t>
            </w:r>
          </w:p>
          <w:p w14:paraId="231ABA73" w14:textId="51DC4C80" w:rsidR="001B109C" w:rsidRDefault="001B109C">
            <w:pPr>
              <w:spacing w:after="0"/>
              <w:rPr>
                <w:rFonts w:cstheme="minorHAnsi"/>
              </w:rPr>
            </w:pPr>
            <w:r w:rsidRPr="00E169EE">
              <w:rPr>
                <w:rFonts w:cstheme="minorHAnsi"/>
              </w:rPr>
              <w:t>Position</w:t>
            </w:r>
          </w:p>
          <w:p w14:paraId="5256847A" w14:textId="77777777" w:rsidR="00DD5CB8" w:rsidRPr="00E169EE" w:rsidRDefault="00DD5CB8">
            <w:pPr>
              <w:spacing w:after="0"/>
              <w:rPr>
                <w:rFonts w:cstheme="minorHAnsi"/>
              </w:rPr>
            </w:pPr>
          </w:p>
          <w:p w14:paraId="536F9855" w14:textId="06AEB681" w:rsidR="001B109C" w:rsidRPr="00E169EE" w:rsidRDefault="001B109C">
            <w:pPr>
              <w:spacing w:after="0"/>
              <w:rPr>
                <w:rFonts w:cstheme="minorHAnsi"/>
              </w:rPr>
            </w:pPr>
          </w:p>
        </w:tc>
        <w:tc>
          <w:tcPr>
            <w:tcW w:w="4508" w:type="dxa"/>
          </w:tcPr>
          <w:p w14:paraId="7B33C473" w14:textId="28650BFA" w:rsidR="001B109C" w:rsidRPr="002F4604" w:rsidRDefault="00DD5CB8">
            <w:pPr>
              <w:pBdr>
                <w:bottom w:val="single" w:sz="12" w:space="1" w:color="auto"/>
              </w:pBdr>
              <w:spacing w:after="0"/>
              <w:rPr>
                <w:rFonts w:cstheme="minorHAnsi"/>
                <w:b/>
                <w:bCs/>
              </w:rPr>
            </w:pPr>
            <w:r>
              <w:rPr>
                <w:rFonts w:cstheme="minorHAnsi"/>
                <w:b/>
                <w:bCs/>
              </w:rPr>
              <w:t>Chief of Staff</w:t>
            </w:r>
          </w:p>
          <w:p w14:paraId="0C046C3D" w14:textId="779C33AC"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7583F948" w14:textId="4FCC8D7D"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77777777"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4F4D43C4" w:rsidR="001B109C" w:rsidRPr="00285733" w:rsidRDefault="001B109C" w:rsidP="001B109C"/>
    <w:p w14:paraId="7F0711AD" w14:textId="6E6B4389"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17"/>
      <w:footerReference w:type="first" r:id="rId18"/>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D587" w14:textId="77777777" w:rsidR="00A111D9" w:rsidRDefault="00A111D9" w:rsidP="000A6228">
      <w:pPr>
        <w:spacing w:after="0" w:line="240" w:lineRule="auto"/>
      </w:pPr>
      <w:r>
        <w:separator/>
      </w:r>
    </w:p>
  </w:endnote>
  <w:endnote w:type="continuationSeparator" w:id="0">
    <w:p w14:paraId="172DFAFA" w14:textId="77777777" w:rsidR="00A111D9" w:rsidRDefault="00A111D9" w:rsidP="000A6228">
      <w:pPr>
        <w:spacing w:after="0" w:line="240" w:lineRule="auto"/>
      </w:pPr>
      <w:r>
        <w:continuationSeparator/>
      </w:r>
    </w:p>
  </w:endnote>
  <w:endnote w:type="continuationNotice" w:id="1">
    <w:p w14:paraId="1AF36D5E" w14:textId="77777777" w:rsidR="00A111D9" w:rsidRDefault="00A11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B192" w14:textId="77777777" w:rsidR="00A111D9" w:rsidRDefault="00A111D9" w:rsidP="000A6228">
      <w:pPr>
        <w:spacing w:after="0" w:line="240" w:lineRule="auto"/>
      </w:pPr>
      <w:r>
        <w:separator/>
      </w:r>
    </w:p>
  </w:footnote>
  <w:footnote w:type="continuationSeparator" w:id="0">
    <w:p w14:paraId="1C21C5BA" w14:textId="77777777" w:rsidR="00A111D9" w:rsidRDefault="00A111D9" w:rsidP="000A6228">
      <w:pPr>
        <w:spacing w:after="0" w:line="240" w:lineRule="auto"/>
      </w:pPr>
      <w:r>
        <w:continuationSeparator/>
      </w:r>
    </w:p>
  </w:footnote>
  <w:footnote w:type="continuationNotice" w:id="1">
    <w:p w14:paraId="7FC64431" w14:textId="77777777" w:rsidR="00A111D9" w:rsidRDefault="00A111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001BF3"/>
    <w:multiLevelType w:val="hybridMultilevel"/>
    <w:tmpl w:val="D5B41066"/>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8765875"/>
    <w:multiLevelType w:val="hybridMultilevel"/>
    <w:tmpl w:val="7B18C3E8"/>
    <w:lvl w:ilvl="0" w:tplc="87A65CC0">
      <w:start w:val="5"/>
      <w:numFmt w:val="bullet"/>
      <w:lvlText w:val="•"/>
      <w:lvlJc w:val="left"/>
      <w:pPr>
        <w:ind w:left="825" w:hanging="630"/>
      </w:pPr>
      <w:rPr>
        <w:rFonts w:ascii="Calibri" w:eastAsia="Calibri" w:hAnsi="Calibri" w:cs="Calibri"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3D16E66"/>
    <w:multiLevelType w:val="hybridMultilevel"/>
    <w:tmpl w:val="FDA2CBE4"/>
    <w:lvl w:ilvl="0" w:tplc="6FD0DD4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E484D84">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2" w:tplc="22FC7E4E">
      <w:numFmt w:val="bullet"/>
      <w:lvlText w:val="•"/>
      <w:lvlJc w:val="left"/>
      <w:pPr>
        <w:ind w:left="2369" w:hanging="360"/>
      </w:pPr>
      <w:rPr>
        <w:rFonts w:hint="default"/>
        <w:lang w:val="en-US" w:eastAsia="en-US" w:bidi="ar-SA"/>
      </w:rPr>
    </w:lvl>
    <w:lvl w:ilvl="3" w:tplc="0CD6CAF4">
      <w:numFmt w:val="bullet"/>
      <w:lvlText w:val="•"/>
      <w:lvlJc w:val="left"/>
      <w:pPr>
        <w:ind w:left="3199" w:hanging="360"/>
      </w:pPr>
      <w:rPr>
        <w:rFonts w:hint="default"/>
        <w:lang w:val="en-US" w:eastAsia="en-US" w:bidi="ar-SA"/>
      </w:rPr>
    </w:lvl>
    <w:lvl w:ilvl="4" w:tplc="8C9CAEE4">
      <w:numFmt w:val="bullet"/>
      <w:lvlText w:val="•"/>
      <w:lvlJc w:val="left"/>
      <w:pPr>
        <w:ind w:left="4029" w:hanging="360"/>
      </w:pPr>
      <w:rPr>
        <w:rFonts w:hint="default"/>
        <w:lang w:val="en-US" w:eastAsia="en-US" w:bidi="ar-SA"/>
      </w:rPr>
    </w:lvl>
    <w:lvl w:ilvl="5" w:tplc="F5D80454">
      <w:numFmt w:val="bullet"/>
      <w:lvlText w:val="•"/>
      <w:lvlJc w:val="left"/>
      <w:pPr>
        <w:ind w:left="4859" w:hanging="360"/>
      </w:pPr>
      <w:rPr>
        <w:rFonts w:hint="default"/>
        <w:lang w:val="en-US" w:eastAsia="en-US" w:bidi="ar-SA"/>
      </w:rPr>
    </w:lvl>
    <w:lvl w:ilvl="6" w:tplc="4A868932">
      <w:numFmt w:val="bullet"/>
      <w:lvlText w:val="•"/>
      <w:lvlJc w:val="left"/>
      <w:pPr>
        <w:ind w:left="5688" w:hanging="360"/>
      </w:pPr>
      <w:rPr>
        <w:rFonts w:hint="default"/>
        <w:lang w:val="en-US" w:eastAsia="en-US" w:bidi="ar-SA"/>
      </w:rPr>
    </w:lvl>
    <w:lvl w:ilvl="7" w:tplc="B0A408F6">
      <w:numFmt w:val="bullet"/>
      <w:lvlText w:val="•"/>
      <w:lvlJc w:val="left"/>
      <w:pPr>
        <w:ind w:left="6518" w:hanging="360"/>
      </w:pPr>
      <w:rPr>
        <w:rFonts w:hint="default"/>
        <w:lang w:val="en-US" w:eastAsia="en-US" w:bidi="ar-SA"/>
      </w:rPr>
    </w:lvl>
    <w:lvl w:ilvl="8" w:tplc="031C958E">
      <w:numFmt w:val="bullet"/>
      <w:lvlText w:val="•"/>
      <w:lvlJc w:val="left"/>
      <w:pPr>
        <w:ind w:left="7348" w:hanging="360"/>
      </w:pPr>
      <w:rPr>
        <w:rFonts w:hint="default"/>
        <w:lang w:val="en-US" w:eastAsia="en-US" w:bidi="ar-SA"/>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F3138B"/>
    <w:multiLevelType w:val="hybridMultilevel"/>
    <w:tmpl w:val="10002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0071EC"/>
    <w:multiLevelType w:val="hybridMultilevel"/>
    <w:tmpl w:val="AE188144"/>
    <w:lvl w:ilvl="0" w:tplc="87A65CC0">
      <w:start w:val="5"/>
      <w:numFmt w:val="bullet"/>
      <w:lvlText w:val="•"/>
      <w:lvlJc w:val="left"/>
      <w:pPr>
        <w:ind w:left="718" w:hanging="630"/>
      </w:pPr>
      <w:rPr>
        <w:rFonts w:ascii="Calibri" w:eastAsia="Calibri" w:hAnsi="Calibri" w:cs="Calibri" w:hint="default"/>
      </w:rPr>
    </w:lvl>
    <w:lvl w:ilvl="1" w:tplc="0C090003" w:tentative="1">
      <w:start w:val="1"/>
      <w:numFmt w:val="bullet"/>
      <w:lvlText w:val="o"/>
      <w:lvlJc w:val="left"/>
      <w:pPr>
        <w:ind w:left="1168" w:hanging="360"/>
      </w:pPr>
      <w:rPr>
        <w:rFonts w:ascii="Courier New" w:hAnsi="Courier New" w:cs="Courier New" w:hint="default"/>
      </w:rPr>
    </w:lvl>
    <w:lvl w:ilvl="2" w:tplc="0C090005" w:tentative="1">
      <w:start w:val="1"/>
      <w:numFmt w:val="bullet"/>
      <w:lvlText w:val=""/>
      <w:lvlJc w:val="left"/>
      <w:pPr>
        <w:ind w:left="1888" w:hanging="360"/>
      </w:pPr>
      <w:rPr>
        <w:rFonts w:ascii="Wingdings" w:hAnsi="Wingdings" w:hint="default"/>
      </w:rPr>
    </w:lvl>
    <w:lvl w:ilvl="3" w:tplc="0C090001" w:tentative="1">
      <w:start w:val="1"/>
      <w:numFmt w:val="bullet"/>
      <w:lvlText w:val=""/>
      <w:lvlJc w:val="left"/>
      <w:pPr>
        <w:ind w:left="2608" w:hanging="360"/>
      </w:pPr>
      <w:rPr>
        <w:rFonts w:ascii="Symbol" w:hAnsi="Symbol" w:hint="default"/>
      </w:rPr>
    </w:lvl>
    <w:lvl w:ilvl="4" w:tplc="0C090003" w:tentative="1">
      <w:start w:val="1"/>
      <w:numFmt w:val="bullet"/>
      <w:lvlText w:val="o"/>
      <w:lvlJc w:val="left"/>
      <w:pPr>
        <w:ind w:left="3328" w:hanging="360"/>
      </w:pPr>
      <w:rPr>
        <w:rFonts w:ascii="Courier New" w:hAnsi="Courier New" w:cs="Courier New" w:hint="default"/>
      </w:rPr>
    </w:lvl>
    <w:lvl w:ilvl="5" w:tplc="0C090005" w:tentative="1">
      <w:start w:val="1"/>
      <w:numFmt w:val="bullet"/>
      <w:lvlText w:val=""/>
      <w:lvlJc w:val="left"/>
      <w:pPr>
        <w:ind w:left="4048" w:hanging="360"/>
      </w:pPr>
      <w:rPr>
        <w:rFonts w:ascii="Wingdings" w:hAnsi="Wingdings" w:hint="default"/>
      </w:rPr>
    </w:lvl>
    <w:lvl w:ilvl="6" w:tplc="0C090001" w:tentative="1">
      <w:start w:val="1"/>
      <w:numFmt w:val="bullet"/>
      <w:lvlText w:val=""/>
      <w:lvlJc w:val="left"/>
      <w:pPr>
        <w:ind w:left="4768" w:hanging="360"/>
      </w:pPr>
      <w:rPr>
        <w:rFonts w:ascii="Symbol" w:hAnsi="Symbol" w:hint="default"/>
      </w:rPr>
    </w:lvl>
    <w:lvl w:ilvl="7" w:tplc="0C090003" w:tentative="1">
      <w:start w:val="1"/>
      <w:numFmt w:val="bullet"/>
      <w:lvlText w:val="o"/>
      <w:lvlJc w:val="left"/>
      <w:pPr>
        <w:ind w:left="5488" w:hanging="360"/>
      </w:pPr>
      <w:rPr>
        <w:rFonts w:ascii="Courier New" w:hAnsi="Courier New" w:cs="Courier New" w:hint="default"/>
      </w:rPr>
    </w:lvl>
    <w:lvl w:ilvl="8" w:tplc="0C090005" w:tentative="1">
      <w:start w:val="1"/>
      <w:numFmt w:val="bullet"/>
      <w:lvlText w:val=""/>
      <w:lvlJc w:val="left"/>
      <w:pPr>
        <w:ind w:left="6208" w:hanging="360"/>
      </w:pPr>
      <w:rPr>
        <w:rFonts w:ascii="Wingdings" w:hAnsi="Wingdings" w:hint="default"/>
      </w:rPr>
    </w:lvl>
  </w:abstractNum>
  <w:abstractNum w:abstractNumId="17" w15:restartNumberingAfterBreak="0">
    <w:nsid w:val="28D7050F"/>
    <w:multiLevelType w:val="multilevel"/>
    <w:tmpl w:val="87FC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CC1799"/>
    <w:multiLevelType w:val="hybridMultilevel"/>
    <w:tmpl w:val="F7C01A4E"/>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8016E6"/>
    <w:multiLevelType w:val="multilevel"/>
    <w:tmpl w:val="4012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95DA6"/>
    <w:multiLevelType w:val="hybridMultilevel"/>
    <w:tmpl w:val="A204F3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6006C"/>
    <w:multiLevelType w:val="hybridMultilevel"/>
    <w:tmpl w:val="C5025488"/>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5" w15:restartNumberingAfterBreak="0">
    <w:nsid w:val="52C81B4B"/>
    <w:multiLevelType w:val="multilevel"/>
    <w:tmpl w:val="5FAA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994A2B"/>
    <w:multiLevelType w:val="hybridMultilevel"/>
    <w:tmpl w:val="3DA8BBAE"/>
    <w:lvl w:ilvl="0" w:tplc="82F432B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5F69DCE">
      <w:numFmt w:val="bullet"/>
      <w:lvlText w:val="•"/>
      <w:lvlJc w:val="left"/>
      <w:pPr>
        <w:ind w:left="1638" w:hanging="360"/>
      </w:pPr>
      <w:rPr>
        <w:rFonts w:hint="default"/>
        <w:lang w:val="en-US" w:eastAsia="en-US" w:bidi="ar-SA"/>
      </w:rPr>
    </w:lvl>
    <w:lvl w:ilvl="2" w:tplc="67685DA8">
      <w:numFmt w:val="bullet"/>
      <w:lvlText w:val="•"/>
      <w:lvlJc w:val="left"/>
      <w:pPr>
        <w:ind w:left="2457" w:hanging="360"/>
      </w:pPr>
      <w:rPr>
        <w:rFonts w:hint="default"/>
        <w:lang w:val="en-US" w:eastAsia="en-US" w:bidi="ar-SA"/>
      </w:rPr>
    </w:lvl>
    <w:lvl w:ilvl="3" w:tplc="8A8A3FB8">
      <w:numFmt w:val="bullet"/>
      <w:lvlText w:val="•"/>
      <w:lvlJc w:val="left"/>
      <w:pPr>
        <w:ind w:left="3276" w:hanging="360"/>
      </w:pPr>
      <w:rPr>
        <w:rFonts w:hint="default"/>
        <w:lang w:val="en-US" w:eastAsia="en-US" w:bidi="ar-SA"/>
      </w:rPr>
    </w:lvl>
    <w:lvl w:ilvl="4" w:tplc="F064C80A">
      <w:numFmt w:val="bullet"/>
      <w:lvlText w:val="•"/>
      <w:lvlJc w:val="left"/>
      <w:pPr>
        <w:ind w:left="4095" w:hanging="360"/>
      </w:pPr>
      <w:rPr>
        <w:rFonts w:hint="default"/>
        <w:lang w:val="en-US" w:eastAsia="en-US" w:bidi="ar-SA"/>
      </w:rPr>
    </w:lvl>
    <w:lvl w:ilvl="5" w:tplc="B49426EE">
      <w:numFmt w:val="bullet"/>
      <w:lvlText w:val="•"/>
      <w:lvlJc w:val="left"/>
      <w:pPr>
        <w:ind w:left="4914" w:hanging="360"/>
      </w:pPr>
      <w:rPr>
        <w:rFonts w:hint="default"/>
        <w:lang w:val="en-US" w:eastAsia="en-US" w:bidi="ar-SA"/>
      </w:rPr>
    </w:lvl>
    <w:lvl w:ilvl="6" w:tplc="C660C3AA">
      <w:numFmt w:val="bullet"/>
      <w:lvlText w:val="•"/>
      <w:lvlJc w:val="left"/>
      <w:pPr>
        <w:ind w:left="5732" w:hanging="360"/>
      </w:pPr>
      <w:rPr>
        <w:rFonts w:hint="default"/>
        <w:lang w:val="en-US" w:eastAsia="en-US" w:bidi="ar-SA"/>
      </w:rPr>
    </w:lvl>
    <w:lvl w:ilvl="7" w:tplc="E0246A3E">
      <w:numFmt w:val="bullet"/>
      <w:lvlText w:val="•"/>
      <w:lvlJc w:val="left"/>
      <w:pPr>
        <w:ind w:left="6551" w:hanging="360"/>
      </w:pPr>
      <w:rPr>
        <w:rFonts w:hint="default"/>
        <w:lang w:val="en-US" w:eastAsia="en-US" w:bidi="ar-SA"/>
      </w:rPr>
    </w:lvl>
    <w:lvl w:ilvl="8" w:tplc="4ABC608A">
      <w:numFmt w:val="bullet"/>
      <w:lvlText w:val="•"/>
      <w:lvlJc w:val="left"/>
      <w:pPr>
        <w:ind w:left="7370" w:hanging="360"/>
      </w:pPr>
      <w:rPr>
        <w:rFonts w:hint="default"/>
        <w:lang w:val="en-US" w:eastAsia="en-US" w:bidi="ar-SA"/>
      </w:rPr>
    </w:lvl>
  </w:abstractNum>
  <w:abstractNum w:abstractNumId="28" w15:restartNumberingAfterBreak="0">
    <w:nsid w:val="5F811073"/>
    <w:multiLevelType w:val="hybridMultilevel"/>
    <w:tmpl w:val="9BC41C50"/>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9" w15:restartNumberingAfterBreak="0">
    <w:nsid w:val="608055B2"/>
    <w:multiLevelType w:val="multilevel"/>
    <w:tmpl w:val="A478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41BE2"/>
    <w:multiLevelType w:val="hybridMultilevel"/>
    <w:tmpl w:val="E3107404"/>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31" w15:restartNumberingAfterBreak="0">
    <w:nsid w:val="65495CCA"/>
    <w:multiLevelType w:val="hybridMultilevel"/>
    <w:tmpl w:val="D69228CA"/>
    <w:lvl w:ilvl="0" w:tplc="4266A68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E146D30">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2" w:tplc="3A6836E4">
      <w:numFmt w:val="bullet"/>
      <w:lvlText w:val="•"/>
      <w:lvlJc w:val="left"/>
      <w:pPr>
        <w:ind w:left="2369" w:hanging="360"/>
      </w:pPr>
      <w:rPr>
        <w:rFonts w:hint="default"/>
        <w:lang w:val="en-US" w:eastAsia="en-US" w:bidi="ar-SA"/>
      </w:rPr>
    </w:lvl>
    <w:lvl w:ilvl="3" w:tplc="582AC372">
      <w:numFmt w:val="bullet"/>
      <w:lvlText w:val="•"/>
      <w:lvlJc w:val="left"/>
      <w:pPr>
        <w:ind w:left="3199" w:hanging="360"/>
      </w:pPr>
      <w:rPr>
        <w:rFonts w:hint="default"/>
        <w:lang w:val="en-US" w:eastAsia="en-US" w:bidi="ar-SA"/>
      </w:rPr>
    </w:lvl>
    <w:lvl w:ilvl="4" w:tplc="8C342974">
      <w:numFmt w:val="bullet"/>
      <w:lvlText w:val="•"/>
      <w:lvlJc w:val="left"/>
      <w:pPr>
        <w:ind w:left="4029" w:hanging="360"/>
      </w:pPr>
      <w:rPr>
        <w:rFonts w:hint="default"/>
        <w:lang w:val="en-US" w:eastAsia="en-US" w:bidi="ar-SA"/>
      </w:rPr>
    </w:lvl>
    <w:lvl w:ilvl="5" w:tplc="D3C846E8">
      <w:numFmt w:val="bullet"/>
      <w:lvlText w:val="•"/>
      <w:lvlJc w:val="left"/>
      <w:pPr>
        <w:ind w:left="4859" w:hanging="360"/>
      </w:pPr>
      <w:rPr>
        <w:rFonts w:hint="default"/>
        <w:lang w:val="en-US" w:eastAsia="en-US" w:bidi="ar-SA"/>
      </w:rPr>
    </w:lvl>
    <w:lvl w:ilvl="6" w:tplc="8C3C639A">
      <w:numFmt w:val="bullet"/>
      <w:lvlText w:val="•"/>
      <w:lvlJc w:val="left"/>
      <w:pPr>
        <w:ind w:left="5688" w:hanging="360"/>
      </w:pPr>
      <w:rPr>
        <w:rFonts w:hint="default"/>
        <w:lang w:val="en-US" w:eastAsia="en-US" w:bidi="ar-SA"/>
      </w:rPr>
    </w:lvl>
    <w:lvl w:ilvl="7" w:tplc="984C1B74">
      <w:numFmt w:val="bullet"/>
      <w:lvlText w:val="•"/>
      <w:lvlJc w:val="left"/>
      <w:pPr>
        <w:ind w:left="6518" w:hanging="360"/>
      </w:pPr>
      <w:rPr>
        <w:rFonts w:hint="default"/>
        <w:lang w:val="en-US" w:eastAsia="en-US" w:bidi="ar-SA"/>
      </w:rPr>
    </w:lvl>
    <w:lvl w:ilvl="8" w:tplc="A3B6FCB0">
      <w:numFmt w:val="bullet"/>
      <w:lvlText w:val="•"/>
      <w:lvlJc w:val="left"/>
      <w:pPr>
        <w:ind w:left="7348" w:hanging="360"/>
      </w:pPr>
      <w:rPr>
        <w:rFonts w:hint="default"/>
        <w:lang w:val="en-US" w:eastAsia="en-US" w:bidi="ar-SA"/>
      </w:rPr>
    </w:lvl>
  </w:abstractNum>
  <w:abstractNum w:abstractNumId="32" w15:restartNumberingAfterBreak="0">
    <w:nsid w:val="6D0354FB"/>
    <w:multiLevelType w:val="hybridMultilevel"/>
    <w:tmpl w:val="79148B2C"/>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3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9"/>
  </w:num>
  <w:num w:numId="6" w16cid:durableId="120733662">
    <w:abstractNumId w:val="2"/>
  </w:num>
  <w:num w:numId="7" w16cid:durableId="2022584168">
    <w:abstractNumId w:val="1"/>
  </w:num>
  <w:num w:numId="8" w16cid:durableId="534267804">
    <w:abstractNumId w:val="0"/>
  </w:num>
  <w:num w:numId="9" w16cid:durableId="1265042610">
    <w:abstractNumId w:val="18"/>
  </w:num>
  <w:num w:numId="10" w16cid:durableId="1943879001">
    <w:abstractNumId w:val="8"/>
  </w:num>
  <w:num w:numId="11" w16cid:durableId="419833051">
    <w:abstractNumId w:val="33"/>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1"/>
  </w:num>
  <w:num w:numId="15" w16cid:durableId="928125744">
    <w:abstractNumId w:val="6"/>
  </w:num>
  <w:num w:numId="16" w16cid:durableId="1172835113">
    <w:abstractNumId w:val="34"/>
  </w:num>
  <w:num w:numId="17" w16cid:durableId="1022434231">
    <w:abstractNumId w:val="21"/>
  </w:num>
  <w:num w:numId="18" w16cid:durableId="618417265">
    <w:abstractNumId w:val="10"/>
  </w:num>
  <w:num w:numId="19" w16cid:durableId="271010807">
    <w:abstractNumId w:val="26"/>
  </w:num>
  <w:num w:numId="20" w16cid:durableId="445973268">
    <w:abstractNumId w:val="31"/>
  </w:num>
  <w:num w:numId="21" w16cid:durableId="112215485">
    <w:abstractNumId w:val="27"/>
  </w:num>
  <w:num w:numId="22" w16cid:durableId="508175098">
    <w:abstractNumId w:val="17"/>
  </w:num>
  <w:num w:numId="23" w16cid:durableId="1147822305">
    <w:abstractNumId w:val="30"/>
  </w:num>
  <w:num w:numId="24" w16cid:durableId="91824596">
    <w:abstractNumId w:val="32"/>
  </w:num>
  <w:num w:numId="25" w16cid:durableId="1085422571">
    <w:abstractNumId w:val="12"/>
  </w:num>
  <w:num w:numId="26" w16cid:durableId="1061290517">
    <w:abstractNumId w:val="7"/>
  </w:num>
  <w:num w:numId="27" w16cid:durableId="736248187">
    <w:abstractNumId w:val="16"/>
  </w:num>
  <w:num w:numId="28" w16cid:durableId="1256134791">
    <w:abstractNumId w:val="15"/>
  </w:num>
  <w:num w:numId="29" w16cid:durableId="1317764010">
    <w:abstractNumId w:val="9"/>
  </w:num>
  <w:num w:numId="30" w16cid:durableId="182402817">
    <w:abstractNumId w:val="23"/>
  </w:num>
  <w:num w:numId="31" w16cid:durableId="861868888">
    <w:abstractNumId w:val="29"/>
  </w:num>
  <w:num w:numId="32" w16cid:durableId="1186291871">
    <w:abstractNumId w:val="22"/>
  </w:num>
  <w:num w:numId="33" w16cid:durableId="1502349607">
    <w:abstractNumId w:val="24"/>
  </w:num>
  <w:num w:numId="34" w16cid:durableId="1586453290">
    <w:abstractNumId w:val="25"/>
  </w:num>
  <w:num w:numId="35" w16cid:durableId="2018270975">
    <w:abstractNumId w:val="20"/>
  </w:num>
  <w:num w:numId="36" w16cid:durableId="5855012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7D8"/>
    <w:rsid w:val="00001194"/>
    <w:rsid w:val="00001E5B"/>
    <w:rsid w:val="00004C97"/>
    <w:rsid w:val="00007E3F"/>
    <w:rsid w:val="00012366"/>
    <w:rsid w:val="00021FBE"/>
    <w:rsid w:val="00045E1D"/>
    <w:rsid w:val="000521D7"/>
    <w:rsid w:val="00062ED7"/>
    <w:rsid w:val="0006310E"/>
    <w:rsid w:val="000664E8"/>
    <w:rsid w:val="000678D4"/>
    <w:rsid w:val="00071F90"/>
    <w:rsid w:val="00082651"/>
    <w:rsid w:val="0008465F"/>
    <w:rsid w:val="00090BC7"/>
    <w:rsid w:val="000923CE"/>
    <w:rsid w:val="00092471"/>
    <w:rsid w:val="000960CF"/>
    <w:rsid w:val="000A0806"/>
    <w:rsid w:val="000A0B58"/>
    <w:rsid w:val="000A3A19"/>
    <w:rsid w:val="000A4FD7"/>
    <w:rsid w:val="000A6228"/>
    <w:rsid w:val="000A7792"/>
    <w:rsid w:val="000B44AC"/>
    <w:rsid w:val="000B5D40"/>
    <w:rsid w:val="000B7EC6"/>
    <w:rsid w:val="000C69D6"/>
    <w:rsid w:val="000D3D06"/>
    <w:rsid w:val="000E0773"/>
    <w:rsid w:val="000E1FD7"/>
    <w:rsid w:val="000E325A"/>
    <w:rsid w:val="000E5FB8"/>
    <w:rsid w:val="000F30E4"/>
    <w:rsid w:val="000F527F"/>
    <w:rsid w:val="000F7C4C"/>
    <w:rsid w:val="00104344"/>
    <w:rsid w:val="00107D87"/>
    <w:rsid w:val="00107DD5"/>
    <w:rsid w:val="00110445"/>
    <w:rsid w:val="00111FB2"/>
    <w:rsid w:val="0012343A"/>
    <w:rsid w:val="0012741F"/>
    <w:rsid w:val="00130037"/>
    <w:rsid w:val="00132762"/>
    <w:rsid w:val="00133B8D"/>
    <w:rsid w:val="0013611E"/>
    <w:rsid w:val="001423D3"/>
    <w:rsid w:val="001515BF"/>
    <w:rsid w:val="001519E8"/>
    <w:rsid w:val="001536AA"/>
    <w:rsid w:val="0015549C"/>
    <w:rsid w:val="001566F4"/>
    <w:rsid w:val="00156F83"/>
    <w:rsid w:val="00162953"/>
    <w:rsid w:val="001657F0"/>
    <w:rsid w:val="001674DF"/>
    <w:rsid w:val="0017134D"/>
    <w:rsid w:val="00181C76"/>
    <w:rsid w:val="00195D3C"/>
    <w:rsid w:val="00196CDA"/>
    <w:rsid w:val="001B109C"/>
    <w:rsid w:val="001C1523"/>
    <w:rsid w:val="001D172A"/>
    <w:rsid w:val="001D5549"/>
    <w:rsid w:val="001E3BF1"/>
    <w:rsid w:val="001E6DBC"/>
    <w:rsid w:val="001F29CC"/>
    <w:rsid w:val="0020367B"/>
    <w:rsid w:val="002045E5"/>
    <w:rsid w:val="00205903"/>
    <w:rsid w:val="002154AD"/>
    <w:rsid w:val="0021592B"/>
    <w:rsid w:val="00217414"/>
    <w:rsid w:val="002207D9"/>
    <w:rsid w:val="00221D8F"/>
    <w:rsid w:val="002235D1"/>
    <w:rsid w:val="00223C60"/>
    <w:rsid w:val="00225452"/>
    <w:rsid w:val="00225DB9"/>
    <w:rsid w:val="002272DB"/>
    <w:rsid w:val="00235752"/>
    <w:rsid w:val="00241CF3"/>
    <w:rsid w:val="002476C7"/>
    <w:rsid w:val="0025085D"/>
    <w:rsid w:val="00250FBC"/>
    <w:rsid w:val="002510A9"/>
    <w:rsid w:val="00270C76"/>
    <w:rsid w:val="00276047"/>
    <w:rsid w:val="00276F53"/>
    <w:rsid w:val="002775F3"/>
    <w:rsid w:val="002834C7"/>
    <w:rsid w:val="00283BAC"/>
    <w:rsid w:val="002869A8"/>
    <w:rsid w:val="00293F7E"/>
    <w:rsid w:val="002952BF"/>
    <w:rsid w:val="0029618B"/>
    <w:rsid w:val="002966C0"/>
    <w:rsid w:val="00296D4E"/>
    <w:rsid w:val="00297831"/>
    <w:rsid w:val="002A4458"/>
    <w:rsid w:val="002C1F0F"/>
    <w:rsid w:val="002C5315"/>
    <w:rsid w:val="002C55A3"/>
    <w:rsid w:val="002D3EFA"/>
    <w:rsid w:val="002D589A"/>
    <w:rsid w:val="002D72B2"/>
    <w:rsid w:val="002D75E9"/>
    <w:rsid w:val="002E491A"/>
    <w:rsid w:val="002F4604"/>
    <w:rsid w:val="002F4FE9"/>
    <w:rsid w:val="002F5D59"/>
    <w:rsid w:val="00303ED2"/>
    <w:rsid w:val="00304890"/>
    <w:rsid w:val="00304FF0"/>
    <w:rsid w:val="00306AC4"/>
    <w:rsid w:val="00312433"/>
    <w:rsid w:val="00313605"/>
    <w:rsid w:val="00313CB9"/>
    <w:rsid w:val="00324005"/>
    <w:rsid w:val="00325873"/>
    <w:rsid w:val="00326099"/>
    <w:rsid w:val="00326934"/>
    <w:rsid w:val="00332A67"/>
    <w:rsid w:val="003406C2"/>
    <w:rsid w:val="0034564B"/>
    <w:rsid w:val="00346FFB"/>
    <w:rsid w:val="00347A45"/>
    <w:rsid w:val="00353F3E"/>
    <w:rsid w:val="003631A7"/>
    <w:rsid w:val="003633FD"/>
    <w:rsid w:val="003644A8"/>
    <w:rsid w:val="00382EBC"/>
    <w:rsid w:val="0038513C"/>
    <w:rsid w:val="00393801"/>
    <w:rsid w:val="003943DB"/>
    <w:rsid w:val="003A54CF"/>
    <w:rsid w:val="003A7A59"/>
    <w:rsid w:val="003B0399"/>
    <w:rsid w:val="003B49B2"/>
    <w:rsid w:val="003B625B"/>
    <w:rsid w:val="003B7359"/>
    <w:rsid w:val="003C0871"/>
    <w:rsid w:val="003C32A5"/>
    <w:rsid w:val="003C65DC"/>
    <w:rsid w:val="003D29F6"/>
    <w:rsid w:val="003D62BF"/>
    <w:rsid w:val="003E1341"/>
    <w:rsid w:val="003F345C"/>
    <w:rsid w:val="003F4943"/>
    <w:rsid w:val="0040155D"/>
    <w:rsid w:val="00414DA1"/>
    <w:rsid w:val="0041713E"/>
    <w:rsid w:val="00421D3F"/>
    <w:rsid w:val="004233B0"/>
    <w:rsid w:val="00423785"/>
    <w:rsid w:val="0042692C"/>
    <w:rsid w:val="00432D11"/>
    <w:rsid w:val="00434783"/>
    <w:rsid w:val="004354DC"/>
    <w:rsid w:val="0043715F"/>
    <w:rsid w:val="00444BBE"/>
    <w:rsid w:val="004516F8"/>
    <w:rsid w:val="00452D26"/>
    <w:rsid w:val="00454CAD"/>
    <w:rsid w:val="00455AC9"/>
    <w:rsid w:val="004564A5"/>
    <w:rsid w:val="00462848"/>
    <w:rsid w:val="00462FA1"/>
    <w:rsid w:val="00463568"/>
    <w:rsid w:val="0046369E"/>
    <w:rsid w:val="00472947"/>
    <w:rsid w:val="0049333E"/>
    <w:rsid w:val="004A06CD"/>
    <w:rsid w:val="004A2C5E"/>
    <w:rsid w:val="004A4B6F"/>
    <w:rsid w:val="004A4CF9"/>
    <w:rsid w:val="004B5B96"/>
    <w:rsid w:val="004B7242"/>
    <w:rsid w:val="004C28E0"/>
    <w:rsid w:val="004C6676"/>
    <w:rsid w:val="004C7FBC"/>
    <w:rsid w:val="004D2965"/>
    <w:rsid w:val="004D2D9D"/>
    <w:rsid w:val="004D609F"/>
    <w:rsid w:val="004E60E8"/>
    <w:rsid w:val="004E6C1C"/>
    <w:rsid w:val="004F46FD"/>
    <w:rsid w:val="004F4EAA"/>
    <w:rsid w:val="0050297F"/>
    <w:rsid w:val="005105CC"/>
    <w:rsid w:val="0051113C"/>
    <w:rsid w:val="00520BA6"/>
    <w:rsid w:val="0053129E"/>
    <w:rsid w:val="00533F17"/>
    <w:rsid w:val="00537574"/>
    <w:rsid w:val="00537A77"/>
    <w:rsid w:val="00541139"/>
    <w:rsid w:val="00547FB7"/>
    <w:rsid w:val="00555A9F"/>
    <w:rsid w:val="00560C23"/>
    <w:rsid w:val="00560F1F"/>
    <w:rsid w:val="00562B8C"/>
    <w:rsid w:val="005650B5"/>
    <w:rsid w:val="005658C2"/>
    <w:rsid w:val="0057028F"/>
    <w:rsid w:val="00581572"/>
    <w:rsid w:val="0058217A"/>
    <w:rsid w:val="00591F57"/>
    <w:rsid w:val="00593BB1"/>
    <w:rsid w:val="005964C1"/>
    <w:rsid w:val="00596EB1"/>
    <w:rsid w:val="005A309A"/>
    <w:rsid w:val="005A75C9"/>
    <w:rsid w:val="005B187D"/>
    <w:rsid w:val="005B1ACE"/>
    <w:rsid w:val="005B23EA"/>
    <w:rsid w:val="005C6B89"/>
    <w:rsid w:val="005D0784"/>
    <w:rsid w:val="005E0418"/>
    <w:rsid w:val="005E0CEC"/>
    <w:rsid w:val="005E2168"/>
    <w:rsid w:val="005F015E"/>
    <w:rsid w:val="005F2851"/>
    <w:rsid w:val="005F35D6"/>
    <w:rsid w:val="005F36D0"/>
    <w:rsid w:val="00601E7C"/>
    <w:rsid w:val="00603688"/>
    <w:rsid w:val="00606996"/>
    <w:rsid w:val="006232DC"/>
    <w:rsid w:val="00626DFF"/>
    <w:rsid w:val="0063094F"/>
    <w:rsid w:val="006321B4"/>
    <w:rsid w:val="00637A68"/>
    <w:rsid w:val="0064409D"/>
    <w:rsid w:val="0065194B"/>
    <w:rsid w:val="00651C5B"/>
    <w:rsid w:val="00652A0C"/>
    <w:rsid w:val="00655AD9"/>
    <w:rsid w:val="00660500"/>
    <w:rsid w:val="006669B7"/>
    <w:rsid w:val="00676009"/>
    <w:rsid w:val="00680A41"/>
    <w:rsid w:val="00687340"/>
    <w:rsid w:val="0068756F"/>
    <w:rsid w:val="006875DE"/>
    <w:rsid w:val="0069090E"/>
    <w:rsid w:val="00693992"/>
    <w:rsid w:val="006940D4"/>
    <w:rsid w:val="006954A2"/>
    <w:rsid w:val="006B1C9E"/>
    <w:rsid w:val="006B2B77"/>
    <w:rsid w:val="006B5115"/>
    <w:rsid w:val="006C1BBB"/>
    <w:rsid w:val="006C1C29"/>
    <w:rsid w:val="006C4126"/>
    <w:rsid w:val="006C5342"/>
    <w:rsid w:val="006C7DE4"/>
    <w:rsid w:val="006D67F3"/>
    <w:rsid w:val="006D7ACB"/>
    <w:rsid w:val="006E2F00"/>
    <w:rsid w:val="006E6078"/>
    <w:rsid w:val="006F1FFF"/>
    <w:rsid w:val="006F2406"/>
    <w:rsid w:val="006F2D52"/>
    <w:rsid w:val="006F6D10"/>
    <w:rsid w:val="007009DD"/>
    <w:rsid w:val="00706E3E"/>
    <w:rsid w:val="007127CE"/>
    <w:rsid w:val="00712B94"/>
    <w:rsid w:val="00717352"/>
    <w:rsid w:val="00732150"/>
    <w:rsid w:val="00743EAE"/>
    <w:rsid w:val="00745554"/>
    <w:rsid w:val="007517BA"/>
    <w:rsid w:val="00751BD8"/>
    <w:rsid w:val="00764BBE"/>
    <w:rsid w:val="0077782B"/>
    <w:rsid w:val="0078184B"/>
    <w:rsid w:val="00781ECE"/>
    <w:rsid w:val="00782202"/>
    <w:rsid w:val="0078280E"/>
    <w:rsid w:val="00782CEE"/>
    <w:rsid w:val="00792120"/>
    <w:rsid w:val="00796E23"/>
    <w:rsid w:val="00797725"/>
    <w:rsid w:val="007A28FC"/>
    <w:rsid w:val="007A314D"/>
    <w:rsid w:val="007A6427"/>
    <w:rsid w:val="007A77EC"/>
    <w:rsid w:val="007B1279"/>
    <w:rsid w:val="007B2CA1"/>
    <w:rsid w:val="007B3143"/>
    <w:rsid w:val="007B58B2"/>
    <w:rsid w:val="007C11A8"/>
    <w:rsid w:val="007D0ABC"/>
    <w:rsid w:val="007D2D51"/>
    <w:rsid w:val="007D38EE"/>
    <w:rsid w:val="007E1D68"/>
    <w:rsid w:val="008034C4"/>
    <w:rsid w:val="008042F5"/>
    <w:rsid w:val="00806EFF"/>
    <w:rsid w:val="00810CCA"/>
    <w:rsid w:val="00815000"/>
    <w:rsid w:val="0082283A"/>
    <w:rsid w:val="00827D6B"/>
    <w:rsid w:val="00833718"/>
    <w:rsid w:val="00834ADF"/>
    <w:rsid w:val="00834D31"/>
    <w:rsid w:val="00834F07"/>
    <w:rsid w:val="0085046F"/>
    <w:rsid w:val="00851395"/>
    <w:rsid w:val="00862186"/>
    <w:rsid w:val="00862315"/>
    <w:rsid w:val="0086428D"/>
    <w:rsid w:val="00874E6C"/>
    <w:rsid w:val="00880AA4"/>
    <w:rsid w:val="00884261"/>
    <w:rsid w:val="008867E6"/>
    <w:rsid w:val="00886959"/>
    <w:rsid w:val="00893A34"/>
    <w:rsid w:val="008944C5"/>
    <w:rsid w:val="008A36E1"/>
    <w:rsid w:val="008A37A7"/>
    <w:rsid w:val="008A3BE7"/>
    <w:rsid w:val="008A4C84"/>
    <w:rsid w:val="008A64E0"/>
    <w:rsid w:val="008A7AB4"/>
    <w:rsid w:val="008B0736"/>
    <w:rsid w:val="008B0BE4"/>
    <w:rsid w:val="008B122A"/>
    <w:rsid w:val="008B4D4C"/>
    <w:rsid w:val="008B67B2"/>
    <w:rsid w:val="008C0065"/>
    <w:rsid w:val="008C1F5A"/>
    <w:rsid w:val="008C7787"/>
    <w:rsid w:val="008D4FA9"/>
    <w:rsid w:val="008F2765"/>
    <w:rsid w:val="008F76BD"/>
    <w:rsid w:val="008F7773"/>
    <w:rsid w:val="009006E0"/>
    <w:rsid w:val="00905270"/>
    <w:rsid w:val="00907EBF"/>
    <w:rsid w:val="00913D0F"/>
    <w:rsid w:val="00917D72"/>
    <w:rsid w:val="00922F6B"/>
    <w:rsid w:val="009236F4"/>
    <w:rsid w:val="00924323"/>
    <w:rsid w:val="00925D3B"/>
    <w:rsid w:val="009263B1"/>
    <w:rsid w:val="00930FC5"/>
    <w:rsid w:val="009354D0"/>
    <w:rsid w:val="00936F35"/>
    <w:rsid w:val="00941458"/>
    <w:rsid w:val="00945473"/>
    <w:rsid w:val="00950B06"/>
    <w:rsid w:val="009524DE"/>
    <w:rsid w:val="00953C3D"/>
    <w:rsid w:val="00963DE0"/>
    <w:rsid w:val="00970069"/>
    <w:rsid w:val="00971E2A"/>
    <w:rsid w:val="009721EB"/>
    <w:rsid w:val="00973CBC"/>
    <w:rsid w:val="009741FE"/>
    <w:rsid w:val="009769D1"/>
    <w:rsid w:val="0097733C"/>
    <w:rsid w:val="0098071A"/>
    <w:rsid w:val="00980B05"/>
    <w:rsid w:val="00981487"/>
    <w:rsid w:val="0098497C"/>
    <w:rsid w:val="00986419"/>
    <w:rsid w:val="009874A6"/>
    <w:rsid w:val="00994D60"/>
    <w:rsid w:val="009978EE"/>
    <w:rsid w:val="009A08CE"/>
    <w:rsid w:val="009B21B0"/>
    <w:rsid w:val="009B706E"/>
    <w:rsid w:val="009C168D"/>
    <w:rsid w:val="009C1E72"/>
    <w:rsid w:val="009C2554"/>
    <w:rsid w:val="009C423A"/>
    <w:rsid w:val="009C42BA"/>
    <w:rsid w:val="009D247A"/>
    <w:rsid w:val="009D39F8"/>
    <w:rsid w:val="009D7685"/>
    <w:rsid w:val="009E0189"/>
    <w:rsid w:val="009E79ED"/>
    <w:rsid w:val="009F2D77"/>
    <w:rsid w:val="009F3FED"/>
    <w:rsid w:val="009F611F"/>
    <w:rsid w:val="00A04F15"/>
    <w:rsid w:val="00A06EA4"/>
    <w:rsid w:val="00A07596"/>
    <w:rsid w:val="00A111D9"/>
    <w:rsid w:val="00A14DDD"/>
    <w:rsid w:val="00A176D2"/>
    <w:rsid w:val="00A17A08"/>
    <w:rsid w:val="00A2072C"/>
    <w:rsid w:val="00A23B04"/>
    <w:rsid w:val="00A2563B"/>
    <w:rsid w:val="00A261C2"/>
    <w:rsid w:val="00A314D3"/>
    <w:rsid w:val="00A31CF1"/>
    <w:rsid w:val="00A3231A"/>
    <w:rsid w:val="00A32E65"/>
    <w:rsid w:val="00A43C58"/>
    <w:rsid w:val="00A4541C"/>
    <w:rsid w:val="00A46129"/>
    <w:rsid w:val="00A47A1F"/>
    <w:rsid w:val="00A5565F"/>
    <w:rsid w:val="00A60673"/>
    <w:rsid w:val="00A61743"/>
    <w:rsid w:val="00A6368B"/>
    <w:rsid w:val="00A65D92"/>
    <w:rsid w:val="00A818DE"/>
    <w:rsid w:val="00AA613C"/>
    <w:rsid w:val="00AB2A61"/>
    <w:rsid w:val="00AC1872"/>
    <w:rsid w:val="00AC21EE"/>
    <w:rsid w:val="00AC6A7F"/>
    <w:rsid w:val="00AD13D0"/>
    <w:rsid w:val="00AD631F"/>
    <w:rsid w:val="00AE120A"/>
    <w:rsid w:val="00AE21FF"/>
    <w:rsid w:val="00AE2E1E"/>
    <w:rsid w:val="00AE65A5"/>
    <w:rsid w:val="00AE684B"/>
    <w:rsid w:val="00AF1F18"/>
    <w:rsid w:val="00B04FA8"/>
    <w:rsid w:val="00B0726E"/>
    <w:rsid w:val="00B11BCB"/>
    <w:rsid w:val="00B11C94"/>
    <w:rsid w:val="00B14878"/>
    <w:rsid w:val="00B20FCB"/>
    <w:rsid w:val="00B219D1"/>
    <w:rsid w:val="00B2245B"/>
    <w:rsid w:val="00B22BAF"/>
    <w:rsid w:val="00B22CDC"/>
    <w:rsid w:val="00B311E4"/>
    <w:rsid w:val="00B37F99"/>
    <w:rsid w:val="00B40AD6"/>
    <w:rsid w:val="00B41DED"/>
    <w:rsid w:val="00B47B30"/>
    <w:rsid w:val="00B54AC4"/>
    <w:rsid w:val="00B64B3D"/>
    <w:rsid w:val="00B72125"/>
    <w:rsid w:val="00B727BB"/>
    <w:rsid w:val="00B77302"/>
    <w:rsid w:val="00B807A3"/>
    <w:rsid w:val="00B81FA4"/>
    <w:rsid w:val="00B822F4"/>
    <w:rsid w:val="00B8475C"/>
    <w:rsid w:val="00B86B59"/>
    <w:rsid w:val="00B8794C"/>
    <w:rsid w:val="00B95EF4"/>
    <w:rsid w:val="00B971F2"/>
    <w:rsid w:val="00BA01B4"/>
    <w:rsid w:val="00BA0D93"/>
    <w:rsid w:val="00BB3A35"/>
    <w:rsid w:val="00BB6509"/>
    <w:rsid w:val="00BC248C"/>
    <w:rsid w:val="00BC379E"/>
    <w:rsid w:val="00BC47FD"/>
    <w:rsid w:val="00BC7C79"/>
    <w:rsid w:val="00BC7DCC"/>
    <w:rsid w:val="00BE2C76"/>
    <w:rsid w:val="00C01801"/>
    <w:rsid w:val="00C01EC0"/>
    <w:rsid w:val="00C101D8"/>
    <w:rsid w:val="00C12054"/>
    <w:rsid w:val="00C16B40"/>
    <w:rsid w:val="00C20319"/>
    <w:rsid w:val="00C212D2"/>
    <w:rsid w:val="00C2166C"/>
    <w:rsid w:val="00C2270F"/>
    <w:rsid w:val="00C244EE"/>
    <w:rsid w:val="00C24CD0"/>
    <w:rsid w:val="00C2716C"/>
    <w:rsid w:val="00C319A4"/>
    <w:rsid w:val="00C32AE5"/>
    <w:rsid w:val="00C342F9"/>
    <w:rsid w:val="00C350EB"/>
    <w:rsid w:val="00C40BF3"/>
    <w:rsid w:val="00C47F26"/>
    <w:rsid w:val="00C500D8"/>
    <w:rsid w:val="00C5066D"/>
    <w:rsid w:val="00C509B3"/>
    <w:rsid w:val="00C50BF7"/>
    <w:rsid w:val="00C52B57"/>
    <w:rsid w:val="00C64FAA"/>
    <w:rsid w:val="00C701FC"/>
    <w:rsid w:val="00C72224"/>
    <w:rsid w:val="00C75706"/>
    <w:rsid w:val="00C9369A"/>
    <w:rsid w:val="00C97BE7"/>
    <w:rsid w:val="00CA0184"/>
    <w:rsid w:val="00CA4815"/>
    <w:rsid w:val="00CA759A"/>
    <w:rsid w:val="00CC1725"/>
    <w:rsid w:val="00CC6040"/>
    <w:rsid w:val="00CD6F70"/>
    <w:rsid w:val="00CF5A36"/>
    <w:rsid w:val="00CF6562"/>
    <w:rsid w:val="00D13295"/>
    <w:rsid w:val="00D22F93"/>
    <w:rsid w:val="00D23ABC"/>
    <w:rsid w:val="00D30BFA"/>
    <w:rsid w:val="00D418F7"/>
    <w:rsid w:val="00D526F3"/>
    <w:rsid w:val="00D5688A"/>
    <w:rsid w:val="00D62789"/>
    <w:rsid w:val="00D64412"/>
    <w:rsid w:val="00D65E8B"/>
    <w:rsid w:val="00D70290"/>
    <w:rsid w:val="00D719BD"/>
    <w:rsid w:val="00D7451F"/>
    <w:rsid w:val="00D7558A"/>
    <w:rsid w:val="00D82BFE"/>
    <w:rsid w:val="00D84A45"/>
    <w:rsid w:val="00D86284"/>
    <w:rsid w:val="00D8656A"/>
    <w:rsid w:val="00D87E55"/>
    <w:rsid w:val="00D97DC7"/>
    <w:rsid w:val="00DB2992"/>
    <w:rsid w:val="00DB357C"/>
    <w:rsid w:val="00DB5C11"/>
    <w:rsid w:val="00DC5980"/>
    <w:rsid w:val="00DC5A6B"/>
    <w:rsid w:val="00DC6C7E"/>
    <w:rsid w:val="00DD2B46"/>
    <w:rsid w:val="00DD3400"/>
    <w:rsid w:val="00DD3642"/>
    <w:rsid w:val="00DD5C00"/>
    <w:rsid w:val="00DD5CB8"/>
    <w:rsid w:val="00DD7403"/>
    <w:rsid w:val="00DE715D"/>
    <w:rsid w:val="00DF3F63"/>
    <w:rsid w:val="00DF46F1"/>
    <w:rsid w:val="00DF486F"/>
    <w:rsid w:val="00DF6E80"/>
    <w:rsid w:val="00E01CDC"/>
    <w:rsid w:val="00E06ED6"/>
    <w:rsid w:val="00E0752E"/>
    <w:rsid w:val="00E114B4"/>
    <w:rsid w:val="00E22FF0"/>
    <w:rsid w:val="00E23A95"/>
    <w:rsid w:val="00E24202"/>
    <w:rsid w:val="00E30B4D"/>
    <w:rsid w:val="00E35397"/>
    <w:rsid w:val="00E40204"/>
    <w:rsid w:val="00E529E5"/>
    <w:rsid w:val="00E55C8C"/>
    <w:rsid w:val="00E6460A"/>
    <w:rsid w:val="00E925EA"/>
    <w:rsid w:val="00E95BB7"/>
    <w:rsid w:val="00EB09AC"/>
    <w:rsid w:val="00EB0D01"/>
    <w:rsid w:val="00EB1121"/>
    <w:rsid w:val="00EB2504"/>
    <w:rsid w:val="00EB4C2F"/>
    <w:rsid w:val="00EB7D8F"/>
    <w:rsid w:val="00ED0DDF"/>
    <w:rsid w:val="00ED3D2C"/>
    <w:rsid w:val="00ED5DCB"/>
    <w:rsid w:val="00EE2E52"/>
    <w:rsid w:val="00EE3829"/>
    <w:rsid w:val="00EF1BD3"/>
    <w:rsid w:val="00EF1F7F"/>
    <w:rsid w:val="00EF5C61"/>
    <w:rsid w:val="00EF6BCF"/>
    <w:rsid w:val="00EF71B9"/>
    <w:rsid w:val="00F0349B"/>
    <w:rsid w:val="00F03890"/>
    <w:rsid w:val="00F07246"/>
    <w:rsid w:val="00F1000D"/>
    <w:rsid w:val="00F11041"/>
    <w:rsid w:val="00F1188E"/>
    <w:rsid w:val="00F11A95"/>
    <w:rsid w:val="00F12AB8"/>
    <w:rsid w:val="00F15EA6"/>
    <w:rsid w:val="00F165D1"/>
    <w:rsid w:val="00F17F1D"/>
    <w:rsid w:val="00F30BFA"/>
    <w:rsid w:val="00F311A4"/>
    <w:rsid w:val="00F31763"/>
    <w:rsid w:val="00F31ACC"/>
    <w:rsid w:val="00F37CB5"/>
    <w:rsid w:val="00F60B66"/>
    <w:rsid w:val="00F612E1"/>
    <w:rsid w:val="00F8016B"/>
    <w:rsid w:val="00F82C2C"/>
    <w:rsid w:val="00F85913"/>
    <w:rsid w:val="00F86B2B"/>
    <w:rsid w:val="00F929AE"/>
    <w:rsid w:val="00F9380E"/>
    <w:rsid w:val="00F96BC4"/>
    <w:rsid w:val="00FA65AD"/>
    <w:rsid w:val="00FA7392"/>
    <w:rsid w:val="00FB3D7C"/>
    <w:rsid w:val="00FB5773"/>
    <w:rsid w:val="00FB7809"/>
    <w:rsid w:val="00FC2B31"/>
    <w:rsid w:val="00FC5C3D"/>
    <w:rsid w:val="00FD13D1"/>
    <w:rsid w:val="00FD1907"/>
    <w:rsid w:val="00FD4D6E"/>
    <w:rsid w:val="00FD60D2"/>
    <w:rsid w:val="00FD6383"/>
    <w:rsid w:val="00FD7A94"/>
    <w:rsid w:val="00FF5BC8"/>
    <w:rsid w:val="00FF65B9"/>
    <w:rsid w:val="00FF7D7A"/>
    <w:rsid w:val="01C4EE57"/>
    <w:rsid w:val="0228D678"/>
    <w:rsid w:val="032F65BD"/>
    <w:rsid w:val="057E75CB"/>
    <w:rsid w:val="0963E62C"/>
    <w:rsid w:val="0B2EB4D8"/>
    <w:rsid w:val="0F01EBF4"/>
    <w:rsid w:val="0F5C2548"/>
    <w:rsid w:val="1670F4F4"/>
    <w:rsid w:val="1845426A"/>
    <w:rsid w:val="1A2D2FBB"/>
    <w:rsid w:val="1AA9F98A"/>
    <w:rsid w:val="1EE5AAE8"/>
    <w:rsid w:val="2213ACEC"/>
    <w:rsid w:val="24B90A3E"/>
    <w:rsid w:val="2FA019AD"/>
    <w:rsid w:val="31609DB1"/>
    <w:rsid w:val="341DDF3D"/>
    <w:rsid w:val="34524EA5"/>
    <w:rsid w:val="37E589BE"/>
    <w:rsid w:val="3A98FC30"/>
    <w:rsid w:val="3FC7945A"/>
    <w:rsid w:val="4731561E"/>
    <w:rsid w:val="49BC7F0E"/>
    <w:rsid w:val="4D965649"/>
    <w:rsid w:val="4F4B0359"/>
    <w:rsid w:val="6087D25B"/>
    <w:rsid w:val="615883FB"/>
    <w:rsid w:val="62E47E4A"/>
    <w:rsid w:val="65693BD4"/>
    <w:rsid w:val="6BBB6034"/>
    <w:rsid w:val="6DCF43EC"/>
    <w:rsid w:val="78A32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5B11089F-67F8-4EE9-840E-85047F4C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customStyle="1" w:styleId="TableParagraph">
    <w:name w:val="Table Paragraph"/>
    <w:basedOn w:val="Normal"/>
    <w:uiPriority w:val="1"/>
    <w:qFormat/>
    <w:rsid w:val="00FF7D7A"/>
    <w:pPr>
      <w:widowControl w:val="0"/>
      <w:autoSpaceDE w:val="0"/>
      <w:autoSpaceDN w:val="0"/>
      <w:spacing w:after="0" w:line="240" w:lineRule="auto"/>
      <w:ind w:left="107"/>
    </w:pPr>
    <w:rPr>
      <w:rFonts w:ascii="Calibri" w:eastAsia="Calibri" w:hAnsi="Calibri" w:cs="Calibri"/>
      <w:lang w:val="en-US"/>
    </w:rPr>
  </w:style>
  <w:style w:type="paragraph" w:styleId="ListParagraph">
    <w:name w:val="List Paragraph"/>
    <w:aliases w:val="Level 2,Bullet point,List Paragraph1,List Paragraph11,Recommendation,List Paragraph Number,L,Bullet Point,List Bullet 1,Body Bullets 1,Bulleted Para,NFP GP Bulleted List,bullet point list,Bullet points,Content descriptions,List Paragraph2"/>
    <w:basedOn w:val="Normal"/>
    <w:link w:val="ListParagraphChar"/>
    <w:uiPriority w:val="34"/>
    <w:qFormat/>
    <w:rsid w:val="00D97DC7"/>
    <w:pPr>
      <w:spacing w:after="170" w:line="240" w:lineRule="atLeast"/>
      <w:ind w:left="720"/>
      <w:contextualSpacing/>
    </w:pPr>
    <w:rPr>
      <w:rFonts w:ascii="Calibri" w:hAnsi="Calibri"/>
      <w:szCs w:val="18"/>
    </w:rPr>
  </w:style>
  <w:style w:type="character" w:customStyle="1" w:styleId="ListParagraphChar">
    <w:name w:val="List Paragraph Char"/>
    <w:aliases w:val="Level 2 Char,Bullet point Char,List Paragraph1 Char,List Paragraph11 Char,Recommendation Char,List Paragraph Number Char,L Char,Bullet Point Char,List Bullet 1 Char,Body Bullets 1 Char,Bulleted Para Char,NFP GP Bulleted List Char"/>
    <w:basedOn w:val="DefaultParagraphFont"/>
    <w:link w:val="ListParagraph"/>
    <w:uiPriority w:val="34"/>
    <w:qFormat/>
    <w:rsid w:val="00D97DC7"/>
    <w:rPr>
      <w:rFonts w:ascii="Calibri" w:hAnsi="Calibr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4093">
      <w:bodyDiv w:val="1"/>
      <w:marLeft w:val="0"/>
      <w:marRight w:val="0"/>
      <w:marTop w:val="0"/>
      <w:marBottom w:val="0"/>
      <w:divBdr>
        <w:top w:val="none" w:sz="0" w:space="0" w:color="auto"/>
        <w:left w:val="none" w:sz="0" w:space="0" w:color="auto"/>
        <w:bottom w:val="none" w:sz="0" w:space="0" w:color="auto"/>
        <w:right w:val="none" w:sz="0" w:space="0" w:color="auto"/>
      </w:divBdr>
    </w:div>
    <w:div w:id="166797889">
      <w:bodyDiv w:val="1"/>
      <w:marLeft w:val="0"/>
      <w:marRight w:val="0"/>
      <w:marTop w:val="0"/>
      <w:marBottom w:val="0"/>
      <w:divBdr>
        <w:top w:val="none" w:sz="0" w:space="0" w:color="auto"/>
        <w:left w:val="none" w:sz="0" w:space="0" w:color="auto"/>
        <w:bottom w:val="none" w:sz="0" w:space="0" w:color="auto"/>
        <w:right w:val="none" w:sz="0" w:space="0" w:color="auto"/>
      </w:divBdr>
    </w:div>
    <w:div w:id="242765619">
      <w:bodyDiv w:val="1"/>
      <w:marLeft w:val="0"/>
      <w:marRight w:val="0"/>
      <w:marTop w:val="0"/>
      <w:marBottom w:val="0"/>
      <w:divBdr>
        <w:top w:val="none" w:sz="0" w:space="0" w:color="auto"/>
        <w:left w:val="none" w:sz="0" w:space="0" w:color="auto"/>
        <w:bottom w:val="none" w:sz="0" w:space="0" w:color="auto"/>
        <w:right w:val="none" w:sz="0" w:space="0" w:color="auto"/>
      </w:divBdr>
    </w:div>
    <w:div w:id="286204215">
      <w:bodyDiv w:val="1"/>
      <w:marLeft w:val="0"/>
      <w:marRight w:val="0"/>
      <w:marTop w:val="0"/>
      <w:marBottom w:val="0"/>
      <w:divBdr>
        <w:top w:val="none" w:sz="0" w:space="0" w:color="auto"/>
        <w:left w:val="none" w:sz="0" w:space="0" w:color="auto"/>
        <w:bottom w:val="none" w:sz="0" w:space="0" w:color="auto"/>
        <w:right w:val="none" w:sz="0" w:space="0" w:color="auto"/>
      </w:divBdr>
    </w:div>
    <w:div w:id="371154574">
      <w:bodyDiv w:val="1"/>
      <w:marLeft w:val="0"/>
      <w:marRight w:val="0"/>
      <w:marTop w:val="0"/>
      <w:marBottom w:val="0"/>
      <w:divBdr>
        <w:top w:val="none" w:sz="0" w:space="0" w:color="auto"/>
        <w:left w:val="none" w:sz="0" w:space="0" w:color="auto"/>
        <w:bottom w:val="none" w:sz="0" w:space="0" w:color="auto"/>
        <w:right w:val="none" w:sz="0" w:space="0" w:color="auto"/>
      </w:divBdr>
    </w:div>
    <w:div w:id="415058222">
      <w:bodyDiv w:val="1"/>
      <w:marLeft w:val="0"/>
      <w:marRight w:val="0"/>
      <w:marTop w:val="0"/>
      <w:marBottom w:val="0"/>
      <w:divBdr>
        <w:top w:val="none" w:sz="0" w:space="0" w:color="auto"/>
        <w:left w:val="none" w:sz="0" w:space="0" w:color="auto"/>
        <w:bottom w:val="none" w:sz="0" w:space="0" w:color="auto"/>
        <w:right w:val="none" w:sz="0" w:space="0" w:color="auto"/>
      </w:divBdr>
    </w:div>
    <w:div w:id="475223428">
      <w:bodyDiv w:val="1"/>
      <w:marLeft w:val="0"/>
      <w:marRight w:val="0"/>
      <w:marTop w:val="0"/>
      <w:marBottom w:val="0"/>
      <w:divBdr>
        <w:top w:val="none" w:sz="0" w:space="0" w:color="auto"/>
        <w:left w:val="none" w:sz="0" w:space="0" w:color="auto"/>
        <w:bottom w:val="none" w:sz="0" w:space="0" w:color="auto"/>
        <w:right w:val="none" w:sz="0" w:space="0" w:color="auto"/>
      </w:divBdr>
    </w:div>
    <w:div w:id="532311413">
      <w:bodyDiv w:val="1"/>
      <w:marLeft w:val="0"/>
      <w:marRight w:val="0"/>
      <w:marTop w:val="0"/>
      <w:marBottom w:val="0"/>
      <w:divBdr>
        <w:top w:val="none" w:sz="0" w:space="0" w:color="auto"/>
        <w:left w:val="none" w:sz="0" w:space="0" w:color="auto"/>
        <w:bottom w:val="none" w:sz="0" w:space="0" w:color="auto"/>
        <w:right w:val="none" w:sz="0" w:space="0" w:color="auto"/>
      </w:divBdr>
    </w:div>
    <w:div w:id="592594094">
      <w:bodyDiv w:val="1"/>
      <w:marLeft w:val="0"/>
      <w:marRight w:val="0"/>
      <w:marTop w:val="0"/>
      <w:marBottom w:val="0"/>
      <w:divBdr>
        <w:top w:val="none" w:sz="0" w:space="0" w:color="auto"/>
        <w:left w:val="none" w:sz="0" w:space="0" w:color="auto"/>
        <w:bottom w:val="none" w:sz="0" w:space="0" w:color="auto"/>
        <w:right w:val="none" w:sz="0" w:space="0" w:color="auto"/>
      </w:divBdr>
    </w:div>
    <w:div w:id="619453440">
      <w:bodyDiv w:val="1"/>
      <w:marLeft w:val="0"/>
      <w:marRight w:val="0"/>
      <w:marTop w:val="0"/>
      <w:marBottom w:val="0"/>
      <w:divBdr>
        <w:top w:val="none" w:sz="0" w:space="0" w:color="auto"/>
        <w:left w:val="none" w:sz="0" w:space="0" w:color="auto"/>
        <w:bottom w:val="none" w:sz="0" w:space="0" w:color="auto"/>
        <w:right w:val="none" w:sz="0" w:space="0" w:color="auto"/>
      </w:divBdr>
    </w:div>
    <w:div w:id="647128877">
      <w:bodyDiv w:val="1"/>
      <w:marLeft w:val="0"/>
      <w:marRight w:val="0"/>
      <w:marTop w:val="0"/>
      <w:marBottom w:val="0"/>
      <w:divBdr>
        <w:top w:val="none" w:sz="0" w:space="0" w:color="auto"/>
        <w:left w:val="none" w:sz="0" w:space="0" w:color="auto"/>
        <w:bottom w:val="none" w:sz="0" w:space="0" w:color="auto"/>
        <w:right w:val="none" w:sz="0" w:space="0" w:color="auto"/>
      </w:divBdr>
    </w:div>
    <w:div w:id="700668354">
      <w:bodyDiv w:val="1"/>
      <w:marLeft w:val="0"/>
      <w:marRight w:val="0"/>
      <w:marTop w:val="0"/>
      <w:marBottom w:val="0"/>
      <w:divBdr>
        <w:top w:val="none" w:sz="0" w:space="0" w:color="auto"/>
        <w:left w:val="none" w:sz="0" w:space="0" w:color="auto"/>
        <w:bottom w:val="none" w:sz="0" w:space="0" w:color="auto"/>
        <w:right w:val="none" w:sz="0" w:space="0" w:color="auto"/>
      </w:divBdr>
    </w:div>
    <w:div w:id="744031460">
      <w:bodyDiv w:val="1"/>
      <w:marLeft w:val="0"/>
      <w:marRight w:val="0"/>
      <w:marTop w:val="0"/>
      <w:marBottom w:val="0"/>
      <w:divBdr>
        <w:top w:val="none" w:sz="0" w:space="0" w:color="auto"/>
        <w:left w:val="none" w:sz="0" w:space="0" w:color="auto"/>
        <w:bottom w:val="none" w:sz="0" w:space="0" w:color="auto"/>
        <w:right w:val="none" w:sz="0" w:space="0" w:color="auto"/>
      </w:divBdr>
    </w:div>
    <w:div w:id="758991179">
      <w:bodyDiv w:val="1"/>
      <w:marLeft w:val="0"/>
      <w:marRight w:val="0"/>
      <w:marTop w:val="0"/>
      <w:marBottom w:val="0"/>
      <w:divBdr>
        <w:top w:val="none" w:sz="0" w:space="0" w:color="auto"/>
        <w:left w:val="none" w:sz="0" w:space="0" w:color="auto"/>
        <w:bottom w:val="none" w:sz="0" w:space="0" w:color="auto"/>
        <w:right w:val="none" w:sz="0" w:space="0" w:color="auto"/>
      </w:divBdr>
    </w:div>
    <w:div w:id="789786741">
      <w:bodyDiv w:val="1"/>
      <w:marLeft w:val="0"/>
      <w:marRight w:val="0"/>
      <w:marTop w:val="0"/>
      <w:marBottom w:val="0"/>
      <w:divBdr>
        <w:top w:val="none" w:sz="0" w:space="0" w:color="auto"/>
        <w:left w:val="none" w:sz="0" w:space="0" w:color="auto"/>
        <w:bottom w:val="none" w:sz="0" w:space="0" w:color="auto"/>
        <w:right w:val="none" w:sz="0" w:space="0" w:color="auto"/>
      </w:divBdr>
    </w:div>
    <w:div w:id="938216970">
      <w:bodyDiv w:val="1"/>
      <w:marLeft w:val="0"/>
      <w:marRight w:val="0"/>
      <w:marTop w:val="0"/>
      <w:marBottom w:val="0"/>
      <w:divBdr>
        <w:top w:val="none" w:sz="0" w:space="0" w:color="auto"/>
        <w:left w:val="none" w:sz="0" w:space="0" w:color="auto"/>
        <w:bottom w:val="none" w:sz="0" w:space="0" w:color="auto"/>
        <w:right w:val="none" w:sz="0" w:space="0" w:color="auto"/>
      </w:divBdr>
    </w:div>
    <w:div w:id="951016062">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
    <w:div w:id="1194534304">
      <w:bodyDiv w:val="1"/>
      <w:marLeft w:val="0"/>
      <w:marRight w:val="0"/>
      <w:marTop w:val="0"/>
      <w:marBottom w:val="0"/>
      <w:divBdr>
        <w:top w:val="none" w:sz="0" w:space="0" w:color="auto"/>
        <w:left w:val="none" w:sz="0" w:space="0" w:color="auto"/>
        <w:bottom w:val="none" w:sz="0" w:space="0" w:color="auto"/>
        <w:right w:val="none" w:sz="0" w:space="0" w:color="auto"/>
      </w:divBdr>
    </w:div>
    <w:div w:id="1258713298">
      <w:bodyDiv w:val="1"/>
      <w:marLeft w:val="0"/>
      <w:marRight w:val="0"/>
      <w:marTop w:val="0"/>
      <w:marBottom w:val="0"/>
      <w:divBdr>
        <w:top w:val="none" w:sz="0" w:space="0" w:color="auto"/>
        <w:left w:val="none" w:sz="0" w:space="0" w:color="auto"/>
        <w:bottom w:val="none" w:sz="0" w:space="0" w:color="auto"/>
        <w:right w:val="none" w:sz="0" w:space="0" w:color="auto"/>
      </w:divBdr>
    </w:div>
    <w:div w:id="1297299036">
      <w:bodyDiv w:val="1"/>
      <w:marLeft w:val="0"/>
      <w:marRight w:val="0"/>
      <w:marTop w:val="0"/>
      <w:marBottom w:val="0"/>
      <w:divBdr>
        <w:top w:val="none" w:sz="0" w:space="0" w:color="auto"/>
        <w:left w:val="none" w:sz="0" w:space="0" w:color="auto"/>
        <w:bottom w:val="none" w:sz="0" w:space="0" w:color="auto"/>
        <w:right w:val="none" w:sz="0" w:space="0" w:color="auto"/>
      </w:divBdr>
    </w:div>
    <w:div w:id="1320579872">
      <w:bodyDiv w:val="1"/>
      <w:marLeft w:val="0"/>
      <w:marRight w:val="0"/>
      <w:marTop w:val="0"/>
      <w:marBottom w:val="0"/>
      <w:divBdr>
        <w:top w:val="none" w:sz="0" w:space="0" w:color="auto"/>
        <w:left w:val="none" w:sz="0" w:space="0" w:color="auto"/>
        <w:bottom w:val="none" w:sz="0" w:space="0" w:color="auto"/>
        <w:right w:val="none" w:sz="0" w:space="0" w:color="auto"/>
      </w:divBdr>
    </w:div>
    <w:div w:id="1468662143">
      <w:bodyDiv w:val="1"/>
      <w:marLeft w:val="0"/>
      <w:marRight w:val="0"/>
      <w:marTop w:val="0"/>
      <w:marBottom w:val="0"/>
      <w:divBdr>
        <w:top w:val="none" w:sz="0" w:space="0" w:color="auto"/>
        <w:left w:val="none" w:sz="0" w:space="0" w:color="auto"/>
        <w:bottom w:val="none" w:sz="0" w:space="0" w:color="auto"/>
        <w:right w:val="none" w:sz="0" w:space="0" w:color="auto"/>
      </w:divBdr>
    </w:div>
    <w:div w:id="1470975722">
      <w:bodyDiv w:val="1"/>
      <w:marLeft w:val="0"/>
      <w:marRight w:val="0"/>
      <w:marTop w:val="0"/>
      <w:marBottom w:val="0"/>
      <w:divBdr>
        <w:top w:val="none" w:sz="0" w:space="0" w:color="auto"/>
        <w:left w:val="none" w:sz="0" w:space="0" w:color="auto"/>
        <w:bottom w:val="none" w:sz="0" w:space="0" w:color="auto"/>
        <w:right w:val="none" w:sz="0" w:space="0" w:color="auto"/>
      </w:divBdr>
    </w:div>
    <w:div w:id="1520310117">
      <w:bodyDiv w:val="1"/>
      <w:marLeft w:val="0"/>
      <w:marRight w:val="0"/>
      <w:marTop w:val="0"/>
      <w:marBottom w:val="0"/>
      <w:divBdr>
        <w:top w:val="none" w:sz="0" w:space="0" w:color="auto"/>
        <w:left w:val="none" w:sz="0" w:space="0" w:color="auto"/>
        <w:bottom w:val="none" w:sz="0" w:space="0" w:color="auto"/>
        <w:right w:val="none" w:sz="0" w:space="0" w:color="auto"/>
      </w:divBdr>
    </w:div>
    <w:div w:id="2024933714">
      <w:bodyDiv w:val="1"/>
      <w:marLeft w:val="0"/>
      <w:marRight w:val="0"/>
      <w:marTop w:val="0"/>
      <w:marBottom w:val="0"/>
      <w:divBdr>
        <w:top w:val="none" w:sz="0" w:space="0" w:color="auto"/>
        <w:left w:val="none" w:sz="0" w:space="0" w:color="auto"/>
        <w:bottom w:val="none" w:sz="0" w:space="0" w:color="auto"/>
        <w:right w:val="none" w:sz="0" w:space="0" w:color="auto"/>
      </w:divBdr>
    </w:div>
    <w:div w:id="2066443791">
      <w:bodyDiv w:val="1"/>
      <w:marLeft w:val="0"/>
      <w:marRight w:val="0"/>
      <w:marTop w:val="0"/>
      <w:marBottom w:val="0"/>
      <w:divBdr>
        <w:top w:val="none" w:sz="0" w:space="0" w:color="auto"/>
        <w:left w:val="none" w:sz="0" w:space="0" w:color="auto"/>
        <w:bottom w:val="none" w:sz="0" w:space="0" w:color="auto"/>
        <w:right w:val="none" w:sz="0" w:space="0" w:color="auto"/>
      </w:divBdr>
    </w:div>
    <w:div w:id="209835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rategy.notredame.edu.au/wp-content/uploads/2022/07/Strategic-Plan-2022-202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tredame.edu.au/__data/assets/pdf_file/0026/377900/POLICY-Protecting-Academic-Freedom-and-Freedom-of-Speech.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redame.edu.au/__data/assets/pdf_file/0007/2104/academic-freedom-policy-statement.pdf"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4A1CCDB0-87C0-4B6F-BED2-7489497B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836FB-0FEA-4EB6-8C1F-B6512B7A70B1}">
  <ds:schemaRefs>
    <ds:schemaRef ds:uri="http://purl.org/dc/dcmitype/"/>
    <ds:schemaRef ds:uri="http://schemas.openxmlformats.org/package/2006/metadata/core-properties"/>
    <ds:schemaRef ds:uri="http://www.w3.org/XML/1998/namespace"/>
    <ds:schemaRef ds:uri="http://purl.org/dc/elements/1.1/"/>
    <ds:schemaRef ds:uri="fea52c8c-9806-4a1c-8ca9-6928160f6c09"/>
    <ds:schemaRef ds:uri="http://schemas.microsoft.com/office/2006/documentManagement/types"/>
    <ds:schemaRef ds:uri="http://purl.org/dc/terms/"/>
    <ds:schemaRef ds:uri="http://schemas.microsoft.com/office/infopath/2007/PartnerControls"/>
    <ds:schemaRef ds:uri="6e75ac5a-1f9e-40aa-9df5-998dd543a9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2851</Words>
  <Characters>18511</Characters>
  <Application>Microsoft Office Word</Application>
  <DocSecurity>0</DocSecurity>
  <Lines>309</Lines>
  <Paragraphs>96</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21297</CharactersWithSpaces>
  <SharedDoc>false</SharedDoc>
  <HLinks>
    <vt:vector size="36" baseType="variant">
      <vt:variant>
        <vt:i4>4653149</vt:i4>
      </vt:variant>
      <vt:variant>
        <vt:i4>15</vt:i4>
      </vt:variant>
      <vt:variant>
        <vt:i4>0</vt:i4>
      </vt:variant>
      <vt:variant>
        <vt:i4>5</vt:i4>
      </vt:variant>
      <vt:variant>
        <vt:lpwstr>https://strategy.notredame.edu.au/wp-content/uploads/2022/07/Strategic-Plan-2022-2026.pdf</vt:lpwstr>
      </vt:variant>
      <vt:variant>
        <vt:lpwstr/>
      </vt:variant>
      <vt:variant>
        <vt:i4>2162705</vt:i4>
      </vt:variant>
      <vt:variant>
        <vt:i4>12</vt:i4>
      </vt:variant>
      <vt:variant>
        <vt:i4>0</vt:i4>
      </vt:variant>
      <vt:variant>
        <vt:i4>5</vt:i4>
      </vt:variant>
      <vt:variant>
        <vt:lpwstr>https://www.notredame.edu.au/_staff-resources/documents/p-and-c/Model-Code-for-the-PFSAF.pdf</vt:lpwstr>
      </vt:variant>
      <vt:variant>
        <vt:lpwstr/>
      </vt:variant>
      <vt:variant>
        <vt:i4>7405653</vt:i4>
      </vt:variant>
      <vt:variant>
        <vt:i4>9</vt:i4>
      </vt:variant>
      <vt:variant>
        <vt:i4>0</vt:i4>
      </vt:variant>
      <vt:variant>
        <vt:i4>5</vt:i4>
      </vt:variant>
      <vt:variant>
        <vt:lpwstr>https://www.notredame.edu.au/__data/assets/pdf_file/0026/377900/POLICY-Protecting-Academic-Freedom-and-Freedom-of-Speech.pdf</vt:lpwstr>
      </vt:variant>
      <vt:variant>
        <vt:lpwstr/>
      </vt:variant>
      <vt:variant>
        <vt:i4>4784243</vt:i4>
      </vt:variant>
      <vt:variant>
        <vt:i4>6</vt:i4>
      </vt:variant>
      <vt:variant>
        <vt:i4>0</vt:i4>
      </vt:variant>
      <vt:variant>
        <vt:i4>5</vt:i4>
      </vt:variant>
      <vt:variant>
        <vt:lpwstr>https://www.notredame.edu.au/__data/assets/pdf_file/0007/2104/academic-freedom-policy-statement.pdf</vt:lpwstr>
      </vt:variant>
      <vt:variant>
        <vt:lpwstr/>
      </vt:variant>
      <vt:variant>
        <vt:i4>4653149</vt:i4>
      </vt:variant>
      <vt:variant>
        <vt:i4>3</vt:i4>
      </vt:variant>
      <vt:variant>
        <vt:i4>0</vt:i4>
      </vt:variant>
      <vt:variant>
        <vt:i4>5</vt:i4>
      </vt:variant>
      <vt:variant>
        <vt:lpwstr>https://strategy.notredame.edu.au/wp-content/uploads/2022/07/Strategic-Plan-2022-2026.pdf</vt:lpwstr>
      </vt:variant>
      <vt:variant>
        <vt:lpwstr/>
      </vt:variant>
      <vt:variant>
        <vt:i4>1245275</vt:i4>
      </vt:variant>
      <vt:variant>
        <vt:i4>0</vt:i4>
      </vt:variant>
      <vt:variant>
        <vt:i4>0</vt:i4>
      </vt:variant>
      <vt:variant>
        <vt:i4>5</vt:i4>
      </vt:variant>
      <vt:variant>
        <vt:lpwstr>https://www.notredame.edu.au/about-us/vision-and-objects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2025-12-01T05:39:00Z</cp:lastPrinted>
  <dcterms:created xsi:type="dcterms:W3CDTF">2025-11-23T23:24:00Z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