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CCB7607" w:rsidR="00107DD5" w:rsidRDefault="00221D8F" w:rsidP="00CA4815">
      <w:r w:rsidRPr="00CA4815">
        <w:rPr>
          <w:b/>
          <w:bCs/>
          <w:noProof/>
        </w:rPr>
        <w:drawing>
          <wp:anchor distT="0" distB="0" distL="114300" distR="114300" simplePos="0" relativeHeight="251658240" behindDoc="1" locked="1" layoutInCell="1" allowOverlap="1" wp14:anchorId="4A1B45CD" wp14:editId="0B3541EC">
            <wp:simplePos x="0" y="0"/>
            <wp:positionH relativeFrom="column">
              <wp:posOffset>-914400</wp:posOffset>
            </wp:positionH>
            <wp:positionV relativeFrom="paragraph">
              <wp:posOffset>-777875</wp:posOffset>
            </wp:positionV>
            <wp:extent cx="7560000" cy="1832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400"/>
                    </a:xfrm>
                    <a:prstGeom prst="rect">
                      <a:avLst/>
                    </a:prstGeom>
                  </pic:spPr>
                </pic:pic>
              </a:graphicData>
            </a:graphic>
            <wp14:sizeRelH relativeFrom="page">
              <wp14:pctWidth>0</wp14:pctWidth>
            </wp14:sizeRelH>
            <wp14:sizeRelV relativeFrom="page">
              <wp14:pctHeight>0</wp14:pctHeight>
            </wp14:sizeRelV>
          </wp:anchor>
        </w:drawing>
      </w:r>
      <w:r w:rsidR="00FA7392">
        <w:t xml:space="preserve"> </w:t>
      </w:r>
      <w:r w:rsidR="00107DD5">
        <w:rPr>
          <w:noProof/>
        </w:rPr>
        <w:drawing>
          <wp:inline distT="0" distB="0" distL="0" distR="0" wp14:anchorId="4911BBB9" wp14:editId="6186BE28">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4DA01EFA" w14:textId="144C2259" w:rsidR="001B109C" w:rsidRPr="001B109C" w:rsidRDefault="001B109C" w:rsidP="001B109C">
      <w:pPr>
        <w:pStyle w:val="Heading1"/>
        <w:spacing w:before="480"/>
        <w:rPr>
          <w:sz w:val="22"/>
          <w:szCs w:val="22"/>
        </w:rPr>
      </w:pPr>
    </w:p>
    <w:tbl>
      <w:tblPr>
        <w:tblStyle w:val="TableGrid"/>
        <w:tblW w:w="5000" w:type="pct"/>
        <w:tblLook w:val="01E0" w:firstRow="1" w:lastRow="1" w:firstColumn="1" w:lastColumn="1" w:noHBand="0" w:noVBand="0"/>
      </w:tblPr>
      <w:tblGrid>
        <w:gridCol w:w="9016"/>
      </w:tblGrid>
      <w:tr w:rsidR="001B109C" w:rsidRPr="00E41388" w14:paraId="3BCD4E03" w14:textId="77777777" w:rsidTr="397132BD">
        <w:trPr>
          <w:cantSplit/>
        </w:trPr>
        <w:tc>
          <w:tcPr>
            <w:tcW w:w="5000" w:type="pct"/>
            <w:tcBorders>
              <w:bottom w:val="single" w:sz="4" w:space="0" w:color="auto"/>
            </w:tcBorders>
          </w:tcPr>
          <w:p w14:paraId="26FC6577" w14:textId="1BFF5534" w:rsidR="001B109C" w:rsidRPr="0007338F" w:rsidRDefault="001B109C" w:rsidP="002C7F91">
            <w:pPr>
              <w:pStyle w:val="Heading4"/>
              <w:rPr>
                <w:rFonts w:cstheme="minorHAnsi"/>
                <w:i/>
                <w:iCs w:val="0"/>
                <w:sz w:val="24"/>
                <w:szCs w:val="24"/>
              </w:rPr>
            </w:pPr>
            <w:r w:rsidRPr="00F34B1E">
              <w:t>202</w:t>
            </w:r>
            <w:r w:rsidR="007517BA">
              <w:t>5</w:t>
            </w:r>
            <w:r w:rsidR="002775F3">
              <w:t>-2026</w:t>
            </w:r>
            <w:r w:rsidR="000960CF">
              <w:t xml:space="preserve"> </w:t>
            </w:r>
            <w:r w:rsidRPr="00F34B1E">
              <w:t>Mission</w:t>
            </w:r>
            <w:r>
              <w:t>-</w:t>
            </w:r>
            <w:r w:rsidRPr="00F34B1E">
              <w:t xml:space="preserve">Based Compact Between the Commonwealth of Australia and </w:t>
            </w:r>
            <w:r w:rsidR="002C7F91">
              <w:t>The University of Newcastle, Australia</w:t>
            </w:r>
          </w:p>
        </w:tc>
      </w:tr>
      <w:tr w:rsidR="001B109C" w:rsidRPr="00E41388" w14:paraId="2126955C" w14:textId="77777777" w:rsidTr="397132BD">
        <w:trPr>
          <w:cantSplit/>
        </w:trPr>
        <w:tc>
          <w:tcPr>
            <w:tcW w:w="5000" w:type="pct"/>
          </w:tcPr>
          <w:p w14:paraId="4E36A361" w14:textId="77777777" w:rsidR="001B109C" w:rsidRPr="00F30BFA" w:rsidRDefault="001B109C" w:rsidP="00F30BFA">
            <w:pPr>
              <w:pStyle w:val="Heading4"/>
              <w:keepLines w:val="0"/>
              <w:spacing w:before="180" w:after="60"/>
              <w:rPr>
                <w:rFonts w:ascii="Arial" w:eastAsia="Times New Roman" w:hAnsi="Arial" w:cs="Times New Roman"/>
                <w:bCs/>
                <w:iCs w:val="0"/>
                <w:color w:val="auto"/>
                <w:sz w:val="20"/>
                <w:szCs w:val="20"/>
                <w:lang w:val="en-US"/>
              </w:rPr>
            </w:pPr>
            <w:r w:rsidRPr="00F30BFA">
              <w:t>Purpose</w:t>
            </w:r>
          </w:p>
        </w:tc>
      </w:tr>
      <w:tr w:rsidR="001B109C" w:rsidRPr="00E41388" w14:paraId="43022137" w14:textId="77777777" w:rsidTr="397132BD">
        <w:trPr>
          <w:cantSplit/>
          <w:trHeight w:val="1682"/>
        </w:trPr>
        <w:tc>
          <w:tcPr>
            <w:tcW w:w="5000" w:type="pct"/>
            <w:tcBorders>
              <w:bottom w:val="single" w:sz="4" w:space="0" w:color="auto"/>
            </w:tcBorders>
          </w:tcPr>
          <w:p w14:paraId="603CAB15" w14:textId="357DAB3E" w:rsidR="001B109C" w:rsidRPr="00E169EE" w:rsidRDefault="001B109C" w:rsidP="6DCF43EC">
            <w:pPr>
              <w:pStyle w:val="NormalIndent"/>
              <w:ind w:left="0"/>
              <w:rPr>
                <w:rFonts w:asciiTheme="minorHAnsi" w:hAnsiTheme="minorHAnsi" w:cstheme="minorBidi"/>
              </w:rPr>
            </w:pPr>
            <w:r w:rsidRPr="6DCF43EC">
              <w:rPr>
                <w:rFonts w:asciiTheme="minorHAnsi" w:hAnsiTheme="minorHAnsi" w:cstheme="minorBidi"/>
              </w:rPr>
              <w:t xml:space="preserve">This compact is an agreement between the Commonwealth and the University. </w:t>
            </w:r>
            <w:proofErr w:type="gramStart"/>
            <w:r w:rsidRPr="6DCF43EC">
              <w:rPr>
                <w:rFonts w:asciiTheme="minorHAnsi" w:hAnsiTheme="minorHAnsi" w:cstheme="minorBidi"/>
              </w:rPr>
              <w:t>Entering into</w:t>
            </w:r>
            <w:proofErr w:type="gramEnd"/>
            <w:r w:rsidRPr="6DCF43EC">
              <w:rPr>
                <w:rFonts w:asciiTheme="minorHAnsi" w:hAnsiTheme="minorHAnsi" w:cstheme="minorBidi"/>
              </w:rPr>
              <w:t xml:space="preserve"> a </w:t>
            </w:r>
            <w:r w:rsidR="001E3BF1" w:rsidRPr="6DCF43EC">
              <w:rPr>
                <w:rFonts w:asciiTheme="minorHAnsi" w:hAnsiTheme="minorHAnsi" w:cstheme="minorBidi"/>
              </w:rPr>
              <w:t>C</w:t>
            </w:r>
            <w:r w:rsidRPr="6DCF43EC">
              <w:rPr>
                <w:rFonts w:asciiTheme="minorHAnsi" w:hAnsiTheme="minorHAnsi" w:cstheme="minorBidi"/>
              </w:rPr>
              <w:t xml:space="preserve">ompact is one of the quality and accountability requirements, which a higher education provider must meet under the </w:t>
            </w:r>
            <w:r w:rsidRPr="6DCF43EC">
              <w:rPr>
                <w:rStyle w:val="Emphasis"/>
                <w:rFonts w:asciiTheme="minorHAnsi" w:hAnsiTheme="minorHAnsi" w:cstheme="minorBidi"/>
              </w:rPr>
              <w:t>Higher Education Support Act</w:t>
            </w:r>
            <w:r w:rsidRPr="6DCF43EC">
              <w:rPr>
                <w:rFonts w:asciiTheme="minorHAnsi" w:hAnsiTheme="minorHAnsi" w:cstheme="minorBidi"/>
              </w:rPr>
              <w:t xml:space="preserve"> 2003 (HESA) as a condition of receiving a grant. Specifically, </w:t>
            </w:r>
            <w:r w:rsidR="005F015E">
              <w:rPr>
                <w:rFonts w:asciiTheme="minorHAnsi" w:hAnsiTheme="minorHAnsi" w:cstheme="minorBidi"/>
              </w:rPr>
              <w:t>s</w:t>
            </w:r>
            <w:r w:rsidR="008C1F5A">
              <w:rPr>
                <w:rFonts w:asciiTheme="minorHAnsi" w:hAnsiTheme="minorHAnsi" w:cstheme="minorBidi"/>
              </w:rPr>
              <w:t>ubsection</w:t>
            </w:r>
            <w:r w:rsidRPr="6DCF43EC">
              <w:rPr>
                <w:rFonts w:asciiTheme="minorHAnsi" w:hAnsiTheme="minorHAnsi" w:cstheme="minorBidi"/>
              </w:rPr>
              <w:t xml:space="preserve"> 19-110(1) of HESA requires that Table A and Table B providers must, in respect of each year for which a grant is paid to the provider under HESA, </w:t>
            </w:r>
            <w:proofErr w:type="gramStart"/>
            <w:r w:rsidRPr="6DCF43EC">
              <w:rPr>
                <w:rFonts w:asciiTheme="minorHAnsi" w:hAnsiTheme="minorHAnsi" w:cstheme="minorBidi"/>
              </w:rPr>
              <w:t>enter into</w:t>
            </w:r>
            <w:proofErr w:type="gramEnd"/>
            <w:r w:rsidRPr="6DCF43EC">
              <w:rPr>
                <w:rFonts w:asciiTheme="minorHAnsi" w:hAnsiTheme="minorHAnsi" w:cstheme="minorBidi"/>
              </w:rPr>
              <w:t xml:space="preserve"> a </w:t>
            </w:r>
            <w:r w:rsidR="001E3BF1" w:rsidRPr="6DCF43EC">
              <w:rPr>
                <w:rFonts w:asciiTheme="minorHAnsi" w:hAnsiTheme="minorHAnsi" w:cstheme="minorBidi"/>
              </w:rPr>
              <w:t>M</w:t>
            </w:r>
            <w:r w:rsidRPr="6DCF43EC">
              <w:rPr>
                <w:rFonts w:asciiTheme="minorHAnsi" w:hAnsiTheme="minorHAnsi" w:cstheme="minorBidi"/>
              </w:rPr>
              <w:t>ission</w:t>
            </w:r>
            <w:r w:rsidR="62E47E4A" w:rsidRPr="6DCF43EC">
              <w:rPr>
                <w:rFonts w:asciiTheme="minorHAnsi" w:hAnsiTheme="minorHAnsi" w:cstheme="minorBidi"/>
              </w:rPr>
              <w:t xml:space="preserve"> </w:t>
            </w:r>
            <w:r>
              <w:rPr>
                <w:rFonts w:asciiTheme="minorHAnsi" w:hAnsiTheme="minorHAnsi" w:cstheme="minorHAnsi"/>
                <w:szCs w:val="22"/>
              </w:rPr>
              <w:noBreakHyphen/>
            </w:r>
            <w:r w:rsidR="001E3BF1" w:rsidRPr="6DCF43EC">
              <w:rPr>
                <w:rFonts w:asciiTheme="minorHAnsi" w:hAnsiTheme="minorHAnsi" w:cstheme="minorBidi"/>
              </w:rPr>
              <w:t>B</w:t>
            </w:r>
            <w:r w:rsidRPr="6DCF43EC">
              <w:rPr>
                <w:rFonts w:asciiTheme="minorHAnsi" w:hAnsiTheme="minorHAnsi" w:cstheme="minorBidi"/>
              </w:rPr>
              <w:t xml:space="preserve">ased </w:t>
            </w:r>
            <w:r w:rsidR="001E3BF1" w:rsidRPr="6DCF43EC">
              <w:rPr>
                <w:rFonts w:asciiTheme="minorHAnsi" w:hAnsiTheme="minorHAnsi" w:cstheme="minorBidi"/>
              </w:rPr>
              <w:t>C</w:t>
            </w:r>
            <w:r w:rsidRPr="6DCF43EC">
              <w:rPr>
                <w:rFonts w:asciiTheme="minorHAnsi" w:hAnsiTheme="minorHAnsi" w:cstheme="minorBidi"/>
              </w:rPr>
              <w:t>ompact with the Commonwealth for a period that includes that year.</w:t>
            </w:r>
          </w:p>
          <w:p w14:paraId="127C3B78" w14:textId="77777777" w:rsidR="001B109C" w:rsidRPr="00F34B1E" w:rsidRDefault="001B109C">
            <w:pPr>
              <w:pStyle w:val="NormalIndent"/>
              <w:spacing w:before="0" w:line="240" w:lineRule="auto"/>
              <w:ind w:left="0"/>
              <w:rPr>
                <w:rFonts w:ascii="Times New Roman" w:hAnsi="Times New Roman"/>
                <w:sz w:val="24"/>
              </w:rPr>
            </w:pPr>
            <w:r w:rsidRPr="004D7B83">
              <w:rPr>
                <w:rFonts w:asciiTheme="minorHAnsi" w:hAnsiTheme="minorHAnsi" w:cstheme="minorHAnsi"/>
                <w:szCs w:val="22"/>
              </w:rPr>
              <w:t>All strategies should provide qualitative and/or quantitative measures of assessment</w:t>
            </w:r>
            <w:r w:rsidRPr="004D7B83">
              <w:rPr>
                <w:rFonts w:ascii="Times New Roman" w:hAnsi="Times New Roman"/>
                <w:sz w:val="24"/>
              </w:rPr>
              <w:t>.</w:t>
            </w:r>
          </w:p>
        </w:tc>
      </w:tr>
      <w:tr w:rsidR="001B109C" w:rsidRPr="00E41388" w14:paraId="6AF93BFD" w14:textId="77777777" w:rsidTr="397132BD">
        <w:trPr>
          <w:cantSplit/>
          <w:trHeight w:val="1123"/>
        </w:trPr>
        <w:tc>
          <w:tcPr>
            <w:tcW w:w="5000" w:type="pct"/>
            <w:tcBorders>
              <w:bottom w:val="single" w:sz="4" w:space="0" w:color="auto"/>
            </w:tcBorders>
          </w:tcPr>
          <w:p w14:paraId="183AFE5D" w14:textId="13CD002F" w:rsidR="001B109C" w:rsidRPr="00497FD4" w:rsidRDefault="00497FD4">
            <w:pPr>
              <w:pStyle w:val="NormalIndent"/>
              <w:spacing w:before="0" w:after="0"/>
              <w:ind w:left="0"/>
              <w:rPr>
                <w:rFonts w:asciiTheme="majorHAnsi" w:hAnsiTheme="majorHAnsi" w:cstheme="majorHAnsi"/>
                <w:b/>
                <w:bCs/>
                <w:i/>
                <w:iCs/>
                <w:color w:val="003A74" w:themeColor="text2" w:themeTint="E6"/>
                <w:sz w:val="28"/>
                <w:szCs w:val="28"/>
              </w:rPr>
            </w:pPr>
            <w:r w:rsidRPr="00497FD4">
              <w:rPr>
                <w:rFonts w:asciiTheme="majorHAnsi" w:hAnsiTheme="majorHAnsi" w:cstheme="majorHAnsi"/>
                <w:b/>
                <w:bCs/>
                <w:color w:val="003A74" w:themeColor="text2" w:themeTint="E6"/>
                <w:sz w:val="28"/>
                <w:szCs w:val="28"/>
              </w:rPr>
              <w:lastRenderedPageBreak/>
              <w:t>Mission and Strategic Planning</w:t>
            </w:r>
          </w:p>
          <w:p w14:paraId="3D3A9088" w14:textId="2DE084EF" w:rsidR="008613D5" w:rsidRDefault="008613D5" w:rsidP="00916B09">
            <w:pPr>
              <w:pStyle w:val="NormalIndent"/>
              <w:spacing w:before="0" w:after="40" w:line="240" w:lineRule="auto"/>
              <w:ind w:left="0"/>
              <w:rPr>
                <w:rFonts w:asciiTheme="minorHAnsi" w:hAnsiTheme="minorHAnsi" w:cstheme="minorBidi"/>
                <w:szCs w:val="22"/>
              </w:rPr>
            </w:pPr>
            <w:r>
              <w:rPr>
                <w:rFonts w:asciiTheme="minorHAnsi" w:hAnsiTheme="minorHAnsi" w:cstheme="minorBidi"/>
                <w:szCs w:val="22"/>
              </w:rPr>
              <w:t xml:space="preserve">Please note, the University is currently developing a new </w:t>
            </w:r>
            <w:r w:rsidR="00AE7032">
              <w:rPr>
                <w:rFonts w:asciiTheme="minorHAnsi" w:hAnsiTheme="minorHAnsi" w:cstheme="minorBidi"/>
                <w:szCs w:val="22"/>
              </w:rPr>
              <w:t>five-year</w:t>
            </w:r>
            <w:r w:rsidR="002C7F91">
              <w:rPr>
                <w:rFonts w:asciiTheme="minorHAnsi" w:hAnsiTheme="minorHAnsi" w:cstheme="minorBidi"/>
                <w:szCs w:val="22"/>
              </w:rPr>
              <w:t xml:space="preserve"> </w:t>
            </w:r>
            <w:r>
              <w:rPr>
                <w:rFonts w:asciiTheme="minorHAnsi" w:hAnsiTheme="minorHAnsi" w:cstheme="minorBidi"/>
                <w:szCs w:val="22"/>
              </w:rPr>
              <w:t xml:space="preserve">strategic plan, which will be finalised and released in 2026. The below information </w:t>
            </w:r>
            <w:proofErr w:type="gramStart"/>
            <w:r w:rsidR="00F92334">
              <w:rPr>
                <w:rFonts w:asciiTheme="minorHAnsi" w:hAnsiTheme="minorHAnsi" w:cstheme="minorBidi"/>
                <w:szCs w:val="22"/>
              </w:rPr>
              <w:t>makes reference</w:t>
            </w:r>
            <w:proofErr w:type="gramEnd"/>
            <w:r w:rsidR="00F92334">
              <w:rPr>
                <w:rFonts w:asciiTheme="minorHAnsi" w:hAnsiTheme="minorHAnsi" w:cstheme="minorBidi"/>
                <w:szCs w:val="22"/>
              </w:rPr>
              <w:t xml:space="preserve"> to the core strategies in our current strategic plan</w:t>
            </w:r>
            <w:r w:rsidR="006943CE">
              <w:rPr>
                <w:rFonts w:asciiTheme="minorHAnsi" w:hAnsiTheme="minorHAnsi" w:cstheme="minorBidi"/>
                <w:szCs w:val="22"/>
              </w:rPr>
              <w:t xml:space="preserve">, and we would be pleased to update this </w:t>
            </w:r>
            <w:r w:rsidR="00623A59">
              <w:rPr>
                <w:rFonts w:asciiTheme="minorHAnsi" w:hAnsiTheme="minorHAnsi" w:cstheme="minorBidi"/>
                <w:szCs w:val="22"/>
              </w:rPr>
              <w:t xml:space="preserve">information as our strategic plan evolves. </w:t>
            </w:r>
          </w:p>
          <w:p w14:paraId="1CB6DAE7" w14:textId="77777777" w:rsidR="00623A59" w:rsidRDefault="00623A59" w:rsidP="00916B09">
            <w:pPr>
              <w:pStyle w:val="NormalIndent"/>
              <w:spacing w:before="0" w:after="40" w:line="240" w:lineRule="auto"/>
              <w:ind w:left="0"/>
              <w:rPr>
                <w:rFonts w:asciiTheme="minorHAnsi" w:hAnsiTheme="minorHAnsi" w:cstheme="minorBidi"/>
                <w:szCs w:val="22"/>
              </w:rPr>
            </w:pPr>
          </w:p>
          <w:p w14:paraId="03CC1294" w14:textId="36597443" w:rsidR="00916B09" w:rsidRPr="00631B4E" w:rsidRDefault="00916B09" w:rsidP="00916B09">
            <w:pPr>
              <w:pStyle w:val="NormalIndent"/>
              <w:spacing w:before="0" w:after="40" w:line="240" w:lineRule="auto"/>
              <w:ind w:left="0"/>
              <w:rPr>
                <w:rFonts w:asciiTheme="minorHAnsi" w:hAnsiTheme="minorHAnsi" w:cstheme="minorBidi"/>
                <w:szCs w:val="22"/>
              </w:rPr>
            </w:pPr>
            <w:r w:rsidRPr="00631B4E">
              <w:rPr>
                <w:rFonts w:asciiTheme="minorHAnsi" w:hAnsiTheme="minorHAnsi" w:cstheme="minorBidi"/>
                <w:szCs w:val="22"/>
              </w:rPr>
              <w:t xml:space="preserve">The </w:t>
            </w:r>
            <w:hyperlink r:id="rId14" w:history="1">
              <w:r w:rsidRPr="00631B4E">
                <w:rPr>
                  <w:rStyle w:val="Hyperlink"/>
                  <w:szCs w:val="22"/>
                </w:rPr>
                <w:t>University of Newcastle’s Strategic Plan ‘Looking Ahead’</w:t>
              </w:r>
            </w:hyperlink>
            <w:r w:rsidR="00F92563">
              <w:t xml:space="preserve"> 2025-2025</w:t>
            </w:r>
            <w:r w:rsidRPr="00631B4E">
              <w:rPr>
                <w:rFonts w:asciiTheme="minorHAnsi" w:hAnsiTheme="minorHAnsi" w:cstheme="minorBidi"/>
                <w:szCs w:val="22"/>
              </w:rPr>
              <w:t xml:space="preserve"> makes three over-arching</w:t>
            </w:r>
          </w:p>
          <w:p w14:paraId="46F17941" w14:textId="77777777" w:rsidR="00916B09" w:rsidRPr="00631B4E" w:rsidRDefault="00916B09" w:rsidP="00916B09">
            <w:pPr>
              <w:pStyle w:val="NormalIndent"/>
              <w:spacing w:before="0" w:after="40" w:line="240" w:lineRule="auto"/>
              <w:ind w:left="0"/>
              <w:rPr>
                <w:szCs w:val="22"/>
              </w:rPr>
            </w:pPr>
            <w:r w:rsidRPr="00631B4E">
              <w:rPr>
                <w:rFonts w:asciiTheme="minorHAnsi" w:hAnsiTheme="minorHAnsi" w:cstheme="minorBidi"/>
                <w:szCs w:val="22"/>
              </w:rPr>
              <w:t>commitments:</w:t>
            </w:r>
          </w:p>
          <w:p w14:paraId="38C58303" w14:textId="77777777" w:rsidR="00916B09" w:rsidRPr="00631B4E" w:rsidRDefault="00916B09" w:rsidP="00B71029">
            <w:pPr>
              <w:pStyle w:val="NormalIndent"/>
              <w:numPr>
                <w:ilvl w:val="0"/>
                <w:numId w:val="8"/>
              </w:numPr>
              <w:spacing w:before="0" w:after="40" w:line="240" w:lineRule="auto"/>
              <w:ind w:left="349"/>
              <w:rPr>
                <w:rFonts w:asciiTheme="minorHAnsi" w:hAnsiTheme="minorHAnsi" w:cstheme="minorBidi"/>
                <w:b/>
                <w:bCs/>
                <w:szCs w:val="22"/>
              </w:rPr>
            </w:pPr>
            <w:r w:rsidRPr="00631B4E">
              <w:rPr>
                <w:rFonts w:asciiTheme="minorHAnsi" w:hAnsiTheme="minorHAnsi" w:cstheme="minorBidi"/>
                <w:b/>
                <w:bCs/>
                <w:szCs w:val="22"/>
              </w:rPr>
              <w:t>Be a leading advocate and driving force for excellence and equity in higher education;</w:t>
            </w:r>
            <w:r>
              <w:rPr>
                <w:rFonts w:asciiTheme="minorHAnsi" w:hAnsiTheme="minorHAnsi" w:cstheme="minorBidi"/>
                <w:b/>
                <w:bCs/>
                <w:szCs w:val="22"/>
              </w:rPr>
              <w:br/>
            </w:r>
          </w:p>
          <w:p w14:paraId="0C3FE01C" w14:textId="6320B6B9" w:rsidR="00916B09" w:rsidRPr="00631B4E" w:rsidRDefault="00916B09" w:rsidP="00916B09">
            <w:pPr>
              <w:pStyle w:val="NormalIndent"/>
              <w:spacing w:before="0" w:after="40" w:line="240" w:lineRule="auto"/>
              <w:ind w:left="349"/>
              <w:rPr>
                <w:szCs w:val="22"/>
              </w:rPr>
            </w:pPr>
            <w:r w:rsidRPr="00631B4E">
              <w:rPr>
                <w:rFonts w:asciiTheme="minorHAnsi" w:hAnsiTheme="minorHAnsi" w:cstheme="minorBidi"/>
                <w:b/>
                <w:bCs/>
                <w:szCs w:val="22"/>
              </w:rPr>
              <w:t>Achieved:</w:t>
            </w:r>
            <w:r w:rsidRPr="00631B4E">
              <w:rPr>
                <w:rFonts w:asciiTheme="minorHAnsi" w:hAnsiTheme="minorHAnsi" w:cstheme="minorBidi"/>
                <w:szCs w:val="22"/>
              </w:rPr>
              <w:t xml:space="preserve"> Strengthen our existing sector-leading equity programs, including </w:t>
            </w:r>
            <w:r>
              <w:rPr>
                <w:rFonts w:asciiTheme="minorHAnsi" w:hAnsiTheme="minorHAnsi" w:cstheme="minorBidi"/>
                <w:szCs w:val="22"/>
              </w:rPr>
              <w:t>FEE-FREE Uni Ready Placements</w:t>
            </w:r>
            <w:r w:rsidRPr="00631B4E">
              <w:rPr>
                <w:rFonts w:asciiTheme="minorHAnsi" w:hAnsiTheme="minorHAnsi" w:cstheme="minorBidi"/>
                <w:szCs w:val="22"/>
              </w:rPr>
              <w:t xml:space="preserve"> and</w:t>
            </w:r>
            <w:r>
              <w:rPr>
                <w:rFonts w:asciiTheme="minorHAnsi" w:hAnsiTheme="minorHAnsi" w:cstheme="minorBidi"/>
                <w:szCs w:val="22"/>
              </w:rPr>
              <w:t xml:space="preserve"> </w:t>
            </w:r>
            <w:r w:rsidRPr="00631B4E">
              <w:rPr>
                <w:rFonts w:asciiTheme="minorHAnsi" w:hAnsiTheme="minorHAnsi" w:cstheme="minorBidi"/>
                <w:szCs w:val="22"/>
              </w:rPr>
              <w:t xml:space="preserve">undergraduate pathways, and grow our </w:t>
            </w:r>
            <w:r w:rsidR="00DA755C">
              <w:rPr>
                <w:rFonts w:asciiTheme="minorHAnsi" w:hAnsiTheme="minorHAnsi" w:cstheme="minorBidi"/>
                <w:szCs w:val="22"/>
              </w:rPr>
              <w:t xml:space="preserve">whole-of-institution Indigenous education </w:t>
            </w:r>
            <w:r w:rsidRPr="00631B4E">
              <w:rPr>
                <w:rFonts w:asciiTheme="minorHAnsi" w:hAnsiTheme="minorHAnsi" w:cstheme="minorBidi"/>
                <w:szCs w:val="22"/>
              </w:rPr>
              <w:t>through</w:t>
            </w:r>
            <w:r w:rsidRPr="00631B4E">
              <w:rPr>
                <w:szCs w:val="22"/>
              </w:rPr>
              <w:t xml:space="preserve"> </w:t>
            </w:r>
            <w:r w:rsidRPr="00631B4E">
              <w:rPr>
                <w:rFonts w:asciiTheme="minorHAnsi" w:hAnsiTheme="minorHAnsi" w:cstheme="minorBidi"/>
                <w:szCs w:val="22"/>
              </w:rPr>
              <w:t>the Wollotuka Institute</w:t>
            </w:r>
            <w:r w:rsidR="0063490C">
              <w:rPr>
                <w:rFonts w:asciiTheme="minorHAnsi" w:hAnsiTheme="minorHAnsi" w:cstheme="minorBidi"/>
                <w:szCs w:val="22"/>
              </w:rPr>
              <w:t xml:space="preserve">, including </w:t>
            </w:r>
            <w:r w:rsidR="00223A92">
              <w:rPr>
                <w:rFonts w:asciiTheme="minorHAnsi" w:hAnsiTheme="minorHAnsi" w:cstheme="minorBidi"/>
                <w:szCs w:val="22"/>
              </w:rPr>
              <w:t>Cultural Capability Training for staff.</w:t>
            </w:r>
            <w:r w:rsidR="00037518">
              <w:rPr>
                <w:rFonts w:asciiTheme="minorHAnsi" w:hAnsiTheme="minorHAnsi" w:cstheme="minorBidi"/>
                <w:szCs w:val="22"/>
              </w:rPr>
              <w:t xml:space="preserve"> Working with local government, community and industry partners to be an education and research partner in the energy transition. </w:t>
            </w:r>
            <w:r>
              <w:rPr>
                <w:rFonts w:asciiTheme="minorHAnsi" w:hAnsiTheme="minorHAnsi" w:cstheme="minorBidi"/>
                <w:szCs w:val="22"/>
              </w:rPr>
              <w:br/>
            </w:r>
          </w:p>
          <w:p w14:paraId="098559BB" w14:textId="218A2DC7" w:rsidR="00916B09" w:rsidRPr="00631B4E" w:rsidRDefault="00916B09" w:rsidP="00916B09">
            <w:pPr>
              <w:pStyle w:val="NormalIndent"/>
              <w:spacing w:before="0" w:after="40" w:line="240" w:lineRule="auto"/>
              <w:ind w:left="349"/>
              <w:rPr>
                <w:rFonts w:asciiTheme="minorHAnsi" w:hAnsiTheme="minorHAnsi" w:cstheme="minorBidi"/>
                <w:szCs w:val="22"/>
              </w:rPr>
            </w:pPr>
            <w:r w:rsidRPr="00631B4E">
              <w:rPr>
                <w:rFonts w:asciiTheme="minorHAnsi" w:hAnsiTheme="minorHAnsi" w:cstheme="minorBidi"/>
                <w:b/>
                <w:bCs/>
                <w:szCs w:val="22"/>
              </w:rPr>
              <w:t>Measured:</w:t>
            </w:r>
            <w:r w:rsidRPr="00631B4E">
              <w:rPr>
                <w:rFonts w:asciiTheme="minorHAnsi" w:hAnsiTheme="minorHAnsi" w:cstheme="minorBidi"/>
                <w:szCs w:val="22"/>
              </w:rPr>
              <w:t xml:space="preserve"> </w:t>
            </w:r>
            <w:r>
              <w:rPr>
                <w:rFonts w:asciiTheme="minorHAnsi" w:hAnsiTheme="minorHAnsi" w:cstheme="minorBidi"/>
                <w:szCs w:val="22"/>
              </w:rPr>
              <w:t xml:space="preserve">Increase our ability to widen participation in regions, and work with partners to support communities with education through the energy transition. </w:t>
            </w:r>
            <w:r w:rsidRPr="00631B4E">
              <w:rPr>
                <w:rFonts w:asciiTheme="minorHAnsi" w:hAnsiTheme="minorHAnsi" w:cstheme="minorBidi"/>
                <w:szCs w:val="22"/>
              </w:rPr>
              <w:t>Maintain our position as a top University in the country for</w:t>
            </w:r>
            <w:r>
              <w:rPr>
                <w:rFonts w:asciiTheme="minorHAnsi" w:hAnsiTheme="minorHAnsi" w:cstheme="minorBidi"/>
                <w:szCs w:val="22"/>
              </w:rPr>
              <w:t xml:space="preserve"> Aboriginal and Torres Strait Islander student enrolment, retention and success. Maintain our position as a top University in the country for</w:t>
            </w:r>
            <w:r w:rsidRPr="00631B4E">
              <w:rPr>
                <w:rFonts w:asciiTheme="minorHAnsi" w:hAnsiTheme="minorHAnsi" w:cstheme="minorBidi"/>
                <w:szCs w:val="22"/>
              </w:rPr>
              <w:t xml:space="preserve"> first in-family, Low-SES</w:t>
            </w:r>
            <w:r w:rsidR="005F4F77">
              <w:rPr>
                <w:rFonts w:asciiTheme="minorHAnsi" w:hAnsiTheme="minorHAnsi" w:cstheme="minorBidi"/>
                <w:szCs w:val="22"/>
              </w:rPr>
              <w:t xml:space="preserve">, disability, </w:t>
            </w:r>
            <w:r w:rsidRPr="00631B4E">
              <w:rPr>
                <w:rFonts w:asciiTheme="minorHAnsi" w:hAnsiTheme="minorHAnsi" w:cstheme="minorBidi"/>
                <w:szCs w:val="22"/>
              </w:rPr>
              <w:t>regional enrolments, retention, and success.</w:t>
            </w:r>
          </w:p>
          <w:p w14:paraId="5BD02051" w14:textId="77777777" w:rsidR="00916B09" w:rsidRPr="00631B4E" w:rsidRDefault="00916B09" w:rsidP="00916B09">
            <w:pPr>
              <w:pStyle w:val="NormalIndent"/>
              <w:spacing w:before="0" w:after="40" w:line="240" w:lineRule="auto"/>
              <w:ind w:left="349"/>
              <w:rPr>
                <w:szCs w:val="22"/>
              </w:rPr>
            </w:pPr>
          </w:p>
          <w:p w14:paraId="5A74A4E8" w14:textId="77777777" w:rsidR="00916B09" w:rsidRPr="00631B4E" w:rsidRDefault="00916B09" w:rsidP="00B71029">
            <w:pPr>
              <w:pStyle w:val="NormalIndent"/>
              <w:numPr>
                <w:ilvl w:val="0"/>
                <w:numId w:val="8"/>
              </w:numPr>
              <w:spacing w:before="0" w:after="40" w:line="240" w:lineRule="auto"/>
              <w:ind w:left="349"/>
              <w:rPr>
                <w:rFonts w:asciiTheme="minorHAnsi" w:hAnsiTheme="minorHAnsi" w:cstheme="minorBidi"/>
                <w:b/>
                <w:bCs/>
                <w:szCs w:val="22"/>
              </w:rPr>
            </w:pPr>
            <w:r w:rsidRPr="00631B4E">
              <w:rPr>
                <w:rFonts w:asciiTheme="minorHAnsi" w:hAnsiTheme="minorHAnsi" w:cstheme="minorBidi"/>
                <w:b/>
                <w:bCs/>
                <w:szCs w:val="22"/>
              </w:rPr>
              <w:t>Deliver an outstanding student experience, ensure our students develop life and career</w:t>
            </w:r>
            <w:r w:rsidRPr="00631B4E">
              <w:rPr>
                <w:b/>
                <w:bCs/>
                <w:szCs w:val="22"/>
              </w:rPr>
              <w:t xml:space="preserve"> </w:t>
            </w:r>
            <w:r w:rsidRPr="00631B4E">
              <w:rPr>
                <w:rFonts w:asciiTheme="minorHAnsi" w:hAnsiTheme="minorHAnsi" w:cstheme="minorBidi"/>
                <w:b/>
                <w:bCs/>
                <w:szCs w:val="22"/>
              </w:rPr>
              <w:t>skills to be competitive in the workforce, and are strongly supported in</w:t>
            </w:r>
            <w:r w:rsidRPr="00631B4E">
              <w:rPr>
                <w:b/>
                <w:bCs/>
                <w:szCs w:val="22"/>
              </w:rPr>
              <w:t xml:space="preserve"> </w:t>
            </w:r>
            <w:r w:rsidRPr="00631B4E">
              <w:rPr>
                <w:rFonts w:asciiTheme="minorHAnsi" w:hAnsiTheme="minorHAnsi" w:cstheme="minorBidi"/>
                <w:b/>
                <w:bCs/>
                <w:szCs w:val="22"/>
              </w:rPr>
              <w:t>their physical and mental wellbeing;</w:t>
            </w:r>
            <w:r>
              <w:rPr>
                <w:rFonts w:asciiTheme="minorHAnsi" w:hAnsiTheme="minorHAnsi" w:cstheme="minorBidi"/>
                <w:b/>
                <w:bCs/>
                <w:szCs w:val="22"/>
              </w:rPr>
              <w:br/>
            </w:r>
          </w:p>
          <w:p w14:paraId="47E73E2F" w14:textId="5244DA94" w:rsidR="00916B09" w:rsidRPr="00631B4E" w:rsidRDefault="00916B09" w:rsidP="00916B09">
            <w:pPr>
              <w:pStyle w:val="NormalIndent"/>
              <w:spacing w:before="0" w:after="40" w:line="240" w:lineRule="auto"/>
              <w:ind w:left="349"/>
              <w:rPr>
                <w:szCs w:val="22"/>
              </w:rPr>
            </w:pPr>
            <w:r w:rsidRPr="00631B4E">
              <w:rPr>
                <w:b/>
                <w:bCs/>
                <w:szCs w:val="22"/>
              </w:rPr>
              <w:t>Achieved:</w:t>
            </w:r>
            <w:r w:rsidRPr="00631B4E">
              <w:rPr>
                <w:szCs w:val="22"/>
              </w:rPr>
              <w:t xml:space="preserve"> </w:t>
            </w:r>
            <w:r w:rsidR="003B62C7">
              <w:rPr>
                <w:szCs w:val="22"/>
              </w:rPr>
              <w:t xml:space="preserve">Career Ready Placements are </w:t>
            </w:r>
            <w:r w:rsidRPr="00631B4E">
              <w:rPr>
                <w:szCs w:val="22"/>
              </w:rPr>
              <w:t xml:space="preserve">now </w:t>
            </w:r>
            <w:r w:rsidRPr="00631B4E">
              <w:rPr>
                <w:rFonts w:asciiTheme="minorHAnsi" w:hAnsiTheme="minorHAnsi" w:cstheme="minorBidi"/>
                <w:szCs w:val="22"/>
              </w:rPr>
              <w:t xml:space="preserve">a core component of all degrees. </w:t>
            </w:r>
            <w:r w:rsidRPr="00631B4E">
              <w:rPr>
                <w:szCs w:val="22"/>
              </w:rPr>
              <w:t xml:space="preserve">Graduate Attributes are woven throughout </w:t>
            </w:r>
            <w:r w:rsidRPr="00631B4E">
              <w:rPr>
                <w:rFonts w:asciiTheme="minorHAnsi" w:hAnsiTheme="minorHAnsi" w:cstheme="minorBidi"/>
                <w:szCs w:val="22"/>
              </w:rPr>
              <w:t>curricula and extra-curricula</w:t>
            </w:r>
            <w:r>
              <w:rPr>
                <w:rFonts w:asciiTheme="minorHAnsi" w:hAnsiTheme="minorHAnsi" w:cstheme="minorBidi"/>
                <w:szCs w:val="22"/>
              </w:rPr>
              <w:t>r</w:t>
            </w:r>
            <w:r w:rsidRPr="00631B4E">
              <w:rPr>
                <w:rFonts w:asciiTheme="minorHAnsi" w:hAnsiTheme="minorHAnsi" w:cstheme="minorBidi"/>
                <w:szCs w:val="22"/>
              </w:rPr>
              <w:t xml:space="preserve"> elements of the student journey.</w:t>
            </w:r>
            <w:r w:rsidR="001169C8">
              <w:rPr>
                <w:rFonts w:asciiTheme="minorHAnsi" w:hAnsiTheme="minorHAnsi" w:cstheme="minorBidi"/>
                <w:szCs w:val="22"/>
              </w:rPr>
              <w:t xml:space="preserve"> Students are provided with a broad range of supports, including for mental and physical wellbeing</w:t>
            </w:r>
            <w:r>
              <w:rPr>
                <w:rFonts w:asciiTheme="minorHAnsi" w:hAnsiTheme="minorHAnsi" w:cstheme="minorBidi"/>
                <w:szCs w:val="22"/>
              </w:rPr>
              <w:br/>
            </w:r>
          </w:p>
          <w:p w14:paraId="0D496C1E" w14:textId="4C37FED5" w:rsidR="00916B09" w:rsidRPr="00631B4E" w:rsidRDefault="00916B09" w:rsidP="00916B09">
            <w:pPr>
              <w:pStyle w:val="NormalIndent"/>
              <w:spacing w:before="0" w:after="40" w:line="240" w:lineRule="auto"/>
              <w:ind w:left="349"/>
              <w:rPr>
                <w:rFonts w:asciiTheme="minorHAnsi" w:hAnsiTheme="minorHAnsi" w:cstheme="minorBidi"/>
                <w:szCs w:val="22"/>
              </w:rPr>
            </w:pPr>
            <w:r w:rsidRPr="00631B4E">
              <w:rPr>
                <w:rFonts w:asciiTheme="minorHAnsi" w:hAnsiTheme="minorHAnsi" w:cstheme="minorBidi"/>
                <w:b/>
                <w:bCs/>
                <w:szCs w:val="22"/>
              </w:rPr>
              <w:t>Measured:</w:t>
            </w:r>
            <w:r w:rsidRPr="00631B4E">
              <w:rPr>
                <w:rFonts w:asciiTheme="minorHAnsi" w:hAnsiTheme="minorHAnsi" w:cstheme="minorBidi"/>
                <w:szCs w:val="22"/>
              </w:rPr>
              <w:t xml:space="preserve"> To be </w:t>
            </w:r>
            <w:r w:rsidR="00F92334">
              <w:rPr>
                <w:rFonts w:asciiTheme="minorHAnsi" w:hAnsiTheme="minorHAnsi" w:cstheme="minorBidi"/>
                <w:szCs w:val="22"/>
              </w:rPr>
              <w:t xml:space="preserve">within a percentile </w:t>
            </w:r>
            <w:r w:rsidR="006943CE">
              <w:rPr>
                <w:rFonts w:asciiTheme="minorHAnsi" w:hAnsiTheme="minorHAnsi" w:cstheme="minorBidi"/>
                <w:szCs w:val="22"/>
              </w:rPr>
              <w:t xml:space="preserve">point </w:t>
            </w:r>
            <w:r w:rsidR="00F92334">
              <w:rPr>
                <w:rFonts w:asciiTheme="minorHAnsi" w:hAnsiTheme="minorHAnsi" w:cstheme="minorBidi"/>
                <w:szCs w:val="22"/>
              </w:rPr>
              <w:t xml:space="preserve">of the </w:t>
            </w:r>
            <w:r w:rsidR="006943CE">
              <w:rPr>
                <w:rFonts w:asciiTheme="minorHAnsi" w:hAnsiTheme="minorHAnsi" w:cstheme="minorBidi"/>
                <w:szCs w:val="22"/>
              </w:rPr>
              <w:t xml:space="preserve">top 5 </w:t>
            </w:r>
            <w:r w:rsidR="00B74ACE">
              <w:rPr>
                <w:rFonts w:asciiTheme="minorHAnsi" w:hAnsiTheme="minorHAnsi" w:cstheme="minorBidi"/>
                <w:szCs w:val="22"/>
              </w:rPr>
              <w:t xml:space="preserve">Australian </w:t>
            </w:r>
            <w:r w:rsidR="006943CE">
              <w:rPr>
                <w:rFonts w:asciiTheme="minorHAnsi" w:hAnsiTheme="minorHAnsi" w:cstheme="minorBidi"/>
                <w:szCs w:val="22"/>
              </w:rPr>
              <w:t>universities</w:t>
            </w:r>
            <w:r w:rsidRPr="00631B4E">
              <w:rPr>
                <w:rFonts w:asciiTheme="minorHAnsi" w:hAnsiTheme="minorHAnsi" w:cstheme="minorBidi"/>
                <w:szCs w:val="22"/>
              </w:rPr>
              <w:t xml:space="preserve"> for Satisfaction with Overall Experience in the Student Experience Survey </w:t>
            </w:r>
            <w:r w:rsidR="006943CE">
              <w:rPr>
                <w:rFonts w:asciiTheme="minorHAnsi" w:hAnsiTheme="minorHAnsi" w:cstheme="minorBidi"/>
                <w:szCs w:val="22"/>
              </w:rPr>
              <w:t>for</w:t>
            </w:r>
            <w:r w:rsidRPr="00631B4E">
              <w:rPr>
                <w:rFonts w:asciiTheme="minorHAnsi" w:hAnsiTheme="minorHAnsi" w:cstheme="minorBidi"/>
                <w:szCs w:val="22"/>
              </w:rPr>
              <w:t xml:space="preserve"> 2025.</w:t>
            </w:r>
          </w:p>
          <w:p w14:paraId="54C5629C" w14:textId="77777777" w:rsidR="00916B09" w:rsidRPr="00631B4E" w:rsidRDefault="00916B09" w:rsidP="00916B09">
            <w:pPr>
              <w:pStyle w:val="NormalIndent"/>
              <w:spacing w:before="0" w:after="40" w:line="240" w:lineRule="auto"/>
              <w:ind w:left="349"/>
              <w:rPr>
                <w:szCs w:val="22"/>
              </w:rPr>
            </w:pPr>
          </w:p>
          <w:p w14:paraId="3364DEDA" w14:textId="77777777" w:rsidR="00916B09" w:rsidRPr="00631B4E" w:rsidRDefault="00916B09" w:rsidP="00B71029">
            <w:pPr>
              <w:pStyle w:val="NormalIndent"/>
              <w:numPr>
                <w:ilvl w:val="0"/>
                <w:numId w:val="8"/>
              </w:numPr>
              <w:spacing w:before="0" w:after="40" w:line="240" w:lineRule="auto"/>
              <w:rPr>
                <w:b/>
                <w:bCs/>
                <w:szCs w:val="22"/>
              </w:rPr>
            </w:pPr>
            <w:r w:rsidRPr="00631B4E">
              <w:rPr>
                <w:rFonts w:asciiTheme="minorHAnsi" w:hAnsiTheme="minorHAnsi" w:cstheme="minorBidi"/>
                <w:b/>
                <w:bCs/>
                <w:szCs w:val="22"/>
              </w:rPr>
              <w:t>To bring the world to our regions, and take our regions to the world through relevant</w:t>
            </w:r>
            <w:r w:rsidRPr="00631B4E">
              <w:rPr>
                <w:b/>
                <w:bCs/>
                <w:szCs w:val="22"/>
              </w:rPr>
              <w:t xml:space="preserve"> </w:t>
            </w:r>
            <w:r w:rsidRPr="00631B4E">
              <w:rPr>
                <w:rFonts w:asciiTheme="minorHAnsi" w:hAnsiTheme="minorHAnsi" w:cstheme="minorBidi"/>
                <w:b/>
                <w:bCs/>
                <w:szCs w:val="22"/>
              </w:rPr>
              <w:t>research solutions to local, national and global problems;</w:t>
            </w:r>
            <w:r>
              <w:rPr>
                <w:rFonts w:asciiTheme="minorHAnsi" w:hAnsiTheme="minorHAnsi" w:cstheme="minorBidi"/>
                <w:b/>
                <w:bCs/>
                <w:szCs w:val="22"/>
              </w:rPr>
              <w:br/>
            </w:r>
          </w:p>
          <w:p w14:paraId="3FC6256A" w14:textId="77777777" w:rsidR="00916B09" w:rsidRPr="00631B4E" w:rsidRDefault="00916B09" w:rsidP="00916B09">
            <w:pPr>
              <w:pStyle w:val="NormalIndent"/>
              <w:spacing w:before="0" w:after="40" w:line="240" w:lineRule="auto"/>
              <w:ind w:left="349"/>
              <w:rPr>
                <w:szCs w:val="22"/>
              </w:rPr>
            </w:pPr>
            <w:r w:rsidRPr="00631B4E">
              <w:rPr>
                <w:b/>
                <w:bCs/>
                <w:szCs w:val="22"/>
              </w:rPr>
              <w:t>Achieved:</w:t>
            </w:r>
            <w:r w:rsidRPr="00631B4E">
              <w:rPr>
                <w:szCs w:val="22"/>
              </w:rPr>
              <w:t xml:space="preserve"> Four Engagement Priorities reflect issues and</w:t>
            </w:r>
            <w:r w:rsidRPr="00631B4E">
              <w:rPr>
                <w:rFonts w:asciiTheme="minorHAnsi" w:hAnsiTheme="minorHAnsi" w:cstheme="minorBidi"/>
                <w:szCs w:val="22"/>
              </w:rPr>
              <w:t xml:space="preserve"> </w:t>
            </w:r>
            <w:r w:rsidRPr="00631B4E">
              <w:rPr>
                <w:szCs w:val="22"/>
              </w:rPr>
              <w:t>opportunities relevant to the future of our regions and our world</w:t>
            </w:r>
            <w:r w:rsidRPr="00631B4E">
              <w:rPr>
                <w:rFonts w:asciiTheme="minorHAnsi" w:hAnsiTheme="minorHAnsi" w:cstheme="minorBidi"/>
                <w:szCs w:val="22"/>
              </w:rPr>
              <w:t xml:space="preserve">, and </w:t>
            </w:r>
            <w:r w:rsidRPr="00631B4E">
              <w:rPr>
                <w:szCs w:val="22"/>
              </w:rPr>
              <w:t>the mission-driven issues we have the capacity, expertise and civic responsibility to</w:t>
            </w:r>
            <w:r w:rsidRPr="00631B4E">
              <w:rPr>
                <w:rFonts w:asciiTheme="minorHAnsi" w:hAnsiTheme="minorHAnsi" w:cstheme="minorBidi"/>
                <w:szCs w:val="22"/>
              </w:rPr>
              <w:t xml:space="preserve"> address.</w:t>
            </w:r>
            <w:r>
              <w:rPr>
                <w:rFonts w:asciiTheme="minorHAnsi" w:hAnsiTheme="minorHAnsi" w:cstheme="minorBidi"/>
                <w:szCs w:val="22"/>
              </w:rPr>
              <w:br/>
            </w:r>
          </w:p>
          <w:p w14:paraId="2F9633A4" w14:textId="390C7C2E" w:rsidR="00916B09" w:rsidRPr="00631B4E" w:rsidRDefault="00916B09" w:rsidP="00916B09">
            <w:pPr>
              <w:pStyle w:val="NormalIndent"/>
              <w:spacing w:before="0" w:after="40" w:line="240" w:lineRule="auto"/>
              <w:ind w:left="349"/>
              <w:rPr>
                <w:szCs w:val="22"/>
              </w:rPr>
            </w:pPr>
            <w:r w:rsidRPr="00631B4E">
              <w:rPr>
                <w:rFonts w:asciiTheme="minorHAnsi" w:hAnsiTheme="minorHAnsi" w:cstheme="minorBidi"/>
                <w:b/>
                <w:bCs/>
                <w:szCs w:val="22"/>
              </w:rPr>
              <w:t>Measured:</w:t>
            </w:r>
            <w:r w:rsidRPr="00631B4E">
              <w:rPr>
                <w:rFonts w:asciiTheme="minorHAnsi" w:hAnsiTheme="minorHAnsi" w:cstheme="minorBidi"/>
                <w:szCs w:val="22"/>
              </w:rPr>
              <w:t xml:space="preserve"> We will continuously increase the proportion of partner-led research </w:t>
            </w:r>
            <w:r w:rsidR="00AB49C9">
              <w:rPr>
                <w:rFonts w:asciiTheme="minorHAnsi" w:hAnsiTheme="minorHAnsi" w:cstheme="minorBidi"/>
                <w:szCs w:val="22"/>
              </w:rPr>
              <w:t xml:space="preserve">relevant to our communities </w:t>
            </w:r>
            <w:r w:rsidRPr="00631B4E">
              <w:rPr>
                <w:rFonts w:asciiTheme="minorHAnsi" w:hAnsiTheme="minorHAnsi" w:cstheme="minorBidi"/>
                <w:szCs w:val="22"/>
              </w:rPr>
              <w:t>to deliver real world outcomes</w:t>
            </w:r>
            <w:r w:rsidR="007A5607">
              <w:rPr>
                <w:rFonts w:asciiTheme="minorHAnsi" w:hAnsiTheme="minorHAnsi" w:cstheme="minorBidi"/>
                <w:szCs w:val="22"/>
              </w:rPr>
              <w:t xml:space="preserve">, and maintain our high level of community outreach and engagement activities to increase access to </w:t>
            </w:r>
            <w:r w:rsidR="00B71029">
              <w:rPr>
                <w:rFonts w:asciiTheme="minorHAnsi" w:hAnsiTheme="minorHAnsi" w:cstheme="minorBidi"/>
                <w:szCs w:val="22"/>
              </w:rPr>
              <w:t xml:space="preserve">higher education in our regions. </w:t>
            </w:r>
          </w:p>
          <w:p w14:paraId="3047F624" w14:textId="77777777" w:rsidR="00916B09" w:rsidRPr="00631B4E" w:rsidRDefault="00916B09" w:rsidP="00916B09">
            <w:pPr>
              <w:pStyle w:val="NormalIndent"/>
              <w:spacing w:before="0" w:after="40" w:line="240" w:lineRule="auto"/>
              <w:ind w:left="0"/>
              <w:rPr>
                <w:rFonts w:asciiTheme="minorHAnsi" w:hAnsiTheme="minorHAnsi" w:cstheme="minorBidi"/>
                <w:color w:val="004C6C" w:themeColor="background2"/>
                <w:szCs w:val="22"/>
              </w:rPr>
            </w:pPr>
          </w:p>
          <w:p w14:paraId="53BA9B91" w14:textId="77777777" w:rsidR="00916B09" w:rsidRDefault="00916B09" w:rsidP="00916B09">
            <w:pPr>
              <w:pStyle w:val="NormalIndent"/>
              <w:spacing w:before="0" w:after="40" w:line="240" w:lineRule="auto"/>
              <w:ind w:left="0"/>
              <w:rPr>
                <w:rFonts w:asciiTheme="minorHAnsi" w:hAnsiTheme="minorHAnsi" w:cstheme="minorBidi"/>
                <w:color w:val="005BB7" w:themeColor="text2" w:themeTint="BF"/>
                <w:szCs w:val="22"/>
              </w:rPr>
            </w:pPr>
            <w:r w:rsidRPr="00631B4E">
              <w:rPr>
                <w:rFonts w:asciiTheme="minorHAnsi" w:hAnsiTheme="minorHAnsi" w:cstheme="minorBidi"/>
                <w:color w:val="005BB7" w:themeColor="text2" w:themeTint="BF"/>
                <w:szCs w:val="22"/>
              </w:rPr>
              <w:t>Workforce and skill needs</w:t>
            </w:r>
          </w:p>
          <w:p w14:paraId="45D3A619" w14:textId="7EFE36A7" w:rsidR="00916B09" w:rsidRPr="00631B4E" w:rsidRDefault="00916B09" w:rsidP="00916B09">
            <w:pPr>
              <w:pStyle w:val="NormalIndent"/>
              <w:spacing w:before="0" w:after="0"/>
              <w:ind w:left="0"/>
              <w:rPr>
                <w:szCs w:val="22"/>
              </w:rPr>
            </w:pPr>
            <w:r w:rsidRPr="00631B4E">
              <w:rPr>
                <w:szCs w:val="22"/>
              </w:rPr>
              <w:t xml:space="preserve">The University is delivering universal Career-ready Placements, industry networks and a </w:t>
            </w:r>
            <w:hyperlink r:id="rId15" w:history="1">
              <w:r w:rsidRPr="00631B4E">
                <w:rPr>
                  <w:rStyle w:val="Hyperlink"/>
                  <w:szCs w:val="22"/>
                </w:rPr>
                <w:t>portal</w:t>
              </w:r>
            </w:hyperlink>
            <w:r w:rsidRPr="00631B4E">
              <w:rPr>
                <w:szCs w:val="22"/>
              </w:rPr>
              <w:t xml:space="preserve"> to facilitate placements. Work with industry and Government ensures alignment with employer, </w:t>
            </w:r>
            <w:r w:rsidRPr="00631B4E">
              <w:rPr>
                <w:szCs w:val="22"/>
              </w:rPr>
              <w:lastRenderedPageBreak/>
              <w:t>workforce and accreditation needs. The Careers and Employability Team support strategies to benefit students</w:t>
            </w:r>
            <w:r w:rsidR="00F34667">
              <w:rPr>
                <w:szCs w:val="22"/>
              </w:rPr>
              <w:t xml:space="preserve">, </w:t>
            </w:r>
            <w:r w:rsidRPr="00631B4E">
              <w:rPr>
                <w:szCs w:val="22"/>
              </w:rPr>
              <w:t>graduates</w:t>
            </w:r>
            <w:r w:rsidR="00F34667">
              <w:rPr>
                <w:szCs w:val="22"/>
              </w:rPr>
              <w:t xml:space="preserve"> and employers. </w:t>
            </w:r>
          </w:p>
          <w:p w14:paraId="7ED82A17" w14:textId="77777777" w:rsidR="00916B09" w:rsidRPr="00631B4E" w:rsidRDefault="00916B09" w:rsidP="00916B09">
            <w:pPr>
              <w:pStyle w:val="NormalIndent"/>
              <w:spacing w:before="0" w:after="40" w:line="240" w:lineRule="auto"/>
              <w:ind w:left="0"/>
              <w:rPr>
                <w:rFonts w:asciiTheme="minorHAnsi" w:hAnsiTheme="minorHAnsi" w:cstheme="minorBidi"/>
                <w:color w:val="005BB7" w:themeColor="text2" w:themeTint="BF"/>
                <w:szCs w:val="22"/>
              </w:rPr>
            </w:pPr>
          </w:p>
          <w:p w14:paraId="36497BD3" w14:textId="77777777" w:rsidR="00916B09" w:rsidRPr="00631B4E" w:rsidRDefault="00916B09" w:rsidP="00916B09">
            <w:pPr>
              <w:pStyle w:val="NormalIndent"/>
              <w:spacing w:before="0" w:after="40" w:line="240" w:lineRule="auto"/>
              <w:ind w:left="0"/>
              <w:rPr>
                <w:rFonts w:asciiTheme="minorHAnsi" w:hAnsiTheme="minorHAnsi" w:cstheme="minorBidi"/>
                <w:color w:val="005BB7" w:themeColor="text2" w:themeTint="BF"/>
                <w:szCs w:val="22"/>
              </w:rPr>
            </w:pPr>
            <w:r w:rsidRPr="00631B4E">
              <w:rPr>
                <w:rFonts w:asciiTheme="minorHAnsi" w:hAnsiTheme="minorHAnsi" w:cstheme="minorBidi"/>
                <w:color w:val="005BB7" w:themeColor="text2" w:themeTint="BF"/>
                <w:szCs w:val="22"/>
              </w:rPr>
              <w:t xml:space="preserve">Student and Staff Safety </w:t>
            </w:r>
          </w:p>
          <w:p w14:paraId="3C203009" w14:textId="6B32167E" w:rsidR="00916B09" w:rsidRDefault="00916B09" w:rsidP="00916B09">
            <w:pPr>
              <w:pStyle w:val="NormalIndent"/>
              <w:spacing w:before="0" w:after="40" w:line="240" w:lineRule="auto"/>
              <w:ind w:left="0"/>
              <w:rPr>
                <w:rFonts w:asciiTheme="minorHAnsi" w:hAnsiTheme="minorHAnsi" w:cstheme="minorBidi"/>
                <w:szCs w:val="22"/>
              </w:rPr>
            </w:pPr>
            <w:r w:rsidRPr="00631B4E">
              <w:rPr>
                <w:rFonts w:asciiTheme="minorHAnsi" w:hAnsiTheme="minorHAnsi" w:cstheme="minorBidi"/>
                <w:szCs w:val="22"/>
              </w:rPr>
              <w:t xml:space="preserve">The University has developed the </w:t>
            </w:r>
            <w:hyperlink r:id="rId16" w:history="1">
              <w:r w:rsidRPr="0011603E">
                <w:rPr>
                  <w:rStyle w:val="Hyperlink"/>
                  <w:rFonts w:asciiTheme="minorHAnsi" w:hAnsiTheme="minorHAnsi" w:cstheme="minorBidi"/>
                  <w:szCs w:val="22"/>
                </w:rPr>
                <w:t>Action Plan</w:t>
              </w:r>
            </w:hyperlink>
            <w:r w:rsidRPr="00631B4E">
              <w:rPr>
                <w:rFonts w:asciiTheme="minorHAnsi" w:hAnsiTheme="minorHAnsi" w:cstheme="minorBidi"/>
                <w:szCs w:val="22"/>
              </w:rPr>
              <w:t xml:space="preserve"> for Prevention of Sexual Harm providing </w:t>
            </w:r>
            <w:hyperlink r:id="rId17" w:history="1">
              <w:r w:rsidRPr="00631B4E">
                <w:rPr>
                  <w:rStyle w:val="Hyperlink"/>
                  <w:rFonts w:asciiTheme="minorHAnsi" w:hAnsiTheme="minorHAnsi" w:cstheme="minorBidi"/>
                  <w:szCs w:val="22"/>
                </w:rPr>
                <w:t>a range of information, materials, and services</w:t>
              </w:r>
            </w:hyperlink>
            <w:r w:rsidRPr="00631B4E">
              <w:rPr>
                <w:rFonts w:asciiTheme="minorHAnsi" w:hAnsiTheme="minorHAnsi" w:cstheme="minorBidi"/>
                <w:szCs w:val="22"/>
              </w:rPr>
              <w:t xml:space="preserve"> to students to support a safe and respectful University community. The University’s Sexual Harm Prevention and Response </w:t>
            </w:r>
            <w:hyperlink r:id="rId18" w:history="1">
              <w:r w:rsidR="003C18FE" w:rsidRPr="002F0826">
                <w:rPr>
                  <w:rStyle w:val="Hyperlink"/>
                  <w:rFonts w:asciiTheme="minorHAnsi" w:hAnsiTheme="minorHAnsi" w:cstheme="minorBidi"/>
                  <w:szCs w:val="22"/>
                </w:rPr>
                <w:t>Policy</w:t>
              </w:r>
            </w:hyperlink>
            <w:r w:rsidR="003C18FE">
              <w:rPr>
                <w:rFonts w:asciiTheme="minorHAnsi" w:hAnsiTheme="minorHAnsi" w:cstheme="minorBidi"/>
                <w:szCs w:val="22"/>
              </w:rPr>
              <w:t xml:space="preserve"> </w:t>
            </w:r>
            <w:r w:rsidRPr="00631B4E">
              <w:rPr>
                <w:rFonts w:asciiTheme="minorHAnsi" w:hAnsiTheme="minorHAnsi" w:cstheme="minorBidi"/>
                <w:szCs w:val="22"/>
              </w:rPr>
              <w:t>and Procedure has been re-designed to support this and highlight the University’s positive</w:t>
            </w:r>
            <w:r>
              <w:rPr>
                <w:rFonts w:asciiTheme="minorHAnsi" w:hAnsiTheme="minorHAnsi" w:cstheme="minorBidi"/>
                <w:szCs w:val="22"/>
              </w:rPr>
              <w:t xml:space="preserve"> </w:t>
            </w:r>
            <w:r w:rsidRPr="00631B4E">
              <w:rPr>
                <w:rFonts w:asciiTheme="minorHAnsi" w:hAnsiTheme="minorHAnsi" w:cstheme="minorBidi"/>
                <w:szCs w:val="22"/>
              </w:rPr>
              <w:t xml:space="preserve">duty.  </w:t>
            </w:r>
            <w:r w:rsidR="009E0EAE">
              <w:rPr>
                <w:rFonts w:asciiTheme="minorHAnsi" w:hAnsiTheme="minorHAnsi" w:cstheme="minorBidi"/>
                <w:szCs w:val="22"/>
              </w:rPr>
              <w:t xml:space="preserve">The </w:t>
            </w:r>
            <w:r w:rsidR="006B079E">
              <w:rPr>
                <w:rFonts w:asciiTheme="minorHAnsi" w:hAnsiTheme="minorHAnsi" w:cstheme="minorBidi"/>
                <w:szCs w:val="22"/>
              </w:rPr>
              <w:t xml:space="preserve">University is working towards full </w:t>
            </w:r>
            <w:r w:rsidR="0055317C">
              <w:rPr>
                <w:rFonts w:asciiTheme="minorHAnsi" w:hAnsiTheme="minorHAnsi" w:cstheme="minorBidi"/>
                <w:szCs w:val="22"/>
              </w:rPr>
              <w:t xml:space="preserve">compliance with the </w:t>
            </w:r>
            <w:r w:rsidR="002A31A2" w:rsidRPr="002A31A2">
              <w:rPr>
                <w:rFonts w:asciiTheme="minorHAnsi" w:hAnsiTheme="minorHAnsi" w:cstheme="minorBidi"/>
                <w:szCs w:val="22"/>
              </w:rPr>
              <w:t>National Higher Education Code to Prevent and Respond to Gender-based Violence</w:t>
            </w:r>
            <w:r w:rsidR="002A31A2">
              <w:rPr>
                <w:rFonts w:asciiTheme="minorHAnsi" w:hAnsiTheme="minorHAnsi" w:cstheme="minorBidi"/>
                <w:szCs w:val="22"/>
              </w:rPr>
              <w:t xml:space="preserve">. The University has developed the </w:t>
            </w:r>
            <w:hyperlink r:id="rId19" w:history="1">
              <w:r w:rsidR="002A31A2" w:rsidRPr="002A31A2">
                <w:rPr>
                  <w:rStyle w:val="Hyperlink"/>
                  <w:rFonts w:asciiTheme="minorHAnsi" w:hAnsiTheme="minorHAnsi" w:cstheme="minorBidi"/>
                  <w:szCs w:val="22"/>
                </w:rPr>
                <w:t>Gender Justice Hub</w:t>
              </w:r>
            </w:hyperlink>
            <w:r w:rsidR="002A31A2">
              <w:rPr>
                <w:rFonts w:asciiTheme="minorHAnsi" w:hAnsiTheme="minorHAnsi" w:cstheme="minorBidi"/>
                <w:szCs w:val="22"/>
              </w:rPr>
              <w:t xml:space="preserve">, and has spearheaded </w:t>
            </w:r>
            <w:r w:rsidR="001D7483">
              <w:rPr>
                <w:rFonts w:asciiTheme="minorHAnsi" w:hAnsiTheme="minorHAnsi" w:cstheme="minorBidi"/>
                <w:szCs w:val="22"/>
              </w:rPr>
              <w:t xml:space="preserve">a state-wide Doctoral Training Centre in gender based violence. </w:t>
            </w:r>
          </w:p>
          <w:p w14:paraId="39DF8FB4" w14:textId="77777777" w:rsidR="00916B09" w:rsidRDefault="00916B09" w:rsidP="00916B09">
            <w:pPr>
              <w:pStyle w:val="NormalIndent"/>
              <w:spacing w:before="0" w:after="0"/>
              <w:ind w:left="0"/>
              <w:rPr>
                <w:rFonts w:asciiTheme="minorHAnsi" w:hAnsiTheme="minorHAnsi" w:cstheme="minorHAnsi"/>
                <w:i/>
                <w:iCs/>
                <w:szCs w:val="22"/>
              </w:rPr>
            </w:pPr>
          </w:p>
          <w:p w14:paraId="5098BC57" w14:textId="77777777" w:rsidR="00916B09" w:rsidRPr="00631B4E" w:rsidRDefault="00916B09" w:rsidP="00916B09">
            <w:pPr>
              <w:pStyle w:val="NormalIndent"/>
              <w:spacing w:before="0" w:after="40" w:line="240" w:lineRule="auto"/>
              <w:ind w:left="0"/>
              <w:rPr>
                <w:rFonts w:asciiTheme="minorHAnsi" w:hAnsiTheme="minorHAnsi" w:cstheme="minorBidi"/>
                <w:color w:val="005BB7" w:themeColor="text2" w:themeTint="BF"/>
                <w:szCs w:val="22"/>
              </w:rPr>
            </w:pPr>
            <w:r w:rsidRPr="00631B4E">
              <w:rPr>
                <w:rFonts w:asciiTheme="minorHAnsi" w:hAnsiTheme="minorHAnsi" w:cstheme="minorBidi"/>
                <w:color w:val="005BB7" w:themeColor="text2" w:themeTint="BF"/>
                <w:szCs w:val="22"/>
              </w:rPr>
              <w:t xml:space="preserve">Countering foreign interference </w:t>
            </w:r>
          </w:p>
          <w:p w14:paraId="0E7E282E" w14:textId="77777777" w:rsidR="00916B09" w:rsidRPr="00631B4E" w:rsidRDefault="00916B09" w:rsidP="00916B09">
            <w:pPr>
              <w:pStyle w:val="NormalIndent"/>
              <w:spacing w:before="0" w:after="40" w:line="240" w:lineRule="auto"/>
              <w:ind w:left="0"/>
              <w:rPr>
                <w:rFonts w:asciiTheme="minorHAnsi" w:hAnsiTheme="minorHAnsi" w:cstheme="minorBidi"/>
                <w:szCs w:val="22"/>
              </w:rPr>
            </w:pPr>
            <w:r w:rsidRPr="00631B4E">
              <w:rPr>
                <w:rFonts w:asciiTheme="minorHAnsi" w:hAnsiTheme="minorHAnsi" w:cstheme="minorBidi"/>
                <w:szCs w:val="22"/>
              </w:rPr>
              <w:t xml:space="preserve">The University has developed </w:t>
            </w:r>
            <w:hyperlink r:id="rId20" w:history="1">
              <w:r w:rsidRPr="00631B4E">
                <w:rPr>
                  <w:rStyle w:val="Hyperlink"/>
                  <w:rFonts w:asciiTheme="minorHAnsi" w:hAnsiTheme="minorHAnsi" w:cstheme="minorBidi"/>
                  <w:szCs w:val="22"/>
                </w:rPr>
                <w:t>a range of resources, guidelines and mandatory training</w:t>
              </w:r>
            </w:hyperlink>
            <w:r w:rsidRPr="00631B4E">
              <w:rPr>
                <w:rFonts w:asciiTheme="minorHAnsi" w:hAnsiTheme="minorHAnsi" w:cstheme="minorBidi"/>
                <w:szCs w:val="22"/>
              </w:rPr>
              <w:t xml:space="preserve"> for all staff to promote awareness of and compliance with foreign interference requirements. The University Foreign Interference Taskforce is the peak governance body overseeing implementation and compliance. </w:t>
            </w:r>
          </w:p>
          <w:p w14:paraId="18D826A2" w14:textId="77777777" w:rsidR="00916B09" w:rsidRPr="00631B4E" w:rsidRDefault="00916B09" w:rsidP="00916B09">
            <w:pPr>
              <w:pStyle w:val="NormalIndent"/>
              <w:spacing w:before="0" w:after="40" w:line="240" w:lineRule="auto"/>
              <w:ind w:left="0"/>
              <w:rPr>
                <w:rFonts w:asciiTheme="minorHAnsi" w:hAnsiTheme="minorHAnsi" w:cstheme="minorBidi"/>
                <w:color w:val="005BB7" w:themeColor="text2" w:themeTint="BF"/>
                <w:szCs w:val="22"/>
              </w:rPr>
            </w:pPr>
          </w:p>
          <w:p w14:paraId="374ED7FD" w14:textId="77777777" w:rsidR="00916B09" w:rsidRPr="00631B4E" w:rsidRDefault="00916B09" w:rsidP="00916B09">
            <w:pPr>
              <w:pStyle w:val="NormalIndent"/>
              <w:spacing w:before="0" w:after="40" w:line="240" w:lineRule="auto"/>
              <w:ind w:left="0"/>
              <w:rPr>
                <w:rFonts w:asciiTheme="minorHAnsi" w:hAnsiTheme="minorHAnsi" w:cstheme="minorBidi"/>
                <w:color w:val="005BB7" w:themeColor="text2" w:themeTint="BF"/>
                <w:szCs w:val="22"/>
              </w:rPr>
            </w:pPr>
            <w:r w:rsidRPr="00631B4E">
              <w:rPr>
                <w:rFonts w:asciiTheme="minorHAnsi" w:hAnsiTheme="minorHAnsi" w:cstheme="minorBidi"/>
                <w:color w:val="005BB7" w:themeColor="text2" w:themeTint="BF"/>
                <w:szCs w:val="22"/>
              </w:rPr>
              <w:t xml:space="preserve">Academic Freedom and Freedom of Speech </w:t>
            </w:r>
          </w:p>
          <w:p w14:paraId="66C0D528" w14:textId="77777777" w:rsidR="00916B09" w:rsidRPr="00631B4E" w:rsidRDefault="00916B09" w:rsidP="00916B09">
            <w:pPr>
              <w:autoSpaceDE w:val="0"/>
              <w:autoSpaceDN w:val="0"/>
              <w:adjustRightInd w:val="0"/>
              <w:spacing w:after="40"/>
              <w:rPr>
                <w:color w:val="7F4594" w:themeColor="hyperlink"/>
                <w:u w:val="single"/>
              </w:rPr>
            </w:pPr>
            <w:r w:rsidRPr="00631B4E">
              <w:rPr>
                <w:rFonts w:ascii="Calibri" w:hAnsi="Calibri" w:cs="Calibri"/>
                <w:color w:val="000000"/>
              </w:rPr>
              <w:t xml:space="preserve">The University has implemented a </w:t>
            </w:r>
            <w:hyperlink r:id="rId21" w:history="1">
              <w:r w:rsidRPr="00631B4E">
                <w:rPr>
                  <w:rStyle w:val="Hyperlink"/>
                </w:rPr>
                <w:t xml:space="preserve">Code for the Protection of Freedom of Speech and </w:t>
              </w:r>
              <w:r w:rsidRPr="00631B4E">
                <w:rPr>
                  <w:rStyle w:val="Hyperlink"/>
                  <w:rFonts w:ascii="Calibri" w:hAnsi="Calibri" w:cs="Calibri"/>
                </w:rPr>
                <w:t>Academic Freedom</w:t>
              </w:r>
            </w:hyperlink>
            <w:r w:rsidRPr="00631B4E">
              <w:rPr>
                <w:rFonts w:ascii="Calibri" w:hAnsi="Calibri" w:cs="Calibri"/>
                <w:color w:val="0000FF"/>
              </w:rPr>
              <w:t xml:space="preserve"> </w:t>
            </w:r>
            <w:r w:rsidRPr="00631B4E">
              <w:rPr>
                <w:rFonts w:ascii="Calibri" w:hAnsi="Calibri" w:cs="Calibri"/>
                <w:color w:val="000000"/>
              </w:rPr>
              <w:t xml:space="preserve">that reflects the model code in full. The University has </w:t>
            </w:r>
            <w:proofErr w:type="gramStart"/>
            <w:r w:rsidRPr="00631B4E">
              <w:rPr>
                <w:rFonts w:ascii="Calibri" w:hAnsi="Calibri" w:cs="Calibri"/>
                <w:color w:val="000000"/>
              </w:rPr>
              <w:t>a number of</w:t>
            </w:r>
            <w:proofErr w:type="gramEnd"/>
            <w:r w:rsidRPr="00631B4E">
              <w:rPr>
                <w:rFonts w:ascii="Calibri" w:hAnsi="Calibri" w:cs="Calibri"/>
                <w:color w:val="000000"/>
              </w:rPr>
              <w:t xml:space="preserve"> other statutory and non-statutory rules, policies and guidelines which include reference to principles of:</w:t>
            </w:r>
          </w:p>
          <w:p w14:paraId="0EBE4DFB" w14:textId="77777777" w:rsidR="00916B09" w:rsidRPr="00631B4E" w:rsidRDefault="00916B09" w:rsidP="00B71029">
            <w:pPr>
              <w:pStyle w:val="ListParagraph"/>
              <w:numPr>
                <w:ilvl w:val="0"/>
                <w:numId w:val="9"/>
              </w:numPr>
              <w:autoSpaceDE w:val="0"/>
              <w:autoSpaceDN w:val="0"/>
              <w:adjustRightInd w:val="0"/>
              <w:spacing w:after="40"/>
              <w:ind w:left="736" w:hanging="142"/>
              <w:rPr>
                <w:rFonts w:ascii="Calibri" w:hAnsi="Calibri" w:cs="Calibri"/>
                <w:color w:val="000000"/>
              </w:rPr>
            </w:pPr>
            <w:r w:rsidRPr="00631B4E">
              <w:rPr>
                <w:rFonts w:ascii="Calibri" w:hAnsi="Calibri" w:cs="Calibri"/>
                <w:color w:val="000000"/>
              </w:rPr>
              <w:t>Academic and intellectual freedom</w:t>
            </w:r>
          </w:p>
          <w:p w14:paraId="35C23F9F" w14:textId="77777777" w:rsidR="00916B09" w:rsidRPr="00631B4E" w:rsidRDefault="00916B09" w:rsidP="00B71029">
            <w:pPr>
              <w:pStyle w:val="ListParagraph"/>
              <w:numPr>
                <w:ilvl w:val="0"/>
                <w:numId w:val="9"/>
              </w:numPr>
              <w:autoSpaceDE w:val="0"/>
              <w:autoSpaceDN w:val="0"/>
              <w:adjustRightInd w:val="0"/>
              <w:spacing w:after="40"/>
              <w:ind w:left="736" w:hanging="142"/>
              <w:rPr>
                <w:rStyle w:val="Hyperlink"/>
              </w:rPr>
            </w:pPr>
            <w:r w:rsidRPr="00631B4E">
              <w:fldChar w:fldCharType="begin"/>
            </w:r>
            <w:r w:rsidRPr="00631B4E">
              <w:instrText>HYPERLINK "https://policies.newcastle.edu.au/document/view-current.php?id=35"</w:instrText>
            </w:r>
            <w:r w:rsidRPr="00631B4E">
              <w:fldChar w:fldCharType="separate"/>
            </w:r>
            <w:r w:rsidRPr="00631B4E">
              <w:rPr>
                <w:rStyle w:val="Hyperlink"/>
              </w:rPr>
              <w:t>Academic and research integrity</w:t>
            </w:r>
          </w:p>
          <w:p w14:paraId="780F7B65" w14:textId="77777777" w:rsidR="00916B09" w:rsidRPr="00631B4E" w:rsidRDefault="00916B09" w:rsidP="00B71029">
            <w:pPr>
              <w:pStyle w:val="ListParagraph"/>
              <w:numPr>
                <w:ilvl w:val="0"/>
                <w:numId w:val="9"/>
              </w:numPr>
              <w:autoSpaceDE w:val="0"/>
              <w:autoSpaceDN w:val="0"/>
              <w:adjustRightInd w:val="0"/>
              <w:spacing w:after="40"/>
              <w:ind w:left="736" w:hanging="142"/>
              <w:rPr>
                <w:rStyle w:val="Hyperlink"/>
              </w:rPr>
            </w:pPr>
            <w:r w:rsidRPr="00631B4E">
              <w:fldChar w:fldCharType="end"/>
            </w:r>
            <w:hyperlink r:id="rId22" w:history="1">
              <w:r w:rsidRPr="00631B4E">
                <w:rPr>
                  <w:rStyle w:val="Hyperlink"/>
                </w:rPr>
                <w:t>Conduct of students, staff and research</w:t>
              </w:r>
            </w:hyperlink>
          </w:p>
          <w:p w14:paraId="04FDBA38" w14:textId="77777777" w:rsidR="00916B09" w:rsidRPr="00631B4E" w:rsidRDefault="00916B09" w:rsidP="00B71029">
            <w:pPr>
              <w:pStyle w:val="ListParagraph"/>
              <w:numPr>
                <w:ilvl w:val="0"/>
                <w:numId w:val="9"/>
              </w:numPr>
              <w:autoSpaceDE w:val="0"/>
              <w:autoSpaceDN w:val="0"/>
              <w:adjustRightInd w:val="0"/>
              <w:spacing w:after="40"/>
              <w:ind w:left="736" w:hanging="142"/>
              <w:rPr>
                <w:rFonts w:ascii="Calibri" w:hAnsi="Calibri" w:cs="Calibri"/>
                <w:color w:val="0000FF"/>
              </w:rPr>
            </w:pPr>
            <w:hyperlink r:id="rId23" w:history="1">
              <w:r w:rsidRPr="00631B4E">
                <w:rPr>
                  <w:rStyle w:val="Hyperlink"/>
                </w:rPr>
                <w:t>Information Security</w:t>
              </w:r>
            </w:hyperlink>
          </w:p>
          <w:p w14:paraId="14DDB8CF" w14:textId="77777777" w:rsidR="00916B09" w:rsidRPr="00631B4E" w:rsidRDefault="00916B09" w:rsidP="00916B09">
            <w:pPr>
              <w:pStyle w:val="NormalIndent"/>
              <w:spacing w:before="0" w:after="0"/>
              <w:ind w:left="0"/>
              <w:rPr>
                <w:rFonts w:asciiTheme="minorHAnsi" w:hAnsiTheme="minorHAnsi" w:cstheme="minorBidi"/>
                <w:color w:val="005BB7" w:themeColor="text2" w:themeTint="BF"/>
                <w:szCs w:val="22"/>
              </w:rPr>
            </w:pPr>
          </w:p>
          <w:p w14:paraId="19079519" w14:textId="77777777" w:rsidR="00916B09" w:rsidRPr="00631B4E" w:rsidRDefault="00916B09" w:rsidP="00916B09">
            <w:pPr>
              <w:pStyle w:val="NormalIndent"/>
              <w:spacing w:before="0" w:after="0"/>
              <w:ind w:left="0"/>
              <w:rPr>
                <w:rFonts w:asciiTheme="minorHAnsi" w:hAnsiTheme="minorHAnsi" w:cstheme="minorBidi"/>
                <w:color w:val="005BB7" w:themeColor="text2" w:themeTint="BF"/>
                <w:szCs w:val="22"/>
              </w:rPr>
            </w:pPr>
            <w:r w:rsidRPr="00631B4E">
              <w:rPr>
                <w:rFonts w:asciiTheme="minorHAnsi" w:hAnsiTheme="minorHAnsi" w:cstheme="minorBidi"/>
                <w:color w:val="005BB7" w:themeColor="text2" w:themeTint="BF"/>
                <w:szCs w:val="22"/>
              </w:rPr>
              <w:t>Cyber and data security</w:t>
            </w:r>
          </w:p>
          <w:p w14:paraId="4EE24541" w14:textId="1F30C836" w:rsidR="00916B09" w:rsidRDefault="00631E39" w:rsidP="00631E39">
            <w:pPr>
              <w:spacing w:after="0"/>
              <w:rPr>
                <w:rFonts w:eastAsia="Times New Roman" w:cstheme="minorHAnsi"/>
                <w:color w:val="2D3138"/>
                <w:shd w:val="clear" w:color="auto" w:fill="FFFFFF"/>
                <w:lang w:eastAsia="en-AU"/>
              </w:rPr>
            </w:pPr>
            <w:r w:rsidRPr="00631E39">
              <w:rPr>
                <w:rFonts w:eastAsia="Times New Roman" w:cstheme="minorHAnsi"/>
                <w:color w:val="2D3138"/>
                <w:shd w:val="clear" w:color="auto" w:fill="FFFFFF"/>
                <w:lang w:eastAsia="en-AU"/>
              </w:rPr>
              <w:t>Cyber security governance and teams protect staff, students, systems and data from cyber threats. The cyber program has been enhanced to align to the NIST Cyber Security Framework and the ACSC Essential Eight Strategies to Mitigate Cyber Security Incidents. The NIST framework defines both reactive and proactive controls to Govern; Identify; Protect; Detect; Respond; and Recover. The University continuously measures and matures progress against these frameworks.</w:t>
            </w:r>
          </w:p>
          <w:p w14:paraId="2A3CFB8C" w14:textId="77777777" w:rsidR="001B109C" w:rsidRDefault="001B109C">
            <w:pPr>
              <w:pStyle w:val="NormalIndent"/>
              <w:spacing w:before="0" w:after="0"/>
              <w:ind w:left="0"/>
              <w:rPr>
                <w:rFonts w:asciiTheme="minorHAnsi" w:hAnsiTheme="minorHAnsi" w:cstheme="minorHAnsi"/>
                <w:i/>
                <w:iCs/>
                <w:szCs w:val="22"/>
              </w:rPr>
            </w:pPr>
          </w:p>
          <w:p w14:paraId="008AE176" w14:textId="77777777" w:rsidR="001B109C" w:rsidRDefault="001B109C">
            <w:pPr>
              <w:pStyle w:val="NormalIndent"/>
              <w:spacing w:before="0" w:after="0"/>
              <w:ind w:left="0"/>
              <w:rPr>
                <w:rFonts w:asciiTheme="minorHAnsi" w:hAnsiTheme="minorHAnsi" w:cstheme="minorHAnsi"/>
                <w:i/>
                <w:iCs/>
                <w:szCs w:val="22"/>
              </w:rPr>
            </w:pPr>
          </w:p>
          <w:p w14:paraId="6AF816CC" w14:textId="77777777" w:rsidR="001B109C" w:rsidRDefault="001B109C">
            <w:pPr>
              <w:pStyle w:val="NormalIndent"/>
              <w:spacing w:before="0" w:after="0"/>
              <w:ind w:left="0"/>
              <w:rPr>
                <w:rFonts w:asciiTheme="minorHAnsi" w:hAnsiTheme="minorHAnsi" w:cstheme="minorHAnsi"/>
                <w:i/>
                <w:iCs/>
                <w:szCs w:val="22"/>
              </w:rPr>
            </w:pPr>
          </w:p>
          <w:p w14:paraId="4A8F9362" w14:textId="77777777" w:rsidR="001B109C" w:rsidRDefault="001B109C">
            <w:pPr>
              <w:pStyle w:val="NormalIndent"/>
              <w:spacing w:before="0" w:after="0"/>
              <w:ind w:left="0"/>
              <w:rPr>
                <w:rFonts w:asciiTheme="minorHAnsi" w:hAnsiTheme="minorHAnsi" w:cstheme="minorHAnsi"/>
                <w:i/>
                <w:iCs/>
                <w:szCs w:val="22"/>
              </w:rPr>
            </w:pPr>
          </w:p>
          <w:p w14:paraId="011604FA" w14:textId="77777777" w:rsidR="001B109C" w:rsidRDefault="001B109C">
            <w:pPr>
              <w:pStyle w:val="NormalIndent"/>
              <w:spacing w:before="0" w:after="0"/>
              <w:ind w:left="0"/>
              <w:rPr>
                <w:rFonts w:asciiTheme="minorHAnsi" w:hAnsiTheme="minorHAnsi" w:cstheme="minorHAnsi"/>
                <w:i/>
                <w:iCs/>
                <w:szCs w:val="22"/>
              </w:rPr>
            </w:pPr>
          </w:p>
          <w:p w14:paraId="44C98D4A" w14:textId="77777777" w:rsidR="001B109C" w:rsidRDefault="001B109C">
            <w:pPr>
              <w:pStyle w:val="NormalIndent"/>
              <w:spacing w:before="0" w:after="0"/>
              <w:ind w:left="0"/>
              <w:rPr>
                <w:rFonts w:asciiTheme="minorHAnsi" w:hAnsiTheme="minorHAnsi" w:cstheme="minorHAnsi"/>
                <w:i/>
                <w:iCs/>
                <w:szCs w:val="22"/>
              </w:rPr>
            </w:pPr>
          </w:p>
          <w:p w14:paraId="033E18A5" w14:textId="77777777" w:rsidR="001B109C" w:rsidRDefault="001B109C">
            <w:pPr>
              <w:pStyle w:val="NormalIndent"/>
              <w:spacing w:before="0" w:after="0"/>
              <w:ind w:left="0"/>
              <w:rPr>
                <w:rFonts w:asciiTheme="minorHAnsi" w:hAnsiTheme="minorHAnsi" w:cstheme="minorHAnsi"/>
                <w:i/>
                <w:iCs/>
                <w:szCs w:val="22"/>
              </w:rPr>
            </w:pPr>
          </w:p>
          <w:p w14:paraId="004418D5" w14:textId="77777777" w:rsidR="001B109C" w:rsidRDefault="001B109C">
            <w:pPr>
              <w:pStyle w:val="NormalIndent"/>
              <w:spacing w:before="0" w:after="0"/>
              <w:ind w:left="0"/>
              <w:rPr>
                <w:rFonts w:asciiTheme="minorHAnsi" w:hAnsiTheme="minorHAnsi" w:cstheme="minorHAnsi"/>
                <w:i/>
                <w:iCs/>
                <w:szCs w:val="22"/>
              </w:rPr>
            </w:pPr>
          </w:p>
          <w:p w14:paraId="4F796145" w14:textId="77777777" w:rsidR="001B109C" w:rsidRDefault="001B109C">
            <w:pPr>
              <w:pStyle w:val="NormalIndent"/>
              <w:spacing w:before="0" w:after="0"/>
              <w:ind w:left="0"/>
              <w:rPr>
                <w:rFonts w:asciiTheme="minorHAnsi" w:hAnsiTheme="minorHAnsi" w:cstheme="minorHAnsi"/>
                <w:i/>
                <w:iCs/>
                <w:szCs w:val="22"/>
              </w:rPr>
            </w:pPr>
          </w:p>
          <w:p w14:paraId="7E958640" w14:textId="77777777" w:rsidR="001B109C" w:rsidRDefault="001B109C">
            <w:pPr>
              <w:pStyle w:val="NormalIndent"/>
              <w:spacing w:before="0" w:after="0"/>
              <w:ind w:left="0"/>
              <w:rPr>
                <w:rFonts w:asciiTheme="minorHAnsi" w:hAnsiTheme="minorHAnsi" w:cstheme="minorHAnsi"/>
                <w:i/>
                <w:iCs/>
                <w:szCs w:val="22"/>
              </w:rPr>
            </w:pPr>
          </w:p>
          <w:p w14:paraId="494C2E4D" w14:textId="77777777" w:rsidR="001B109C" w:rsidRDefault="001B109C">
            <w:pPr>
              <w:pStyle w:val="NormalIndent"/>
              <w:spacing w:before="0" w:after="0"/>
              <w:ind w:left="0"/>
              <w:rPr>
                <w:rFonts w:asciiTheme="minorHAnsi" w:hAnsiTheme="minorHAnsi" w:cstheme="minorHAnsi"/>
                <w:i/>
                <w:iCs/>
                <w:szCs w:val="22"/>
              </w:rPr>
            </w:pPr>
          </w:p>
          <w:p w14:paraId="0A990CED" w14:textId="77777777" w:rsidR="001B109C" w:rsidRDefault="001B109C">
            <w:pPr>
              <w:pStyle w:val="NormalIndent"/>
              <w:spacing w:before="0" w:after="0"/>
              <w:ind w:left="0"/>
              <w:rPr>
                <w:rFonts w:asciiTheme="minorHAnsi" w:hAnsiTheme="minorHAnsi" w:cstheme="minorHAnsi"/>
                <w:i/>
                <w:iCs/>
                <w:szCs w:val="22"/>
              </w:rPr>
            </w:pPr>
          </w:p>
          <w:p w14:paraId="2C91A87B" w14:textId="77777777" w:rsidR="001B109C" w:rsidRPr="005774F2" w:rsidRDefault="001B109C">
            <w:pPr>
              <w:pStyle w:val="NormalIndent"/>
              <w:spacing w:before="0" w:after="0"/>
              <w:ind w:left="0"/>
              <w:rPr>
                <w:rFonts w:asciiTheme="minorHAnsi" w:hAnsiTheme="minorHAnsi" w:cstheme="minorHAnsi"/>
                <w:i/>
                <w:iCs/>
                <w:szCs w:val="22"/>
              </w:rPr>
            </w:pPr>
          </w:p>
        </w:tc>
      </w:tr>
      <w:tr w:rsidR="001B109C" w:rsidRPr="00E41388" w14:paraId="1A37823C" w14:textId="77777777" w:rsidTr="397132BD">
        <w:trPr>
          <w:cantSplit/>
        </w:trPr>
        <w:tc>
          <w:tcPr>
            <w:tcW w:w="5000" w:type="pct"/>
          </w:tcPr>
          <w:p w14:paraId="38352760" w14:textId="6A3465D7" w:rsidR="009C423D" w:rsidRPr="009C423D" w:rsidRDefault="009C423D" w:rsidP="00180218">
            <w:pPr>
              <w:spacing w:after="0"/>
              <w:rPr>
                <w:rFonts w:asciiTheme="majorHAnsi" w:eastAsia="Aptos" w:hAnsiTheme="majorHAnsi" w:cstheme="majorHAnsi"/>
                <w:b/>
                <w:bCs/>
                <w:color w:val="003A74" w:themeColor="text2" w:themeTint="E6"/>
                <w:sz w:val="28"/>
                <w:szCs w:val="28"/>
              </w:rPr>
            </w:pPr>
            <w:bookmarkStart w:id="0" w:name="_Hlk150338733"/>
            <w:bookmarkStart w:id="1" w:name="_Hlk150338471"/>
            <w:r w:rsidRPr="009C423D">
              <w:rPr>
                <w:rFonts w:asciiTheme="majorHAnsi" w:hAnsiTheme="majorHAnsi" w:cstheme="majorHAnsi"/>
                <w:b/>
                <w:bCs/>
                <w:color w:val="003A74" w:themeColor="text2" w:themeTint="E6"/>
                <w:sz w:val="28"/>
                <w:szCs w:val="28"/>
              </w:rPr>
              <w:lastRenderedPageBreak/>
              <w:t>Strategies for Improving Equality of Opportunity in Higher Education</w:t>
            </w:r>
          </w:p>
          <w:p w14:paraId="48CED83E" w14:textId="4CAD8787" w:rsidR="4EE89A77" w:rsidRPr="009C423D" w:rsidRDefault="4EE89A77" w:rsidP="00D97135">
            <w:pPr>
              <w:spacing w:after="0"/>
              <w:rPr>
                <w:rFonts w:cstheme="minorHAnsi"/>
              </w:rPr>
            </w:pPr>
            <w:r w:rsidRPr="009C423D">
              <w:rPr>
                <w:rFonts w:eastAsia="Aptos" w:cstheme="minorHAnsi"/>
              </w:rPr>
              <w:t>The University of Newcastle (UON) has a long-standing reputation as a national and international leader in equity and widening participation in higher education. Our commitment is embedded institution-wide and guided by the Engagement and Equity Division, which brings together leadership, policy, research, and practice to drive systemic change. This work is strengthened through the Centre of Excellence for Equity in Higher Education (CEEHE), which undertakes globally recognised, field-leading equity research and supports the translation of this evidence into practice across the institution.</w:t>
            </w:r>
          </w:p>
          <w:p w14:paraId="2562188A" w14:textId="5210256C" w:rsidR="4EE89A77" w:rsidRPr="009C423D" w:rsidRDefault="4EE89A77" w:rsidP="00D97135">
            <w:pPr>
              <w:spacing w:after="0"/>
              <w:rPr>
                <w:rFonts w:eastAsia="Aptos" w:cstheme="minorHAnsi"/>
              </w:rPr>
            </w:pPr>
          </w:p>
          <w:p w14:paraId="36389A83" w14:textId="14066C3F" w:rsidR="4EE89A77" w:rsidRPr="009C423D" w:rsidRDefault="4EE89A77" w:rsidP="00D97135">
            <w:pPr>
              <w:spacing w:after="0"/>
              <w:rPr>
                <w:rFonts w:eastAsia="Aptos" w:cstheme="minorHAnsi"/>
              </w:rPr>
            </w:pPr>
            <w:r w:rsidRPr="009C423D">
              <w:rPr>
                <w:rFonts w:eastAsia="Aptos" w:cstheme="minorHAnsi"/>
              </w:rPr>
              <w:t>1)</w:t>
            </w:r>
            <w:r w:rsidRPr="009C423D">
              <w:rPr>
                <w:rFonts w:cstheme="minorHAnsi"/>
              </w:rPr>
              <w:tab/>
            </w:r>
            <w:r w:rsidRPr="009C423D">
              <w:rPr>
                <w:rFonts w:eastAsia="Aptos" w:cstheme="minorHAnsi"/>
              </w:rPr>
              <w:t>Composing equity structures to coordinate collaboration across institution;</w:t>
            </w:r>
          </w:p>
          <w:p w14:paraId="65E1CA70" w14:textId="77777777" w:rsidR="00737DF6" w:rsidRDefault="00737DF6" w:rsidP="00D97135">
            <w:pPr>
              <w:spacing w:after="0"/>
              <w:rPr>
                <w:rFonts w:eastAsia="Aptos" w:cstheme="minorHAnsi"/>
                <w:b/>
              </w:rPr>
            </w:pPr>
          </w:p>
          <w:p w14:paraId="7CD092E2" w14:textId="1398BEF0" w:rsidR="00916B09" w:rsidRPr="009C423D" w:rsidRDefault="00916B09" w:rsidP="00D97135">
            <w:pPr>
              <w:spacing w:after="0"/>
              <w:rPr>
                <w:rFonts w:cstheme="minorHAnsi"/>
                <w:b/>
                <w:bCs/>
              </w:rPr>
            </w:pPr>
            <w:r w:rsidRPr="009C423D">
              <w:rPr>
                <w:rFonts w:eastAsia="Aptos" w:cstheme="minorHAnsi"/>
                <w:b/>
              </w:rPr>
              <w:t>Achieved:</w:t>
            </w:r>
          </w:p>
          <w:p w14:paraId="6151E417" w14:textId="16578F9D" w:rsidR="4EE89A77" w:rsidRPr="00D97135" w:rsidRDefault="4EE89A77" w:rsidP="00B71029">
            <w:pPr>
              <w:pStyle w:val="ListParagraph"/>
              <w:numPr>
                <w:ilvl w:val="0"/>
                <w:numId w:val="14"/>
              </w:numPr>
              <w:spacing w:after="0"/>
              <w:rPr>
                <w:rFonts w:eastAsia="Aptos" w:cstheme="minorHAnsi"/>
              </w:rPr>
            </w:pPr>
            <w:r w:rsidRPr="00D97135">
              <w:rPr>
                <w:rFonts w:eastAsia="Aptos" w:cstheme="minorHAnsi"/>
              </w:rPr>
              <w:t>Establishment of the Engagement and Equity Division and the Deputy Vice-Chancellor Engagement and Equity, creating a whole-of-institution focus on access, participation, retention, and success.</w:t>
            </w:r>
          </w:p>
          <w:p w14:paraId="4256C6A9" w14:textId="1F5BF64B" w:rsidR="00916B09" w:rsidRPr="00D97135" w:rsidRDefault="00916B09" w:rsidP="00B71029">
            <w:pPr>
              <w:pStyle w:val="ListParagraph"/>
              <w:numPr>
                <w:ilvl w:val="0"/>
                <w:numId w:val="14"/>
              </w:numPr>
              <w:spacing w:after="0"/>
              <w:rPr>
                <w:rFonts w:eastAsia="Aptos" w:cstheme="minorHAnsi"/>
              </w:rPr>
            </w:pPr>
            <w:r w:rsidRPr="00D97135">
              <w:rPr>
                <w:rFonts w:eastAsia="Aptos" w:cstheme="minorHAnsi"/>
              </w:rPr>
              <w:t>Excellence in equity across all core dimensions of education through the highest quality equity programs, practice, evaluation and research</w:t>
            </w:r>
          </w:p>
          <w:p w14:paraId="16101518" w14:textId="0075ED56" w:rsidR="00916B09" w:rsidRDefault="00916B09" w:rsidP="00B71029">
            <w:pPr>
              <w:pStyle w:val="ListParagraph"/>
              <w:numPr>
                <w:ilvl w:val="0"/>
                <w:numId w:val="14"/>
              </w:numPr>
              <w:spacing w:after="0"/>
              <w:rPr>
                <w:rFonts w:eastAsia="Aptos" w:cstheme="minorHAnsi"/>
              </w:rPr>
            </w:pPr>
            <w:r w:rsidRPr="00D97135">
              <w:rPr>
                <w:rFonts w:eastAsia="Aptos" w:cstheme="minorHAnsi"/>
              </w:rPr>
              <w:t xml:space="preserve">Active engagement with policy formation, driven by research in equity, to redefine success and how we work with students. </w:t>
            </w:r>
          </w:p>
          <w:p w14:paraId="4BDD10A1" w14:textId="3FD2C55E" w:rsidR="00A12966" w:rsidRPr="00D97135" w:rsidRDefault="00A12966" w:rsidP="00B71029">
            <w:pPr>
              <w:pStyle w:val="ListParagraph"/>
              <w:numPr>
                <w:ilvl w:val="0"/>
                <w:numId w:val="14"/>
              </w:numPr>
              <w:spacing w:after="0"/>
              <w:rPr>
                <w:rFonts w:eastAsia="Aptos" w:cstheme="minorHAnsi"/>
              </w:rPr>
            </w:pPr>
            <w:r>
              <w:rPr>
                <w:rFonts w:eastAsia="Aptos" w:cstheme="minorHAnsi"/>
              </w:rPr>
              <w:t xml:space="preserve">Delivered Disability Inclusion Action Plan </w:t>
            </w:r>
            <w:r w:rsidR="007E297A">
              <w:rPr>
                <w:rFonts w:eastAsia="Aptos" w:cstheme="minorHAnsi"/>
              </w:rPr>
              <w:t>2024-</w:t>
            </w:r>
            <w:r>
              <w:rPr>
                <w:rFonts w:eastAsia="Aptos" w:cstheme="minorHAnsi"/>
              </w:rPr>
              <w:t>2025</w:t>
            </w:r>
            <w:r w:rsidR="00C16622">
              <w:rPr>
                <w:rFonts w:eastAsia="Aptos" w:cstheme="minorHAnsi"/>
              </w:rPr>
              <w:t>, co-designed with staff and students with a disability and reflecting that the University of Newcastle enrols</w:t>
            </w:r>
            <w:r w:rsidR="00096FC2">
              <w:rPr>
                <w:rFonts w:eastAsia="Aptos" w:cstheme="minorHAnsi"/>
              </w:rPr>
              <w:t xml:space="preserve"> one</w:t>
            </w:r>
            <w:r w:rsidR="00C16622">
              <w:rPr>
                <w:rFonts w:eastAsia="Aptos" w:cstheme="minorHAnsi"/>
              </w:rPr>
              <w:t xml:space="preserve"> </w:t>
            </w:r>
            <w:r w:rsidR="00CF3E5F">
              <w:rPr>
                <w:rFonts w:eastAsia="Aptos" w:cstheme="minorHAnsi"/>
              </w:rPr>
              <w:t xml:space="preserve">of </w:t>
            </w:r>
            <w:r w:rsidR="00C16622">
              <w:rPr>
                <w:rFonts w:eastAsia="Aptos" w:cstheme="minorHAnsi"/>
              </w:rPr>
              <w:t>the highes</w:t>
            </w:r>
            <w:r w:rsidR="00096FC2">
              <w:rPr>
                <w:rFonts w:eastAsia="Aptos" w:cstheme="minorHAnsi"/>
              </w:rPr>
              <w:t xml:space="preserve">t </w:t>
            </w:r>
            <w:r w:rsidR="00636379">
              <w:rPr>
                <w:rFonts w:eastAsia="Aptos" w:cstheme="minorHAnsi"/>
              </w:rPr>
              <w:t>number</w:t>
            </w:r>
            <w:r w:rsidR="00096FC2">
              <w:rPr>
                <w:rFonts w:eastAsia="Aptos" w:cstheme="minorHAnsi"/>
              </w:rPr>
              <w:t xml:space="preserve"> students with a declared disability</w:t>
            </w:r>
            <w:r w:rsidR="00636379">
              <w:rPr>
                <w:rFonts w:eastAsia="Aptos" w:cstheme="minorHAnsi"/>
              </w:rPr>
              <w:t xml:space="preserve"> (5000+ in 2025)</w:t>
            </w:r>
          </w:p>
          <w:p w14:paraId="1D1D3472" w14:textId="0C6F7FED" w:rsidR="4EE89A77" w:rsidRPr="00D97135" w:rsidRDefault="4EE89A77" w:rsidP="00B71029">
            <w:pPr>
              <w:pStyle w:val="ListParagraph"/>
              <w:numPr>
                <w:ilvl w:val="0"/>
                <w:numId w:val="14"/>
              </w:numPr>
              <w:spacing w:after="0"/>
              <w:rPr>
                <w:rFonts w:eastAsia="Aptos" w:cstheme="minorHAnsi"/>
              </w:rPr>
            </w:pPr>
            <w:r w:rsidRPr="00D97135">
              <w:rPr>
                <w:rFonts w:eastAsia="Aptos" w:cstheme="minorHAnsi"/>
              </w:rPr>
              <w:t>Restructure the Pathways Centre to provide explicit and supported pathways into higher education.</w:t>
            </w:r>
          </w:p>
          <w:p w14:paraId="14E8D9FF" w14:textId="34757232" w:rsidR="4EE89A77" w:rsidRPr="00D97135" w:rsidRDefault="4EE89A77" w:rsidP="00B71029">
            <w:pPr>
              <w:pStyle w:val="ListParagraph"/>
              <w:numPr>
                <w:ilvl w:val="0"/>
                <w:numId w:val="14"/>
              </w:numPr>
              <w:spacing w:after="0"/>
              <w:rPr>
                <w:rFonts w:eastAsia="Aptos" w:cstheme="minorHAnsi"/>
              </w:rPr>
            </w:pPr>
            <w:r w:rsidRPr="00D97135">
              <w:rPr>
                <w:rFonts w:eastAsia="Aptos" w:cstheme="minorHAnsi"/>
              </w:rPr>
              <w:t xml:space="preserve">Institutional leadership in policy development through CEEHE, with research-driven contributions redefining measures of student success. </w:t>
            </w:r>
          </w:p>
          <w:p w14:paraId="27B62208" w14:textId="38AB2B59" w:rsidR="00180218" w:rsidRPr="009C423D" w:rsidRDefault="4EE89A77" w:rsidP="00D97135">
            <w:pPr>
              <w:spacing w:after="0"/>
              <w:rPr>
                <w:rFonts w:eastAsia="Aptos" w:cstheme="minorHAnsi"/>
              </w:rPr>
            </w:pPr>
            <w:r w:rsidRPr="009C423D">
              <w:rPr>
                <w:rFonts w:eastAsia="Aptos" w:cstheme="minorHAnsi"/>
              </w:rPr>
              <w:t xml:space="preserve"> </w:t>
            </w:r>
          </w:p>
          <w:p w14:paraId="37CB4FF3" w14:textId="4B3925C3" w:rsidR="00916B09" w:rsidRPr="009C423D" w:rsidRDefault="00916B09" w:rsidP="00D97135">
            <w:pPr>
              <w:spacing w:after="0"/>
              <w:rPr>
                <w:rFonts w:eastAsia="Aptos" w:cstheme="minorHAnsi"/>
              </w:rPr>
            </w:pPr>
            <w:r w:rsidRPr="009C423D">
              <w:rPr>
                <w:rFonts w:eastAsia="Aptos" w:cstheme="minorHAnsi"/>
                <w:b/>
              </w:rPr>
              <w:t>Measured:</w:t>
            </w:r>
          </w:p>
          <w:p w14:paraId="500B497F" w14:textId="704842E1" w:rsidR="4EE89A77" w:rsidRPr="00737DF6" w:rsidRDefault="4EE89A77" w:rsidP="00B71029">
            <w:pPr>
              <w:pStyle w:val="ListParagraph"/>
              <w:numPr>
                <w:ilvl w:val="0"/>
                <w:numId w:val="15"/>
              </w:numPr>
              <w:spacing w:after="0"/>
              <w:rPr>
                <w:rFonts w:eastAsia="Aptos" w:cstheme="minorHAnsi"/>
              </w:rPr>
            </w:pPr>
            <w:r w:rsidRPr="00737DF6">
              <w:rPr>
                <w:rFonts w:eastAsia="Aptos" w:cstheme="minorHAnsi"/>
              </w:rPr>
              <w:t>Investment in roles/units to develop and sustain fit-for-purpose and research informed equity initiatives.</w:t>
            </w:r>
          </w:p>
          <w:p w14:paraId="246AC96E" w14:textId="1044815A" w:rsidR="00916B09" w:rsidRPr="00737DF6" w:rsidRDefault="00916B09" w:rsidP="00B71029">
            <w:pPr>
              <w:pStyle w:val="ListParagraph"/>
              <w:numPr>
                <w:ilvl w:val="0"/>
                <w:numId w:val="15"/>
              </w:numPr>
              <w:spacing w:after="0"/>
              <w:rPr>
                <w:rFonts w:eastAsia="Aptos" w:cstheme="minorHAnsi"/>
              </w:rPr>
            </w:pPr>
            <w:r w:rsidRPr="00737DF6">
              <w:rPr>
                <w:rFonts w:eastAsia="Aptos" w:cstheme="minorHAnsi"/>
              </w:rPr>
              <w:t xml:space="preserve">Investment in </w:t>
            </w:r>
            <w:r w:rsidR="4EE89A77" w:rsidRPr="00737DF6">
              <w:rPr>
                <w:rFonts w:eastAsia="Aptos" w:cstheme="minorHAnsi"/>
              </w:rPr>
              <w:t>roles/units</w:t>
            </w:r>
            <w:r w:rsidR="00A55511" w:rsidRPr="00737DF6">
              <w:rPr>
                <w:rFonts w:eastAsia="Aptos" w:cstheme="minorHAnsi"/>
              </w:rPr>
              <w:t xml:space="preserve"> </w:t>
            </w:r>
            <w:r w:rsidRPr="00737DF6">
              <w:rPr>
                <w:rFonts w:eastAsia="Aptos" w:cstheme="minorHAnsi"/>
              </w:rPr>
              <w:t xml:space="preserve">to support and facilitate the collaboration of all University equity initiatives stakeholders. </w:t>
            </w:r>
          </w:p>
          <w:p w14:paraId="2FBE4586" w14:textId="46ED8B4A" w:rsidR="00916B09" w:rsidRPr="00737DF6" w:rsidRDefault="00916B09" w:rsidP="00B71029">
            <w:pPr>
              <w:pStyle w:val="ListParagraph"/>
              <w:numPr>
                <w:ilvl w:val="0"/>
                <w:numId w:val="15"/>
              </w:numPr>
              <w:spacing w:after="0"/>
              <w:rPr>
                <w:rFonts w:eastAsia="Aptos" w:cstheme="minorHAnsi"/>
              </w:rPr>
            </w:pPr>
            <w:r w:rsidRPr="00737DF6">
              <w:rPr>
                <w:rFonts w:eastAsia="Aptos" w:cstheme="minorHAnsi"/>
              </w:rPr>
              <w:t>Development of specialised, equity-aligned evaluation that is participatory to ensure representation of groups impacted and that build institutionalised capacity to embed student equity.</w:t>
            </w:r>
          </w:p>
          <w:p w14:paraId="5B9712C0" w14:textId="1EAC1404" w:rsidR="4EE89A77" w:rsidRPr="00737DF6" w:rsidRDefault="4EE89A77" w:rsidP="00B71029">
            <w:pPr>
              <w:pStyle w:val="ListParagraph"/>
              <w:numPr>
                <w:ilvl w:val="0"/>
                <w:numId w:val="15"/>
              </w:numPr>
              <w:spacing w:after="0"/>
              <w:rPr>
                <w:rFonts w:eastAsia="Aptos" w:cstheme="minorHAnsi"/>
              </w:rPr>
            </w:pPr>
            <w:r w:rsidRPr="00737DF6">
              <w:rPr>
                <w:rFonts w:eastAsia="Aptos" w:cstheme="minorHAnsi"/>
              </w:rPr>
              <w:t>Demonstrated improvements in institutional capability to embed student equity principles across teaching, research, and policy.</w:t>
            </w:r>
          </w:p>
          <w:p w14:paraId="4280F6F5" w14:textId="035679ED" w:rsidR="4EE89A77" w:rsidRPr="009C423D" w:rsidRDefault="4EE89A77" w:rsidP="00D97135">
            <w:pPr>
              <w:spacing w:after="0"/>
              <w:rPr>
                <w:rFonts w:eastAsia="Aptos" w:cstheme="minorHAnsi"/>
              </w:rPr>
            </w:pPr>
          </w:p>
          <w:p w14:paraId="7128371F" w14:textId="405408C7" w:rsidR="4EE89A77" w:rsidRPr="009C423D" w:rsidRDefault="4EE89A77" w:rsidP="00D97135">
            <w:pPr>
              <w:spacing w:after="0"/>
              <w:rPr>
                <w:rFonts w:eastAsia="Aptos" w:cstheme="minorHAnsi"/>
              </w:rPr>
            </w:pPr>
            <w:r w:rsidRPr="009C423D">
              <w:rPr>
                <w:rFonts w:eastAsia="Aptos" w:cstheme="minorHAnsi"/>
              </w:rPr>
              <w:t>2)  Embedding equity expertise across the University through the University’s Cultural Capability Framework and through building capacity in equity research, pedagogy and practice;</w:t>
            </w:r>
          </w:p>
          <w:p w14:paraId="546E46CA" w14:textId="3BF11FC6" w:rsidR="4EE89A77" w:rsidRPr="009C423D" w:rsidRDefault="4EE89A77" w:rsidP="00D97135">
            <w:pPr>
              <w:spacing w:after="0"/>
              <w:rPr>
                <w:rFonts w:eastAsia="Aptos" w:cstheme="minorHAnsi"/>
                <w:b/>
                <w:bCs/>
              </w:rPr>
            </w:pPr>
            <w:r w:rsidRPr="009C423D">
              <w:rPr>
                <w:rFonts w:eastAsia="Aptos" w:cstheme="minorHAnsi"/>
                <w:b/>
                <w:bCs/>
              </w:rPr>
              <w:t>Achieved:</w:t>
            </w:r>
          </w:p>
          <w:p w14:paraId="160B76A6" w14:textId="6F767D91" w:rsidR="4EE89A77" w:rsidRPr="00737DF6" w:rsidRDefault="4EE89A77" w:rsidP="00B71029">
            <w:pPr>
              <w:pStyle w:val="ListParagraph"/>
              <w:numPr>
                <w:ilvl w:val="0"/>
                <w:numId w:val="16"/>
              </w:numPr>
              <w:spacing w:after="0"/>
              <w:rPr>
                <w:rFonts w:eastAsia="Aptos" w:cstheme="minorHAnsi"/>
              </w:rPr>
            </w:pPr>
            <w:r w:rsidRPr="00737DF6">
              <w:rPr>
                <w:rFonts w:eastAsia="Aptos" w:cstheme="minorHAnsi"/>
              </w:rPr>
              <w:t>Aboriginal and Torres Strait Islander knowledges embedded across teaching, learning, and research.</w:t>
            </w:r>
          </w:p>
          <w:p w14:paraId="4B9707F4" w14:textId="7CFA4B08" w:rsidR="4EE89A77" w:rsidRPr="00737DF6" w:rsidRDefault="001B231A" w:rsidP="00B71029">
            <w:pPr>
              <w:pStyle w:val="ListParagraph"/>
              <w:numPr>
                <w:ilvl w:val="0"/>
                <w:numId w:val="16"/>
              </w:numPr>
              <w:spacing w:after="0"/>
              <w:rPr>
                <w:rFonts w:eastAsia="Aptos" w:cstheme="minorHAnsi"/>
              </w:rPr>
            </w:pPr>
            <w:r>
              <w:rPr>
                <w:rFonts w:eastAsia="Aptos" w:cstheme="minorHAnsi"/>
              </w:rPr>
              <w:t xml:space="preserve">Over </w:t>
            </w:r>
            <w:r w:rsidR="4EE89A77" w:rsidRPr="00737DF6">
              <w:rPr>
                <w:rFonts w:eastAsia="Aptos" w:cstheme="minorHAnsi"/>
              </w:rPr>
              <w:t>90% of staff completing Cultural Capability training, with ongoing development tied to UON’s Cultural Capability Framework.</w:t>
            </w:r>
          </w:p>
          <w:p w14:paraId="4E28575C" w14:textId="6F7F8BA7" w:rsidR="00916B09" w:rsidRPr="00737DF6" w:rsidRDefault="00916B09" w:rsidP="00B71029">
            <w:pPr>
              <w:pStyle w:val="ListParagraph"/>
              <w:numPr>
                <w:ilvl w:val="0"/>
                <w:numId w:val="16"/>
              </w:numPr>
              <w:spacing w:after="0"/>
              <w:rPr>
                <w:rFonts w:eastAsia="Aptos" w:cstheme="minorHAnsi"/>
              </w:rPr>
            </w:pPr>
            <w:r w:rsidRPr="00737DF6">
              <w:rPr>
                <w:rFonts w:eastAsia="Aptos" w:cstheme="minorHAnsi"/>
              </w:rPr>
              <w:t>Field-leading equity research influencing change by challenging intersectional inequalities.</w:t>
            </w:r>
          </w:p>
          <w:p w14:paraId="4A1D006A" w14:textId="49DFD22F" w:rsidR="4EE89A77" w:rsidRPr="00737DF6" w:rsidRDefault="4EE89A77" w:rsidP="00B71029">
            <w:pPr>
              <w:pStyle w:val="ListParagraph"/>
              <w:numPr>
                <w:ilvl w:val="0"/>
                <w:numId w:val="16"/>
              </w:numPr>
              <w:spacing w:after="0"/>
              <w:rPr>
                <w:rFonts w:eastAsia="Aptos" w:cstheme="minorHAnsi"/>
              </w:rPr>
            </w:pPr>
            <w:r w:rsidRPr="00737DF6">
              <w:rPr>
                <w:rFonts w:eastAsia="Aptos" w:cstheme="minorHAnsi"/>
              </w:rPr>
              <w:t>Building capacity in equity research, pedagogy, and practice, with findings shaping institutional policy and national frameworks.</w:t>
            </w:r>
          </w:p>
          <w:p w14:paraId="537A4FCB" w14:textId="24B0EA54" w:rsidR="4EE89A77" w:rsidRPr="009C423D" w:rsidRDefault="4EE89A77" w:rsidP="00D97135">
            <w:pPr>
              <w:spacing w:after="0"/>
              <w:rPr>
                <w:rFonts w:eastAsia="Aptos" w:cstheme="minorHAnsi"/>
              </w:rPr>
            </w:pPr>
          </w:p>
          <w:p w14:paraId="6E94E8C4" w14:textId="48BC44F5" w:rsidR="00916B09" w:rsidRPr="009C423D" w:rsidRDefault="00916B09" w:rsidP="00D97135">
            <w:pPr>
              <w:spacing w:after="0"/>
              <w:rPr>
                <w:rFonts w:cstheme="minorHAnsi"/>
                <w:b/>
                <w:bCs/>
              </w:rPr>
            </w:pPr>
            <w:r w:rsidRPr="009C423D">
              <w:rPr>
                <w:rFonts w:eastAsia="Aptos" w:cstheme="minorHAnsi"/>
                <w:b/>
              </w:rPr>
              <w:t>Measured:</w:t>
            </w:r>
          </w:p>
          <w:p w14:paraId="61B28BD5" w14:textId="32A76277" w:rsidR="00916B09" w:rsidRPr="00737DF6" w:rsidRDefault="00916B09" w:rsidP="00B71029">
            <w:pPr>
              <w:pStyle w:val="ListParagraph"/>
              <w:numPr>
                <w:ilvl w:val="0"/>
                <w:numId w:val="17"/>
              </w:numPr>
              <w:spacing w:after="0"/>
              <w:rPr>
                <w:rFonts w:eastAsia="Aptos" w:cstheme="minorHAnsi"/>
              </w:rPr>
            </w:pPr>
            <w:r w:rsidRPr="00737DF6">
              <w:rPr>
                <w:rFonts w:eastAsia="Aptos" w:cstheme="minorHAnsi"/>
              </w:rPr>
              <w:lastRenderedPageBreak/>
              <w:t>Development of initiatives/approaches that demonstrate Aboriginal and Torres Strait Islander knowledge, relationships, cultural and community work.</w:t>
            </w:r>
          </w:p>
          <w:p w14:paraId="5B067D59" w14:textId="1FFB5492" w:rsidR="4EE89A77" w:rsidRPr="00737DF6" w:rsidRDefault="4EE89A77" w:rsidP="00B71029">
            <w:pPr>
              <w:pStyle w:val="ListParagraph"/>
              <w:numPr>
                <w:ilvl w:val="0"/>
                <w:numId w:val="17"/>
              </w:numPr>
              <w:spacing w:after="0"/>
              <w:rPr>
                <w:rFonts w:eastAsia="Aptos" w:cstheme="minorHAnsi"/>
              </w:rPr>
            </w:pPr>
            <w:r w:rsidRPr="00737DF6">
              <w:rPr>
                <w:rFonts w:eastAsia="Aptos" w:cstheme="minorHAnsi"/>
              </w:rPr>
              <w:t>Growth in equity-focused research publications, practice innovation, and successful grant activity.</w:t>
            </w:r>
          </w:p>
          <w:p w14:paraId="6FEED627" w14:textId="05784B86" w:rsidR="4EE89A77" w:rsidRPr="00737DF6" w:rsidRDefault="4EE89A77" w:rsidP="00B71029">
            <w:pPr>
              <w:pStyle w:val="ListParagraph"/>
              <w:numPr>
                <w:ilvl w:val="0"/>
                <w:numId w:val="17"/>
              </w:numPr>
              <w:spacing w:after="0"/>
              <w:rPr>
                <w:rFonts w:eastAsia="Aptos" w:cstheme="minorHAnsi"/>
              </w:rPr>
            </w:pPr>
            <w:r w:rsidRPr="00737DF6">
              <w:rPr>
                <w:rFonts w:eastAsia="Aptos" w:cstheme="minorHAnsi"/>
              </w:rPr>
              <w:t>Increased staff capability to apply equity principles in curriculum design, pedagogy, and student support.</w:t>
            </w:r>
          </w:p>
          <w:p w14:paraId="08C2C310" w14:textId="5A9CED92" w:rsidR="4EE89A77" w:rsidRPr="009C423D" w:rsidRDefault="4EE89A77" w:rsidP="00D97135">
            <w:pPr>
              <w:spacing w:after="0"/>
              <w:rPr>
                <w:rFonts w:eastAsia="Aptos" w:cstheme="minorHAnsi"/>
              </w:rPr>
            </w:pPr>
            <w:r w:rsidRPr="009C423D">
              <w:rPr>
                <w:rFonts w:eastAsia="Aptos" w:cstheme="minorHAnsi"/>
              </w:rPr>
              <w:t xml:space="preserve"> </w:t>
            </w:r>
          </w:p>
          <w:p w14:paraId="6F288114" w14:textId="18660E5C" w:rsidR="4EE89A77" w:rsidRPr="009C423D" w:rsidRDefault="4EE89A77" w:rsidP="00D97135">
            <w:pPr>
              <w:spacing w:after="0"/>
              <w:rPr>
                <w:rFonts w:eastAsia="Aptos" w:cstheme="minorHAnsi"/>
              </w:rPr>
            </w:pPr>
            <w:r w:rsidRPr="009C423D">
              <w:rPr>
                <w:rFonts w:eastAsia="Aptos" w:cstheme="minorHAnsi"/>
              </w:rPr>
              <w:t>3)</w:t>
            </w:r>
            <w:r w:rsidRPr="009C423D">
              <w:rPr>
                <w:rFonts w:cstheme="minorHAnsi"/>
              </w:rPr>
              <w:tab/>
            </w:r>
            <w:r w:rsidRPr="009C423D">
              <w:rPr>
                <w:rFonts w:eastAsia="Aptos" w:cstheme="minorHAnsi"/>
              </w:rPr>
              <w:t>Responding to diverse communities in line with our Student Equity Framework;</w:t>
            </w:r>
          </w:p>
          <w:p w14:paraId="262CD3D2" w14:textId="77777777" w:rsidR="00737DF6" w:rsidRDefault="00737DF6" w:rsidP="00D97135">
            <w:pPr>
              <w:spacing w:after="0"/>
              <w:rPr>
                <w:rFonts w:eastAsia="Aptos" w:cstheme="minorHAnsi"/>
                <w:b/>
              </w:rPr>
            </w:pPr>
          </w:p>
          <w:p w14:paraId="52707345" w14:textId="368EFA80" w:rsidR="00916B09" w:rsidRPr="009C423D" w:rsidRDefault="00916B09" w:rsidP="00D97135">
            <w:pPr>
              <w:spacing w:after="0"/>
              <w:rPr>
                <w:rFonts w:cstheme="minorHAnsi"/>
                <w:b/>
                <w:bCs/>
              </w:rPr>
            </w:pPr>
            <w:r w:rsidRPr="009C423D">
              <w:rPr>
                <w:rFonts w:eastAsia="Aptos" w:cstheme="minorHAnsi"/>
                <w:b/>
              </w:rPr>
              <w:t>Achieved:</w:t>
            </w:r>
          </w:p>
          <w:p w14:paraId="0C39EC68" w14:textId="6A153BDD" w:rsidR="4EE89A77" w:rsidRPr="00737DF6" w:rsidRDefault="4EE89A77" w:rsidP="00B71029">
            <w:pPr>
              <w:pStyle w:val="ListParagraph"/>
              <w:numPr>
                <w:ilvl w:val="0"/>
                <w:numId w:val="18"/>
              </w:numPr>
              <w:spacing w:after="0"/>
              <w:rPr>
                <w:rFonts w:eastAsia="Aptos" w:cstheme="minorHAnsi"/>
              </w:rPr>
            </w:pPr>
            <w:r w:rsidRPr="00737DF6">
              <w:rPr>
                <w:rFonts w:eastAsia="Aptos" w:cstheme="minorHAnsi"/>
              </w:rPr>
              <w:t>Co-designed programs and research with under-represented students and communities, informed by lived experience, to dismantle intersecting barriers to participation.</w:t>
            </w:r>
          </w:p>
          <w:p w14:paraId="6A93AD62" w14:textId="3E1C766C" w:rsidR="4EE89A77" w:rsidRPr="00737DF6" w:rsidRDefault="4EE89A77" w:rsidP="00B71029">
            <w:pPr>
              <w:pStyle w:val="ListParagraph"/>
              <w:numPr>
                <w:ilvl w:val="0"/>
                <w:numId w:val="18"/>
              </w:numPr>
              <w:spacing w:after="0"/>
              <w:rPr>
                <w:rFonts w:eastAsia="Aptos" w:cstheme="minorHAnsi"/>
              </w:rPr>
            </w:pPr>
            <w:r w:rsidRPr="00737DF6">
              <w:rPr>
                <w:rFonts w:eastAsia="Aptos" w:cstheme="minorHAnsi"/>
              </w:rPr>
              <w:t>Ongoing feedback loops between students, practitioners, and researchers to refine pathways and support models.</w:t>
            </w:r>
          </w:p>
          <w:p w14:paraId="6A87E2BF" w14:textId="37B7C7B2" w:rsidR="00916B09" w:rsidRDefault="00916B09" w:rsidP="00B71029">
            <w:pPr>
              <w:pStyle w:val="ListParagraph"/>
              <w:numPr>
                <w:ilvl w:val="0"/>
                <w:numId w:val="18"/>
              </w:numPr>
              <w:spacing w:after="0"/>
              <w:rPr>
                <w:rFonts w:eastAsia="Aptos" w:cstheme="minorHAnsi"/>
              </w:rPr>
            </w:pPr>
            <w:r w:rsidRPr="00737DF6">
              <w:rPr>
                <w:rFonts w:eastAsia="Aptos" w:cstheme="minorHAnsi"/>
              </w:rPr>
              <w:t>Research led by Aboriginal and Torres Strait Islander Chief Investigators, in partnership with communities and representative organisations.</w:t>
            </w:r>
          </w:p>
          <w:p w14:paraId="1F54B5CB" w14:textId="77777777" w:rsidR="00497FD4" w:rsidRPr="00737DF6" w:rsidRDefault="00497FD4" w:rsidP="00497FD4">
            <w:pPr>
              <w:pStyle w:val="ListParagraph"/>
              <w:spacing w:after="0"/>
              <w:rPr>
                <w:rFonts w:eastAsia="Aptos" w:cstheme="minorHAnsi"/>
              </w:rPr>
            </w:pPr>
          </w:p>
          <w:p w14:paraId="7A12B949" w14:textId="6C9BB514" w:rsidR="00916B09" w:rsidRPr="009C423D" w:rsidRDefault="00916B09" w:rsidP="00D97135">
            <w:pPr>
              <w:spacing w:after="0"/>
              <w:rPr>
                <w:rFonts w:cstheme="minorHAnsi"/>
                <w:b/>
                <w:bCs/>
              </w:rPr>
            </w:pPr>
            <w:r w:rsidRPr="009C423D">
              <w:rPr>
                <w:rFonts w:eastAsia="Aptos" w:cstheme="minorHAnsi"/>
                <w:b/>
                <w:bCs/>
              </w:rPr>
              <w:t>Measured:</w:t>
            </w:r>
          </w:p>
          <w:p w14:paraId="41505217" w14:textId="28D1DFB7" w:rsidR="4EE89A77" w:rsidRPr="00737DF6" w:rsidRDefault="4EE89A77" w:rsidP="00B71029">
            <w:pPr>
              <w:pStyle w:val="ListParagraph"/>
              <w:numPr>
                <w:ilvl w:val="0"/>
                <w:numId w:val="19"/>
              </w:numPr>
              <w:spacing w:after="0"/>
              <w:rPr>
                <w:rFonts w:eastAsia="Aptos" w:cstheme="minorHAnsi"/>
              </w:rPr>
            </w:pPr>
            <w:r w:rsidRPr="00737DF6">
              <w:rPr>
                <w:rFonts w:eastAsia="Aptos" w:cstheme="minorHAnsi"/>
              </w:rPr>
              <w:t>Field-leading equity research by CEEHE and UON scholars that directly informs practice and policy.</w:t>
            </w:r>
          </w:p>
          <w:p w14:paraId="331C1805" w14:textId="7A7A6BFF" w:rsidR="00916B09" w:rsidRPr="00737DF6" w:rsidRDefault="00916B09" w:rsidP="00B71029">
            <w:pPr>
              <w:pStyle w:val="ListParagraph"/>
              <w:numPr>
                <w:ilvl w:val="0"/>
                <w:numId w:val="19"/>
              </w:numPr>
              <w:spacing w:after="0"/>
              <w:rPr>
                <w:rFonts w:eastAsia="Aptos" w:cstheme="minorHAnsi"/>
              </w:rPr>
            </w:pPr>
            <w:r w:rsidRPr="00737DF6">
              <w:rPr>
                <w:rFonts w:eastAsia="Aptos" w:cstheme="minorHAnsi"/>
              </w:rPr>
              <w:t>Sustained investment in pathways with evaluation provided via students and experts, comprised of practitioners and researchers.</w:t>
            </w:r>
          </w:p>
          <w:p w14:paraId="50A3BDE7" w14:textId="0B8388F6" w:rsidR="4EE89A77" w:rsidRPr="00737DF6" w:rsidRDefault="4EE89A77" w:rsidP="00B71029">
            <w:pPr>
              <w:pStyle w:val="ListParagraph"/>
              <w:numPr>
                <w:ilvl w:val="0"/>
                <w:numId w:val="19"/>
              </w:numPr>
              <w:spacing w:after="0"/>
              <w:rPr>
                <w:rFonts w:eastAsia="Aptos" w:cstheme="minorHAnsi"/>
              </w:rPr>
            </w:pPr>
            <w:r w:rsidRPr="00737DF6">
              <w:rPr>
                <w:rFonts w:eastAsia="Aptos" w:cstheme="minorHAnsi"/>
              </w:rPr>
              <w:t>Strengthened and sustained Aboriginal and Torres Strait Islander community partnerships with policies and practices that embed culturally responsive ways of working.</w:t>
            </w:r>
          </w:p>
          <w:p w14:paraId="3C5139D8" w14:textId="72078956" w:rsidR="465A7C8D" w:rsidRPr="00180218" w:rsidRDefault="465A7C8D" w:rsidP="00D97135">
            <w:pPr>
              <w:spacing w:after="0"/>
              <w:rPr>
                <w:rFonts w:ascii="Calibri" w:hAnsi="Calibri" w:cs="Calibri"/>
              </w:rPr>
            </w:pPr>
          </w:p>
          <w:p w14:paraId="3AB30A48" w14:textId="77777777" w:rsidR="00916B09" w:rsidRDefault="00916B09" w:rsidP="00D97135">
            <w:pPr>
              <w:pStyle w:val="NormalIndent"/>
              <w:spacing w:before="0" w:after="0" w:line="240" w:lineRule="auto"/>
              <w:ind w:left="0"/>
              <w:rPr>
                <w:rFonts w:asciiTheme="minorHAnsi" w:hAnsiTheme="minorHAnsi" w:cstheme="minorHAnsi"/>
                <w:i/>
                <w:color w:val="FF0000"/>
                <w:szCs w:val="22"/>
              </w:rPr>
            </w:pPr>
          </w:p>
          <w:p w14:paraId="6BBABDC9" w14:textId="77777777" w:rsidR="00916B09" w:rsidRPr="00916B09" w:rsidRDefault="00916B09" w:rsidP="00916B09">
            <w:pPr>
              <w:autoSpaceDE w:val="0"/>
              <w:autoSpaceDN w:val="0"/>
              <w:adjustRightInd w:val="0"/>
              <w:spacing w:after="0"/>
              <w:rPr>
                <w:rFonts w:ascii="Calibri" w:hAnsi="Calibri" w:cs="Calibri"/>
              </w:rPr>
            </w:pPr>
          </w:p>
          <w:p w14:paraId="54905691" w14:textId="77777777" w:rsidR="00916B09" w:rsidRPr="00051E4F" w:rsidRDefault="00916B09">
            <w:pPr>
              <w:pStyle w:val="NormalIndent"/>
              <w:spacing w:before="0" w:after="0"/>
              <w:ind w:left="0"/>
              <w:rPr>
                <w:rFonts w:asciiTheme="minorHAnsi" w:hAnsiTheme="minorHAnsi" w:cstheme="minorHAnsi"/>
                <w:i/>
                <w:color w:val="FF0000"/>
                <w:szCs w:val="22"/>
              </w:rPr>
            </w:pPr>
          </w:p>
          <w:p w14:paraId="7916E4D5" w14:textId="77777777" w:rsidR="001B109C" w:rsidRPr="00051E4F" w:rsidRDefault="001B109C">
            <w:pPr>
              <w:pStyle w:val="NormalIndent"/>
              <w:spacing w:before="0" w:after="0"/>
              <w:ind w:left="0"/>
              <w:rPr>
                <w:rFonts w:asciiTheme="minorHAnsi" w:hAnsiTheme="minorHAnsi" w:cstheme="minorHAnsi"/>
                <w:i/>
                <w:color w:val="FF0000"/>
                <w:szCs w:val="22"/>
              </w:rPr>
            </w:pPr>
          </w:p>
          <w:p w14:paraId="7E55C6FF" w14:textId="77777777" w:rsidR="001B109C" w:rsidRDefault="001B109C">
            <w:pPr>
              <w:pStyle w:val="NormalIndent"/>
              <w:spacing w:before="0" w:after="0"/>
              <w:ind w:left="0"/>
              <w:rPr>
                <w:rFonts w:asciiTheme="minorHAnsi" w:hAnsiTheme="minorHAnsi" w:cstheme="minorHAnsi"/>
                <w:i/>
                <w:color w:val="FF0000"/>
                <w:szCs w:val="22"/>
              </w:rPr>
            </w:pPr>
          </w:p>
          <w:p w14:paraId="3BC01C26" w14:textId="77777777" w:rsidR="001B109C" w:rsidRDefault="001B109C">
            <w:pPr>
              <w:pStyle w:val="NormalIndent"/>
              <w:spacing w:before="0" w:after="0"/>
              <w:ind w:left="0"/>
              <w:rPr>
                <w:rFonts w:asciiTheme="minorHAnsi" w:hAnsiTheme="minorHAnsi" w:cstheme="minorHAnsi"/>
                <w:i/>
                <w:color w:val="FF0000"/>
                <w:szCs w:val="22"/>
              </w:rPr>
            </w:pPr>
          </w:p>
          <w:p w14:paraId="5404ACDA" w14:textId="77777777" w:rsidR="001B109C" w:rsidRDefault="001B109C">
            <w:pPr>
              <w:pStyle w:val="NormalIndent"/>
              <w:spacing w:before="0" w:after="0"/>
              <w:ind w:left="0"/>
              <w:rPr>
                <w:rFonts w:asciiTheme="minorHAnsi" w:hAnsiTheme="minorHAnsi" w:cstheme="minorHAnsi"/>
                <w:i/>
                <w:color w:val="FF0000"/>
                <w:szCs w:val="22"/>
              </w:rPr>
            </w:pPr>
          </w:p>
          <w:p w14:paraId="5268193C" w14:textId="77777777" w:rsidR="001B109C" w:rsidRDefault="001B109C">
            <w:pPr>
              <w:pStyle w:val="NormalIndent"/>
              <w:spacing w:before="0" w:after="0"/>
              <w:ind w:left="0"/>
              <w:rPr>
                <w:rFonts w:asciiTheme="minorHAnsi" w:hAnsiTheme="minorHAnsi" w:cstheme="minorHAnsi"/>
                <w:i/>
                <w:color w:val="FF0000"/>
                <w:szCs w:val="22"/>
              </w:rPr>
            </w:pPr>
          </w:p>
          <w:p w14:paraId="7E9CFE2A" w14:textId="77777777" w:rsidR="001B109C" w:rsidRDefault="001B109C">
            <w:pPr>
              <w:pStyle w:val="NormalIndent"/>
              <w:spacing w:before="0" w:after="0"/>
              <w:ind w:left="0"/>
              <w:rPr>
                <w:rFonts w:asciiTheme="minorHAnsi" w:hAnsiTheme="minorHAnsi" w:cstheme="minorHAnsi"/>
                <w:i/>
                <w:color w:val="FF0000"/>
                <w:szCs w:val="22"/>
              </w:rPr>
            </w:pPr>
          </w:p>
          <w:p w14:paraId="67CF9C9F" w14:textId="77777777" w:rsidR="001B109C" w:rsidRPr="00051E4F" w:rsidRDefault="001B109C">
            <w:pPr>
              <w:pStyle w:val="NormalIndent"/>
              <w:spacing w:before="0" w:after="0"/>
              <w:ind w:left="0"/>
              <w:rPr>
                <w:rFonts w:asciiTheme="minorHAnsi" w:hAnsiTheme="minorHAnsi" w:cstheme="minorHAnsi"/>
                <w:i/>
                <w:color w:val="FF0000"/>
                <w:szCs w:val="22"/>
              </w:rPr>
            </w:pPr>
          </w:p>
          <w:bookmarkEnd w:id="0"/>
          <w:bookmarkEnd w:id="1"/>
          <w:p w14:paraId="22B87A46" w14:textId="77777777" w:rsidR="001B109C" w:rsidRDefault="001B109C">
            <w:pPr>
              <w:pStyle w:val="Heading4"/>
            </w:pPr>
          </w:p>
        </w:tc>
      </w:tr>
      <w:tr w:rsidR="001B109C" w:rsidRPr="00E41388" w14:paraId="3701A312" w14:textId="77777777" w:rsidTr="397132BD">
        <w:trPr>
          <w:cantSplit/>
          <w:trHeight w:val="977"/>
        </w:trPr>
        <w:tc>
          <w:tcPr>
            <w:tcW w:w="5000" w:type="pct"/>
            <w:tcBorders>
              <w:bottom w:val="single" w:sz="4" w:space="0" w:color="auto"/>
            </w:tcBorders>
          </w:tcPr>
          <w:p w14:paraId="62DD292D" w14:textId="59818F05" w:rsidR="002863E5" w:rsidRPr="002863E5" w:rsidRDefault="002863E5" w:rsidP="002863E5">
            <w:pPr>
              <w:pStyle w:val="NormalIndent"/>
              <w:spacing w:before="0" w:after="0" w:line="240" w:lineRule="auto"/>
              <w:ind w:left="0"/>
              <w:rPr>
                <w:rFonts w:asciiTheme="majorHAnsi" w:eastAsia="Calibri" w:hAnsiTheme="majorHAnsi" w:cstheme="majorHAnsi"/>
                <w:b/>
                <w:color w:val="003A74" w:themeColor="text2" w:themeTint="E6"/>
                <w:sz w:val="28"/>
                <w:szCs w:val="28"/>
              </w:rPr>
            </w:pPr>
            <w:r w:rsidRPr="002863E5">
              <w:rPr>
                <w:rFonts w:asciiTheme="majorHAnsi" w:eastAsia="Calibri" w:hAnsiTheme="majorHAnsi" w:cstheme="majorHAnsi"/>
                <w:b/>
                <w:color w:val="003A74" w:themeColor="text2" w:themeTint="E6"/>
                <w:sz w:val="28"/>
                <w:szCs w:val="28"/>
              </w:rPr>
              <w:lastRenderedPageBreak/>
              <w:t>Strategies for Improving Teaching and Learning</w:t>
            </w:r>
          </w:p>
          <w:p w14:paraId="379C7526" w14:textId="5548BF3B" w:rsidR="7345A0AE" w:rsidRDefault="7345A0AE" w:rsidP="002863E5">
            <w:pPr>
              <w:pStyle w:val="NormalIndent"/>
              <w:spacing w:before="0" w:after="0" w:line="240" w:lineRule="auto"/>
              <w:ind w:left="0"/>
              <w:rPr>
                <w:rFonts w:asciiTheme="minorHAnsi" w:eastAsia="Aptos" w:hAnsiTheme="minorHAnsi" w:cstheme="minorHAnsi"/>
                <w:color w:val="000000" w:themeColor="text1"/>
                <w:szCs w:val="22"/>
              </w:rPr>
            </w:pPr>
            <w:r w:rsidRPr="002863E5">
              <w:rPr>
                <w:rFonts w:asciiTheme="minorHAnsi" w:eastAsia="Aptos" w:hAnsiTheme="minorHAnsi" w:cstheme="minorHAnsi"/>
                <w:color w:val="000000" w:themeColor="text1"/>
                <w:szCs w:val="22"/>
              </w:rPr>
              <w:t>The University is committed to equipping students with the skills, experiences, and support needed to thrive in a rapidly changing world. Through a strategic focus on career readiness and holistic student success, initiatives such as Career-Ready Placements and the Student Success Strategy are designed to ensure every student graduates with practical experience, personal resilience, and a clear pathway to employment and community contribution. These programs reflect a forward-thinking approach to education—one that integrates academic excellence with real-world relevance, inclusivity, and empowerment.</w:t>
            </w:r>
          </w:p>
          <w:p w14:paraId="0B47E53C" w14:textId="77777777" w:rsidR="002863E5" w:rsidRPr="002863E5" w:rsidRDefault="002863E5" w:rsidP="002863E5">
            <w:pPr>
              <w:pStyle w:val="NormalIndent"/>
              <w:spacing w:before="0" w:after="0" w:line="240" w:lineRule="auto"/>
              <w:ind w:left="0"/>
              <w:rPr>
                <w:rFonts w:asciiTheme="minorHAnsi" w:eastAsia="Aptos" w:hAnsiTheme="minorHAnsi" w:cstheme="minorHAnsi"/>
                <w:color w:val="000000" w:themeColor="text1"/>
                <w:szCs w:val="22"/>
              </w:rPr>
            </w:pPr>
          </w:p>
          <w:p w14:paraId="32C4519B" w14:textId="6A523470" w:rsidR="7345A0AE" w:rsidRPr="002863E5" w:rsidRDefault="7345A0AE" w:rsidP="002863E5">
            <w:pPr>
              <w:spacing w:after="0"/>
              <w:rPr>
                <w:rFonts w:eastAsia="Aptos" w:cstheme="minorHAnsi"/>
                <w:color w:val="000000" w:themeColor="text1"/>
              </w:rPr>
            </w:pPr>
            <w:r w:rsidRPr="002863E5">
              <w:rPr>
                <w:rFonts w:eastAsia="Aptos" w:cstheme="minorHAnsi"/>
                <w:b/>
                <w:bCs/>
                <w:color w:val="000000" w:themeColor="text1"/>
              </w:rPr>
              <w:t>1) Career-Ready Placements (CRP):</w:t>
            </w:r>
          </w:p>
          <w:p w14:paraId="541E915F" w14:textId="37B01816" w:rsidR="7345A0AE" w:rsidRDefault="7345A0AE" w:rsidP="002863E5">
            <w:pPr>
              <w:spacing w:after="0"/>
              <w:rPr>
                <w:rFonts w:eastAsia="Aptos" w:cstheme="minorHAnsi"/>
                <w:color w:val="000000" w:themeColor="text1"/>
              </w:rPr>
            </w:pPr>
            <w:r w:rsidRPr="002863E5">
              <w:rPr>
                <w:rFonts w:eastAsia="Aptos" w:cstheme="minorHAnsi"/>
                <w:color w:val="000000" w:themeColor="text1"/>
              </w:rPr>
              <w:t>The University’s inclusive, sector-leading CRP initiative ensures every student graduates with a portfolio of meaningful experiences that demonstrate essential workplace capabilities. These experiences are designed to complement academic learning by embedding practical, real-world skills that enhance employability and career readiness. Through the ‘Life Ready Graduates’ strategy—anchored by a new suite of Graduate Attributes and the Career Connect program—undergraduate students are supported to engage in work-based learning that connects their education with future career pathways.</w:t>
            </w:r>
          </w:p>
          <w:p w14:paraId="76C4F1F3" w14:textId="77777777" w:rsidR="002863E5" w:rsidRPr="002863E5" w:rsidRDefault="002863E5" w:rsidP="002863E5">
            <w:pPr>
              <w:spacing w:after="0"/>
              <w:rPr>
                <w:rFonts w:eastAsia="Aptos" w:cstheme="minorHAnsi"/>
                <w:color w:val="000000" w:themeColor="text1"/>
              </w:rPr>
            </w:pPr>
          </w:p>
          <w:p w14:paraId="32EB1F12" w14:textId="6001911B" w:rsidR="7345A0AE" w:rsidRPr="002863E5" w:rsidRDefault="7345A0AE" w:rsidP="002863E5">
            <w:pPr>
              <w:spacing w:after="0"/>
              <w:rPr>
                <w:rFonts w:eastAsia="Aptos" w:cstheme="minorHAnsi"/>
                <w:color w:val="000000" w:themeColor="text1"/>
              </w:rPr>
            </w:pPr>
            <w:r w:rsidRPr="002863E5">
              <w:rPr>
                <w:rFonts w:eastAsia="Aptos" w:cstheme="minorHAnsi"/>
                <w:b/>
                <w:bCs/>
                <w:color w:val="000000" w:themeColor="text1"/>
              </w:rPr>
              <w:t>Achieved:</w:t>
            </w:r>
          </w:p>
          <w:p w14:paraId="68B308C6" w14:textId="5C698ED6" w:rsidR="7345A0AE" w:rsidRDefault="7345A0AE" w:rsidP="002863E5">
            <w:pPr>
              <w:spacing w:after="0"/>
              <w:rPr>
                <w:rFonts w:eastAsia="Aptos" w:cstheme="minorHAnsi"/>
                <w:color w:val="000000" w:themeColor="text1"/>
              </w:rPr>
            </w:pPr>
            <w:r w:rsidRPr="002863E5">
              <w:rPr>
                <w:rFonts w:eastAsia="Aptos" w:cstheme="minorHAnsi"/>
                <w:color w:val="000000" w:themeColor="text1"/>
              </w:rPr>
              <w:t>Implementation of the Life Ready Graduates strategy ensures every undergraduate student completes a work-integrated learning experience and understands how their academic journey aligns with career opportunities.</w:t>
            </w:r>
          </w:p>
          <w:p w14:paraId="45FB6B43" w14:textId="77777777" w:rsidR="002863E5" w:rsidRPr="002863E5" w:rsidRDefault="002863E5" w:rsidP="002863E5">
            <w:pPr>
              <w:spacing w:after="0"/>
              <w:rPr>
                <w:rFonts w:eastAsia="Aptos" w:cstheme="minorHAnsi"/>
                <w:color w:val="000000" w:themeColor="text1"/>
              </w:rPr>
            </w:pPr>
          </w:p>
          <w:p w14:paraId="212E6ABC" w14:textId="4BFA7BF8" w:rsidR="7345A0AE" w:rsidRPr="002863E5" w:rsidRDefault="7345A0AE" w:rsidP="002863E5">
            <w:pPr>
              <w:spacing w:after="0"/>
              <w:rPr>
                <w:rFonts w:eastAsia="Aptos" w:cstheme="minorHAnsi"/>
                <w:color w:val="000000" w:themeColor="text1"/>
              </w:rPr>
            </w:pPr>
            <w:r w:rsidRPr="002863E5">
              <w:rPr>
                <w:rFonts w:eastAsia="Aptos" w:cstheme="minorHAnsi"/>
                <w:b/>
                <w:bCs/>
                <w:color w:val="000000" w:themeColor="text1"/>
              </w:rPr>
              <w:t>Measured:</w:t>
            </w:r>
          </w:p>
          <w:p w14:paraId="7CFE5695" w14:textId="55366F13" w:rsidR="7345A0AE" w:rsidRDefault="7345A0AE" w:rsidP="002863E5">
            <w:pPr>
              <w:spacing w:after="0"/>
              <w:rPr>
                <w:rFonts w:eastAsia="Aptos" w:cstheme="minorHAnsi"/>
                <w:color w:val="000000" w:themeColor="text1"/>
              </w:rPr>
            </w:pPr>
            <w:r w:rsidRPr="002863E5">
              <w:rPr>
                <w:rFonts w:eastAsia="Aptos" w:cstheme="minorHAnsi"/>
                <w:color w:val="000000" w:themeColor="text1"/>
              </w:rPr>
              <w:t>Success is tracked through increased student participation in CRP activities and improved graduate outcomes.</w:t>
            </w:r>
          </w:p>
          <w:p w14:paraId="3ECD7FEF" w14:textId="77777777" w:rsidR="002863E5" w:rsidRPr="002863E5" w:rsidRDefault="002863E5" w:rsidP="002863E5">
            <w:pPr>
              <w:spacing w:after="0"/>
              <w:rPr>
                <w:rFonts w:eastAsia="Aptos" w:cstheme="minorHAnsi"/>
                <w:color w:val="000000" w:themeColor="text1"/>
              </w:rPr>
            </w:pPr>
          </w:p>
          <w:p w14:paraId="6789B82B" w14:textId="58329A0F" w:rsidR="7345A0AE" w:rsidRPr="002863E5" w:rsidRDefault="7345A0AE" w:rsidP="002863E5">
            <w:pPr>
              <w:spacing w:after="0"/>
              <w:rPr>
                <w:rFonts w:eastAsia="Aptos" w:cstheme="minorHAnsi"/>
                <w:color w:val="000000" w:themeColor="text1"/>
              </w:rPr>
            </w:pPr>
            <w:r w:rsidRPr="002863E5">
              <w:rPr>
                <w:rFonts w:eastAsia="Aptos" w:cstheme="minorHAnsi"/>
                <w:b/>
                <w:bCs/>
                <w:color w:val="000000" w:themeColor="text1"/>
              </w:rPr>
              <w:t>2) Student Success Strategy:</w:t>
            </w:r>
          </w:p>
          <w:p w14:paraId="4B9C9FAE" w14:textId="2958408C" w:rsidR="7345A0AE" w:rsidRDefault="7345A0AE" w:rsidP="002863E5">
            <w:pPr>
              <w:spacing w:after="0"/>
              <w:rPr>
                <w:rFonts w:eastAsia="Aptos" w:cstheme="minorHAnsi"/>
                <w:color w:val="000000" w:themeColor="text1"/>
              </w:rPr>
            </w:pPr>
            <w:r w:rsidRPr="002863E5">
              <w:rPr>
                <w:rFonts w:eastAsia="Aptos" w:cstheme="minorHAnsi"/>
                <w:color w:val="000000" w:themeColor="text1"/>
              </w:rPr>
              <w:t>The Student Success Strategy provides a comprehensive framework to deliver an exceptional student experience, preparing graduates for life in a dynamic, interconnected world. It prioritises inclusivity, wellbeing, and career readiness, and is deeply integrated with the University’s broader strategic plans. The strategy recognises the diversity of the student body and promotes flexible, personalised support systems. It leverages data analytics to inform decision-making and drive continuous improvement, fostering a connected, empowered student community.</w:t>
            </w:r>
          </w:p>
          <w:p w14:paraId="7B1D9095" w14:textId="77777777" w:rsidR="002863E5" w:rsidRPr="002863E5" w:rsidRDefault="002863E5" w:rsidP="002863E5">
            <w:pPr>
              <w:spacing w:after="0"/>
              <w:rPr>
                <w:rFonts w:eastAsia="Aptos" w:cstheme="minorHAnsi"/>
                <w:color w:val="000000" w:themeColor="text1"/>
              </w:rPr>
            </w:pPr>
          </w:p>
          <w:p w14:paraId="4A90B621" w14:textId="270C5359" w:rsidR="7345A0AE" w:rsidRPr="002863E5" w:rsidRDefault="7345A0AE" w:rsidP="002863E5">
            <w:pPr>
              <w:spacing w:after="0"/>
              <w:rPr>
                <w:rFonts w:eastAsia="Aptos" w:cstheme="minorHAnsi"/>
                <w:color w:val="000000" w:themeColor="text1"/>
              </w:rPr>
            </w:pPr>
            <w:r w:rsidRPr="002863E5">
              <w:rPr>
                <w:rFonts w:eastAsia="Aptos" w:cstheme="minorHAnsi"/>
                <w:b/>
                <w:bCs/>
                <w:color w:val="000000" w:themeColor="text1"/>
              </w:rPr>
              <w:t>Achieved:</w:t>
            </w:r>
          </w:p>
          <w:p w14:paraId="58E727D8" w14:textId="75D1DAC5" w:rsidR="7345A0AE" w:rsidRDefault="7345A0AE" w:rsidP="002863E5">
            <w:pPr>
              <w:spacing w:after="0"/>
              <w:rPr>
                <w:rFonts w:eastAsia="Aptos" w:cstheme="minorHAnsi"/>
                <w:color w:val="000000" w:themeColor="text1"/>
              </w:rPr>
            </w:pPr>
            <w:r w:rsidRPr="002863E5">
              <w:rPr>
                <w:rFonts w:eastAsia="Aptos" w:cstheme="minorHAnsi"/>
                <w:color w:val="000000" w:themeColor="text1"/>
              </w:rPr>
              <w:t xml:space="preserve"> The strategy has been operationalised through the Student Retention Plan, which outlines targeted initiatives to support academic and personal development, ensuring students are industry-ready and community-oriented.</w:t>
            </w:r>
          </w:p>
          <w:p w14:paraId="236B9CF0" w14:textId="77777777" w:rsidR="002863E5" w:rsidRPr="002863E5" w:rsidRDefault="002863E5" w:rsidP="002863E5">
            <w:pPr>
              <w:spacing w:after="0"/>
              <w:rPr>
                <w:rFonts w:eastAsia="Aptos" w:cstheme="minorHAnsi"/>
                <w:color w:val="000000" w:themeColor="text1"/>
              </w:rPr>
            </w:pPr>
          </w:p>
          <w:p w14:paraId="3824D036" w14:textId="36B88E03" w:rsidR="7345A0AE" w:rsidRPr="002863E5" w:rsidRDefault="7345A0AE" w:rsidP="002863E5">
            <w:pPr>
              <w:spacing w:after="0"/>
              <w:rPr>
                <w:rFonts w:eastAsia="Aptos" w:cstheme="minorHAnsi"/>
                <w:color w:val="000000" w:themeColor="text1"/>
              </w:rPr>
            </w:pPr>
            <w:r w:rsidRPr="002863E5">
              <w:rPr>
                <w:rFonts w:eastAsia="Aptos" w:cstheme="minorHAnsi"/>
                <w:b/>
                <w:bCs/>
                <w:color w:val="000000" w:themeColor="text1"/>
              </w:rPr>
              <w:t>Key Enablers:</w:t>
            </w:r>
          </w:p>
          <w:p w14:paraId="09C450D1" w14:textId="5F74E3A6" w:rsidR="7345A0AE" w:rsidRPr="002863E5" w:rsidRDefault="7345A0AE" w:rsidP="00B71029">
            <w:pPr>
              <w:pStyle w:val="ListParagraph"/>
              <w:numPr>
                <w:ilvl w:val="0"/>
                <w:numId w:val="10"/>
              </w:numPr>
              <w:spacing w:after="0"/>
              <w:rPr>
                <w:rFonts w:eastAsia="Aptos" w:cstheme="minorHAnsi"/>
                <w:color w:val="000000" w:themeColor="text1"/>
              </w:rPr>
            </w:pPr>
            <w:r w:rsidRPr="002863E5">
              <w:rPr>
                <w:rFonts w:eastAsia="Aptos" w:cstheme="minorHAnsi"/>
                <w:b/>
                <w:bCs/>
                <w:color w:val="000000" w:themeColor="text1"/>
              </w:rPr>
              <w:t>Flexibility in Learning Options:</w:t>
            </w:r>
            <w:r w:rsidRPr="002863E5">
              <w:rPr>
                <w:rFonts w:eastAsia="Aptos" w:cstheme="minorHAnsi"/>
                <w:color w:val="000000" w:themeColor="text1"/>
              </w:rPr>
              <w:t xml:space="preserve"> Expanded online offerings and support for diverse learning styles provide adaptable pathways for student success.</w:t>
            </w:r>
          </w:p>
          <w:p w14:paraId="03E274EB" w14:textId="2B0E377F" w:rsidR="7345A0AE" w:rsidRPr="002863E5" w:rsidRDefault="7345A0AE" w:rsidP="00B71029">
            <w:pPr>
              <w:pStyle w:val="ListParagraph"/>
              <w:numPr>
                <w:ilvl w:val="0"/>
                <w:numId w:val="10"/>
              </w:numPr>
              <w:spacing w:after="0"/>
              <w:rPr>
                <w:rFonts w:eastAsia="Aptos" w:cstheme="minorHAnsi"/>
                <w:color w:val="000000" w:themeColor="text1"/>
              </w:rPr>
            </w:pPr>
            <w:r w:rsidRPr="002863E5">
              <w:rPr>
                <w:rFonts w:eastAsia="Aptos" w:cstheme="minorHAnsi"/>
                <w:b/>
                <w:bCs/>
                <w:color w:val="000000" w:themeColor="text1"/>
              </w:rPr>
              <w:t>Leadership and Representation:</w:t>
            </w:r>
            <w:r w:rsidRPr="002863E5">
              <w:rPr>
                <w:rFonts w:eastAsia="Aptos" w:cstheme="minorHAnsi"/>
                <w:color w:val="000000" w:themeColor="text1"/>
              </w:rPr>
              <w:t xml:space="preserve"> Programs such as iLead and engagement with UNSA cultivate leadership skills and active participation in university life.</w:t>
            </w:r>
          </w:p>
          <w:p w14:paraId="38922E82" w14:textId="4551961E" w:rsidR="7345A0AE" w:rsidRDefault="7345A0AE" w:rsidP="00B71029">
            <w:pPr>
              <w:pStyle w:val="ListParagraph"/>
              <w:numPr>
                <w:ilvl w:val="0"/>
                <w:numId w:val="10"/>
              </w:numPr>
              <w:spacing w:after="0"/>
              <w:rPr>
                <w:rFonts w:eastAsia="Aptos" w:cstheme="minorHAnsi"/>
                <w:color w:val="000000" w:themeColor="text1"/>
              </w:rPr>
            </w:pPr>
            <w:r w:rsidRPr="002863E5">
              <w:rPr>
                <w:rFonts w:eastAsia="Aptos" w:cstheme="minorHAnsi"/>
                <w:b/>
                <w:bCs/>
                <w:color w:val="000000" w:themeColor="text1"/>
              </w:rPr>
              <w:t>Empowering Students:</w:t>
            </w:r>
            <w:r w:rsidRPr="002863E5">
              <w:rPr>
                <w:rFonts w:eastAsia="Aptos" w:cstheme="minorHAnsi"/>
                <w:color w:val="000000" w:themeColor="text1"/>
              </w:rPr>
              <w:t xml:space="preserve"> Tools like program planners and flexible study modes enable students to take ownership of their educational journey.</w:t>
            </w:r>
          </w:p>
          <w:p w14:paraId="5D460C12" w14:textId="77777777" w:rsidR="002863E5" w:rsidRDefault="002863E5" w:rsidP="002863E5">
            <w:pPr>
              <w:pStyle w:val="ListParagraph"/>
              <w:spacing w:after="0"/>
              <w:rPr>
                <w:rFonts w:eastAsia="Aptos" w:cstheme="minorHAnsi"/>
                <w:color w:val="000000" w:themeColor="text1"/>
              </w:rPr>
            </w:pPr>
          </w:p>
          <w:p w14:paraId="522DCC8B" w14:textId="77777777" w:rsidR="00F93DBC" w:rsidRDefault="00F93DBC" w:rsidP="002863E5">
            <w:pPr>
              <w:pStyle w:val="ListParagraph"/>
              <w:spacing w:after="0"/>
              <w:rPr>
                <w:rFonts w:eastAsia="Aptos" w:cstheme="minorHAnsi"/>
                <w:color w:val="000000" w:themeColor="text1"/>
              </w:rPr>
            </w:pPr>
          </w:p>
          <w:p w14:paraId="0358AD46" w14:textId="77777777" w:rsidR="00F93DBC" w:rsidRPr="002863E5" w:rsidRDefault="00F93DBC" w:rsidP="002863E5">
            <w:pPr>
              <w:pStyle w:val="ListParagraph"/>
              <w:spacing w:after="0"/>
              <w:rPr>
                <w:rFonts w:eastAsia="Aptos" w:cstheme="minorHAnsi"/>
                <w:color w:val="000000" w:themeColor="text1"/>
              </w:rPr>
            </w:pPr>
          </w:p>
          <w:p w14:paraId="333FFEE6" w14:textId="190BBC4E" w:rsidR="7345A0AE" w:rsidRPr="002863E5" w:rsidRDefault="7345A0AE" w:rsidP="002863E5">
            <w:pPr>
              <w:spacing w:after="0"/>
              <w:rPr>
                <w:rFonts w:eastAsia="Aptos" w:cstheme="minorHAnsi"/>
                <w:color w:val="000000" w:themeColor="text1"/>
              </w:rPr>
            </w:pPr>
            <w:r w:rsidRPr="002863E5">
              <w:rPr>
                <w:rFonts w:eastAsia="Aptos" w:cstheme="minorHAnsi"/>
                <w:b/>
                <w:bCs/>
                <w:color w:val="000000" w:themeColor="text1"/>
              </w:rPr>
              <w:lastRenderedPageBreak/>
              <w:t>Measured:</w:t>
            </w:r>
          </w:p>
          <w:p w14:paraId="4BF405D8" w14:textId="55E40311" w:rsidR="7345A0AE" w:rsidRPr="002863E5" w:rsidRDefault="7345A0AE" w:rsidP="002863E5">
            <w:pPr>
              <w:spacing w:after="0"/>
              <w:rPr>
                <w:rFonts w:eastAsia="Aptos" w:cstheme="minorHAnsi"/>
                <w:color w:val="000000" w:themeColor="text1"/>
              </w:rPr>
            </w:pPr>
            <w:r w:rsidRPr="002863E5">
              <w:rPr>
                <w:rFonts w:eastAsia="Aptos" w:cstheme="minorHAnsi"/>
                <w:color w:val="000000" w:themeColor="text1"/>
              </w:rPr>
              <w:t xml:space="preserve"> Delivery is guided by three core principles:</w:t>
            </w:r>
          </w:p>
          <w:p w14:paraId="265651EC" w14:textId="5497BD46" w:rsidR="7345A0AE" w:rsidRPr="002863E5" w:rsidRDefault="7345A0AE" w:rsidP="00B71029">
            <w:pPr>
              <w:pStyle w:val="ListParagraph"/>
              <w:numPr>
                <w:ilvl w:val="0"/>
                <w:numId w:val="11"/>
              </w:numPr>
              <w:spacing w:after="0"/>
              <w:rPr>
                <w:rFonts w:eastAsia="Aptos" w:cstheme="minorHAnsi"/>
                <w:color w:val="000000" w:themeColor="text1"/>
              </w:rPr>
            </w:pPr>
            <w:r w:rsidRPr="002863E5">
              <w:rPr>
                <w:rFonts w:eastAsia="Aptos" w:cstheme="minorHAnsi"/>
                <w:b/>
                <w:bCs/>
                <w:color w:val="000000" w:themeColor="text1"/>
              </w:rPr>
              <w:t>Flexibility</w:t>
            </w:r>
            <w:r w:rsidRPr="002863E5">
              <w:rPr>
                <w:rFonts w:eastAsia="Aptos" w:cstheme="minorHAnsi"/>
                <w:color w:val="000000" w:themeColor="text1"/>
              </w:rPr>
              <w:t xml:space="preserve"> – to meet the varied needs of student cohorts.</w:t>
            </w:r>
          </w:p>
          <w:p w14:paraId="016F6A5B" w14:textId="512BAB9C" w:rsidR="7345A0AE" w:rsidRPr="002863E5" w:rsidRDefault="7345A0AE" w:rsidP="00B71029">
            <w:pPr>
              <w:pStyle w:val="ListParagraph"/>
              <w:numPr>
                <w:ilvl w:val="0"/>
                <w:numId w:val="11"/>
              </w:numPr>
              <w:spacing w:after="0"/>
              <w:rPr>
                <w:rFonts w:eastAsia="Aptos" w:cstheme="minorHAnsi"/>
                <w:color w:val="000000" w:themeColor="text1"/>
              </w:rPr>
            </w:pPr>
            <w:r w:rsidRPr="002863E5">
              <w:rPr>
                <w:rFonts w:eastAsia="Aptos" w:cstheme="minorHAnsi"/>
                <w:b/>
                <w:bCs/>
                <w:color w:val="000000" w:themeColor="text1"/>
              </w:rPr>
              <w:t>Efficiency</w:t>
            </w:r>
            <w:r w:rsidRPr="002863E5">
              <w:rPr>
                <w:rFonts w:eastAsia="Aptos" w:cstheme="minorHAnsi"/>
                <w:color w:val="000000" w:themeColor="text1"/>
              </w:rPr>
              <w:t xml:space="preserve"> – in implementing initiatives and processes.</w:t>
            </w:r>
          </w:p>
          <w:p w14:paraId="3586B6F5" w14:textId="0D16C2D6" w:rsidR="7345A0AE" w:rsidRPr="002863E5" w:rsidRDefault="7345A0AE" w:rsidP="00B71029">
            <w:pPr>
              <w:pStyle w:val="ListParagraph"/>
              <w:numPr>
                <w:ilvl w:val="0"/>
                <w:numId w:val="11"/>
              </w:numPr>
              <w:spacing w:after="0"/>
              <w:rPr>
                <w:rFonts w:eastAsia="Aptos" w:cstheme="minorHAnsi"/>
                <w:color w:val="000000" w:themeColor="text1"/>
              </w:rPr>
            </w:pPr>
            <w:r w:rsidRPr="002863E5">
              <w:rPr>
                <w:rFonts w:eastAsia="Aptos" w:cstheme="minorHAnsi"/>
                <w:b/>
                <w:bCs/>
                <w:color w:val="000000" w:themeColor="text1"/>
              </w:rPr>
              <w:t>Agility</w:t>
            </w:r>
            <w:r w:rsidRPr="002863E5">
              <w:rPr>
                <w:rFonts w:eastAsia="Aptos" w:cstheme="minorHAnsi"/>
                <w:color w:val="000000" w:themeColor="text1"/>
              </w:rPr>
              <w:t xml:space="preserve"> – to respond to evolving external conditions and policy changes.</w:t>
            </w:r>
          </w:p>
          <w:p w14:paraId="27F80E54" w14:textId="6FB9D565" w:rsidR="4921D90C" w:rsidRDefault="4921D90C" w:rsidP="4921D90C">
            <w:pPr>
              <w:pStyle w:val="NormalIndent"/>
              <w:spacing w:before="0" w:after="0"/>
              <w:ind w:left="1080"/>
              <w:rPr>
                <w:rFonts w:asciiTheme="minorHAnsi" w:hAnsiTheme="minorHAnsi" w:cstheme="minorBidi"/>
                <w:i/>
                <w:iCs/>
                <w:color w:val="FF0000"/>
              </w:rPr>
            </w:pPr>
          </w:p>
          <w:p w14:paraId="05F59C56" w14:textId="77777777" w:rsidR="00916B09" w:rsidRPr="005C3CB4" w:rsidRDefault="00916B09" w:rsidP="00916B09">
            <w:pPr>
              <w:autoSpaceDE w:val="0"/>
              <w:autoSpaceDN w:val="0"/>
              <w:adjustRightInd w:val="0"/>
              <w:spacing w:after="0"/>
              <w:ind w:left="720"/>
              <w:rPr>
                <w:rFonts w:ascii="Calibri" w:hAnsi="Calibri" w:cs="Calibri"/>
              </w:rPr>
            </w:pPr>
          </w:p>
          <w:p w14:paraId="3CFA2BA1" w14:textId="77777777" w:rsidR="001B109C" w:rsidRPr="00E169EE" w:rsidRDefault="001B109C">
            <w:pPr>
              <w:pStyle w:val="NormalIndent"/>
              <w:spacing w:before="0" w:after="0"/>
              <w:ind w:left="0"/>
              <w:rPr>
                <w:rFonts w:asciiTheme="minorHAnsi" w:hAnsiTheme="minorHAnsi" w:cstheme="minorHAnsi"/>
                <w:i/>
                <w:color w:val="FF0000"/>
                <w:szCs w:val="22"/>
              </w:rPr>
            </w:pPr>
          </w:p>
          <w:p w14:paraId="64688F83" w14:textId="77777777" w:rsidR="001B109C" w:rsidRDefault="001B109C">
            <w:pPr>
              <w:pStyle w:val="NormalIndent"/>
              <w:spacing w:before="0" w:after="0"/>
              <w:ind w:left="0"/>
              <w:rPr>
                <w:rFonts w:asciiTheme="minorHAnsi" w:hAnsiTheme="minorHAnsi" w:cstheme="minorHAnsi"/>
                <w:i/>
                <w:color w:val="FF0000"/>
                <w:szCs w:val="22"/>
              </w:rPr>
            </w:pPr>
          </w:p>
          <w:p w14:paraId="1A566E22" w14:textId="77777777" w:rsidR="001B109C" w:rsidRDefault="001B109C">
            <w:pPr>
              <w:pStyle w:val="NormalIndent"/>
              <w:spacing w:before="0" w:after="0"/>
              <w:ind w:left="0"/>
              <w:rPr>
                <w:rFonts w:asciiTheme="minorHAnsi" w:hAnsiTheme="minorHAnsi" w:cstheme="minorHAnsi"/>
                <w:i/>
                <w:color w:val="FF0000"/>
                <w:szCs w:val="22"/>
              </w:rPr>
            </w:pPr>
          </w:p>
          <w:p w14:paraId="00CBC427" w14:textId="77777777" w:rsidR="001B109C" w:rsidRDefault="001B109C">
            <w:pPr>
              <w:pStyle w:val="NormalIndent"/>
              <w:spacing w:before="0" w:after="0"/>
              <w:ind w:left="0"/>
              <w:rPr>
                <w:rFonts w:asciiTheme="minorHAnsi" w:hAnsiTheme="minorHAnsi" w:cstheme="minorHAnsi"/>
                <w:i/>
                <w:color w:val="FF0000"/>
                <w:szCs w:val="22"/>
              </w:rPr>
            </w:pPr>
          </w:p>
          <w:p w14:paraId="2430CFAE" w14:textId="77777777" w:rsidR="001B109C" w:rsidRDefault="001B109C">
            <w:pPr>
              <w:pStyle w:val="NormalIndent"/>
              <w:spacing w:before="0" w:after="0"/>
              <w:ind w:left="0"/>
              <w:rPr>
                <w:rFonts w:asciiTheme="minorHAnsi" w:hAnsiTheme="minorHAnsi" w:cstheme="minorHAnsi"/>
                <w:i/>
                <w:color w:val="FF0000"/>
                <w:szCs w:val="22"/>
              </w:rPr>
            </w:pPr>
          </w:p>
          <w:p w14:paraId="7F9C12EF" w14:textId="77777777" w:rsidR="001B109C" w:rsidRDefault="001B109C">
            <w:pPr>
              <w:pStyle w:val="NormalIndent"/>
              <w:spacing w:before="0" w:after="0"/>
              <w:ind w:left="0"/>
              <w:rPr>
                <w:rFonts w:asciiTheme="minorHAnsi" w:hAnsiTheme="minorHAnsi" w:cstheme="minorHAnsi"/>
                <w:i/>
                <w:color w:val="FF0000"/>
                <w:szCs w:val="22"/>
              </w:rPr>
            </w:pPr>
          </w:p>
          <w:p w14:paraId="218F6688" w14:textId="77777777" w:rsidR="001B109C" w:rsidRDefault="001B109C">
            <w:pPr>
              <w:pStyle w:val="NormalIndent"/>
              <w:spacing w:before="0" w:after="0"/>
              <w:ind w:left="0"/>
              <w:rPr>
                <w:rFonts w:asciiTheme="minorHAnsi" w:hAnsiTheme="minorHAnsi" w:cstheme="minorHAnsi"/>
                <w:i/>
                <w:color w:val="FF0000"/>
                <w:szCs w:val="22"/>
              </w:rPr>
            </w:pPr>
          </w:p>
          <w:p w14:paraId="155D297B" w14:textId="77777777" w:rsidR="001B109C" w:rsidRDefault="001B109C">
            <w:pPr>
              <w:pStyle w:val="NormalIndent"/>
              <w:spacing w:before="0" w:after="0"/>
              <w:ind w:left="0"/>
              <w:rPr>
                <w:rFonts w:asciiTheme="minorHAnsi" w:hAnsiTheme="minorHAnsi" w:cstheme="minorHAnsi"/>
                <w:i/>
                <w:color w:val="FF0000"/>
                <w:szCs w:val="22"/>
              </w:rPr>
            </w:pPr>
          </w:p>
          <w:p w14:paraId="320CFE65" w14:textId="77777777" w:rsidR="001B109C" w:rsidRDefault="001B109C">
            <w:pPr>
              <w:pStyle w:val="NormalIndent"/>
              <w:spacing w:before="0" w:after="0"/>
              <w:ind w:left="0"/>
              <w:rPr>
                <w:rFonts w:asciiTheme="minorHAnsi" w:hAnsiTheme="minorHAnsi" w:cstheme="minorHAnsi"/>
                <w:i/>
                <w:color w:val="FF0000"/>
                <w:szCs w:val="22"/>
              </w:rPr>
            </w:pPr>
          </w:p>
          <w:p w14:paraId="378830B3" w14:textId="77777777" w:rsidR="001B109C" w:rsidRDefault="001B109C">
            <w:pPr>
              <w:pStyle w:val="NormalIndent"/>
              <w:spacing w:before="0" w:after="0"/>
              <w:ind w:left="0"/>
              <w:rPr>
                <w:rFonts w:asciiTheme="minorHAnsi" w:hAnsiTheme="minorHAnsi" w:cstheme="minorHAnsi"/>
                <w:i/>
                <w:color w:val="FF0000"/>
                <w:szCs w:val="22"/>
              </w:rPr>
            </w:pPr>
          </w:p>
          <w:p w14:paraId="7EC10BDB" w14:textId="77777777" w:rsidR="001B109C" w:rsidRDefault="001B109C">
            <w:pPr>
              <w:pStyle w:val="NormalIndent"/>
              <w:spacing w:before="0" w:after="0"/>
              <w:ind w:left="0"/>
              <w:rPr>
                <w:rFonts w:asciiTheme="minorHAnsi" w:hAnsiTheme="minorHAnsi" w:cstheme="minorHAnsi"/>
                <w:i/>
                <w:color w:val="FF0000"/>
                <w:szCs w:val="22"/>
              </w:rPr>
            </w:pPr>
          </w:p>
          <w:p w14:paraId="4EF0BFAD" w14:textId="77777777" w:rsidR="001B109C" w:rsidRDefault="001B109C">
            <w:pPr>
              <w:pStyle w:val="NormalIndent"/>
              <w:spacing w:before="0" w:after="0"/>
              <w:ind w:left="0"/>
              <w:rPr>
                <w:rFonts w:asciiTheme="minorHAnsi" w:hAnsiTheme="minorHAnsi" w:cstheme="minorHAnsi"/>
                <w:i/>
                <w:color w:val="FF0000"/>
                <w:szCs w:val="22"/>
              </w:rPr>
            </w:pPr>
          </w:p>
          <w:p w14:paraId="04F63814" w14:textId="77777777" w:rsidR="001B109C" w:rsidRDefault="001B109C">
            <w:pPr>
              <w:pStyle w:val="NormalIndent"/>
              <w:spacing w:before="0" w:after="0"/>
              <w:ind w:left="0"/>
              <w:rPr>
                <w:rFonts w:asciiTheme="minorHAnsi" w:hAnsiTheme="minorHAnsi" w:cstheme="minorHAnsi"/>
                <w:i/>
                <w:color w:val="FF0000"/>
                <w:szCs w:val="22"/>
              </w:rPr>
            </w:pPr>
          </w:p>
          <w:p w14:paraId="74D1FDC7" w14:textId="77777777" w:rsidR="001B109C" w:rsidRPr="007E3E37" w:rsidRDefault="001B109C">
            <w:pPr>
              <w:pStyle w:val="NormalIndent"/>
              <w:spacing w:before="0" w:after="0"/>
              <w:ind w:left="0"/>
              <w:rPr>
                <w:rFonts w:asciiTheme="minorHAnsi" w:hAnsiTheme="minorHAnsi" w:cstheme="minorHAnsi"/>
                <w:i/>
                <w:color w:val="FF0000"/>
                <w:szCs w:val="22"/>
              </w:rPr>
            </w:pPr>
          </w:p>
        </w:tc>
      </w:tr>
      <w:tr w:rsidR="001B109C" w:rsidRPr="00E41388" w14:paraId="0DB3C874" w14:textId="77777777" w:rsidTr="397132BD">
        <w:trPr>
          <w:cantSplit/>
        </w:trPr>
        <w:tc>
          <w:tcPr>
            <w:tcW w:w="5000" w:type="pct"/>
          </w:tcPr>
          <w:p w14:paraId="6AFCBF55" w14:textId="36798EAD" w:rsidR="002863E5" w:rsidRPr="002863E5" w:rsidRDefault="002863E5" w:rsidP="00544E37">
            <w:pPr>
              <w:pStyle w:val="NormalIndent"/>
              <w:spacing w:before="0" w:after="0"/>
              <w:ind w:left="0"/>
              <w:rPr>
                <w:rFonts w:asciiTheme="majorHAnsi" w:eastAsia="Calibri" w:hAnsiTheme="majorHAnsi" w:cstheme="majorHAnsi"/>
                <w:b/>
                <w:color w:val="003A74" w:themeColor="text2" w:themeTint="E6"/>
                <w:sz w:val="28"/>
                <w:szCs w:val="28"/>
              </w:rPr>
            </w:pPr>
            <w:r w:rsidRPr="002863E5">
              <w:rPr>
                <w:rFonts w:asciiTheme="majorHAnsi" w:eastAsia="Calibri" w:hAnsiTheme="majorHAnsi" w:cstheme="majorHAnsi"/>
                <w:b/>
                <w:color w:val="003A74" w:themeColor="text2" w:themeTint="E6"/>
                <w:sz w:val="28"/>
                <w:szCs w:val="28"/>
              </w:rPr>
              <w:lastRenderedPageBreak/>
              <w:t>Strategies for Improving Research, Research Training, and Innovation</w:t>
            </w:r>
          </w:p>
          <w:p w14:paraId="7DEC4124" w14:textId="621C1920" w:rsidR="00916B09" w:rsidRPr="002863E5" w:rsidRDefault="00916B09" w:rsidP="00544E37">
            <w:pPr>
              <w:pStyle w:val="NormalIndent"/>
              <w:spacing w:before="0" w:after="0"/>
              <w:ind w:left="0"/>
              <w:rPr>
                <w:rFonts w:asciiTheme="minorHAnsi" w:hAnsiTheme="minorHAnsi" w:cstheme="minorBidi"/>
                <w:i/>
                <w:color w:val="000000" w:themeColor="text1"/>
                <w:szCs w:val="22"/>
              </w:rPr>
            </w:pPr>
            <w:r w:rsidRPr="002863E5">
              <w:rPr>
                <w:rFonts w:eastAsia="Calibri" w:cs="Calibri"/>
                <w:b/>
                <w:szCs w:val="22"/>
              </w:rPr>
              <w:t>Research and Research Training</w:t>
            </w:r>
          </w:p>
          <w:p w14:paraId="64E83BB6" w14:textId="6CE5E992" w:rsidR="147961AA" w:rsidRPr="00544E37" w:rsidRDefault="147961AA" w:rsidP="00544E37">
            <w:pPr>
              <w:shd w:val="clear" w:color="auto" w:fill="FFFFFF" w:themeFill="background1"/>
              <w:spacing w:after="0"/>
              <w:rPr>
                <w:rFonts w:ascii="Calibri" w:eastAsia="Calibri" w:hAnsi="Calibri" w:cs="Calibri"/>
                <w:color w:val="000000" w:themeColor="text1"/>
              </w:rPr>
            </w:pPr>
            <w:r w:rsidRPr="00544E37">
              <w:rPr>
                <w:rFonts w:ascii="Calibri" w:eastAsia="Calibri" w:hAnsi="Calibri" w:cs="Calibri"/>
                <w:color w:val="000000" w:themeColor="text1"/>
              </w:rPr>
              <w:t>The University is committed to fostering a culture of impactful research, research training, and innovation excellence, supporting people and capability development, and nurturing future leaders to address regional, national, and global challenges. We focus our research and innovation on issues that matter most to our regions by refining priorities, aligning investments, strengthening regional engagement, and scaling strategic partnerships. By moving to a collaborative research model, streamlining processes, embracing enabling technologies, and developing key infrastructure, we enhance our ability to deliver impactful outcomes. We are dedicated to creating a culture that drives, recognises, and rewards research impact, supports talent development, and encourages interdisciplinary teams, all while lifting our rankings, reputation, and global alliances.</w:t>
            </w:r>
          </w:p>
          <w:p w14:paraId="0AFAF810" w14:textId="1A1CAABF" w:rsidR="147961AA" w:rsidRPr="00544E37" w:rsidRDefault="147961AA" w:rsidP="00544E37">
            <w:pPr>
              <w:shd w:val="clear" w:color="auto" w:fill="FFFFFF" w:themeFill="background1"/>
              <w:spacing w:after="0"/>
              <w:rPr>
                <w:rFonts w:ascii="Calibri" w:eastAsia="Calibri" w:hAnsi="Calibri" w:cs="Calibri"/>
                <w:color w:val="000000" w:themeColor="text1"/>
              </w:rPr>
            </w:pPr>
            <w:r w:rsidRPr="00544E37">
              <w:rPr>
                <w:rFonts w:ascii="Calibri" w:eastAsia="Calibri" w:hAnsi="Calibri" w:cs="Calibri"/>
                <w:color w:val="000000" w:themeColor="text1"/>
              </w:rPr>
              <w:t xml:space="preserve"> </w:t>
            </w:r>
          </w:p>
          <w:p w14:paraId="1174B3E2" w14:textId="42AB20E2" w:rsidR="147961AA" w:rsidRPr="00544E37" w:rsidRDefault="147961AA" w:rsidP="001B62DC">
            <w:pPr>
              <w:spacing w:after="0"/>
              <w:rPr>
                <w:rFonts w:ascii="Calibri" w:eastAsia="Calibri" w:hAnsi="Calibri" w:cs="Calibri"/>
                <w:b/>
                <w:bCs/>
              </w:rPr>
            </w:pPr>
            <w:r w:rsidRPr="00544E37">
              <w:rPr>
                <w:rFonts w:ascii="Calibri" w:eastAsia="Calibri" w:hAnsi="Calibri" w:cs="Calibri"/>
                <w:b/>
                <w:bCs/>
              </w:rPr>
              <w:t xml:space="preserve">Achieved: </w:t>
            </w:r>
          </w:p>
          <w:p w14:paraId="097DC556" w14:textId="463AAAE1" w:rsidR="147961AA" w:rsidRPr="001B62DC" w:rsidRDefault="147961AA" w:rsidP="00B71029">
            <w:pPr>
              <w:pStyle w:val="ListParagraph"/>
              <w:numPr>
                <w:ilvl w:val="0"/>
                <w:numId w:val="13"/>
              </w:numPr>
              <w:spacing w:after="0"/>
              <w:rPr>
                <w:rFonts w:ascii="Calibri" w:eastAsia="Calibri" w:hAnsi="Calibri" w:cs="Calibri"/>
                <w:color w:val="000000" w:themeColor="text1"/>
              </w:rPr>
            </w:pPr>
            <w:r w:rsidRPr="001B62DC">
              <w:rPr>
                <w:rFonts w:ascii="Calibri" w:eastAsia="Calibri" w:hAnsi="Calibri" w:cs="Calibri"/>
                <w:color w:val="000000" w:themeColor="text1"/>
              </w:rPr>
              <w:t xml:space="preserve">Supporting the growth of our people (including research students, academics, and professional staff) through targeted professional development and training programs which have been revised considering equity, diversity and inclusion principles and present-day challenges (e.g., AI developments, HDR supervision, cyber security, foreign interference, research data management and AUKUS). </w:t>
            </w:r>
          </w:p>
          <w:p w14:paraId="660F3618" w14:textId="77777777" w:rsidR="00636379" w:rsidRPr="001B62DC" w:rsidRDefault="00636379" w:rsidP="00636379">
            <w:pPr>
              <w:pStyle w:val="ListParagraph"/>
              <w:numPr>
                <w:ilvl w:val="0"/>
                <w:numId w:val="13"/>
              </w:numPr>
              <w:spacing w:after="0"/>
              <w:rPr>
                <w:rFonts w:ascii="Calibri" w:eastAsia="Calibri" w:hAnsi="Calibri" w:cs="Calibri"/>
                <w:color w:val="000000" w:themeColor="text1"/>
              </w:rPr>
            </w:pPr>
            <w:r w:rsidRPr="001B62DC">
              <w:rPr>
                <w:rFonts w:ascii="Calibri" w:eastAsia="Calibri" w:hAnsi="Calibri" w:cs="Calibri"/>
                <w:color w:val="000000" w:themeColor="text1"/>
              </w:rPr>
              <w:t>Established inter-institutional Doctoral Training Centres around key strategic multi-disciplinary, industry-focused research areas, including gendered violence, affordable housing, resources, food &amp; agriculture, and energy.</w:t>
            </w:r>
          </w:p>
          <w:p w14:paraId="0FC1BBE5" w14:textId="02E0E2BC" w:rsidR="147961AA" w:rsidRPr="001B62DC" w:rsidRDefault="147961AA" w:rsidP="00B71029">
            <w:pPr>
              <w:pStyle w:val="ListParagraph"/>
              <w:numPr>
                <w:ilvl w:val="0"/>
                <w:numId w:val="13"/>
              </w:numPr>
              <w:spacing w:after="0"/>
              <w:rPr>
                <w:rFonts w:ascii="Calibri" w:eastAsia="Calibri" w:hAnsi="Calibri" w:cs="Calibri"/>
                <w:color w:val="000000" w:themeColor="text1"/>
              </w:rPr>
            </w:pPr>
            <w:r w:rsidRPr="001B62DC">
              <w:rPr>
                <w:rFonts w:ascii="Calibri" w:eastAsia="Calibri" w:hAnsi="Calibri" w:cs="Calibri"/>
                <w:color w:val="000000" w:themeColor="text1"/>
              </w:rPr>
              <w:t xml:space="preserve">Developing strategic recruitment and succession plans that enhance capabilities by attracting talent to key research centres and programs aligned </w:t>
            </w:r>
            <w:r w:rsidR="00F61F8D" w:rsidRPr="001B62DC">
              <w:rPr>
                <w:rFonts w:ascii="Calibri" w:eastAsia="Calibri" w:hAnsi="Calibri" w:cs="Calibri"/>
                <w:color w:val="000000" w:themeColor="text1"/>
              </w:rPr>
              <w:t>to national</w:t>
            </w:r>
            <w:r w:rsidRPr="001B62DC">
              <w:rPr>
                <w:rFonts w:ascii="Calibri" w:eastAsia="Calibri" w:hAnsi="Calibri" w:cs="Calibri"/>
                <w:color w:val="000000" w:themeColor="text1"/>
              </w:rPr>
              <w:t xml:space="preserve"> priorities.  </w:t>
            </w:r>
          </w:p>
          <w:p w14:paraId="3F5204B3" w14:textId="0543BDD8" w:rsidR="147961AA" w:rsidRPr="001B62DC" w:rsidRDefault="147961AA" w:rsidP="00B71029">
            <w:pPr>
              <w:pStyle w:val="ListParagraph"/>
              <w:numPr>
                <w:ilvl w:val="0"/>
                <w:numId w:val="13"/>
              </w:numPr>
              <w:spacing w:after="0"/>
              <w:rPr>
                <w:rFonts w:ascii="Calibri" w:eastAsia="Calibri" w:hAnsi="Calibri" w:cs="Calibri"/>
                <w:color w:val="000000" w:themeColor="text1"/>
              </w:rPr>
            </w:pPr>
            <w:r w:rsidRPr="001B62DC">
              <w:rPr>
                <w:rFonts w:ascii="Calibri" w:eastAsia="Calibri" w:hAnsi="Calibri" w:cs="Calibri"/>
                <w:color w:val="000000" w:themeColor="text1"/>
              </w:rPr>
              <w:t xml:space="preserve">Promote the University’s research reputation to external stakeholders to improve institutional rankings and communication of impactful outcomes. </w:t>
            </w:r>
          </w:p>
          <w:p w14:paraId="5A74258E" w14:textId="68208F9A" w:rsidR="00916B09" w:rsidRPr="001B62DC" w:rsidRDefault="00916B09" w:rsidP="00B71029">
            <w:pPr>
              <w:pStyle w:val="ListParagraph"/>
              <w:numPr>
                <w:ilvl w:val="0"/>
                <w:numId w:val="13"/>
              </w:numPr>
              <w:spacing w:after="0"/>
              <w:rPr>
                <w:rFonts w:ascii="Calibri" w:eastAsia="Calibri" w:hAnsi="Calibri" w:cs="Calibri"/>
                <w:color w:val="000000" w:themeColor="text1"/>
              </w:rPr>
            </w:pPr>
            <w:r w:rsidRPr="001B62DC">
              <w:rPr>
                <w:rFonts w:ascii="Calibri" w:eastAsia="Calibri" w:hAnsi="Calibri" w:cs="Calibri"/>
                <w:color w:val="000000" w:themeColor="text1"/>
              </w:rPr>
              <w:t>Implementing new programs and career capability pathways for HDR students to support their career development from start of candidature.</w:t>
            </w:r>
          </w:p>
          <w:p w14:paraId="3CB739F1" w14:textId="00BB30B0" w:rsidR="147961AA" w:rsidRPr="001B62DC" w:rsidRDefault="147961AA" w:rsidP="00B71029">
            <w:pPr>
              <w:pStyle w:val="ListParagraph"/>
              <w:numPr>
                <w:ilvl w:val="0"/>
                <w:numId w:val="13"/>
              </w:numPr>
              <w:spacing w:after="0"/>
              <w:rPr>
                <w:rFonts w:ascii="Calibri" w:eastAsia="Calibri" w:hAnsi="Calibri" w:cs="Calibri"/>
                <w:color w:val="000000" w:themeColor="text1"/>
              </w:rPr>
            </w:pPr>
            <w:r w:rsidRPr="001B62DC">
              <w:rPr>
                <w:rFonts w:ascii="Calibri" w:eastAsia="Calibri" w:hAnsi="Calibri" w:cs="Calibri"/>
                <w:color w:val="000000" w:themeColor="text1"/>
              </w:rPr>
              <w:t xml:space="preserve">Promoting industry engagement activities for HDR including the National Industry PhD scheme, engagement in the Australian Technology Network (ATN) Frontiers training program, the Industry Engaged PhD pathway which includes a </w:t>
            </w:r>
            <w:r w:rsidR="00F61F8D" w:rsidRPr="001B62DC">
              <w:rPr>
                <w:rFonts w:ascii="Calibri" w:eastAsia="Calibri" w:hAnsi="Calibri" w:cs="Calibri"/>
                <w:color w:val="000000" w:themeColor="text1"/>
              </w:rPr>
              <w:t>supported internship</w:t>
            </w:r>
            <w:r w:rsidRPr="001B62DC">
              <w:rPr>
                <w:rFonts w:ascii="Calibri" w:eastAsia="Calibri" w:hAnsi="Calibri" w:cs="Calibri"/>
                <w:color w:val="000000" w:themeColor="text1"/>
              </w:rPr>
              <w:t xml:space="preserve"> opportunity and funded schemes to support engagement in research that has regional and global impact.</w:t>
            </w:r>
          </w:p>
          <w:p w14:paraId="000D9983" w14:textId="64809E86" w:rsidR="147961AA" w:rsidRPr="001B62DC" w:rsidRDefault="147961AA" w:rsidP="00B71029">
            <w:pPr>
              <w:pStyle w:val="ListParagraph"/>
              <w:numPr>
                <w:ilvl w:val="0"/>
                <w:numId w:val="13"/>
              </w:numPr>
              <w:spacing w:after="0"/>
              <w:rPr>
                <w:rFonts w:ascii="Calibri" w:eastAsia="Calibri" w:hAnsi="Calibri" w:cs="Calibri"/>
                <w:color w:val="000000" w:themeColor="text1"/>
              </w:rPr>
            </w:pPr>
            <w:r w:rsidRPr="001B62DC">
              <w:rPr>
                <w:rFonts w:ascii="Calibri" w:eastAsia="Calibri" w:hAnsi="Calibri" w:cs="Calibri"/>
                <w:color w:val="000000" w:themeColor="text1"/>
              </w:rPr>
              <w:t>Implemented a new streamlined HDR program suite which enables admission to higher degree research programs centred on real world problem solving and industry engagement, with multidisciplinary supervision teams</w:t>
            </w:r>
          </w:p>
          <w:p w14:paraId="37996A18" w14:textId="37D09F9D" w:rsidR="147961AA" w:rsidRPr="001B62DC" w:rsidRDefault="147961AA" w:rsidP="00B71029">
            <w:pPr>
              <w:pStyle w:val="ListParagraph"/>
              <w:numPr>
                <w:ilvl w:val="0"/>
                <w:numId w:val="13"/>
              </w:numPr>
              <w:spacing w:after="0"/>
              <w:rPr>
                <w:rFonts w:ascii="Calibri" w:eastAsia="Calibri" w:hAnsi="Calibri" w:cs="Calibri"/>
              </w:rPr>
            </w:pPr>
            <w:r w:rsidRPr="001B62DC">
              <w:rPr>
                <w:rFonts w:ascii="Calibri" w:eastAsia="Calibri" w:hAnsi="Calibri" w:cs="Calibri"/>
              </w:rPr>
              <w:t xml:space="preserve">Commitment to openness in animal research via the </w:t>
            </w:r>
            <w:hyperlink r:id="rId24">
              <w:r w:rsidRPr="001B62DC">
                <w:rPr>
                  <w:rStyle w:val="Hyperlink"/>
                  <w:rFonts w:ascii="Calibri" w:eastAsia="Calibri" w:hAnsi="Calibri" w:cs="Calibri"/>
                  <w:color w:val="0070C0"/>
                </w:rPr>
                <w:t>ANZCCART Openness Agreement 2023</w:t>
              </w:r>
            </w:hyperlink>
            <w:r w:rsidRPr="001B62DC">
              <w:rPr>
                <w:rFonts w:ascii="Calibri" w:eastAsia="Calibri" w:hAnsi="Calibri" w:cs="Calibri"/>
              </w:rPr>
              <w:t xml:space="preserve">. </w:t>
            </w:r>
          </w:p>
          <w:p w14:paraId="16E6B932" w14:textId="69D5FFE1" w:rsidR="147961AA" w:rsidRPr="001B62DC" w:rsidRDefault="147961AA" w:rsidP="00B71029">
            <w:pPr>
              <w:pStyle w:val="ListParagraph"/>
              <w:numPr>
                <w:ilvl w:val="0"/>
                <w:numId w:val="13"/>
              </w:numPr>
              <w:spacing w:after="0"/>
              <w:rPr>
                <w:rFonts w:ascii="Calibri" w:eastAsia="Calibri" w:hAnsi="Calibri" w:cs="Calibri"/>
              </w:rPr>
            </w:pPr>
            <w:r w:rsidRPr="001B62DC">
              <w:rPr>
                <w:rFonts w:ascii="Calibri" w:eastAsia="Calibri" w:hAnsi="Calibri" w:cs="Calibri"/>
              </w:rPr>
              <w:t xml:space="preserve">Established a Director, Aboriginal and Torres Strait Islander Research Strategy and Leadership role to lead, elevate, and embed Indigenous research excellence, alongside the creation of a Community-Representative Panel (Wukul Yabang) to ensure Aboriginal leadership, relevance, and community benefit in research initiatives. </w:t>
            </w:r>
          </w:p>
          <w:p w14:paraId="74D4E15E" w14:textId="4E712D5D" w:rsidR="147961AA" w:rsidRPr="00544E37" w:rsidRDefault="147961AA" w:rsidP="001B62DC">
            <w:pPr>
              <w:shd w:val="clear" w:color="auto" w:fill="FFFFFF" w:themeFill="background1"/>
              <w:spacing w:after="0"/>
              <w:ind w:firstLine="50"/>
              <w:rPr>
                <w:rFonts w:ascii="Calibri" w:eastAsia="Calibri" w:hAnsi="Calibri" w:cs="Calibri"/>
                <w:color w:val="000000" w:themeColor="text1"/>
              </w:rPr>
            </w:pPr>
          </w:p>
          <w:p w14:paraId="4285F7FC" w14:textId="279E331B" w:rsidR="147961AA" w:rsidRPr="00544E37" w:rsidRDefault="147961AA" w:rsidP="00544E37">
            <w:pPr>
              <w:shd w:val="clear" w:color="auto" w:fill="FFFFFF" w:themeFill="background1"/>
              <w:spacing w:after="0"/>
              <w:rPr>
                <w:rFonts w:ascii="Calibri" w:eastAsia="Calibri" w:hAnsi="Calibri" w:cs="Calibri"/>
                <w:b/>
                <w:bCs/>
                <w:color w:val="000000" w:themeColor="text1"/>
              </w:rPr>
            </w:pPr>
            <w:r w:rsidRPr="00544E37">
              <w:rPr>
                <w:rFonts w:ascii="Calibri" w:eastAsia="Calibri" w:hAnsi="Calibri" w:cs="Calibri"/>
                <w:b/>
                <w:bCs/>
                <w:color w:val="000000" w:themeColor="text1"/>
              </w:rPr>
              <w:t xml:space="preserve">Measured: </w:t>
            </w:r>
          </w:p>
          <w:p w14:paraId="5D0DF6C0" w14:textId="18F05299" w:rsidR="147961AA" w:rsidRPr="007D5DC8" w:rsidRDefault="147961AA" w:rsidP="00B71029">
            <w:pPr>
              <w:pStyle w:val="ListParagraph"/>
              <w:numPr>
                <w:ilvl w:val="0"/>
                <w:numId w:val="12"/>
              </w:numPr>
              <w:spacing w:after="0"/>
              <w:rPr>
                <w:rFonts w:ascii="Calibri" w:eastAsia="Calibri" w:hAnsi="Calibri" w:cs="Calibri"/>
                <w:color w:val="000000" w:themeColor="text1"/>
              </w:rPr>
            </w:pPr>
            <w:r w:rsidRPr="007D5DC8">
              <w:rPr>
                <w:rFonts w:ascii="Calibri" w:eastAsia="Calibri" w:hAnsi="Calibri" w:cs="Calibri"/>
                <w:color w:val="000000" w:themeColor="text1"/>
              </w:rPr>
              <w:t xml:space="preserve">Delivered new/updated professional development and training programs including mandatory research integrity, ethics and supervisor training. </w:t>
            </w:r>
          </w:p>
          <w:p w14:paraId="4BCC5516" w14:textId="1F0537C2" w:rsidR="147961AA" w:rsidRPr="007D5DC8" w:rsidRDefault="147961AA" w:rsidP="00B71029">
            <w:pPr>
              <w:pStyle w:val="ListParagraph"/>
              <w:numPr>
                <w:ilvl w:val="0"/>
                <w:numId w:val="12"/>
              </w:numPr>
              <w:spacing w:after="0"/>
              <w:rPr>
                <w:rFonts w:ascii="Calibri" w:eastAsia="Calibri" w:hAnsi="Calibri" w:cs="Calibri"/>
                <w:color w:val="000000" w:themeColor="text1"/>
              </w:rPr>
            </w:pPr>
            <w:r w:rsidRPr="007D5DC8">
              <w:rPr>
                <w:rFonts w:ascii="Calibri" w:eastAsia="Calibri" w:hAnsi="Calibri" w:cs="Calibri"/>
                <w:color w:val="000000" w:themeColor="text1"/>
              </w:rPr>
              <w:t xml:space="preserve">Indigenous-led advice and endorsement of the responsible conduct of research. </w:t>
            </w:r>
          </w:p>
          <w:p w14:paraId="55EB46A3" w14:textId="38C51A4D" w:rsidR="00916B09" w:rsidRPr="007D5DC8" w:rsidRDefault="00916B09" w:rsidP="00B71029">
            <w:pPr>
              <w:pStyle w:val="ListParagraph"/>
              <w:numPr>
                <w:ilvl w:val="0"/>
                <w:numId w:val="12"/>
              </w:numPr>
              <w:spacing w:after="0"/>
              <w:rPr>
                <w:rFonts w:ascii="Calibri" w:eastAsia="Calibri" w:hAnsi="Calibri" w:cs="Calibri"/>
                <w:color w:val="000000" w:themeColor="text1"/>
              </w:rPr>
            </w:pPr>
            <w:r w:rsidRPr="007D5DC8">
              <w:rPr>
                <w:rFonts w:ascii="Calibri" w:eastAsia="Calibri" w:hAnsi="Calibri" w:cs="Calibri"/>
                <w:color w:val="000000" w:themeColor="text1"/>
              </w:rPr>
              <w:t>Improved numbers of HDR students engaged in skills development and career enhancement activities.</w:t>
            </w:r>
          </w:p>
          <w:p w14:paraId="5BEC2694" w14:textId="013069B7" w:rsidR="00916B09" w:rsidRPr="007D5DC8" w:rsidRDefault="00916B09" w:rsidP="00B71029">
            <w:pPr>
              <w:pStyle w:val="ListParagraph"/>
              <w:numPr>
                <w:ilvl w:val="0"/>
                <w:numId w:val="12"/>
              </w:numPr>
              <w:spacing w:after="0"/>
              <w:rPr>
                <w:rFonts w:ascii="Calibri" w:eastAsia="Calibri" w:hAnsi="Calibri" w:cs="Calibri"/>
                <w:color w:val="000000" w:themeColor="text1"/>
              </w:rPr>
            </w:pPr>
            <w:r w:rsidRPr="007D5DC8">
              <w:rPr>
                <w:rFonts w:ascii="Calibri" w:eastAsia="Calibri" w:hAnsi="Calibri" w:cs="Calibri"/>
                <w:color w:val="000000" w:themeColor="text1"/>
              </w:rPr>
              <w:t>Provision of data-driven performance analysis to leaders for key decision making.</w:t>
            </w:r>
            <w:r w:rsidR="147961AA" w:rsidRPr="007D5DC8">
              <w:rPr>
                <w:rFonts w:ascii="Calibri" w:eastAsia="Calibri" w:hAnsi="Calibri" w:cs="Calibri"/>
                <w:color w:val="000000" w:themeColor="text1"/>
              </w:rPr>
              <w:t xml:space="preserve"> </w:t>
            </w:r>
          </w:p>
          <w:p w14:paraId="72F8FD7C" w14:textId="681FBF99" w:rsidR="147961AA" w:rsidRPr="007D5DC8" w:rsidRDefault="147961AA" w:rsidP="00B71029">
            <w:pPr>
              <w:pStyle w:val="ListParagraph"/>
              <w:numPr>
                <w:ilvl w:val="0"/>
                <w:numId w:val="12"/>
              </w:numPr>
              <w:spacing w:after="0"/>
              <w:rPr>
                <w:rFonts w:ascii="Calibri" w:eastAsia="Calibri" w:hAnsi="Calibri" w:cs="Calibri"/>
                <w:color w:val="000000" w:themeColor="text1"/>
              </w:rPr>
            </w:pPr>
            <w:r w:rsidRPr="007D5DC8">
              <w:rPr>
                <w:rFonts w:ascii="Calibri" w:eastAsia="Calibri" w:hAnsi="Calibri" w:cs="Calibri"/>
                <w:color w:val="000000" w:themeColor="text1"/>
              </w:rPr>
              <w:lastRenderedPageBreak/>
              <w:t xml:space="preserve">Increased media engagement on stories of research impact. </w:t>
            </w:r>
          </w:p>
          <w:p w14:paraId="5B2FA00D" w14:textId="54D7BD7C" w:rsidR="147961AA" w:rsidRPr="007D5DC8" w:rsidRDefault="147961AA" w:rsidP="00B71029">
            <w:pPr>
              <w:pStyle w:val="ListParagraph"/>
              <w:numPr>
                <w:ilvl w:val="0"/>
                <w:numId w:val="12"/>
              </w:numPr>
              <w:spacing w:after="0"/>
              <w:rPr>
                <w:rFonts w:ascii="Calibri" w:eastAsia="Calibri" w:hAnsi="Calibri" w:cs="Calibri"/>
                <w:color w:val="000000" w:themeColor="text1"/>
              </w:rPr>
            </w:pPr>
            <w:r w:rsidRPr="007D5DC8">
              <w:rPr>
                <w:rFonts w:ascii="Calibri" w:eastAsia="Calibri" w:hAnsi="Calibri" w:cs="Calibri"/>
                <w:color w:val="000000" w:themeColor="text1"/>
              </w:rPr>
              <w:t xml:space="preserve">Improved selected University rankings. </w:t>
            </w:r>
          </w:p>
          <w:p w14:paraId="5E36016E" w14:textId="0353441F" w:rsidR="00916B09" w:rsidRPr="007D5DC8" w:rsidRDefault="00916B09" w:rsidP="00B71029">
            <w:pPr>
              <w:pStyle w:val="ListParagraph"/>
              <w:numPr>
                <w:ilvl w:val="0"/>
                <w:numId w:val="12"/>
              </w:numPr>
              <w:spacing w:after="0"/>
              <w:rPr>
                <w:rFonts w:ascii="Calibri" w:eastAsia="Calibri" w:hAnsi="Calibri" w:cs="Calibri"/>
                <w:color w:val="000000" w:themeColor="text1"/>
              </w:rPr>
            </w:pPr>
            <w:r w:rsidRPr="007D5DC8">
              <w:rPr>
                <w:rFonts w:ascii="Calibri" w:eastAsia="Calibri" w:hAnsi="Calibri" w:cs="Calibri"/>
                <w:color w:val="000000" w:themeColor="text1"/>
              </w:rPr>
              <w:t>Improved numbers of HDR students engaged with industry.</w:t>
            </w:r>
          </w:p>
          <w:p w14:paraId="72249FC4" w14:textId="4B1A39DF" w:rsidR="147961AA" w:rsidRPr="007D5DC8" w:rsidRDefault="147961AA" w:rsidP="00B71029">
            <w:pPr>
              <w:pStyle w:val="ListParagraph"/>
              <w:numPr>
                <w:ilvl w:val="0"/>
                <w:numId w:val="12"/>
              </w:numPr>
              <w:spacing w:after="0"/>
              <w:rPr>
                <w:rFonts w:ascii="Calibri" w:eastAsia="Calibri" w:hAnsi="Calibri" w:cs="Calibri"/>
              </w:rPr>
            </w:pPr>
            <w:r w:rsidRPr="007D5DC8">
              <w:rPr>
                <w:rFonts w:ascii="Calibri" w:eastAsia="Calibri" w:hAnsi="Calibri" w:cs="Calibri"/>
              </w:rPr>
              <w:t xml:space="preserve">Reduced animal usage and/or improved methods in groups with funded3Rs projects. </w:t>
            </w:r>
          </w:p>
          <w:p w14:paraId="1C26BDB6" w14:textId="76F9DB13" w:rsidR="00916B09" w:rsidRPr="007D5DC8" w:rsidRDefault="00916B09" w:rsidP="00B71029">
            <w:pPr>
              <w:pStyle w:val="ListParagraph"/>
              <w:numPr>
                <w:ilvl w:val="0"/>
                <w:numId w:val="12"/>
              </w:numPr>
              <w:spacing w:after="0"/>
              <w:rPr>
                <w:rFonts w:ascii="Calibri" w:eastAsia="Calibri" w:hAnsi="Calibri" w:cs="Calibri"/>
              </w:rPr>
            </w:pPr>
            <w:r w:rsidRPr="007D5DC8">
              <w:rPr>
                <w:rFonts w:ascii="Calibri" w:eastAsia="Calibri" w:hAnsi="Calibri" w:cs="Calibri"/>
              </w:rPr>
              <w:t>Increased HERDC funding</w:t>
            </w:r>
          </w:p>
          <w:p w14:paraId="63247466" w14:textId="2FEE1E28" w:rsidR="147961AA" w:rsidRPr="00544E37" w:rsidRDefault="147961AA" w:rsidP="00544E37">
            <w:pPr>
              <w:spacing w:after="0"/>
              <w:rPr>
                <w:rFonts w:ascii="Calibri" w:eastAsia="Calibri" w:hAnsi="Calibri" w:cs="Calibri"/>
              </w:rPr>
            </w:pPr>
            <w:r w:rsidRPr="00544E37">
              <w:rPr>
                <w:rFonts w:ascii="Calibri" w:eastAsia="Calibri" w:hAnsi="Calibri" w:cs="Calibri"/>
              </w:rPr>
              <w:t xml:space="preserve"> </w:t>
            </w:r>
          </w:p>
          <w:p w14:paraId="72B14142" w14:textId="033AEE4C" w:rsidR="00916B09" w:rsidRPr="00544E37" w:rsidRDefault="00916B09" w:rsidP="00544E37">
            <w:pPr>
              <w:spacing w:after="0"/>
              <w:rPr>
                <w:b/>
              </w:rPr>
            </w:pPr>
            <w:r w:rsidRPr="00544E37">
              <w:rPr>
                <w:rFonts w:ascii="Calibri" w:eastAsia="Calibri" w:hAnsi="Calibri" w:cs="Calibri"/>
                <w:b/>
              </w:rPr>
              <w:t xml:space="preserve">Innovation and Research Commercialisation </w:t>
            </w:r>
          </w:p>
          <w:p w14:paraId="7625FE74" w14:textId="262D6EAA" w:rsidR="147961AA" w:rsidRPr="00544E37" w:rsidRDefault="147961AA" w:rsidP="00544E37">
            <w:pPr>
              <w:spacing w:after="0"/>
              <w:rPr>
                <w:rFonts w:ascii="Calibri" w:eastAsia="Calibri" w:hAnsi="Calibri" w:cs="Calibri"/>
              </w:rPr>
            </w:pPr>
            <w:r w:rsidRPr="00544E37">
              <w:rPr>
                <w:rFonts w:ascii="Calibri" w:eastAsia="Calibri" w:hAnsi="Calibri" w:cs="Calibri"/>
              </w:rPr>
              <w:t xml:space="preserve">The University is committed to research translation, including commercialisation, to deliver economic and social impact in our region and beyond. </w:t>
            </w:r>
          </w:p>
          <w:p w14:paraId="548C418F" w14:textId="3E299C0F" w:rsidR="147961AA" w:rsidRPr="00544E37" w:rsidRDefault="147961AA" w:rsidP="00544E37">
            <w:pPr>
              <w:spacing w:after="0"/>
              <w:rPr>
                <w:rFonts w:ascii="Calibri" w:eastAsia="Calibri" w:hAnsi="Calibri" w:cs="Calibri"/>
              </w:rPr>
            </w:pPr>
            <w:r w:rsidRPr="00544E37">
              <w:rPr>
                <w:rFonts w:ascii="Calibri" w:eastAsia="Calibri" w:hAnsi="Calibri" w:cs="Calibri"/>
              </w:rPr>
              <w:t>A new research commercialisation strategy was developed in 2023 in consultation with our Colleges. In 2023, as part of this strategy, we reviewed and refreshed relevant policies including IP policy and procedures, outside work, and conflict of interest. Furthermore, a new spinout framework was developed, aiming to bring a transparent, consistent, equitable and streamlined approach to the University and inventor/founders taking equity in new spinouts to commercialise University owned IP. Four spinouts commercialising University owned IP have been established in the last 12 months with more in the pipeline. In 2023, the University joined Uniseed, Australia’s longest running early-stage tech investor. In 2025, the University’s first research commercialisation proof of concept fund was established to support new technologies straddle the research to early seed investment phase. We are also looking to partner with an investment management fund in the creation of a new Hunter region focussed early-stage technology innovation fund to ensure spinouts can thrive and stay local. We will continue to look for opportunities to adjust our culture and environment to maximise commercialisation outcomes.</w:t>
            </w:r>
          </w:p>
          <w:p w14:paraId="3C18A1B0" w14:textId="655D3759" w:rsidR="147961AA" w:rsidRDefault="147961AA" w:rsidP="1FAE29AE">
            <w:pPr>
              <w:pStyle w:val="ListParagraph"/>
              <w:spacing w:after="0"/>
              <w:rPr>
                <w:rFonts w:ascii="Calibri" w:eastAsia="Calibri" w:hAnsi="Calibri" w:cs="Calibri"/>
              </w:rPr>
            </w:pPr>
            <w:r w:rsidRPr="1FAE29AE">
              <w:rPr>
                <w:rFonts w:ascii="Calibri" w:eastAsia="Calibri" w:hAnsi="Calibri" w:cs="Calibri"/>
              </w:rPr>
              <w:t xml:space="preserve"> </w:t>
            </w:r>
          </w:p>
          <w:p w14:paraId="6F9C9888" w14:textId="31BEE07E" w:rsidR="00916B09" w:rsidRPr="00852B88" w:rsidRDefault="00916B09" w:rsidP="00544E37">
            <w:pPr>
              <w:spacing w:after="0"/>
            </w:pPr>
            <w:r w:rsidRPr="00544E37">
              <w:rPr>
                <w:rFonts w:ascii="Calibri" w:eastAsia="Calibri" w:hAnsi="Calibri" w:cs="Calibri"/>
              </w:rPr>
              <w:t xml:space="preserve">Measures of assessment: </w:t>
            </w:r>
          </w:p>
          <w:p w14:paraId="1326F6FC" w14:textId="5E17C8B2" w:rsidR="00916B09" w:rsidRPr="00852B88" w:rsidRDefault="00916B09" w:rsidP="00B71029">
            <w:pPr>
              <w:pStyle w:val="ListParagraph"/>
              <w:numPr>
                <w:ilvl w:val="0"/>
                <w:numId w:val="7"/>
              </w:numPr>
              <w:spacing w:after="0"/>
            </w:pPr>
            <w:proofErr w:type="gramStart"/>
            <w:r w:rsidRPr="1FAE29AE">
              <w:rPr>
                <w:rFonts w:ascii="Calibri" w:eastAsia="Calibri" w:hAnsi="Calibri" w:cs="Calibri"/>
              </w:rPr>
              <w:t>N</w:t>
            </w:r>
            <w:r w:rsidRPr="00852B88">
              <w:t>ew invention</w:t>
            </w:r>
            <w:proofErr w:type="gramEnd"/>
            <w:r w:rsidRPr="00852B88">
              <w:t xml:space="preserve"> disclosures</w:t>
            </w:r>
            <w:r>
              <w:t>.</w:t>
            </w:r>
          </w:p>
          <w:p w14:paraId="656E6907" w14:textId="14B0ED9D" w:rsidR="00916B09" w:rsidRPr="00852B88" w:rsidRDefault="00916B09" w:rsidP="00B71029">
            <w:pPr>
              <w:pStyle w:val="ListParagraph"/>
              <w:numPr>
                <w:ilvl w:val="0"/>
                <w:numId w:val="7"/>
              </w:numPr>
              <w:spacing w:after="0"/>
            </w:pPr>
            <w:r w:rsidRPr="1FAE29AE">
              <w:rPr>
                <w:rFonts w:ascii="Calibri" w:eastAsia="Calibri" w:hAnsi="Calibri" w:cs="Calibri"/>
              </w:rPr>
              <w:t>C</w:t>
            </w:r>
            <w:r w:rsidRPr="00852B88">
              <w:t>ommercialisation revenue</w:t>
            </w:r>
            <w:r>
              <w:t>.</w:t>
            </w:r>
          </w:p>
          <w:p w14:paraId="4EA3AFBE" w14:textId="07BB01D2" w:rsidR="00916B09" w:rsidRPr="002022F3" w:rsidRDefault="00916B09" w:rsidP="00B71029">
            <w:pPr>
              <w:pStyle w:val="ListParagraph"/>
              <w:numPr>
                <w:ilvl w:val="0"/>
                <w:numId w:val="7"/>
              </w:numPr>
              <w:spacing w:after="0"/>
              <w:rPr>
                <w:color w:val="000000" w:themeColor="text1"/>
              </w:rPr>
            </w:pPr>
            <w:r w:rsidRPr="1FAE29AE">
              <w:rPr>
                <w:rFonts w:ascii="Calibri" w:eastAsia="Calibri" w:hAnsi="Calibri" w:cs="Calibri"/>
                <w:color w:val="000000" w:themeColor="text1"/>
              </w:rPr>
              <w:t>New spinouts commercialising University owned IP including social enterprises.</w:t>
            </w:r>
          </w:p>
          <w:p w14:paraId="568D48FA" w14:textId="56DE15E3" w:rsidR="00916B09" w:rsidRPr="002022F3" w:rsidRDefault="00916B09" w:rsidP="00B71029">
            <w:pPr>
              <w:pStyle w:val="ListParagraph"/>
              <w:numPr>
                <w:ilvl w:val="0"/>
                <w:numId w:val="7"/>
              </w:numPr>
              <w:spacing w:after="0"/>
              <w:rPr>
                <w:color w:val="000000" w:themeColor="text1"/>
              </w:rPr>
            </w:pPr>
            <w:r w:rsidRPr="1FAE29AE">
              <w:rPr>
                <w:rFonts w:ascii="Calibri" w:eastAsia="Calibri" w:hAnsi="Calibri" w:cs="Calibri"/>
                <w:color w:val="000000" w:themeColor="text1"/>
              </w:rPr>
              <w:t>Early-stage investment secured.</w:t>
            </w:r>
          </w:p>
          <w:p w14:paraId="16EC302B" w14:textId="7929B3C3" w:rsidR="00916B09" w:rsidRPr="002022F3" w:rsidRDefault="00916B09" w:rsidP="00B71029">
            <w:pPr>
              <w:pStyle w:val="ListParagraph"/>
              <w:numPr>
                <w:ilvl w:val="0"/>
                <w:numId w:val="7"/>
              </w:numPr>
              <w:spacing w:after="0"/>
              <w:rPr>
                <w:color w:val="000000" w:themeColor="text1"/>
              </w:rPr>
            </w:pPr>
            <w:r w:rsidRPr="1FAE29AE">
              <w:rPr>
                <w:rFonts w:ascii="Calibri" w:eastAsia="Calibri" w:hAnsi="Calibri" w:cs="Calibri"/>
                <w:color w:val="000000" w:themeColor="text1"/>
              </w:rPr>
              <w:t>New jobs created by spinouts and startups.</w:t>
            </w:r>
          </w:p>
          <w:p w14:paraId="0597B2C4" w14:textId="6D8023A6" w:rsidR="00916B09" w:rsidRDefault="00916B09" w:rsidP="00B71029">
            <w:pPr>
              <w:pStyle w:val="ListParagraph"/>
              <w:numPr>
                <w:ilvl w:val="0"/>
                <w:numId w:val="7"/>
              </w:numPr>
              <w:spacing w:after="0"/>
              <w:rPr>
                <w:rFonts w:ascii="Calibri" w:eastAsia="Calibri" w:hAnsi="Calibri" w:cs="Calibri"/>
                <w:color w:val="000000" w:themeColor="text1"/>
              </w:rPr>
            </w:pPr>
            <w:r w:rsidRPr="1FAE29AE">
              <w:rPr>
                <w:rFonts w:ascii="Calibri" w:eastAsia="Calibri" w:hAnsi="Calibri" w:cs="Calibri"/>
                <w:color w:val="000000" w:themeColor="text1"/>
              </w:rPr>
              <w:t xml:space="preserve">Academic participation in commercialisation </w:t>
            </w:r>
            <w:r w:rsidR="147961AA" w:rsidRPr="1FAE29AE">
              <w:rPr>
                <w:rFonts w:ascii="Calibri" w:eastAsia="Calibri" w:hAnsi="Calibri" w:cs="Calibri"/>
                <w:color w:val="000000" w:themeColor="text1"/>
              </w:rPr>
              <w:t>and related training.</w:t>
            </w:r>
          </w:p>
          <w:p w14:paraId="295B1DE9" w14:textId="358113E3" w:rsidR="1FAE29AE" w:rsidRDefault="1FAE29AE" w:rsidP="1FAE29AE">
            <w:pPr>
              <w:pStyle w:val="ListParagraph"/>
              <w:spacing w:after="0"/>
            </w:pPr>
          </w:p>
          <w:p w14:paraId="3685238F" w14:textId="2D1C86E7" w:rsidR="1FAE29AE" w:rsidRDefault="1FAE29AE" w:rsidP="1FAE29AE">
            <w:pPr>
              <w:pStyle w:val="NormalIndent"/>
              <w:spacing w:before="0" w:after="0"/>
              <w:ind w:left="720"/>
              <w:rPr>
                <w:rFonts w:asciiTheme="minorHAnsi" w:hAnsiTheme="minorHAnsi" w:cstheme="minorBidi"/>
                <w:i/>
                <w:iCs/>
                <w:color w:val="000000" w:themeColor="text1"/>
              </w:rPr>
            </w:pPr>
          </w:p>
          <w:p w14:paraId="43223EF7" w14:textId="77777777" w:rsidR="00916B09" w:rsidRPr="00E169EE" w:rsidRDefault="00916B09">
            <w:pPr>
              <w:pStyle w:val="NormalIndent"/>
              <w:spacing w:before="0" w:after="0"/>
              <w:ind w:left="0"/>
              <w:rPr>
                <w:rFonts w:asciiTheme="minorHAnsi" w:hAnsiTheme="minorHAnsi" w:cstheme="minorHAnsi"/>
                <w:i/>
                <w:color w:val="FF0000"/>
                <w:szCs w:val="22"/>
              </w:rPr>
            </w:pPr>
          </w:p>
          <w:p w14:paraId="6508884A" w14:textId="77777777" w:rsidR="001B109C" w:rsidRDefault="001B109C">
            <w:pPr>
              <w:pStyle w:val="NormalIndent"/>
              <w:spacing w:before="0" w:after="0"/>
              <w:ind w:left="0"/>
              <w:rPr>
                <w:rFonts w:asciiTheme="minorHAnsi" w:hAnsiTheme="minorHAnsi" w:cstheme="minorHAnsi"/>
                <w:i/>
                <w:color w:val="FF0000"/>
              </w:rPr>
            </w:pPr>
          </w:p>
          <w:p w14:paraId="1361719A" w14:textId="77777777" w:rsidR="001B109C" w:rsidRDefault="001B109C">
            <w:pPr>
              <w:pStyle w:val="NormalIndent"/>
              <w:spacing w:before="0" w:after="0"/>
              <w:ind w:left="0"/>
              <w:rPr>
                <w:rFonts w:asciiTheme="minorHAnsi" w:hAnsiTheme="minorHAnsi" w:cstheme="minorHAnsi"/>
                <w:i/>
                <w:color w:val="FF0000"/>
              </w:rPr>
            </w:pPr>
          </w:p>
          <w:p w14:paraId="1C4FD7F2" w14:textId="77777777" w:rsidR="001B109C" w:rsidRDefault="001B109C">
            <w:pPr>
              <w:pStyle w:val="NormalIndent"/>
              <w:spacing w:before="0" w:after="0"/>
              <w:ind w:left="0"/>
              <w:rPr>
                <w:rFonts w:asciiTheme="minorHAnsi" w:hAnsiTheme="minorHAnsi" w:cstheme="minorHAnsi"/>
                <w:i/>
                <w:color w:val="FF0000"/>
              </w:rPr>
            </w:pPr>
          </w:p>
          <w:p w14:paraId="3E1C1ED4" w14:textId="77777777" w:rsidR="001B109C" w:rsidRDefault="001B109C">
            <w:pPr>
              <w:pStyle w:val="NormalIndent"/>
              <w:spacing w:before="0" w:after="0"/>
              <w:ind w:left="0"/>
              <w:rPr>
                <w:rFonts w:asciiTheme="minorHAnsi" w:hAnsiTheme="minorHAnsi" w:cstheme="minorHAnsi"/>
                <w:i/>
                <w:color w:val="FF0000"/>
              </w:rPr>
            </w:pPr>
          </w:p>
          <w:p w14:paraId="57D78288" w14:textId="77777777" w:rsidR="001B109C" w:rsidRDefault="001B109C">
            <w:pPr>
              <w:pStyle w:val="NormalIndent"/>
              <w:spacing w:before="0" w:after="0"/>
              <w:ind w:left="0"/>
              <w:rPr>
                <w:rFonts w:asciiTheme="minorHAnsi" w:hAnsiTheme="minorHAnsi" w:cstheme="minorHAnsi"/>
                <w:i/>
                <w:color w:val="FF0000"/>
                <w:szCs w:val="22"/>
              </w:rPr>
            </w:pPr>
          </w:p>
          <w:p w14:paraId="01B77B3E" w14:textId="77777777" w:rsidR="001B109C" w:rsidRDefault="001B109C">
            <w:pPr>
              <w:pStyle w:val="NormalIndent"/>
              <w:spacing w:before="0" w:after="0"/>
              <w:ind w:left="0"/>
              <w:rPr>
                <w:rFonts w:asciiTheme="minorHAnsi" w:hAnsiTheme="minorHAnsi" w:cstheme="minorHAnsi"/>
                <w:i/>
                <w:color w:val="FF0000"/>
                <w:szCs w:val="22"/>
              </w:rPr>
            </w:pPr>
          </w:p>
          <w:p w14:paraId="76FFB936" w14:textId="77777777" w:rsidR="001B109C" w:rsidRDefault="001B109C">
            <w:pPr>
              <w:pStyle w:val="NormalIndent"/>
              <w:spacing w:before="0" w:after="0"/>
              <w:ind w:left="0"/>
              <w:rPr>
                <w:rFonts w:asciiTheme="minorHAnsi" w:hAnsiTheme="minorHAnsi" w:cstheme="minorHAnsi"/>
                <w:i/>
                <w:color w:val="FF0000"/>
                <w:szCs w:val="22"/>
              </w:rPr>
            </w:pPr>
          </w:p>
          <w:p w14:paraId="4B713598" w14:textId="77777777" w:rsidR="001B109C" w:rsidRDefault="001B109C">
            <w:pPr>
              <w:pStyle w:val="NormalIndent"/>
              <w:spacing w:before="0" w:after="0"/>
              <w:ind w:left="0"/>
              <w:rPr>
                <w:rFonts w:asciiTheme="minorHAnsi" w:hAnsiTheme="minorHAnsi" w:cstheme="minorHAnsi"/>
                <w:i/>
                <w:color w:val="FF0000"/>
                <w:szCs w:val="22"/>
              </w:rPr>
            </w:pPr>
          </w:p>
          <w:p w14:paraId="5121E50E" w14:textId="77777777" w:rsidR="001B109C" w:rsidRDefault="001B109C">
            <w:pPr>
              <w:pStyle w:val="NormalIndent"/>
              <w:spacing w:before="0" w:after="0"/>
              <w:ind w:left="0"/>
              <w:rPr>
                <w:rFonts w:asciiTheme="minorHAnsi" w:hAnsiTheme="minorHAnsi" w:cstheme="minorHAnsi"/>
                <w:i/>
                <w:color w:val="FF0000"/>
                <w:szCs w:val="22"/>
              </w:rPr>
            </w:pPr>
          </w:p>
          <w:p w14:paraId="1C5D25F3" w14:textId="77777777" w:rsidR="001B109C" w:rsidRDefault="001B109C">
            <w:pPr>
              <w:pStyle w:val="NormalIndent"/>
              <w:spacing w:before="0" w:after="0"/>
              <w:ind w:left="0"/>
              <w:rPr>
                <w:rFonts w:asciiTheme="minorHAnsi" w:hAnsiTheme="minorHAnsi" w:cstheme="minorHAnsi"/>
                <w:i/>
                <w:color w:val="FF0000"/>
                <w:szCs w:val="22"/>
              </w:rPr>
            </w:pPr>
          </w:p>
          <w:p w14:paraId="3C85A947" w14:textId="77777777" w:rsidR="001B109C" w:rsidRDefault="001B109C">
            <w:pPr>
              <w:pStyle w:val="NormalIndent"/>
              <w:spacing w:before="0" w:after="0"/>
              <w:ind w:left="0"/>
              <w:rPr>
                <w:rFonts w:asciiTheme="minorHAnsi" w:hAnsiTheme="minorHAnsi" w:cstheme="minorHAnsi"/>
                <w:i/>
                <w:color w:val="FF0000"/>
                <w:szCs w:val="22"/>
              </w:rPr>
            </w:pPr>
          </w:p>
          <w:p w14:paraId="6EBBE600" w14:textId="77777777" w:rsidR="001B109C" w:rsidRDefault="001B109C">
            <w:pPr>
              <w:pStyle w:val="NormalIndent"/>
              <w:spacing w:before="0" w:after="0"/>
              <w:ind w:left="0"/>
              <w:rPr>
                <w:rFonts w:asciiTheme="minorHAnsi" w:hAnsiTheme="minorHAnsi" w:cstheme="minorHAnsi"/>
                <w:i/>
                <w:color w:val="FF0000"/>
                <w:szCs w:val="22"/>
              </w:rPr>
            </w:pPr>
          </w:p>
          <w:p w14:paraId="39738CB4" w14:textId="77777777" w:rsidR="001B109C" w:rsidRDefault="001B109C">
            <w:pPr>
              <w:pStyle w:val="NormalIndent"/>
              <w:spacing w:before="0" w:after="0"/>
              <w:ind w:left="0"/>
              <w:rPr>
                <w:rFonts w:asciiTheme="minorHAnsi" w:hAnsiTheme="minorHAnsi" w:cstheme="minorHAnsi"/>
                <w:i/>
                <w:color w:val="FF0000"/>
                <w:szCs w:val="22"/>
              </w:rPr>
            </w:pPr>
          </w:p>
          <w:p w14:paraId="20E9B53A" w14:textId="77777777" w:rsidR="001B109C" w:rsidRDefault="001B109C">
            <w:pPr>
              <w:pStyle w:val="NormalIndent"/>
              <w:spacing w:before="0" w:after="0"/>
              <w:ind w:left="0"/>
              <w:rPr>
                <w:rFonts w:asciiTheme="minorHAnsi" w:hAnsiTheme="minorHAnsi" w:cstheme="minorHAnsi"/>
                <w:i/>
                <w:color w:val="FF0000"/>
                <w:szCs w:val="22"/>
              </w:rPr>
            </w:pPr>
          </w:p>
          <w:p w14:paraId="40DA31C2" w14:textId="77777777" w:rsidR="001B109C" w:rsidRPr="00583B49" w:rsidRDefault="001B109C">
            <w:pPr>
              <w:pStyle w:val="NormalIndent"/>
              <w:spacing w:before="0" w:after="0"/>
              <w:ind w:left="0"/>
              <w:rPr>
                <w:rFonts w:asciiTheme="minorHAnsi" w:hAnsiTheme="minorHAnsi" w:cstheme="minorHAnsi"/>
                <w:i/>
                <w:color w:val="FF0000"/>
                <w:szCs w:val="22"/>
              </w:rPr>
            </w:pPr>
          </w:p>
        </w:tc>
      </w:tr>
      <w:tr w:rsidR="001B109C" w:rsidRPr="00E41388" w14:paraId="37972037" w14:textId="77777777" w:rsidTr="397132BD">
        <w:trPr>
          <w:cantSplit/>
          <w:trHeight w:val="1033"/>
        </w:trPr>
        <w:tc>
          <w:tcPr>
            <w:tcW w:w="5000" w:type="pct"/>
          </w:tcPr>
          <w:p w14:paraId="2854B75B" w14:textId="550AE29E" w:rsidR="002863E5" w:rsidRPr="002863E5" w:rsidRDefault="002863E5" w:rsidP="397132BD">
            <w:pPr>
              <w:spacing w:after="0"/>
              <w:rPr>
                <w:rFonts w:asciiTheme="majorHAnsi" w:eastAsia="Calibri" w:hAnsiTheme="majorHAnsi" w:cstheme="majorHAnsi"/>
                <w:b/>
                <w:color w:val="003A74" w:themeColor="text2" w:themeTint="E6"/>
                <w:sz w:val="28"/>
                <w:szCs w:val="28"/>
                <w:lang w:eastAsia="en-AU"/>
              </w:rPr>
            </w:pPr>
            <w:r w:rsidRPr="002863E5">
              <w:rPr>
                <w:rFonts w:asciiTheme="majorHAnsi" w:eastAsia="Calibri" w:hAnsiTheme="majorHAnsi" w:cstheme="majorHAnsi"/>
                <w:b/>
                <w:color w:val="003A74" w:themeColor="text2" w:themeTint="E6"/>
                <w:sz w:val="28"/>
                <w:szCs w:val="28"/>
                <w:lang w:eastAsia="en-AU"/>
              </w:rPr>
              <w:lastRenderedPageBreak/>
              <w:t>Strategies for Engaging with Industry</w:t>
            </w:r>
          </w:p>
          <w:p w14:paraId="4A7D23BF" w14:textId="6D065E18" w:rsidR="676A4D6E" w:rsidRPr="002863E5" w:rsidRDefault="676A4D6E" w:rsidP="397132BD">
            <w:pPr>
              <w:spacing w:after="0"/>
              <w:rPr>
                <w:rFonts w:cstheme="minorHAnsi"/>
              </w:rPr>
            </w:pPr>
            <w:r w:rsidRPr="002863E5">
              <w:rPr>
                <w:rFonts w:eastAsia="Calibri" w:cstheme="minorHAnsi"/>
              </w:rPr>
              <w:t>University has a long history of deep industry engagement with the Hunter and Central Coast regions. As the largest university in our region, we embrace our responsibility to innovate with industry in R&amp;D and education/critical skills delivery. We are the national leader in generating research income from industry as a percentage of total research income. Critical elements of the industry engagement strategy include:</w:t>
            </w:r>
          </w:p>
          <w:p w14:paraId="09A2282C" w14:textId="535D6CEB" w:rsidR="676A4D6E" w:rsidRPr="002863E5" w:rsidRDefault="676A4D6E" w:rsidP="397132BD">
            <w:pPr>
              <w:spacing w:after="0"/>
              <w:rPr>
                <w:rFonts w:cstheme="minorHAnsi"/>
              </w:rPr>
            </w:pPr>
            <w:r w:rsidRPr="002863E5">
              <w:rPr>
                <w:rFonts w:eastAsia="Calibri" w:cstheme="minorHAnsi"/>
              </w:rPr>
              <w:t xml:space="preserve"> </w:t>
            </w:r>
          </w:p>
          <w:p w14:paraId="0EBFACC8" w14:textId="37187EE6" w:rsidR="676A4D6E" w:rsidRPr="002863E5" w:rsidRDefault="676A4D6E" w:rsidP="002863E5">
            <w:pPr>
              <w:spacing w:before="120" w:after="0"/>
              <w:rPr>
                <w:rFonts w:cstheme="minorHAnsi"/>
              </w:rPr>
            </w:pPr>
            <w:r w:rsidRPr="002863E5">
              <w:rPr>
                <w:rFonts w:eastAsia="Calibri" w:cstheme="minorHAnsi"/>
                <w:color w:val="242424"/>
              </w:rPr>
              <w:t>I2N - The University of Newcastle's Integrated Innovation Network (I2N) is making the Hunter Region Australia's best ecosystem for startups. By harnessing our region's unique resources and network of innovation hubs, they empower the most promising innovators and entrepreneurs to transform their ideas into high-impact, sustainable global businesses. Through their enterprise skill-building programs and dedicated spaces, I2N is creating the foundation for startups to thrive and drive economic diversity across the region. Since establishment, more than 144 teams have been accelerated and incubated, $60 million in funding raised and more than 260 jobs created through a network of nearly 5000 entrepreneurs.</w:t>
            </w:r>
          </w:p>
          <w:p w14:paraId="3D6F8328" w14:textId="7A7465D3" w:rsidR="676A4D6E" w:rsidRPr="002863E5" w:rsidRDefault="676A4D6E" w:rsidP="397132BD">
            <w:pPr>
              <w:spacing w:after="0"/>
              <w:rPr>
                <w:rFonts w:cstheme="minorHAnsi"/>
              </w:rPr>
            </w:pPr>
            <w:r w:rsidRPr="002863E5">
              <w:rPr>
                <w:rFonts w:eastAsia="Calibri" w:cstheme="minorHAnsi"/>
                <w:color w:val="242424"/>
              </w:rPr>
              <w:t xml:space="preserve"> </w:t>
            </w:r>
          </w:p>
          <w:p w14:paraId="4464D5EE" w14:textId="27059D7C" w:rsidR="676A4D6E" w:rsidRPr="002863E5" w:rsidRDefault="676A4D6E" w:rsidP="397132BD">
            <w:pPr>
              <w:spacing w:after="0"/>
              <w:rPr>
                <w:rFonts w:cstheme="minorHAnsi"/>
              </w:rPr>
            </w:pPr>
            <w:r w:rsidRPr="002863E5">
              <w:rPr>
                <w:rFonts w:eastAsia="Calibri" w:cstheme="minorHAnsi"/>
                <w:b/>
                <w:bCs/>
              </w:rPr>
              <w:t xml:space="preserve">The University of Newcastle Research Associates: </w:t>
            </w:r>
            <w:r w:rsidRPr="002863E5">
              <w:rPr>
                <w:rFonts w:eastAsia="Calibri" w:cstheme="minorHAnsi"/>
              </w:rPr>
              <w:t>TUNRA is a wholly owned subsidiary of the University that connects external partners with researchers for consulting and contract research projects. TUNRA conducts &gt;150 projects annually, ranging in size from $10K to &gt;$2M. TUNRA’s unique capabilities, solutions and services in bulk materials handling, transportation, and storage utilising ISO certified facilities are highly relevant to regional industry.</w:t>
            </w:r>
            <w:r w:rsidRPr="002863E5">
              <w:rPr>
                <w:rFonts w:eastAsia="Calibri" w:cstheme="minorHAnsi"/>
                <w:b/>
                <w:bCs/>
              </w:rPr>
              <w:t xml:space="preserve"> </w:t>
            </w:r>
          </w:p>
          <w:p w14:paraId="16F92B71" w14:textId="35D6F7FC" w:rsidR="676A4D6E" w:rsidRPr="002863E5" w:rsidRDefault="676A4D6E" w:rsidP="397132BD">
            <w:pPr>
              <w:spacing w:after="0"/>
              <w:rPr>
                <w:rFonts w:cstheme="minorHAnsi"/>
              </w:rPr>
            </w:pPr>
            <w:r w:rsidRPr="002863E5">
              <w:rPr>
                <w:rFonts w:eastAsia="Calibri" w:cstheme="minorHAnsi"/>
                <w:b/>
                <w:bCs/>
              </w:rPr>
              <w:t xml:space="preserve"> </w:t>
            </w:r>
          </w:p>
          <w:p w14:paraId="5A305510" w14:textId="056DF72F" w:rsidR="676A4D6E" w:rsidRPr="002863E5" w:rsidRDefault="676A4D6E" w:rsidP="397132BD">
            <w:pPr>
              <w:spacing w:after="0"/>
              <w:rPr>
                <w:rFonts w:eastAsia="Calibri" w:cstheme="minorHAnsi"/>
              </w:rPr>
            </w:pPr>
            <w:r w:rsidRPr="002863E5">
              <w:rPr>
                <w:rFonts w:eastAsia="Calibri" w:cstheme="minorHAnsi"/>
                <w:b/>
                <w:bCs/>
              </w:rPr>
              <w:t>Newcastle Institute for Energy and Resources (NIER):</w:t>
            </w:r>
            <w:r w:rsidRPr="002863E5">
              <w:rPr>
                <w:rFonts w:eastAsia="Calibri" w:cstheme="minorHAnsi"/>
              </w:rPr>
              <w:t xml:space="preserve"> this best practice university-industry engagement has </w:t>
            </w:r>
            <w:r w:rsidRPr="002863E5">
              <w:rPr>
                <w:rFonts w:eastAsia="Calibri" w:cstheme="minorHAnsi"/>
                <w:color w:val="000000" w:themeColor="text1"/>
              </w:rPr>
              <w:t xml:space="preserve">created a community of expertise delivering solutions for global challenges and accelerating successful commercialisation in nationally significant sectors – energy, resources, food and water. NIER offers industrial research collaboration and education including three doctoral training centres (energy, food and agribusiness, resources). </w:t>
            </w:r>
            <w:r w:rsidRPr="002863E5">
              <w:rPr>
                <w:rFonts w:eastAsia="Calibri" w:cstheme="minorHAnsi"/>
              </w:rPr>
              <w:t xml:space="preserve">NIER has 195 active industry partners with current contracts valued at over $200M, 19 research centres and groups, 217 Higher Degree Research (HDR) students and hosts our ARC Centre of Excellence in Minerals Beneficiation and the Trailblazer for Recycling and Clean Energy. NIER is in the process of creating the </w:t>
            </w:r>
            <w:r w:rsidR="6327E308" w:rsidRPr="002863E5">
              <w:rPr>
                <w:rFonts w:eastAsia="Calibri" w:cstheme="minorHAnsi"/>
              </w:rPr>
              <w:t>Next Generation Resources Park onsite, which will include the Modern Manufacturing Facility (</w:t>
            </w:r>
            <w:r w:rsidR="1068C4B9" w:rsidRPr="002863E5">
              <w:rPr>
                <w:rFonts w:eastAsia="Calibri" w:cstheme="minorHAnsi"/>
              </w:rPr>
              <w:t>includes a range of advanced manufacturing equipment)</w:t>
            </w:r>
            <w:r w:rsidR="6327E308" w:rsidRPr="002863E5">
              <w:rPr>
                <w:rFonts w:eastAsia="Calibri" w:cstheme="minorHAnsi"/>
              </w:rPr>
              <w:t>, the New Energy Skills Hub (training, certification, testing and piloting)</w:t>
            </w:r>
            <w:r w:rsidR="1B149642" w:rsidRPr="002863E5">
              <w:rPr>
                <w:rFonts w:eastAsia="Calibri" w:cstheme="minorHAnsi"/>
              </w:rPr>
              <w:t>, the Future Industries Facility (enabling SMEs to upscale) and the Advanc</w:t>
            </w:r>
            <w:r w:rsidR="213E84BF" w:rsidRPr="002863E5">
              <w:rPr>
                <w:rFonts w:eastAsia="Calibri" w:cstheme="minorHAnsi"/>
              </w:rPr>
              <w:t xml:space="preserve">ed Prototyping Facility (a facility accessible to undergraduate students for prototyping). </w:t>
            </w:r>
            <w:r w:rsidR="03C6A346" w:rsidRPr="002863E5">
              <w:rPr>
                <w:rFonts w:eastAsia="Calibri" w:cstheme="minorHAnsi"/>
              </w:rPr>
              <w:t xml:space="preserve">When combined with CSIRO Energy, this will be the largest concentration of industrial energy and resources research in the nation. </w:t>
            </w:r>
          </w:p>
          <w:p w14:paraId="1DE3AC1D" w14:textId="71A55FAD" w:rsidR="676A4D6E" w:rsidRPr="002863E5" w:rsidRDefault="676A4D6E" w:rsidP="397132BD">
            <w:pPr>
              <w:spacing w:after="0"/>
              <w:rPr>
                <w:rFonts w:cstheme="minorHAnsi"/>
              </w:rPr>
            </w:pPr>
            <w:r w:rsidRPr="002863E5">
              <w:rPr>
                <w:rFonts w:eastAsia="Calibri" w:cstheme="minorHAnsi"/>
                <w:color w:val="242424"/>
              </w:rPr>
              <w:t xml:space="preserve"> </w:t>
            </w:r>
          </w:p>
          <w:p w14:paraId="20CC6498" w14:textId="55433921" w:rsidR="676A4D6E" w:rsidRPr="002863E5" w:rsidRDefault="676A4D6E" w:rsidP="397132BD">
            <w:pPr>
              <w:spacing w:after="0" w:line="257" w:lineRule="auto"/>
              <w:rPr>
                <w:rFonts w:cstheme="minorHAnsi"/>
              </w:rPr>
            </w:pPr>
            <w:r w:rsidRPr="002863E5">
              <w:rPr>
                <w:rFonts w:eastAsia="Calibri" w:cstheme="minorHAnsi"/>
              </w:rPr>
              <w:t xml:space="preserve"> </w:t>
            </w:r>
          </w:p>
          <w:p w14:paraId="4F26F2DA" w14:textId="4576BDFB" w:rsidR="676A4D6E" w:rsidRPr="002863E5" w:rsidRDefault="676A4D6E" w:rsidP="397132BD">
            <w:pPr>
              <w:spacing w:after="0" w:line="257" w:lineRule="auto"/>
              <w:rPr>
                <w:rFonts w:cstheme="minorHAnsi"/>
              </w:rPr>
            </w:pPr>
            <w:r w:rsidRPr="002863E5">
              <w:rPr>
                <w:rFonts w:eastAsia="Calibri" w:cstheme="minorHAnsi"/>
                <w:b/>
                <w:bCs/>
              </w:rPr>
              <w:t>The Institute for Regional Futures (IRF):</w:t>
            </w:r>
            <w:r w:rsidRPr="002863E5">
              <w:rPr>
                <w:rFonts w:eastAsia="Calibri" w:cstheme="minorHAnsi"/>
              </w:rPr>
              <w:t xml:space="preserve"> IRF backs regional communities across Australia through hands-on research and collaboration. Working with First Nations peoples, local communities and industry partners, they tackle regional challenges across economic transitions, community resilience and social infrastructure. In 2024, they engaged with 148 industry, government and community partners, offering services such as tender writing, methodology development, project management, and policy-focused research. Their mission combines rigorous academic research with practical community engagement to help regional areas not just survive but actively shape their futures.</w:t>
            </w:r>
          </w:p>
          <w:p w14:paraId="0A9CD0BA" w14:textId="3C711410" w:rsidR="676A4D6E" w:rsidRPr="002863E5" w:rsidRDefault="676A4D6E" w:rsidP="397132BD">
            <w:pPr>
              <w:spacing w:after="0"/>
              <w:rPr>
                <w:rFonts w:cstheme="minorHAnsi"/>
              </w:rPr>
            </w:pPr>
            <w:r w:rsidRPr="002863E5">
              <w:rPr>
                <w:rFonts w:eastAsia="Calibri" w:cstheme="minorHAnsi"/>
                <w:color w:val="242424"/>
              </w:rPr>
              <w:t xml:space="preserve"> </w:t>
            </w:r>
          </w:p>
          <w:p w14:paraId="3438DFF1" w14:textId="79B2F4A9" w:rsidR="676A4D6E" w:rsidRPr="002863E5" w:rsidRDefault="676A4D6E" w:rsidP="397132BD">
            <w:pPr>
              <w:spacing w:after="0" w:line="257" w:lineRule="auto"/>
              <w:rPr>
                <w:rFonts w:cstheme="minorHAnsi"/>
              </w:rPr>
            </w:pPr>
            <w:r w:rsidRPr="002863E5">
              <w:rPr>
                <w:rFonts w:eastAsia="Calibri" w:cstheme="minorHAnsi"/>
                <w:b/>
                <w:bCs/>
              </w:rPr>
              <w:t>Hunter Medical Research Institute (HMRI)</w:t>
            </w:r>
            <w:r w:rsidRPr="002863E5">
              <w:rPr>
                <w:rFonts w:eastAsia="Calibri" w:cstheme="minorHAnsi"/>
              </w:rPr>
              <w:t xml:space="preserve">: HMRI is the largest in regional Australia and was jointly founded by the University, the Hunter New England Local Health District (LHD) and the </w:t>
            </w:r>
            <w:r w:rsidRPr="002863E5">
              <w:rPr>
                <w:rFonts w:eastAsia="Calibri" w:cstheme="minorHAnsi"/>
              </w:rPr>
              <w:lastRenderedPageBreak/>
              <w:t>Hunter community. HMRI’s research translates quickly and effectively into better healthcare and health outcomes in environmental health and disasters, resilient health and wellbeing, and innovations in health care. 1700 health and medical researchers are affiliated with HMRI.  HMRI also partners with industry, including pharmaceutical and medical technology companies, to deliver clinical trial solutions and push drug discovery, development, and clinical trials programs to greater heights.</w:t>
            </w:r>
            <w:r w:rsidRPr="002863E5">
              <w:rPr>
                <w:rFonts w:eastAsia="Calibri" w:cstheme="minorHAnsi"/>
                <w:b/>
                <w:bCs/>
              </w:rPr>
              <w:t xml:space="preserve"> </w:t>
            </w:r>
          </w:p>
          <w:p w14:paraId="2D4DC8C5" w14:textId="6E87B675" w:rsidR="397132BD" w:rsidRPr="002863E5" w:rsidRDefault="397132BD" w:rsidP="397132BD">
            <w:pPr>
              <w:spacing w:after="0"/>
              <w:rPr>
                <w:rFonts w:cstheme="minorHAnsi"/>
              </w:rPr>
            </w:pPr>
          </w:p>
          <w:p w14:paraId="75FA6595" w14:textId="660960E2" w:rsidR="676A4D6E" w:rsidRPr="002863E5" w:rsidRDefault="676A4D6E" w:rsidP="397132BD">
            <w:pPr>
              <w:spacing w:after="0"/>
              <w:rPr>
                <w:rFonts w:cstheme="minorHAnsi"/>
              </w:rPr>
            </w:pPr>
            <w:r w:rsidRPr="002863E5">
              <w:rPr>
                <w:rFonts w:eastAsia="Calibri" w:cstheme="minorHAnsi"/>
                <w:b/>
                <w:bCs/>
              </w:rPr>
              <w:t>John Hunter Innovation Living Lab:</w:t>
            </w:r>
            <w:r w:rsidRPr="002863E5">
              <w:rPr>
                <w:rFonts w:eastAsia="Calibri" w:cstheme="minorHAnsi"/>
              </w:rPr>
              <w:t xml:space="preserve"> JHILL is a joint venture between the University, LHD and HMRI. It is a purpose-built 500sqm facility at the hospital, and adjacent to the University clinical school. enables clinician-led innovation, provide co-location and collaboration space for health and MedTech industry partners and activate student entrepreneurship onsite. </w:t>
            </w:r>
          </w:p>
          <w:p w14:paraId="5D298ED3" w14:textId="6523D1BB" w:rsidR="676A4D6E" w:rsidRPr="002863E5" w:rsidRDefault="676A4D6E" w:rsidP="397132BD">
            <w:pPr>
              <w:spacing w:after="0"/>
              <w:rPr>
                <w:rFonts w:cstheme="minorHAnsi"/>
              </w:rPr>
            </w:pPr>
            <w:r w:rsidRPr="002863E5">
              <w:rPr>
                <w:rFonts w:eastAsia="Calibri" w:cstheme="minorHAnsi"/>
              </w:rPr>
              <w:t xml:space="preserve"> </w:t>
            </w:r>
          </w:p>
          <w:p w14:paraId="7D542869" w14:textId="5A4FCDC4" w:rsidR="676A4D6E" w:rsidRPr="002863E5" w:rsidRDefault="676A4D6E" w:rsidP="397132BD">
            <w:pPr>
              <w:spacing w:after="0"/>
              <w:rPr>
                <w:rFonts w:cstheme="minorHAnsi"/>
              </w:rPr>
            </w:pPr>
            <w:r w:rsidRPr="002863E5">
              <w:rPr>
                <w:rFonts w:eastAsia="Calibri" w:cstheme="minorHAnsi"/>
                <w:b/>
                <w:bCs/>
              </w:rPr>
              <w:t>Res</w:t>
            </w:r>
            <w:r w:rsidR="00F61F8D">
              <w:rPr>
                <w:rFonts w:eastAsia="Calibri" w:cstheme="minorHAnsi"/>
                <w:b/>
                <w:bCs/>
              </w:rPr>
              <w:t>T</w:t>
            </w:r>
            <w:r w:rsidRPr="002863E5">
              <w:rPr>
                <w:rFonts w:eastAsia="Calibri" w:cstheme="minorHAnsi"/>
                <w:b/>
                <w:bCs/>
              </w:rPr>
              <w:t xml:space="preserve">ech: </w:t>
            </w:r>
            <w:r w:rsidRPr="002863E5">
              <w:rPr>
                <w:rFonts w:eastAsia="Calibri" w:cstheme="minorHAnsi"/>
              </w:rPr>
              <w:t>ResTech is a joint venture between the University and Australia’s largest privately owned electrical engineering company, Ampcontrol. Located on campus in a purpose-built facility, ResTech provides a test bed for new product development, providing innovative solutions to industry problems. In 2024, Restech submitted 43 placement and final year project proposals, supervised 12 students through those programs, and employed a further 8 undergraduates either casually or full time.</w:t>
            </w:r>
          </w:p>
          <w:p w14:paraId="4BACF7F5" w14:textId="3C7FDDAB" w:rsidR="676A4D6E" w:rsidRPr="002863E5" w:rsidRDefault="676A4D6E" w:rsidP="397132BD">
            <w:pPr>
              <w:spacing w:after="0"/>
              <w:rPr>
                <w:rFonts w:cstheme="minorHAnsi"/>
              </w:rPr>
            </w:pPr>
            <w:r w:rsidRPr="002863E5">
              <w:rPr>
                <w:rFonts w:eastAsia="Calibri" w:cstheme="minorHAnsi"/>
              </w:rPr>
              <w:t xml:space="preserve"> </w:t>
            </w:r>
          </w:p>
          <w:p w14:paraId="7117FAFD" w14:textId="1940CCBC" w:rsidR="676A4D6E" w:rsidRPr="002863E5" w:rsidRDefault="676A4D6E" w:rsidP="002863E5">
            <w:pPr>
              <w:spacing w:before="120" w:after="0"/>
              <w:rPr>
                <w:rFonts w:cstheme="minorHAnsi"/>
              </w:rPr>
            </w:pPr>
            <w:r w:rsidRPr="002863E5">
              <w:rPr>
                <w:rFonts w:eastAsia="Calibri" w:cstheme="minorHAnsi"/>
                <w:b/>
                <w:bCs/>
              </w:rPr>
              <w:t xml:space="preserve">Central Coast Health and Wellbeing Living lab (CCHWLL): </w:t>
            </w:r>
            <w:r w:rsidRPr="002863E5">
              <w:rPr>
                <w:rFonts w:eastAsia="Calibri" w:cstheme="minorHAnsi"/>
              </w:rPr>
              <w:t>Funded under the Central Coast Strategy for Economic Growth, the Living Lab is delivered in partnership with Central Coast Local Area Health District and the University. The Living Lab places community at the heart of innovation and connects healthcare professionals, researchers and businesses to design innovative integrated care approaches and technology to support happy and healthy ageing well at home while maintaining community connection.</w:t>
            </w:r>
          </w:p>
          <w:p w14:paraId="1A619DC1" w14:textId="144D2C70" w:rsidR="676A4D6E" w:rsidRPr="002863E5" w:rsidRDefault="676A4D6E" w:rsidP="002863E5">
            <w:pPr>
              <w:spacing w:after="0"/>
              <w:rPr>
                <w:rFonts w:cstheme="minorHAnsi"/>
              </w:rPr>
            </w:pPr>
            <w:r w:rsidRPr="002863E5">
              <w:rPr>
                <w:rFonts w:eastAsia="Calibri" w:cstheme="minorHAnsi"/>
              </w:rPr>
              <w:t xml:space="preserve"> </w:t>
            </w:r>
          </w:p>
          <w:p w14:paraId="29552EB0" w14:textId="2F2BDC56" w:rsidR="676A4D6E" w:rsidRPr="002863E5" w:rsidRDefault="676A4D6E" w:rsidP="002863E5">
            <w:pPr>
              <w:spacing w:before="120" w:after="0"/>
              <w:rPr>
                <w:rFonts w:cstheme="minorHAnsi"/>
              </w:rPr>
            </w:pPr>
            <w:r w:rsidRPr="002863E5">
              <w:rPr>
                <w:rFonts w:eastAsia="Calibri" w:cstheme="minorHAnsi"/>
                <w:b/>
                <w:bCs/>
              </w:rPr>
              <w:t xml:space="preserve">Circular Economy Living Lab (CELL): </w:t>
            </w:r>
          </w:p>
          <w:p w14:paraId="3B1583F5" w14:textId="20882E7B" w:rsidR="676A4D6E" w:rsidRPr="002863E5" w:rsidRDefault="676A4D6E" w:rsidP="002863E5">
            <w:pPr>
              <w:spacing w:before="120" w:after="0"/>
              <w:rPr>
                <w:rFonts w:cstheme="minorHAnsi"/>
              </w:rPr>
            </w:pPr>
            <w:r w:rsidRPr="002863E5">
              <w:rPr>
                <w:rFonts w:eastAsia="Calibri" w:cstheme="minorHAnsi"/>
              </w:rPr>
              <w:t>A partnership with Lake Macquarie City Council and DANTIA to pilot circular economy innovations that generate new employment and industry opportunities within Lake Macquarie, diverting and harnessing the under-used regional waste-stream.</w:t>
            </w:r>
          </w:p>
          <w:p w14:paraId="027439B6" w14:textId="0D5D2525" w:rsidR="676A4D6E" w:rsidRPr="002863E5" w:rsidRDefault="676A4D6E" w:rsidP="002863E5">
            <w:pPr>
              <w:spacing w:after="0"/>
              <w:rPr>
                <w:rFonts w:cstheme="minorHAnsi"/>
              </w:rPr>
            </w:pPr>
            <w:r w:rsidRPr="002863E5">
              <w:rPr>
                <w:rFonts w:eastAsia="Arial" w:cstheme="minorHAnsi"/>
              </w:rPr>
              <w:t xml:space="preserve"> </w:t>
            </w:r>
          </w:p>
          <w:p w14:paraId="2A323C2C" w14:textId="7FCB4602" w:rsidR="676A4D6E" w:rsidRPr="002863E5" w:rsidRDefault="676A4D6E" w:rsidP="002863E5">
            <w:pPr>
              <w:spacing w:before="120" w:after="0"/>
              <w:rPr>
                <w:rFonts w:cstheme="minorHAnsi"/>
              </w:rPr>
            </w:pPr>
            <w:r w:rsidRPr="002863E5">
              <w:rPr>
                <w:rFonts w:eastAsia="Calibri" w:cstheme="minorHAnsi"/>
                <w:b/>
                <w:bCs/>
              </w:rPr>
              <w:t xml:space="preserve">The Moata'a Living Lab: </w:t>
            </w:r>
            <w:r w:rsidRPr="002863E5">
              <w:rPr>
                <w:rFonts w:eastAsia="Calibri" w:cstheme="minorHAnsi"/>
              </w:rPr>
              <w:t>The university is collaborating with partners in Samoa to conserve and regenerate the local mangrove environment, which is critical to the region’s culture and economy.</w:t>
            </w:r>
          </w:p>
          <w:p w14:paraId="43F75693" w14:textId="726480A8" w:rsidR="676A4D6E" w:rsidRPr="002863E5" w:rsidRDefault="676A4D6E" w:rsidP="002863E5">
            <w:pPr>
              <w:spacing w:before="120" w:after="0"/>
              <w:rPr>
                <w:rFonts w:cstheme="minorHAnsi"/>
              </w:rPr>
            </w:pPr>
            <w:r w:rsidRPr="002863E5">
              <w:rPr>
                <w:rFonts w:eastAsia="Calibri" w:cstheme="minorHAnsi"/>
              </w:rPr>
              <w:t>The Moata'a Living Lab is a community-led environmental education and eco-tourism demonstration site aimed at building the resilience of the Moata’a community and improving the ecosystem and socio-economic wellbeing of villagers.</w:t>
            </w:r>
          </w:p>
          <w:p w14:paraId="7B9526A0" w14:textId="131D4DD8" w:rsidR="676A4D6E" w:rsidRPr="002863E5" w:rsidRDefault="676A4D6E" w:rsidP="397132BD">
            <w:pPr>
              <w:spacing w:after="0"/>
              <w:rPr>
                <w:rFonts w:cstheme="minorHAnsi"/>
              </w:rPr>
            </w:pPr>
            <w:r w:rsidRPr="002863E5">
              <w:rPr>
                <w:rFonts w:eastAsia="Calibri" w:cstheme="minorHAnsi"/>
              </w:rPr>
              <w:t xml:space="preserve"> </w:t>
            </w:r>
          </w:p>
          <w:p w14:paraId="3D0FE0D3" w14:textId="436954A6" w:rsidR="676A4D6E" w:rsidRPr="002863E5" w:rsidRDefault="676A4D6E" w:rsidP="397132BD">
            <w:pPr>
              <w:spacing w:after="0"/>
              <w:rPr>
                <w:rFonts w:cstheme="minorHAnsi"/>
              </w:rPr>
            </w:pPr>
            <w:r w:rsidRPr="002863E5">
              <w:rPr>
                <w:rFonts w:eastAsia="Calibri" w:cstheme="minorHAnsi"/>
                <w:b/>
                <w:bCs/>
              </w:rPr>
              <w:t>Defence Engagement:</w:t>
            </w:r>
            <w:r w:rsidRPr="002863E5">
              <w:rPr>
                <w:rFonts w:eastAsia="Calibri" w:cstheme="minorHAnsi"/>
              </w:rPr>
              <w:t xml:space="preserve"> The University has recently established two new roles to focus on strengthening our Defence and Defence industry engagement centred on the Williamtown Defence Precinct and RAAF Base. This include</w:t>
            </w:r>
            <w:r w:rsidR="00164367">
              <w:rPr>
                <w:rFonts w:eastAsia="Calibri" w:cstheme="minorHAnsi"/>
              </w:rPr>
              <w:t>s</w:t>
            </w:r>
            <w:r w:rsidRPr="002863E5">
              <w:rPr>
                <w:rFonts w:eastAsia="Calibri" w:cstheme="minorHAnsi"/>
              </w:rPr>
              <w:t xml:space="preserve"> R&amp;D collaboration as well as </w:t>
            </w:r>
            <w:r w:rsidR="00164367">
              <w:rPr>
                <w:rFonts w:eastAsia="Calibri" w:cstheme="minorHAnsi"/>
              </w:rPr>
              <w:t xml:space="preserve">co-designed </w:t>
            </w:r>
            <w:r w:rsidRPr="002863E5">
              <w:rPr>
                <w:rFonts w:eastAsia="Calibri" w:cstheme="minorHAnsi"/>
              </w:rPr>
              <w:t xml:space="preserve">education pathways </w:t>
            </w:r>
            <w:r w:rsidR="00F22E6C">
              <w:rPr>
                <w:rFonts w:eastAsia="Calibri" w:cstheme="minorHAnsi"/>
              </w:rPr>
              <w:t>to train and upskill</w:t>
            </w:r>
            <w:r w:rsidRPr="002863E5">
              <w:rPr>
                <w:rFonts w:eastAsia="Calibri" w:cstheme="minorHAnsi"/>
              </w:rPr>
              <w:t xml:space="preserve"> Defence personnel </w:t>
            </w:r>
            <w:r w:rsidR="006F734B">
              <w:rPr>
                <w:rFonts w:eastAsia="Calibri" w:cstheme="minorHAnsi"/>
              </w:rPr>
              <w:t xml:space="preserve">and </w:t>
            </w:r>
            <w:r w:rsidR="00164367">
              <w:rPr>
                <w:rFonts w:eastAsia="Calibri" w:cstheme="minorHAnsi"/>
              </w:rPr>
              <w:t>build the next generation of defence industry workforce</w:t>
            </w:r>
            <w:r w:rsidRPr="002863E5">
              <w:rPr>
                <w:rFonts w:eastAsia="Calibri" w:cstheme="minorHAnsi"/>
              </w:rPr>
              <w:t>.</w:t>
            </w:r>
            <w:r w:rsidR="00411600">
              <w:rPr>
                <w:rFonts w:eastAsia="Calibri" w:cstheme="minorHAnsi"/>
              </w:rPr>
              <w:t xml:space="preserve"> </w:t>
            </w:r>
          </w:p>
          <w:p w14:paraId="39B11705" w14:textId="01C8623E" w:rsidR="676A4D6E" w:rsidRPr="002863E5" w:rsidRDefault="676A4D6E" w:rsidP="397132BD">
            <w:pPr>
              <w:spacing w:after="0"/>
              <w:rPr>
                <w:rFonts w:cstheme="minorHAnsi"/>
              </w:rPr>
            </w:pPr>
            <w:r w:rsidRPr="002863E5">
              <w:rPr>
                <w:rFonts w:eastAsia="Calibri" w:cstheme="minorHAnsi"/>
              </w:rPr>
              <w:t xml:space="preserve"> </w:t>
            </w:r>
          </w:p>
          <w:p w14:paraId="0A386BF1" w14:textId="58BAC555" w:rsidR="676A4D6E" w:rsidRPr="002863E5" w:rsidRDefault="676A4D6E" w:rsidP="397132BD">
            <w:pPr>
              <w:spacing w:line="257" w:lineRule="auto"/>
              <w:rPr>
                <w:rFonts w:cstheme="minorHAnsi"/>
              </w:rPr>
            </w:pPr>
            <w:r w:rsidRPr="002863E5">
              <w:rPr>
                <w:rFonts w:eastAsia="Calibri" w:cstheme="minorHAnsi"/>
                <w:b/>
                <w:bCs/>
              </w:rPr>
              <w:t>Industry PhDs:</w:t>
            </w:r>
            <w:r w:rsidRPr="002863E5">
              <w:rPr>
                <w:rFonts w:eastAsia="Calibri" w:cstheme="minorHAnsi"/>
              </w:rPr>
              <w:t xml:space="preserve"> A multi-disciplinary approach enabling students to tailor their PhD to achieve industry career aspirations. With flexible learning opportunities, career mentorship, &gt;3-month industry internships students develop competencies and networks throughout their candidature. </w:t>
            </w:r>
          </w:p>
          <w:p w14:paraId="54E4563C" w14:textId="77777777" w:rsidR="00FB115F" w:rsidRPr="002863E5" w:rsidRDefault="00FB115F" w:rsidP="397132BD">
            <w:pPr>
              <w:spacing w:line="257" w:lineRule="auto"/>
              <w:rPr>
                <w:rFonts w:cstheme="minorHAnsi"/>
              </w:rPr>
            </w:pPr>
          </w:p>
          <w:p w14:paraId="70B17673" w14:textId="2757E1AA" w:rsidR="676A4D6E" w:rsidRPr="002863E5" w:rsidRDefault="676A4D6E" w:rsidP="397132BD">
            <w:pPr>
              <w:spacing w:after="0"/>
              <w:rPr>
                <w:rFonts w:cstheme="minorHAnsi"/>
              </w:rPr>
            </w:pPr>
            <w:r w:rsidRPr="002863E5">
              <w:rPr>
                <w:rFonts w:eastAsia="Calibri" w:cstheme="minorHAnsi"/>
              </w:rPr>
              <w:t>Measures of assessment:</w:t>
            </w:r>
          </w:p>
          <w:p w14:paraId="11E159E3" w14:textId="6C758541" w:rsidR="676A4D6E" w:rsidRPr="002863E5" w:rsidRDefault="676A4D6E" w:rsidP="397132BD">
            <w:pPr>
              <w:pStyle w:val="ListParagraph"/>
              <w:numPr>
                <w:ilvl w:val="0"/>
                <w:numId w:val="1"/>
              </w:numPr>
              <w:spacing w:after="0"/>
              <w:ind w:left="360"/>
              <w:rPr>
                <w:rFonts w:eastAsia="Calibri" w:cstheme="minorHAnsi"/>
              </w:rPr>
            </w:pPr>
            <w:r w:rsidRPr="002863E5">
              <w:rPr>
                <w:rFonts w:eastAsia="Calibri" w:cstheme="minorHAnsi"/>
              </w:rPr>
              <w:t>Total industry income, and as a percentage of total research income.</w:t>
            </w:r>
          </w:p>
          <w:p w14:paraId="7DEA12B0" w14:textId="1AC088C1" w:rsidR="676A4D6E" w:rsidRPr="002863E5" w:rsidRDefault="676A4D6E" w:rsidP="397132BD">
            <w:pPr>
              <w:pStyle w:val="ListParagraph"/>
              <w:numPr>
                <w:ilvl w:val="0"/>
                <w:numId w:val="1"/>
              </w:numPr>
              <w:spacing w:after="0"/>
              <w:ind w:left="360"/>
              <w:rPr>
                <w:rFonts w:eastAsia="Calibri" w:cstheme="minorHAnsi"/>
              </w:rPr>
            </w:pPr>
            <w:r w:rsidRPr="002863E5">
              <w:rPr>
                <w:rFonts w:eastAsia="Calibri" w:cstheme="minorHAnsi"/>
              </w:rPr>
              <w:t>Number of Industry PhDs.</w:t>
            </w:r>
          </w:p>
          <w:p w14:paraId="170811A5" w14:textId="3DAD7C0C" w:rsidR="676A4D6E" w:rsidRPr="002863E5" w:rsidRDefault="676A4D6E" w:rsidP="397132BD">
            <w:pPr>
              <w:pStyle w:val="ListParagraph"/>
              <w:numPr>
                <w:ilvl w:val="0"/>
                <w:numId w:val="1"/>
              </w:numPr>
              <w:spacing w:after="0"/>
              <w:ind w:left="360"/>
              <w:rPr>
                <w:rFonts w:eastAsia="Calibri" w:cstheme="minorHAnsi"/>
              </w:rPr>
            </w:pPr>
            <w:r w:rsidRPr="002863E5">
              <w:rPr>
                <w:rFonts w:eastAsia="Calibri" w:cstheme="minorHAnsi"/>
              </w:rPr>
              <w:t>New and repeat industry partners.</w:t>
            </w:r>
          </w:p>
          <w:p w14:paraId="5308165D" w14:textId="340DBEDF" w:rsidR="676A4D6E" w:rsidRPr="002863E5" w:rsidRDefault="676A4D6E" w:rsidP="397132BD">
            <w:pPr>
              <w:pStyle w:val="ListParagraph"/>
              <w:numPr>
                <w:ilvl w:val="0"/>
                <w:numId w:val="1"/>
              </w:numPr>
              <w:spacing w:after="0"/>
              <w:ind w:left="360"/>
              <w:rPr>
                <w:rFonts w:eastAsia="Calibri" w:cstheme="minorHAnsi"/>
              </w:rPr>
            </w:pPr>
            <w:r w:rsidRPr="002863E5">
              <w:rPr>
                <w:rFonts w:eastAsia="Calibri" w:cstheme="minorHAnsi"/>
              </w:rPr>
              <w:t>Major bids focussed on industry engagement including CRC/P, ARC ITRP, NHMRC CRE, MRFF.</w:t>
            </w:r>
          </w:p>
          <w:p w14:paraId="2741F1F8" w14:textId="3B09B13A" w:rsidR="676A4D6E" w:rsidRPr="002863E5" w:rsidRDefault="676A4D6E" w:rsidP="397132BD">
            <w:pPr>
              <w:pStyle w:val="ListParagraph"/>
              <w:numPr>
                <w:ilvl w:val="0"/>
                <w:numId w:val="1"/>
              </w:numPr>
              <w:spacing w:after="0"/>
              <w:ind w:left="360"/>
              <w:rPr>
                <w:rFonts w:eastAsia="Calibri" w:cstheme="minorHAnsi"/>
              </w:rPr>
            </w:pPr>
            <w:r w:rsidRPr="002863E5">
              <w:rPr>
                <w:rFonts w:eastAsia="Calibri" w:cstheme="minorHAnsi"/>
              </w:rPr>
              <w:t>Industry partners co located on campus.</w:t>
            </w:r>
          </w:p>
          <w:p w14:paraId="1D7F22E5" w14:textId="3A08EF08" w:rsidR="397132BD" w:rsidRPr="002863E5" w:rsidRDefault="397132BD" w:rsidP="397132BD">
            <w:pPr>
              <w:spacing w:after="0"/>
              <w:rPr>
                <w:rFonts w:eastAsia="Calibri" w:cstheme="minorHAnsi"/>
              </w:rPr>
            </w:pPr>
          </w:p>
          <w:p w14:paraId="4A4FC503" w14:textId="77777777" w:rsidR="00916B09" w:rsidRPr="002863E5" w:rsidRDefault="00916B09" w:rsidP="00916B09">
            <w:pPr>
              <w:pStyle w:val="NormalIndent"/>
              <w:spacing w:before="0" w:after="0"/>
              <w:ind w:left="0"/>
              <w:rPr>
                <w:rFonts w:asciiTheme="minorHAnsi" w:hAnsiTheme="minorHAnsi" w:cstheme="minorHAnsi"/>
                <w:color w:val="242424"/>
                <w:szCs w:val="22"/>
              </w:rPr>
            </w:pPr>
          </w:p>
          <w:p w14:paraId="4BBCD284" w14:textId="77777777" w:rsidR="001B109C" w:rsidRPr="002863E5" w:rsidRDefault="001B109C">
            <w:pPr>
              <w:pStyle w:val="NormalIndent"/>
              <w:spacing w:before="0" w:after="0"/>
              <w:ind w:left="0"/>
              <w:rPr>
                <w:rFonts w:asciiTheme="minorHAnsi" w:hAnsiTheme="minorHAnsi" w:cstheme="minorHAnsi"/>
                <w:i/>
                <w:color w:val="FF0000"/>
                <w:szCs w:val="22"/>
              </w:rPr>
            </w:pPr>
          </w:p>
          <w:p w14:paraId="25E4FBAE" w14:textId="77777777" w:rsidR="001B109C" w:rsidRPr="002863E5" w:rsidRDefault="001B109C">
            <w:pPr>
              <w:pStyle w:val="NormalIndent"/>
              <w:spacing w:before="0" w:after="0"/>
              <w:ind w:left="0"/>
              <w:rPr>
                <w:rFonts w:asciiTheme="minorHAnsi" w:hAnsiTheme="minorHAnsi" w:cstheme="minorHAnsi"/>
                <w:i/>
                <w:color w:val="FF0000"/>
                <w:szCs w:val="22"/>
              </w:rPr>
            </w:pPr>
          </w:p>
          <w:p w14:paraId="5C980100" w14:textId="77777777" w:rsidR="001B109C" w:rsidRPr="002863E5" w:rsidRDefault="001B109C">
            <w:pPr>
              <w:pStyle w:val="NormalIndent"/>
              <w:spacing w:before="0" w:after="0"/>
              <w:ind w:left="0"/>
              <w:rPr>
                <w:rFonts w:asciiTheme="minorHAnsi" w:hAnsiTheme="minorHAnsi" w:cstheme="minorHAnsi"/>
                <w:i/>
                <w:color w:val="FF0000"/>
                <w:szCs w:val="22"/>
              </w:rPr>
            </w:pPr>
          </w:p>
          <w:p w14:paraId="4E6B3F15" w14:textId="77777777" w:rsidR="001B109C" w:rsidRPr="002863E5" w:rsidRDefault="001B109C">
            <w:pPr>
              <w:pStyle w:val="NormalIndent"/>
              <w:spacing w:before="0" w:after="0"/>
              <w:ind w:left="0"/>
              <w:rPr>
                <w:rFonts w:asciiTheme="minorHAnsi" w:hAnsiTheme="minorHAnsi" w:cstheme="minorHAnsi"/>
                <w:i/>
                <w:color w:val="FF0000"/>
                <w:szCs w:val="22"/>
              </w:rPr>
            </w:pPr>
          </w:p>
          <w:p w14:paraId="035FD98E" w14:textId="77777777" w:rsidR="001B109C" w:rsidRPr="002863E5" w:rsidRDefault="001B109C">
            <w:pPr>
              <w:pStyle w:val="NormalIndent"/>
              <w:spacing w:before="0" w:after="0"/>
              <w:ind w:left="0"/>
              <w:rPr>
                <w:rFonts w:asciiTheme="minorHAnsi" w:hAnsiTheme="minorHAnsi" w:cstheme="minorHAnsi"/>
                <w:i/>
                <w:color w:val="FF0000"/>
                <w:szCs w:val="22"/>
              </w:rPr>
            </w:pPr>
          </w:p>
          <w:p w14:paraId="0F29D6A9" w14:textId="77777777" w:rsidR="001B109C" w:rsidRPr="002863E5" w:rsidRDefault="001B109C">
            <w:pPr>
              <w:pStyle w:val="NormalIndent"/>
              <w:spacing w:before="0" w:after="0"/>
              <w:ind w:left="0"/>
              <w:rPr>
                <w:rFonts w:asciiTheme="minorHAnsi" w:hAnsiTheme="minorHAnsi" w:cstheme="minorHAnsi"/>
                <w:i/>
                <w:color w:val="FF0000"/>
                <w:szCs w:val="22"/>
              </w:rPr>
            </w:pPr>
          </w:p>
          <w:p w14:paraId="531CBC1A" w14:textId="77777777" w:rsidR="001B109C" w:rsidRPr="002863E5" w:rsidRDefault="001B109C">
            <w:pPr>
              <w:pStyle w:val="NormalIndent"/>
              <w:spacing w:before="0" w:after="0"/>
              <w:ind w:left="0"/>
              <w:rPr>
                <w:rFonts w:asciiTheme="minorHAnsi" w:hAnsiTheme="minorHAnsi" w:cstheme="minorHAnsi"/>
                <w:i/>
                <w:color w:val="FF0000"/>
                <w:szCs w:val="22"/>
              </w:rPr>
            </w:pPr>
          </w:p>
          <w:p w14:paraId="10691FD1" w14:textId="77777777" w:rsidR="001B109C" w:rsidRPr="002863E5" w:rsidRDefault="001B109C">
            <w:pPr>
              <w:pStyle w:val="NormalIndent"/>
              <w:spacing w:before="0" w:after="0"/>
              <w:ind w:left="0"/>
              <w:rPr>
                <w:rFonts w:asciiTheme="minorHAnsi" w:hAnsiTheme="minorHAnsi" w:cstheme="minorHAnsi"/>
                <w:i/>
                <w:color w:val="FF0000"/>
                <w:szCs w:val="22"/>
              </w:rPr>
            </w:pPr>
          </w:p>
          <w:p w14:paraId="2BF65DC2" w14:textId="77777777" w:rsidR="001B109C" w:rsidRPr="002863E5" w:rsidRDefault="001B109C">
            <w:pPr>
              <w:pStyle w:val="NormalIndent"/>
              <w:spacing w:before="0" w:after="0"/>
              <w:ind w:left="0"/>
              <w:rPr>
                <w:rFonts w:asciiTheme="minorHAnsi" w:hAnsiTheme="minorHAnsi" w:cstheme="minorHAnsi"/>
                <w:i/>
                <w:color w:val="FF0000"/>
                <w:szCs w:val="22"/>
              </w:rPr>
            </w:pPr>
          </w:p>
          <w:p w14:paraId="2577A43C" w14:textId="77777777" w:rsidR="001B109C" w:rsidRPr="002863E5" w:rsidRDefault="001B109C">
            <w:pPr>
              <w:pStyle w:val="NormalIndent"/>
              <w:spacing w:before="0" w:after="0"/>
              <w:ind w:left="0"/>
              <w:rPr>
                <w:rFonts w:asciiTheme="minorHAnsi" w:hAnsiTheme="minorHAnsi" w:cstheme="minorHAnsi"/>
                <w:i/>
                <w:color w:val="FF0000"/>
                <w:szCs w:val="22"/>
              </w:rPr>
            </w:pPr>
          </w:p>
          <w:p w14:paraId="79E45395" w14:textId="77777777" w:rsidR="001B109C" w:rsidRPr="002863E5" w:rsidRDefault="001B109C">
            <w:pPr>
              <w:pStyle w:val="NormalIndent"/>
              <w:spacing w:before="0" w:after="0"/>
              <w:ind w:left="0"/>
              <w:rPr>
                <w:rFonts w:asciiTheme="minorHAnsi" w:hAnsiTheme="minorHAnsi" w:cstheme="minorHAnsi"/>
                <w:i/>
                <w:color w:val="FF0000"/>
                <w:szCs w:val="22"/>
              </w:rPr>
            </w:pPr>
          </w:p>
          <w:p w14:paraId="47676766" w14:textId="77777777" w:rsidR="001B109C" w:rsidRPr="002863E5" w:rsidRDefault="001B109C">
            <w:pPr>
              <w:pStyle w:val="NormalIndent"/>
              <w:spacing w:before="0" w:after="0"/>
              <w:ind w:left="0"/>
              <w:rPr>
                <w:rFonts w:asciiTheme="minorHAnsi" w:hAnsiTheme="minorHAnsi" w:cstheme="minorHAnsi"/>
                <w:i/>
                <w:color w:val="FF0000"/>
                <w:szCs w:val="22"/>
              </w:rPr>
            </w:pPr>
          </w:p>
          <w:p w14:paraId="64F6A006" w14:textId="77777777" w:rsidR="001B109C" w:rsidRPr="002863E5" w:rsidRDefault="001B109C">
            <w:pPr>
              <w:pStyle w:val="NormalIndent"/>
              <w:spacing w:before="0" w:after="0"/>
              <w:ind w:left="0"/>
              <w:rPr>
                <w:rFonts w:asciiTheme="minorHAnsi" w:hAnsiTheme="minorHAnsi" w:cstheme="minorHAnsi"/>
                <w:i/>
                <w:color w:val="FF0000"/>
                <w:szCs w:val="22"/>
              </w:rPr>
            </w:pPr>
          </w:p>
          <w:p w14:paraId="6465FC91" w14:textId="77777777" w:rsidR="001B109C" w:rsidRPr="002863E5" w:rsidRDefault="001B109C">
            <w:pPr>
              <w:pStyle w:val="NormalIndent"/>
              <w:spacing w:before="0" w:after="0"/>
              <w:ind w:left="0"/>
              <w:rPr>
                <w:rFonts w:asciiTheme="minorHAnsi" w:hAnsiTheme="minorHAnsi" w:cstheme="minorHAnsi"/>
                <w:i/>
                <w:color w:val="FF0000"/>
                <w:szCs w:val="22"/>
              </w:rPr>
            </w:pPr>
          </w:p>
        </w:tc>
      </w:tr>
    </w:tbl>
    <w:p w14:paraId="3BBBBA25" w14:textId="77777777" w:rsidR="001B109C" w:rsidRDefault="001B109C" w:rsidP="001B109C">
      <w:pPr>
        <w:spacing w:after="0"/>
        <w:rPr>
          <w:rFonts w:ascii="Times New Roman" w:hAnsi="Times New Roman" w:cs="Times New Roman"/>
          <w:b/>
          <w:bCs/>
          <w:sz w:val="24"/>
          <w:szCs w:val="24"/>
        </w:rPr>
      </w:pPr>
    </w:p>
    <w:p w14:paraId="2BE0E0F4" w14:textId="77777777" w:rsidR="001B109C" w:rsidRDefault="001B109C" w:rsidP="001B109C">
      <w:pPr>
        <w:spacing w:after="160"/>
        <w:rPr>
          <w:rFonts w:ascii="Times New Roman" w:hAnsi="Times New Roman" w:cs="Times New Roman"/>
          <w:b/>
          <w:bCs/>
          <w:sz w:val="24"/>
          <w:szCs w:val="24"/>
        </w:rPr>
      </w:pPr>
      <w:r>
        <w:rPr>
          <w:rFonts w:ascii="Times New Roman" w:hAnsi="Times New Roman" w:cs="Times New Roman"/>
          <w:b/>
          <w:bCs/>
          <w:sz w:val="24"/>
          <w:szCs w:val="24"/>
        </w:rPr>
        <w:br w:type="page"/>
      </w:r>
    </w:p>
    <w:p w14:paraId="6D22BD5D" w14:textId="77777777" w:rsidR="001B109C" w:rsidRDefault="001B109C" w:rsidP="001B109C">
      <w:pPr>
        <w:spacing w:after="0"/>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B109C" w:rsidRPr="00E169EE" w14:paraId="53425073" w14:textId="77777777">
        <w:tc>
          <w:tcPr>
            <w:tcW w:w="4508" w:type="dxa"/>
          </w:tcPr>
          <w:p w14:paraId="68C798FC" w14:textId="77777777" w:rsidR="001B109C" w:rsidRPr="00E114B4" w:rsidRDefault="001B109C">
            <w:pPr>
              <w:spacing w:before="28" w:line="210" w:lineRule="exact"/>
              <w:textAlignment w:val="baseline"/>
              <w:rPr>
                <w:rFonts w:eastAsia="Calibri" w:cstheme="minorHAnsi"/>
                <w:color w:val="000000"/>
                <w:spacing w:val="-3"/>
                <w:sz w:val="24"/>
                <w:szCs w:val="24"/>
              </w:rPr>
            </w:pPr>
            <w:r w:rsidRPr="00E114B4">
              <w:rPr>
                <w:rFonts w:eastAsia="Calibri" w:cstheme="minorHAnsi"/>
                <w:color w:val="000000"/>
                <w:spacing w:val="-3"/>
                <w:sz w:val="24"/>
                <w:szCs w:val="24"/>
              </w:rPr>
              <w:t>SIGNED for and on behalf of</w:t>
            </w:r>
          </w:p>
          <w:p w14:paraId="4C44F3A8" w14:textId="77777777" w:rsidR="001B109C" w:rsidRPr="00E114B4" w:rsidRDefault="001B109C">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THE COMMONWEALTH OF AUSTRALIA</w:t>
            </w:r>
          </w:p>
          <w:p w14:paraId="0C445464" w14:textId="77777777" w:rsidR="001B109C" w:rsidRPr="00E114B4" w:rsidRDefault="001B109C">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by</w:t>
            </w:r>
          </w:p>
        </w:tc>
        <w:tc>
          <w:tcPr>
            <w:tcW w:w="4508" w:type="dxa"/>
          </w:tcPr>
          <w:p w14:paraId="34664A6F" w14:textId="77777777" w:rsidR="001B109C" w:rsidRPr="00E114B4" w:rsidRDefault="001B109C">
            <w:pPr>
              <w:rPr>
                <w:rFonts w:cstheme="minorHAnsi"/>
                <w:sz w:val="24"/>
                <w:szCs w:val="24"/>
              </w:rPr>
            </w:pPr>
            <w:r w:rsidRPr="00E114B4">
              <w:rPr>
                <w:rFonts w:cstheme="minorHAnsi"/>
                <w:sz w:val="24"/>
                <w:szCs w:val="24"/>
              </w:rPr>
              <w:t>In the presence of:</w:t>
            </w:r>
          </w:p>
        </w:tc>
      </w:tr>
      <w:tr w:rsidR="001B109C" w:rsidRPr="00E169EE" w14:paraId="186905E2" w14:textId="77777777">
        <w:tc>
          <w:tcPr>
            <w:tcW w:w="4508" w:type="dxa"/>
          </w:tcPr>
          <w:p w14:paraId="32153A99" w14:textId="78932542" w:rsidR="001B109C" w:rsidRPr="00E114B4" w:rsidRDefault="00743BA9">
            <w:pPr>
              <w:pBdr>
                <w:bottom w:val="single" w:sz="12" w:space="1" w:color="auto"/>
              </w:pBdr>
              <w:rPr>
                <w:rFonts w:cstheme="minorHAnsi"/>
                <w:b/>
                <w:bCs/>
              </w:rPr>
            </w:pPr>
            <w:r w:rsidRPr="001E1D51">
              <w:rPr>
                <w:b/>
                <w:bCs/>
              </w:rPr>
              <w:t>Jessica Mohr</w:t>
            </w:r>
          </w:p>
          <w:p w14:paraId="7375CBDB" w14:textId="77777777" w:rsidR="001B109C" w:rsidRPr="00E114B4" w:rsidRDefault="001B109C">
            <w:pPr>
              <w:rPr>
                <w:rFonts w:cstheme="minorHAnsi"/>
              </w:rPr>
            </w:pPr>
            <w:r w:rsidRPr="00E114B4">
              <w:rPr>
                <w:rFonts w:cstheme="minorHAnsi"/>
              </w:rPr>
              <w:t>Full name (please print)</w:t>
            </w:r>
          </w:p>
        </w:tc>
        <w:tc>
          <w:tcPr>
            <w:tcW w:w="4508" w:type="dxa"/>
          </w:tcPr>
          <w:p w14:paraId="091A8D51" w14:textId="1C8D1646" w:rsidR="001B109C" w:rsidRPr="00E114B4" w:rsidRDefault="006A4CEB">
            <w:pPr>
              <w:pBdr>
                <w:bottom w:val="single" w:sz="12" w:space="1" w:color="auto"/>
              </w:pBdr>
              <w:rPr>
                <w:rFonts w:cstheme="minorHAnsi"/>
                <w:b/>
                <w:bCs/>
              </w:rPr>
            </w:pPr>
            <w:r w:rsidRPr="001E1D51">
              <w:rPr>
                <w:b/>
                <w:bCs/>
              </w:rPr>
              <w:t>Rachel Searl</w:t>
            </w:r>
          </w:p>
          <w:p w14:paraId="5AAC2089" w14:textId="77777777" w:rsidR="001B109C" w:rsidRPr="00E114B4" w:rsidRDefault="001B109C">
            <w:pPr>
              <w:rPr>
                <w:rFonts w:cstheme="minorHAnsi"/>
              </w:rPr>
            </w:pPr>
            <w:r w:rsidRPr="00E114B4">
              <w:rPr>
                <w:rFonts w:cstheme="minorHAnsi"/>
              </w:rPr>
              <w:t>Witness (please print)</w:t>
            </w:r>
          </w:p>
        </w:tc>
      </w:tr>
      <w:tr w:rsidR="001B109C" w:rsidRPr="00E169EE" w14:paraId="6D0DB948" w14:textId="77777777">
        <w:tc>
          <w:tcPr>
            <w:tcW w:w="4508" w:type="dxa"/>
          </w:tcPr>
          <w:p w14:paraId="101367FA" w14:textId="30D6856D" w:rsidR="001B109C" w:rsidRPr="00E114B4" w:rsidRDefault="00FA78D6">
            <w:pPr>
              <w:pBdr>
                <w:bottom w:val="single" w:sz="12" w:space="1" w:color="auto"/>
              </w:pBdr>
              <w:rPr>
                <w:rFonts w:cstheme="minorHAnsi"/>
                <w:b/>
                <w:bCs/>
              </w:rPr>
            </w:pPr>
            <w:r w:rsidRPr="00DC5CCA">
              <w:rPr>
                <w:b/>
                <w:bCs/>
              </w:rPr>
              <w:t>First Assistant Secretary</w:t>
            </w:r>
          </w:p>
          <w:p w14:paraId="53889020" w14:textId="77777777" w:rsidR="001B109C" w:rsidRPr="00E114B4" w:rsidRDefault="001B109C">
            <w:pPr>
              <w:rPr>
                <w:rFonts w:cstheme="minorHAnsi"/>
              </w:rPr>
            </w:pPr>
            <w:r w:rsidRPr="00E114B4">
              <w:rPr>
                <w:rFonts w:cstheme="minorHAnsi"/>
              </w:rPr>
              <w:t>Position</w:t>
            </w:r>
          </w:p>
          <w:p w14:paraId="390DFF35" w14:textId="77777777" w:rsidR="001B109C" w:rsidRPr="00E114B4" w:rsidRDefault="001B109C">
            <w:pPr>
              <w:rPr>
                <w:rFonts w:cstheme="minorHAnsi"/>
              </w:rPr>
            </w:pPr>
            <w:r w:rsidRPr="00E114B4">
              <w:rPr>
                <w:rFonts w:cstheme="minorHAnsi"/>
              </w:rPr>
              <w:t>of the Department of Education</w:t>
            </w:r>
          </w:p>
        </w:tc>
        <w:tc>
          <w:tcPr>
            <w:tcW w:w="4508" w:type="dxa"/>
          </w:tcPr>
          <w:p w14:paraId="69045716" w14:textId="73F9232A" w:rsidR="001B109C" w:rsidRPr="00E114B4" w:rsidRDefault="002E08FC">
            <w:pPr>
              <w:pBdr>
                <w:bottom w:val="single" w:sz="12" w:space="1" w:color="auto"/>
              </w:pBdr>
              <w:rPr>
                <w:rFonts w:cstheme="minorHAnsi"/>
                <w:b/>
                <w:bCs/>
              </w:rPr>
            </w:pPr>
            <w:r w:rsidRPr="00E91A60">
              <w:rPr>
                <w:b/>
                <w:bCs/>
              </w:rPr>
              <w:t>Executive Officer</w:t>
            </w:r>
          </w:p>
          <w:p w14:paraId="668DE817" w14:textId="77777777" w:rsidR="001B109C" w:rsidRPr="00E114B4" w:rsidRDefault="001B109C">
            <w:pPr>
              <w:rPr>
                <w:rFonts w:cstheme="minorHAnsi"/>
              </w:rPr>
            </w:pPr>
            <w:r w:rsidRPr="00E114B4">
              <w:rPr>
                <w:rFonts w:cstheme="minorHAnsi"/>
              </w:rPr>
              <w:t>Position or profession of witness (please print)</w:t>
            </w:r>
          </w:p>
        </w:tc>
      </w:tr>
      <w:tr w:rsidR="001B109C" w:rsidRPr="00E169EE" w14:paraId="38C68E43" w14:textId="77777777">
        <w:tc>
          <w:tcPr>
            <w:tcW w:w="4508" w:type="dxa"/>
          </w:tcPr>
          <w:p w14:paraId="4289F3D2" w14:textId="77777777" w:rsidR="001B109C" w:rsidRPr="00E114B4" w:rsidRDefault="001B109C">
            <w:pPr>
              <w:pBdr>
                <w:bottom w:val="single" w:sz="12" w:space="1" w:color="auto"/>
              </w:pBdr>
              <w:rPr>
                <w:rFonts w:cstheme="minorHAnsi"/>
                <w:b/>
                <w:bCs/>
              </w:rPr>
            </w:pPr>
          </w:p>
          <w:p w14:paraId="415B9216" w14:textId="77777777" w:rsidR="001B109C" w:rsidRPr="00E114B4" w:rsidRDefault="001B109C">
            <w:pPr>
              <w:rPr>
                <w:rFonts w:cstheme="minorHAnsi"/>
              </w:rPr>
            </w:pPr>
            <w:r w:rsidRPr="00E114B4">
              <w:rPr>
                <w:rFonts w:cstheme="minorHAnsi"/>
              </w:rPr>
              <w:t>Signature</w:t>
            </w:r>
          </w:p>
        </w:tc>
        <w:tc>
          <w:tcPr>
            <w:tcW w:w="4508" w:type="dxa"/>
          </w:tcPr>
          <w:p w14:paraId="710024D0" w14:textId="77777777" w:rsidR="001B109C" w:rsidRPr="00E114B4" w:rsidRDefault="001B109C">
            <w:pPr>
              <w:pBdr>
                <w:bottom w:val="single" w:sz="12" w:space="1" w:color="auto"/>
              </w:pBdr>
              <w:rPr>
                <w:rFonts w:cstheme="minorHAnsi"/>
                <w:b/>
                <w:bCs/>
              </w:rPr>
            </w:pPr>
          </w:p>
          <w:p w14:paraId="2D914310" w14:textId="77777777" w:rsidR="001B109C" w:rsidRPr="00E114B4" w:rsidRDefault="001B109C">
            <w:pPr>
              <w:rPr>
                <w:rFonts w:cstheme="minorHAnsi"/>
              </w:rPr>
            </w:pPr>
            <w:r w:rsidRPr="00E114B4">
              <w:rPr>
                <w:rFonts w:cstheme="minorHAnsi"/>
              </w:rPr>
              <w:t>Signature</w:t>
            </w:r>
          </w:p>
        </w:tc>
      </w:tr>
      <w:tr w:rsidR="001B109C" w:rsidRPr="00E169EE" w14:paraId="4B1444B6" w14:textId="77777777">
        <w:tc>
          <w:tcPr>
            <w:tcW w:w="4508" w:type="dxa"/>
          </w:tcPr>
          <w:p w14:paraId="344C64D3" w14:textId="57BC8A24" w:rsidR="001B109C" w:rsidRPr="003D3516" w:rsidRDefault="003D3516">
            <w:pPr>
              <w:pBdr>
                <w:bottom w:val="single" w:sz="12" w:space="1" w:color="auto"/>
              </w:pBdr>
              <w:rPr>
                <w:rFonts w:cstheme="minorHAnsi"/>
              </w:rPr>
            </w:pPr>
            <w:r>
              <w:rPr>
                <w:rFonts w:cstheme="minorHAnsi"/>
              </w:rPr>
              <w:t>01/12/2025</w:t>
            </w:r>
          </w:p>
          <w:p w14:paraId="71C4CD3D" w14:textId="77777777" w:rsidR="001B109C" w:rsidRPr="00E169EE" w:rsidRDefault="001B109C">
            <w:pPr>
              <w:rPr>
                <w:rFonts w:cstheme="minorHAnsi"/>
              </w:rPr>
            </w:pPr>
            <w:r w:rsidRPr="00E169EE">
              <w:rPr>
                <w:rFonts w:cstheme="minorHAnsi"/>
              </w:rPr>
              <w:t>Date</w:t>
            </w:r>
          </w:p>
        </w:tc>
        <w:tc>
          <w:tcPr>
            <w:tcW w:w="4508" w:type="dxa"/>
          </w:tcPr>
          <w:p w14:paraId="26028E27" w14:textId="77777777" w:rsidR="001B109C" w:rsidRPr="00F60B66" w:rsidRDefault="001B109C">
            <w:pPr>
              <w:rPr>
                <w:rFonts w:cstheme="minorHAnsi"/>
                <w:b/>
                <w:bCs/>
                <w:highlight w:val="yellow"/>
              </w:rPr>
            </w:pPr>
          </w:p>
        </w:tc>
      </w:tr>
      <w:tr w:rsidR="001B109C" w:rsidRPr="00E169EE" w14:paraId="45CC96F9" w14:textId="77777777">
        <w:tc>
          <w:tcPr>
            <w:tcW w:w="4508" w:type="dxa"/>
          </w:tcPr>
          <w:p w14:paraId="639CCC16" w14:textId="77777777" w:rsidR="001B109C" w:rsidRDefault="001B109C">
            <w:pPr>
              <w:spacing w:before="28" w:line="210" w:lineRule="exact"/>
              <w:textAlignment w:val="baseline"/>
              <w:rPr>
                <w:rFonts w:eastAsia="Calibri" w:cstheme="minorHAnsi"/>
                <w:color w:val="000000"/>
                <w:spacing w:val="-3"/>
                <w:sz w:val="24"/>
                <w:szCs w:val="24"/>
              </w:rPr>
            </w:pPr>
            <w:r w:rsidRPr="00E169EE">
              <w:rPr>
                <w:rFonts w:eastAsia="Calibri" w:cstheme="minorHAnsi"/>
                <w:color w:val="000000"/>
                <w:spacing w:val="-3"/>
                <w:sz w:val="24"/>
                <w:szCs w:val="24"/>
              </w:rPr>
              <w:t>SIGNED for and on behalf of</w:t>
            </w:r>
          </w:p>
          <w:p w14:paraId="114E5D42" w14:textId="0835ACB6" w:rsidR="001B109C" w:rsidRPr="00E169EE" w:rsidRDefault="00FB115F">
            <w:pPr>
              <w:spacing w:before="28" w:line="210" w:lineRule="exact"/>
              <w:textAlignment w:val="baseline"/>
              <w:rPr>
                <w:rFonts w:eastAsia="Calibri" w:cstheme="minorHAnsi"/>
                <w:color w:val="000000"/>
                <w:spacing w:val="-3"/>
                <w:sz w:val="24"/>
                <w:szCs w:val="24"/>
              </w:rPr>
            </w:pPr>
            <w:r>
              <w:rPr>
                <w:rFonts w:eastAsia="Calibri" w:cstheme="minorHAnsi"/>
                <w:color w:val="000000"/>
                <w:spacing w:val="-4"/>
                <w:sz w:val="24"/>
                <w:szCs w:val="24"/>
              </w:rPr>
              <w:t>The University of Newcastle, Australia</w:t>
            </w:r>
          </w:p>
          <w:p w14:paraId="065C6AB9" w14:textId="6B0DB8B4" w:rsidR="001B109C" w:rsidRPr="00E169EE" w:rsidRDefault="00A1454D">
            <w:pPr>
              <w:spacing w:before="275" w:line="210" w:lineRule="exact"/>
              <w:textAlignment w:val="baseline"/>
              <w:rPr>
                <w:rFonts w:eastAsia="Calibri" w:cstheme="minorHAnsi"/>
                <w:color w:val="000000"/>
                <w:spacing w:val="-4"/>
              </w:rPr>
            </w:pPr>
            <w:r w:rsidRPr="00E169EE">
              <w:rPr>
                <w:rFonts w:eastAsia="Calibri" w:cstheme="minorHAnsi"/>
                <w:color w:val="000000"/>
                <w:spacing w:val="-4"/>
              </w:rPr>
              <w:t>B</w:t>
            </w:r>
            <w:r w:rsidR="001B109C" w:rsidRPr="00E169EE">
              <w:rPr>
                <w:rFonts w:eastAsia="Calibri" w:cstheme="minorHAnsi"/>
                <w:color w:val="000000"/>
                <w:spacing w:val="-4"/>
              </w:rPr>
              <w:t>y</w:t>
            </w:r>
          </w:p>
        </w:tc>
        <w:tc>
          <w:tcPr>
            <w:tcW w:w="4508" w:type="dxa"/>
          </w:tcPr>
          <w:p w14:paraId="2276E219" w14:textId="77777777" w:rsidR="001B109C" w:rsidRPr="002F4604" w:rsidRDefault="001B109C">
            <w:pPr>
              <w:rPr>
                <w:rFonts w:cstheme="minorHAnsi"/>
              </w:rPr>
            </w:pPr>
            <w:r w:rsidRPr="002F4604">
              <w:rPr>
                <w:rFonts w:cstheme="minorHAnsi"/>
                <w:sz w:val="24"/>
                <w:szCs w:val="24"/>
              </w:rPr>
              <w:t>In the presence of:</w:t>
            </w:r>
          </w:p>
        </w:tc>
      </w:tr>
      <w:tr w:rsidR="001B109C" w:rsidRPr="00E169EE" w14:paraId="5AAB6D63" w14:textId="77777777">
        <w:tc>
          <w:tcPr>
            <w:tcW w:w="4508" w:type="dxa"/>
          </w:tcPr>
          <w:p w14:paraId="54C8A9A5" w14:textId="23B188B2" w:rsidR="001B109C" w:rsidRPr="00E169EE" w:rsidRDefault="00A1454D">
            <w:pPr>
              <w:pBdr>
                <w:bottom w:val="single" w:sz="12" w:space="1" w:color="auto"/>
              </w:pBdr>
              <w:rPr>
                <w:rFonts w:cstheme="minorHAnsi"/>
                <w:b/>
                <w:bCs/>
              </w:rPr>
            </w:pPr>
            <w:r>
              <w:rPr>
                <w:rFonts w:cstheme="minorHAnsi"/>
                <w:b/>
                <w:bCs/>
              </w:rPr>
              <w:t>Alex Zelinsky AO</w:t>
            </w:r>
          </w:p>
          <w:p w14:paraId="3120FAF4" w14:textId="77777777" w:rsidR="001B109C" w:rsidRPr="00E169EE" w:rsidRDefault="001B109C">
            <w:pPr>
              <w:rPr>
                <w:rFonts w:cstheme="minorHAnsi"/>
              </w:rPr>
            </w:pPr>
            <w:r w:rsidRPr="00E169EE">
              <w:rPr>
                <w:rFonts w:cstheme="minorHAnsi"/>
              </w:rPr>
              <w:t>Full name (please print)</w:t>
            </w:r>
          </w:p>
        </w:tc>
        <w:tc>
          <w:tcPr>
            <w:tcW w:w="4508" w:type="dxa"/>
          </w:tcPr>
          <w:p w14:paraId="59483E94" w14:textId="5BE90C13" w:rsidR="001B109C" w:rsidRPr="002F4604" w:rsidRDefault="00A1454D">
            <w:pPr>
              <w:pBdr>
                <w:bottom w:val="single" w:sz="12" w:space="1" w:color="auto"/>
              </w:pBdr>
              <w:rPr>
                <w:rFonts w:cstheme="minorHAnsi"/>
                <w:b/>
                <w:bCs/>
              </w:rPr>
            </w:pPr>
            <w:r>
              <w:rPr>
                <w:rFonts w:cstheme="minorHAnsi"/>
                <w:b/>
                <w:bCs/>
              </w:rPr>
              <w:t xml:space="preserve">Fiona Bastian </w:t>
            </w:r>
          </w:p>
          <w:p w14:paraId="439588BC" w14:textId="77777777" w:rsidR="001B109C" w:rsidRPr="002F4604" w:rsidRDefault="001B109C">
            <w:pPr>
              <w:rPr>
                <w:rFonts w:cstheme="minorHAnsi"/>
              </w:rPr>
            </w:pPr>
            <w:r w:rsidRPr="002F4604">
              <w:rPr>
                <w:rFonts w:cstheme="minorHAnsi"/>
              </w:rPr>
              <w:t>Witness (please print)</w:t>
            </w:r>
          </w:p>
        </w:tc>
      </w:tr>
      <w:tr w:rsidR="001B109C" w:rsidRPr="00E169EE" w14:paraId="20B90866" w14:textId="77777777">
        <w:tc>
          <w:tcPr>
            <w:tcW w:w="4508" w:type="dxa"/>
          </w:tcPr>
          <w:p w14:paraId="7D9047AD" w14:textId="01B1500D" w:rsidR="001B109C" w:rsidRPr="00E169EE" w:rsidRDefault="00A1454D">
            <w:pPr>
              <w:pBdr>
                <w:bottom w:val="single" w:sz="12" w:space="1" w:color="auto"/>
              </w:pBdr>
              <w:spacing w:after="0"/>
              <w:rPr>
                <w:rFonts w:cstheme="minorHAnsi"/>
                <w:b/>
                <w:bCs/>
              </w:rPr>
            </w:pPr>
            <w:r>
              <w:rPr>
                <w:rFonts w:cstheme="minorHAnsi"/>
                <w:b/>
                <w:bCs/>
              </w:rPr>
              <w:t>Vice-Chancellor and President</w:t>
            </w:r>
          </w:p>
          <w:p w14:paraId="231ABA73" w14:textId="77777777" w:rsidR="001B109C" w:rsidRPr="00E169EE" w:rsidRDefault="001B109C">
            <w:pPr>
              <w:spacing w:after="0"/>
              <w:rPr>
                <w:rFonts w:cstheme="minorHAnsi"/>
              </w:rPr>
            </w:pPr>
            <w:r w:rsidRPr="00E169EE">
              <w:rPr>
                <w:rFonts w:cstheme="minorHAnsi"/>
              </w:rPr>
              <w:t>Position</w:t>
            </w:r>
          </w:p>
          <w:p w14:paraId="536F9855" w14:textId="77777777" w:rsidR="001B109C" w:rsidRPr="00E169EE" w:rsidRDefault="001B109C">
            <w:pPr>
              <w:spacing w:after="0"/>
              <w:rPr>
                <w:rFonts w:cstheme="minorHAnsi"/>
              </w:rPr>
            </w:pPr>
          </w:p>
        </w:tc>
        <w:tc>
          <w:tcPr>
            <w:tcW w:w="4508" w:type="dxa"/>
          </w:tcPr>
          <w:p w14:paraId="7B33C473" w14:textId="6E41C1BE" w:rsidR="001B109C" w:rsidRPr="002F4604" w:rsidRDefault="00A1454D">
            <w:pPr>
              <w:pBdr>
                <w:bottom w:val="single" w:sz="12" w:space="1" w:color="auto"/>
              </w:pBdr>
              <w:spacing w:after="0"/>
              <w:rPr>
                <w:rFonts w:cstheme="minorHAnsi"/>
                <w:b/>
                <w:bCs/>
              </w:rPr>
            </w:pPr>
            <w:r>
              <w:rPr>
                <w:rFonts w:cstheme="minorHAnsi"/>
                <w:b/>
                <w:bCs/>
              </w:rPr>
              <w:t>Head of Government Relations</w:t>
            </w:r>
          </w:p>
          <w:p w14:paraId="0C046C3D" w14:textId="77777777" w:rsidR="001B109C" w:rsidRPr="002F4604" w:rsidRDefault="001B109C">
            <w:pPr>
              <w:spacing w:after="0"/>
              <w:rPr>
                <w:rFonts w:cstheme="minorHAnsi"/>
              </w:rPr>
            </w:pPr>
            <w:r w:rsidRPr="002F4604">
              <w:rPr>
                <w:rFonts w:cstheme="minorHAnsi"/>
              </w:rPr>
              <w:t>Position or profession of witness (please print)</w:t>
            </w:r>
          </w:p>
        </w:tc>
      </w:tr>
      <w:tr w:rsidR="001B109C" w:rsidRPr="00E169EE" w14:paraId="51440CFB" w14:textId="77777777">
        <w:trPr>
          <w:trHeight w:val="80"/>
        </w:trPr>
        <w:tc>
          <w:tcPr>
            <w:tcW w:w="4508" w:type="dxa"/>
          </w:tcPr>
          <w:p w14:paraId="7583F948" w14:textId="76402D4D" w:rsidR="001B109C" w:rsidRPr="00E169EE" w:rsidRDefault="00A1454D">
            <w:pPr>
              <w:pBdr>
                <w:bottom w:val="single" w:sz="12" w:space="1" w:color="auto"/>
              </w:pBdr>
              <w:spacing w:after="0"/>
              <w:rPr>
                <w:rFonts w:cstheme="minorHAnsi"/>
                <w:b/>
                <w:bCs/>
              </w:rPr>
            </w:pPr>
            <w:r>
              <w:rPr>
                <w:rFonts w:cstheme="minorHAnsi"/>
                <w:b/>
                <w:bCs/>
              </w:rPr>
              <w:t>Alex Zelinsky AO reviewed and approved signature of this document on 11/11/2025</w:t>
            </w:r>
          </w:p>
          <w:p w14:paraId="62FF4341" w14:textId="77777777" w:rsidR="001B109C" w:rsidRPr="00E169EE" w:rsidRDefault="001B109C">
            <w:pPr>
              <w:spacing w:after="0"/>
              <w:rPr>
                <w:rFonts w:cstheme="minorHAnsi"/>
              </w:rPr>
            </w:pPr>
            <w:r w:rsidRPr="00E169EE">
              <w:rPr>
                <w:rFonts w:cstheme="minorHAnsi"/>
              </w:rPr>
              <w:t>Signature</w:t>
            </w:r>
          </w:p>
        </w:tc>
        <w:tc>
          <w:tcPr>
            <w:tcW w:w="4508" w:type="dxa"/>
          </w:tcPr>
          <w:p w14:paraId="32283330" w14:textId="77777777" w:rsidR="00A1454D" w:rsidRDefault="00A1454D">
            <w:pPr>
              <w:pBdr>
                <w:bottom w:val="single" w:sz="12" w:space="1" w:color="auto"/>
              </w:pBdr>
              <w:spacing w:after="0"/>
              <w:rPr>
                <w:rFonts w:cstheme="minorHAnsi"/>
                <w:b/>
                <w:bCs/>
              </w:rPr>
            </w:pPr>
          </w:p>
          <w:p w14:paraId="75C3F771" w14:textId="13D25939" w:rsidR="001B109C" w:rsidRPr="002F4604" w:rsidRDefault="00A1454D">
            <w:pPr>
              <w:pBdr>
                <w:bottom w:val="single" w:sz="12" w:space="1" w:color="auto"/>
              </w:pBdr>
              <w:spacing w:after="0"/>
              <w:rPr>
                <w:rFonts w:cstheme="minorHAnsi"/>
                <w:b/>
                <w:bCs/>
              </w:rPr>
            </w:pPr>
            <w:r>
              <w:rPr>
                <w:rFonts w:cstheme="minorHAnsi"/>
                <w:b/>
                <w:bCs/>
              </w:rPr>
              <w:t>Fiona Bastian witnessed approval and signature 11/11/2025</w:t>
            </w:r>
          </w:p>
          <w:p w14:paraId="79F89A4A" w14:textId="77777777" w:rsidR="001B109C" w:rsidRPr="002F4604" w:rsidRDefault="001B109C">
            <w:pPr>
              <w:spacing w:after="0"/>
              <w:rPr>
                <w:rFonts w:cstheme="minorHAnsi"/>
              </w:rPr>
            </w:pPr>
            <w:r w:rsidRPr="002F4604">
              <w:rPr>
                <w:rFonts w:cstheme="minorHAnsi"/>
              </w:rPr>
              <w:t>Signature</w:t>
            </w:r>
          </w:p>
        </w:tc>
      </w:tr>
    </w:tbl>
    <w:p w14:paraId="3AB2DC04" w14:textId="77777777" w:rsidR="001B109C" w:rsidRPr="00285733" w:rsidRDefault="001B109C" w:rsidP="001B109C"/>
    <w:p w14:paraId="7F0711AD" w14:textId="77777777" w:rsidR="001B109C" w:rsidRPr="001B109C" w:rsidRDefault="001B109C" w:rsidP="001B109C">
      <w:pPr>
        <w:pStyle w:val="NormalIndent"/>
        <w:spacing w:line="240" w:lineRule="auto"/>
        <w:ind w:left="0"/>
        <w:rPr>
          <w:rFonts w:asciiTheme="minorHAnsi" w:hAnsiTheme="minorHAnsi" w:cstheme="minorHAnsi"/>
          <w:szCs w:val="22"/>
        </w:rPr>
      </w:pPr>
    </w:p>
    <w:sectPr w:rsidR="001B109C" w:rsidRPr="001B109C" w:rsidSect="00D86284">
      <w:footerReference w:type="default" r:id="rId25"/>
      <w:footerReference w:type="first" r:id="rId26"/>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4197A" w14:textId="77777777" w:rsidR="00981EE1" w:rsidRDefault="00981EE1" w:rsidP="000A6228">
      <w:pPr>
        <w:spacing w:after="0" w:line="240" w:lineRule="auto"/>
      </w:pPr>
      <w:r>
        <w:separator/>
      </w:r>
    </w:p>
  </w:endnote>
  <w:endnote w:type="continuationSeparator" w:id="0">
    <w:p w14:paraId="260CEF63" w14:textId="77777777" w:rsidR="00981EE1" w:rsidRDefault="00981EE1" w:rsidP="000A6228">
      <w:pPr>
        <w:spacing w:after="0" w:line="240" w:lineRule="auto"/>
      </w:pPr>
      <w:r>
        <w:continuationSeparator/>
      </w:r>
    </w:p>
  </w:endnote>
  <w:endnote w:type="continuationNotice" w:id="1">
    <w:p w14:paraId="49FD967A" w14:textId="77777777" w:rsidR="00981EE1" w:rsidRDefault="00981E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355807"/>
      <w:docPartObj>
        <w:docPartGallery w:val="Page Numbers (Bottom of Page)"/>
        <w:docPartUnique/>
      </w:docPartObj>
    </w:sdtPr>
    <w:sdtEndPr>
      <w:rPr>
        <w:color w:val="7F7F7F" w:themeColor="background1" w:themeShade="7F"/>
        <w:spacing w:val="60"/>
      </w:rPr>
    </w:sdtEndPr>
    <w:sdtContent>
      <w:p w14:paraId="262C5743" w14:textId="50E924DF"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C304C76" w14:textId="745619E5" w:rsidR="00D86284" w:rsidRDefault="00D86284">
    <w:pPr>
      <w:pStyle w:val="Footer"/>
    </w:pPr>
  </w:p>
  <w:p w14:paraId="53B95D11" w14:textId="77777777" w:rsidR="006C1BBB" w:rsidRDefault="006C1B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140194"/>
      <w:docPartObj>
        <w:docPartGallery w:val="Page Numbers (Bottom of Page)"/>
        <w:docPartUnique/>
      </w:docPartObj>
    </w:sdtPr>
    <w:sdtEndPr>
      <w:rPr>
        <w:color w:val="7F7F7F" w:themeColor="background1" w:themeShade="7F"/>
        <w:spacing w:val="60"/>
      </w:rPr>
    </w:sdtEndPr>
    <w:sdtContent>
      <w:p w14:paraId="3276C45E" w14:textId="50C78817"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02FC99A" w14:textId="77777777" w:rsidR="0029618B" w:rsidRDefault="00296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E95B7" w14:textId="77777777" w:rsidR="00981EE1" w:rsidRDefault="00981EE1" w:rsidP="000A6228">
      <w:pPr>
        <w:spacing w:after="0" w:line="240" w:lineRule="auto"/>
      </w:pPr>
      <w:r>
        <w:separator/>
      </w:r>
    </w:p>
  </w:footnote>
  <w:footnote w:type="continuationSeparator" w:id="0">
    <w:p w14:paraId="5A184633" w14:textId="77777777" w:rsidR="00981EE1" w:rsidRDefault="00981EE1" w:rsidP="000A6228">
      <w:pPr>
        <w:spacing w:after="0" w:line="240" w:lineRule="auto"/>
      </w:pPr>
      <w:r>
        <w:continuationSeparator/>
      </w:r>
    </w:p>
  </w:footnote>
  <w:footnote w:type="continuationNotice" w:id="1">
    <w:p w14:paraId="636FF09B" w14:textId="77777777" w:rsidR="00981EE1" w:rsidRDefault="00981EE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 w15:restartNumberingAfterBreak="0">
    <w:nsid w:val="11581779"/>
    <w:multiLevelType w:val="hybridMultilevel"/>
    <w:tmpl w:val="7A941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DA334A9"/>
    <w:multiLevelType w:val="hybridMultilevel"/>
    <w:tmpl w:val="D01C5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B22E3D"/>
    <w:multiLevelType w:val="multilevel"/>
    <w:tmpl w:val="43020F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7A12A6"/>
    <w:multiLevelType w:val="hybridMultilevel"/>
    <w:tmpl w:val="93D6F154"/>
    <w:lvl w:ilvl="0" w:tplc="AE3E0C16">
      <w:start w:val="1"/>
      <w:numFmt w:val="bullet"/>
      <w:lvlText w:val="·"/>
      <w:lvlJc w:val="left"/>
      <w:pPr>
        <w:ind w:left="720" w:hanging="360"/>
      </w:pPr>
      <w:rPr>
        <w:rFonts w:ascii="Symbol" w:hAnsi="Symbol" w:hint="default"/>
      </w:rPr>
    </w:lvl>
    <w:lvl w:ilvl="1" w:tplc="01569596">
      <w:start w:val="1"/>
      <w:numFmt w:val="bullet"/>
      <w:lvlText w:val="o"/>
      <w:lvlJc w:val="left"/>
      <w:pPr>
        <w:ind w:left="1440" w:hanging="360"/>
      </w:pPr>
      <w:rPr>
        <w:rFonts w:ascii="Courier New" w:hAnsi="Courier New" w:hint="default"/>
      </w:rPr>
    </w:lvl>
    <w:lvl w:ilvl="2" w:tplc="1082C99C">
      <w:start w:val="1"/>
      <w:numFmt w:val="bullet"/>
      <w:lvlText w:val=""/>
      <w:lvlJc w:val="left"/>
      <w:pPr>
        <w:ind w:left="2160" w:hanging="360"/>
      </w:pPr>
      <w:rPr>
        <w:rFonts w:ascii="Wingdings" w:hAnsi="Wingdings" w:hint="default"/>
      </w:rPr>
    </w:lvl>
    <w:lvl w:ilvl="3" w:tplc="F91408BE">
      <w:start w:val="1"/>
      <w:numFmt w:val="bullet"/>
      <w:lvlText w:val=""/>
      <w:lvlJc w:val="left"/>
      <w:pPr>
        <w:ind w:left="2880" w:hanging="360"/>
      </w:pPr>
      <w:rPr>
        <w:rFonts w:ascii="Symbol" w:hAnsi="Symbol" w:hint="default"/>
      </w:rPr>
    </w:lvl>
    <w:lvl w:ilvl="4" w:tplc="CB1EB0F8">
      <w:start w:val="1"/>
      <w:numFmt w:val="bullet"/>
      <w:lvlText w:val="o"/>
      <w:lvlJc w:val="left"/>
      <w:pPr>
        <w:ind w:left="3600" w:hanging="360"/>
      </w:pPr>
      <w:rPr>
        <w:rFonts w:ascii="Courier New" w:hAnsi="Courier New" w:hint="default"/>
      </w:rPr>
    </w:lvl>
    <w:lvl w:ilvl="5" w:tplc="AF828B62">
      <w:start w:val="1"/>
      <w:numFmt w:val="bullet"/>
      <w:lvlText w:val=""/>
      <w:lvlJc w:val="left"/>
      <w:pPr>
        <w:ind w:left="4320" w:hanging="360"/>
      </w:pPr>
      <w:rPr>
        <w:rFonts w:ascii="Wingdings" w:hAnsi="Wingdings" w:hint="default"/>
      </w:rPr>
    </w:lvl>
    <w:lvl w:ilvl="6" w:tplc="BABC7110">
      <w:start w:val="1"/>
      <w:numFmt w:val="bullet"/>
      <w:lvlText w:val=""/>
      <w:lvlJc w:val="left"/>
      <w:pPr>
        <w:ind w:left="5040" w:hanging="360"/>
      </w:pPr>
      <w:rPr>
        <w:rFonts w:ascii="Symbol" w:hAnsi="Symbol" w:hint="default"/>
      </w:rPr>
    </w:lvl>
    <w:lvl w:ilvl="7" w:tplc="00FC23CC">
      <w:start w:val="1"/>
      <w:numFmt w:val="bullet"/>
      <w:lvlText w:val="o"/>
      <w:lvlJc w:val="left"/>
      <w:pPr>
        <w:ind w:left="5760" w:hanging="360"/>
      </w:pPr>
      <w:rPr>
        <w:rFonts w:ascii="Courier New" w:hAnsi="Courier New" w:hint="default"/>
      </w:rPr>
    </w:lvl>
    <w:lvl w:ilvl="8" w:tplc="93E2B6E4">
      <w:start w:val="1"/>
      <w:numFmt w:val="bullet"/>
      <w:lvlText w:val=""/>
      <w:lvlJc w:val="left"/>
      <w:pPr>
        <w:ind w:left="6480" w:hanging="360"/>
      </w:pPr>
      <w:rPr>
        <w:rFonts w:ascii="Wingdings" w:hAnsi="Wingdings" w:hint="default"/>
      </w:rPr>
    </w:lvl>
  </w:abstractNum>
  <w:abstractNum w:abstractNumId="7" w15:restartNumberingAfterBreak="0">
    <w:nsid w:val="2B9E0719"/>
    <w:multiLevelType w:val="hybridMultilevel"/>
    <w:tmpl w:val="04CC7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A40CA0"/>
    <w:multiLevelType w:val="hybridMultilevel"/>
    <w:tmpl w:val="1B969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CA6FFA"/>
    <w:multiLevelType w:val="hybridMultilevel"/>
    <w:tmpl w:val="25B62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5A3400A"/>
    <w:multiLevelType w:val="hybridMultilevel"/>
    <w:tmpl w:val="13B8D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244229"/>
    <w:multiLevelType w:val="hybridMultilevel"/>
    <w:tmpl w:val="DD2EC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A65185"/>
    <w:multiLevelType w:val="hybridMultilevel"/>
    <w:tmpl w:val="5790AC5C"/>
    <w:lvl w:ilvl="0" w:tplc="FE64DCF0">
      <w:numFmt w:val="bullet"/>
      <w:lvlText w:val="-"/>
      <w:lvlJc w:val="left"/>
      <w:pPr>
        <w:ind w:left="1314" w:hanging="360"/>
      </w:pPr>
      <w:rPr>
        <w:rFonts w:ascii="Calibri" w:eastAsiaTheme="minorHAnsi" w:hAnsi="Calibri" w:cs="Calibri" w:hint="default"/>
      </w:rPr>
    </w:lvl>
    <w:lvl w:ilvl="1" w:tplc="0C090003" w:tentative="1">
      <w:start w:val="1"/>
      <w:numFmt w:val="bullet"/>
      <w:lvlText w:val="o"/>
      <w:lvlJc w:val="left"/>
      <w:pPr>
        <w:ind w:left="2034" w:hanging="360"/>
      </w:pPr>
      <w:rPr>
        <w:rFonts w:ascii="Courier New" w:hAnsi="Courier New" w:cs="Courier New" w:hint="default"/>
      </w:rPr>
    </w:lvl>
    <w:lvl w:ilvl="2" w:tplc="0C090005" w:tentative="1">
      <w:start w:val="1"/>
      <w:numFmt w:val="bullet"/>
      <w:lvlText w:val=""/>
      <w:lvlJc w:val="left"/>
      <w:pPr>
        <w:ind w:left="2754" w:hanging="360"/>
      </w:pPr>
      <w:rPr>
        <w:rFonts w:ascii="Wingdings" w:hAnsi="Wingdings" w:hint="default"/>
      </w:rPr>
    </w:lvl>
    <w:lvl w:ilvl="3" w:tplc="0C090001" w:tentative="1">
      <w:start w:val="1"/>
      <w:numFmt w:val="bullet"/>
      <w:lvlText w:val=""/>
      <w:lvlJc w:val="left"/>
      <w:pPr>
        <w:ind w:left="3474" w:hanging="360"/>
      </w:pPr>
      <w:rPr>
        <w:rFonts w:ascii="Symbol" w:hAnsi="Symbol" w:hint="default"/>
      </w:rPr>
    </w:lvl>
    <w:lvl w:ilvl="4" w:tplc="0C090003" w:tentative="1">
      <w:start w:val="1"/>
      <w:numFmt w:val="bullet"/>
      <w:lvlText w:val="o"/>
      <w:lvlJc w:val="left"/>
      <w:pPr>
        <w:ind w:left="4194" w:hanging="360"/>
      </w:pPr>
      <w:rPr>
        <w:rFonts w:ascii="Courier New" w:hAnsi="Courier New" w:cs="Courier New" w:hint="default"/>
      </w:rPr>
    </w:lvl>
    <w:lvl w:ilvl="5" w:tplc="0C090005" w:tentative="1">
      <w:start w:val="1"/>
      <w:numFmt w:val="bullet"/>
      <w:lvlText w:val=""/>
      <w:lvlJc w:val="left"/>
      <w:pPr>
        <w:ind w:left="4914" w:hanging="360"/>
      </w:pPr>
      <w:rPr>
        <w:rFonts w:ascii="Wingdings" w:hAnsi="Wingdings" w:hint="default"/>
      </w:rPr>
    </w:lvl>
    <w:lvl w:ilvl="6" w:tplc="0C090001" w:tentative="1">
      <w:start w:val="1"/>
      <w:numFmt w:val="bullet"/>
      <w:lvlText w:val=""/>
      <w:lvlJc w:val="left"/>
      <w:pPr>
        <w:ind w:left="5634" w:hanging="360"/>
      </w:pPr>
      <w:rPr>
        <w:rFonts w:ascii="Symbol" w:hAnsi="Symbol" w:hint="default"/>
      </w:rPr>
    </w:lvl>
    <w:lvl w:ilvl="7" w:tplc="0C090003" w:tentative="1">
      <w:start w:val="1"/>
      <w:numFmt w:val="bullet"/>
      <w:lvlText w:val="o"/>
      <w:lvlJc w:val="left"/>
      <w:pPr>
        <w:ind w:left="6354" w:hanging="360"/>
      </w:pPr>
      <w:rPr>
        <w:rFonts w:ascii="Courier New" w:hAnsi="Courier New" w:cs="Courier New" w:hint="default"/>
      </w:rPr>
    </w:lvl>
    <w:lvl w:ilvl="8" w:tplc="0C090005" w:tentative="1">
      <w:start w:val="1"/>
      <w:numFmt w:val="bullet"/>
      <w:lvlText w:val=""/>
      <w:lvlJc w:val="left"/>
      <w:pPr>
        <w:ind w:left="7074" w:hanging="360"/>
      </w:pPr>
      <w:rPr>
        <w:rFonts w:ascii="Wingdings" w:hAnsi="Wingdings" w:hint="default"/>
      </w:rPr>
    </w:lvl>
  </w:abstractNum>
  <w:abstractNum w:abstractNumId="15" w15:restartNumberingAfterBreak="0">
    <w:nsid w:val="4FFE7D71"/>
    <w:multiLevelType w:val="hybridMultilevel"/>
    <w:tmpl w:val="CEEE1A26"/>
    <w:lvl w:ilvl="0" w:tplc="61FC7D22">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C120D0"/>
    <w:multiLevelType w:val="hybridMultilevel"/>
    <w:tmpl w:val="EFBE0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5957C6"/>
    <w:multiLevelType w:val="hybridMultilevel"/>
    <w:tmpl w:val="3746F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BA84D75"/>
    <w:multiLevelType w:val="hybridMultilevel"/>
    <w:tmpl w:val="A334A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527330621">
    <w:abstractNumId w:val="6"/>
  </w:num>
  <w:num w:numId="2" w16cid:durableId="579560429">
    <w:abstractNumId w:val="3"/>
  </w:num>
  <w:num w:numId="3" w16cid:durableId="861433996">
    <w:abstractNumId w:val="8"/>
  </w:num>
  <w:num w:numId="4" w16cid:durableId="1266572246">
    <w:abstractNumId w:val="1"/>
  </w:num>
  <w:num w:numId="5" w16cid:durableId="1172835113">
    <w:abstractNumId w:val="20"/>
  </w:num>
  <w:num w:numId="6" w16cid:durableId="271010807">
    <w:abstractNumId w:val="16"/>
  </w:num>
  <w:num w:numId="7" w16cid:durableId="515850903">
    <w:abstractNumId w:val="5"/>
  </w:num>
  <w:num w:numId="8" w16cid:durableId="1297485529">
    <w:abstractNumId w:val="15"/>
  </w:num>
  <w:num w:numId="9" w16cid:durableId="1931808903">
    <w:abstractNumId w:val="14"/>
  </w:num>
  <w:num w:numId="10" w16cid:durableId="1471553562">
    <w:abstractNumId w:val="12"/>
  </w:num>
  <w:num w:numId="11" w16cid:durableId="46997473">
    <w:abstractNumId w:val="9"/>
  </w:num>
  <w:num w:numId="12" w16cid:durableId="792672884">
    <w:abstractNumId w:val="10"/>
  </w:num>
  <w:num w:numId="13" w16cid:durableId="1111441125">
    <w:abstractNumId w:val="4"/>
  </w:num>
  <w:num w:numId="14" w16cid:durableId="103232299">
    <w:abstractNumId w:val="13"/>
  </w:num>
  <w:num w:numId="15" w16cid:durableId="1575241164">
    <w:abstractNumId w:val="17"/>
  </w:num>
  <w:num w:numId="16" w16cid:durableId="1793358308">
    <w:abstractNumId w:val="19"/>
  </w:num>
  <w:num w:numId="17" w16cid:durableId="160392832">
    <w:abstractNumId w:val="2"/>
  </w:num>
  <w:num w:numId="18" w16cid:durableId="1189372938">
    <w:abstractNumId w:val="7"/>
  </w:num>
  <w:num w:numId="19" w16cid:durableId="472604340">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00EB"/>
    <w:rsid w:val="00012366"/>
    <w:rsid w:val="00021FBE"/>
    <w:rsid w:val="00037518"/>
    <w:rsid w:val="00045E1D"/>
    <w:rsid w:val="000521D7"/>
    <w:rsid w:val="000960CF"/>
    <w:rsid w:val="00096FC2"/>
    <w:rsid w:val="000A0B58"/>
    <w:rsid w:val="000A3A19"/>
    <w:rsid w:val="000A6228"/>
    <w:rsid w:val="000B5D40"/>
    <w:rsid w:val="000B7EC6"/>
    <w:rsid w:val="00107D87"/>
    <w:rsid w:val="00107DD5"/>
    <w:rsid w:val="001169C8"/>
    <w:rsid w:val="00117F05"/>
    <w:rsid w:val="001217BB"/>
    <w:rsid w:val="0012343A"/>
    <w:rsid w:val="00133B8D"/>
    <w:rsid w:val="0013611E"/>
    <w:rsid w:val="00136406"/>
    <w:rsid w:val="001515BF"/>
    <w:rsid w:val="0015549C"/>
    <w:rsid w:val="00164367"/>
    <w:rsid w:val="0017134D"/>
    <w:rsid w:val="00180218"/>
    <w:rsid w:val="00196CDA"/>
    <w:rsid w:val="001B109C"/>
    <w:rsid w:val="001B231A"/>
    <w:rsid w:val="001B62DC"/>
    <w:rsid w:val="001C1523"/>
    <w:rsid w:val="001D7483"/>
    <w:rsid w:val="001E3BF1"/>
    <w:rsid w:val="001E6DBC"/>
    <w:rsid w:val="001F1D91"/>
    <w:rsid w:val="001F3054"/>
    <w:rsid w:val="00217414"/>
    <w:rsid w:val="00221D72"/>
    <w:rsid w:val="00221D8F"/>
    <w:rsid w:val="00223A92"/>
    <w:rsid w:val="002272DB"/>
    <w:rsid w:val="002332CB"/>
    <w:rsid w:val="00234150"/>
    <w:rsid w:val="00235752"/>
    <w:rsid w:val="00241CF3"/>
    <w:rsid w:val="00252550"/>
    <w:rsid w:val="00270B26"/>
    <w:rsid w:val="00276047"/>
    <w:rsid w:val="002775F3"/>
    <w:rsid w:val="002863E5"/>
    <w:rsid w:val="00294BBB"/>
    <w:rsid w:val="0029618B"/>
    <w:rsid w:val="002A31A2"/>
    <w:rsid w:val="002A4458"/>
    <w:rsid w:val="002C1F0F"/>
    <w:rsid w:val="002C7F91"/>
    <w:rsid w:val="002D00E0"/>
    <w:rsid w:val="002D3EFA"/>
    <w:rsid w:val="002D589A"/>
    <w:rsid w:val="002E08FC"/>
    <w:rsid w:val="002E491A"/>
    <w:rsid w:val="002F0826"/>
    <w:rsid w:val="002F4604"/>
    <w:rsid w:val="002F610C"/>
    <w:rsid w:val="00304890"/>
    <w:rsid w:val="00383CFB"/>
    <w:rsid w:val="003B62C7"/>
    <w:rsid w:val="003C18FE"/>
    <w:rsid w:val="003D3516"/>
    <w:rsid w:val="0040155D"/>
    <w:rsid w:val="00411600"/>
    <w:rsid w:val="0041713E"/>
    <w:rsid w:val="00421D3F"/>
    <w:rsid w:val="00423785"/>
    <w:rsid w:val="0042692C"/>
    <w:rsid w:val="00452D26"/>
    <w:rsid w:val="00462848"/>
    <w:rsid w:val="00463568"/>
    <w:rsid w:val="004930CC"/>
    <w:rsid w:val="0049333E"/>
    <w:rsid w:val="00497FD4"/>
    <w:rsid w:val="004A06CD"/>
    <w:rsid w:val="004A4B6F"/>
    <w:rsid w:val="004A4CF9"/>
    <w:rsid w:val="004B1234"/>
    <w:rsid w:val="004D2965"/>
    <w:rsid w:val="004D2D9D"/>
    <w:rsid w:val="004E6C1C"/>
    <w:rsid w:val="0050799F"/>
    <w:rsid w:val="00520BA6"/>
    <w:rsid w:val="00541139"/>
    <w:rsid w:val="00544E37"/>
    <w:rsid w:val="00547FB7"/>
    <w:rsid w:val="0055317C"/>
    <w:rsid w:val="0057028F"/>
    <w:rsid w:val="00591F57"/>
    <w:rsid w:val="005A75C9"/>
    <w:rsid w:val="005B187D"/>
    <w:rsid w:val="005F015E"/>
    <w:rsid w:val="005F35D6"/>
    <w:rsid w:val="005F3CCD"/>
    <w:rsid w:val="005F4F77"/>
    <w:rsid w:val="006232DC"/>
    <w:rsid w:val="00623A59"/>
    <w:rsid w:val="0063094F"/>
    <w:rsid w:val="00631E39"/>
    <w:rsid w:val="0063490C"/>
    <w:rsid w:val="00636379"/>
    <w:rsid w:val="00693239"/>
    <w:rsid w:val="006943CE"/>
    <w:rsid w:val="006A4CEB"/>
    <w:rsid w:val="006B079E"/>
    <w:rsid w:val="006B2B77"/>
    <w:rsid w:val="006C1BBB"/>
    <w:rsid w:val="006C5A5D"/>
    <w:rsid w:val="006C7347"/>
    <w:rsid w:val="006C79B9"/>
    <w:rsid w:val="006D67F3"/>
    <w:rsid w:val="006E6078"/>
    <w:rsid w:val="006F1FFF"/>
    <w:rsid w:val="006F2406"/>
    <w:rsid w:val="006F6D10"/>
    <w:rsid w:val="006F734B"/>
    <w:rsid w:val="00712B94"/>
    <w:rsid w:val="00717352"/>
    <w:rsid w:val="00724CAA"/>
    <w:rsid w:val="00737DF6"/>
    <w:rsid w:val="00743BA9"/>
    <w:rsid w:val="007517BA"/>
    <w:rsid w:val="0077589A"/>
    <w:rsid w:val="0077782B"/>
    <w:rsid w:val="00797439"/>
    <w:rsid w:val="007975AE"/>
    <w:rsid w:val="007A5607"/>
    <w:rsid w:val="007B2CA1"/>
    <w:rsid w:val="007D0ABC"/>
    <w:rsid w:val="007D5DC8"/>
    <w:rsid w:val="007E1D68"/>
    <w:rsid w:val="007E297A"/>
    <w:rsid w:val="00801763"/>
    <w:rsid w:val="008034C4"/>
    <w:rsid w:val="008042F5"/>
    <w:rsid w:val="00832FFD"/>
    <w:rsid w:val="0085610D"/>
    <w:rsid w:val="008613D5"/>
    <w:rsid w:val="0086428D"/>
    <w:rsid w:val="00886959"/>
    <w:rsid w:val="00893A34"/>
    <w:rsid w:val="00893AA3"/>
    <w:rsid w:val="008A36E1"/>
    <w:rsid w:val="008A37A7"/>
    <w:rsid w:val="008A7AB4"/>
    <w:rsid w:val="008B0736"/>
    <w:rsid w:val="008C1F5A"/>
    <w:rsid w:val="008D4FA9"/>
    <w:rsid w:val="00901444"/>
    <w:rsid w:val="00907EBF"/>
    <w:rsid w:val="00913D0F"/>
    <w:rsid w:val="00916B09"/>
    <w:rsid w:val="009354D0"/>
    <w:rsid w:val="00950B06"/>
    <w:rsid w:val="00955F39"/>
    <w:rsid w:val="00970069"/>
    <w:rsid w:val="009721EB"/>
    <w:rsid w:val="009741FE"/>
    <w:rsid w:val="009769D1"/>
    <w:rsid w:val="00980B05"/>
    <w:rsid w:val="00981EE1"/>
    <w:rsid w:val="00994D60"/>
    <w:rsid w:val="009A08CE"/>
    <w:rsid w:val="009A16B4"/>
    <w:rsid w:val="009B706E"/>
    <w:rsid w:val="009C1E72"/>
    <w:rsid w:val="009C3019"/>
    <w:rsid w:val="009C423A"/>
    <w:rsid w:val="009C423D"/>
    <w:rsid w:val="009C56A9"/>
    <w:rsid w:val="009E0EAE"/>
    <w:rsid w:val="009E42C5"/>
    <w:rsid w:val="009E79ED"/>
    <w:rsid w:val="00A07596"/>
    <w:rsid w:val="00A12966"/>
    <w:rsid w:val="00A1454D"/>
    <w:rsid w:val="00A17A08"/>
    <w:rsid w:val="00A17EF3"/>
    <w:rsid w:val="00A2072C"/>
    <w:rsid w:val="00A22B1B"/>
    <w:rsid w:val="00A314D3"/>
    <w:rsid w:val="00A34942"/>
    <w:rsid w:val="00A4328E"/>
    <w:rsid w:val="00A55511"/>
    <w:rsid w:val="00A60673"/>
    <w:rsid w:val="00A818DE"/>
    <w:rsid w:val="00A85B68"/>
    <w:rsid w:val="00AB2A61"/>
    <w:rsid w:val="00AB49C9"/>
    <w:rsid w:val="00AC0524"/>
    <w:rsid w:val="00AC1872"/>
    <w:rsid w:val="00AC21EE"/>
    <w:rsid w:val="00AD128B"/>
    <w:rsid w:val="00AD13D0"/>
    <w:rsid w:val="00AD631F"/>
    <w:rsid w:val="00AE21FF"/>
    <w:rsid w:val="00AE7032"/>
    <w:rsid w:val="00AF1F18"/>
    <w:rsid w:val="00AF77BD"/>
    <w:rsid w:val="00B04FA8"/>
    <w:rsid w:val="00B0726E"/>
    <w:rsid w:val="00B219D1"/>
    <w:rsid w:val="00B22DBD"/>
    <w:rsid w:val="00B26F5E"/>
    <w:rsid w:val="00B37F99"/>
    <w:rsid w:val="00B64B3D"/>
    <w:rsid w:val="00B6527F"/>
    <w:rsid w:val="00B71029"/>
    <w:rsid w:val="00B72125"/>
    <w:rsid w:val="00B74ACE"/>
    <w:rsid w:val="00B81FA4"/>
    <w:rsid w:val="00B8794C"/>
    <w:rsid w:val="00B95EF4"/>
    <w:rsid w:val="00B96983"/>
    <w:rsid w:val="00BB6509"/>
    <w:rsid w:val="00BC248C"/>
    <w:rsid w:val="00C01EC0"/>
    <w:rsid w:val="00C16622"/>
    <w:rsid w:val="00C1680B"/>
    <w:rsid w:val="00C212D2"/>
    <w:rsid w:val="00C2270F"/>
    <w:rsid w:val="00C244EE"/>
    <w:rsid w:val="00C319A4"/>
    <w:rsid w:val="00C32AE5"/>
    <w:rsid w:val="00C72224"/>
    <w:rsid w:val="00C75706"/>
    <w:rsid w:val="00CA4815"/>
    <w:rsid w:val="00CB561E"/>
    <w:rsid w:val="00CC1725"/>
    <w:rsid w:val="00CD1BA2"/>
    <w:rsid w:val="00CD3928"/>
    <w:rsid w:val="00CF3E5F"/>
    <w:rsid w:val="00CF6562"/>
    <w:rsid w:val="00D22F93"/>
    <w:rsid w:val="00D23ABC"/>
    <w:rsid w:val="00D436D1"/>
    <w:rsid w:val="00D5688A"/>
    <w:rsid w:val="00D65E8B"/>
    <w:rsid w:val="00D7558A"/>
    <w:rsid w:val="00D759B4"/>
    <w:rsid w:val="00D82BFE"/>
    <w:rsid w:val="00D86284"/>
    <w:rsid w:val="00D97135"/>
    <w:rsid w:val="00DA0A84"/>
    <w:rsid w:val="00DA4998"/>
    <w:rsid w:val="00DA755C"/>
    <w:rsid w:val="00DB2992"/>
    <w:rsid w:val="00DC5980"/>
    <w:rsid w:val="00DD2B46"/>
    <w:rsid w:val="00DD3400"/>
    <w:rsid w:val="00DD3642"/>
    <w:rsid w:val="00DF33D2"/>
    <w:rsid w:val="00DF3F63"/>
    <w:rsid w:val="00E05C70"/>
    <w:rsid w:val="00E06ED6"/>
    <w:rsid w:val="00E0752E"/>
    <w:rsid w:val="00E114B4"/>
    <w:rsid w:val="00E30B4D"/>
    <w:rsid w:val="00E356FB"/>
    <w:rsid w:val="00E529E5"/>
    <w:rsid w:val="00E55C8C"/>
    <w:rsid w:val="00EB4C2F"/>
    <w:rsid w:val="00ED0DDF"/>
    <w:rsid w:val="00ED1BBC"/>
    <w:rsid w:val="00EE2E52"/>
    <w:rsid w:val="00EE2E6D"/>
    <w:rsid w:val="00EF5C61"/>
    <w:rsid w:val="00F021A1"/>
    <w:rsid w:val="00F07246"/>
    <w:rsid w:val="00F1000D"/>
    <w:rsid w:val="00F11041"/>
    <w:rsid w:val="00F22E6C"/>
    <w:rsid w:val="00F30BFA"/>
    <w:rsid w:val="00F311A4"/>
    <w:rsid w:val="00F34667"/>
    <w:rsid w:val="00F57FBA"/>
    <w:rsid w:val="00F60B66"/>
    <w:rsid w:val="00F61F8D"/>
    <w:rsid w:val="00F70B68"/>
    <w:rsid w:val="00F751D1"/>
    <w:rsid w:val="00F82C2C"/>
    <w:rsid w:val="00F84E9E"/>
    <w:rsid w:val="00F85913"/>
    <w:rsid w:val="00F92334"/>
    <w:rsid w:val="00F92563"/>
    <w:rsid w:val="00F93DBC"/>
    <w:rsid w:val="00FA50FE"/>
    <w:rsid w:val="00FA7392"/>
    <w:rsid w:val="00FA78D6"/>
    <w:rsid w:val="00FB115F"/>
    <w:rsid w:val="00FC2B31"/>
    <w:rsid w:val="00FD1992"/>
    <w:rsid w:val="00FD4D6E"/>
    <w:rsid w:val="00FD6383"/>
    <w:rsid w:val="00FD7A94"/>
    <w:rsid w:val="00FF5BC8"/>
    <w:rsid w:val="03C6A346"/>
    <w:rsid w:val="0C4F10B2"/>
    <w:rsid w:val="0E5BE47C"/>
    <w:rsid w:val="1006E99F"/>
    <w:rsid w:val="1068C4B9"/>
    <w:rsid w:val="147961AA"/>
    <w:rsid w:val="1B149642"/>
    <w:rsid w:val="1FAE29AE"/>
    <w:rsid w:val="213E84BF"/>
    <w:rsid w:val="2DC11844"/>
    <w:rsid w:val="325D7435"/>
    <w:rsid w:val="348C05D1"/>
    <w:rsid w:val="37E4B114"/>
    <w:rsid w:val="397132BD"/>
    <w:rsid w:val="40BEA705"/>
    <w:rsid w:val="42A5959D"/>
    <w:rsid w:val="465A7C8D"/>
    <w:rsid w:val="47A3D1BE"/>
    <w:rsid w:val="4921D90C"/>
    <w:rsid w:val="4CDA4E00"/>
    <w:rsid w:val="4EE89A77"/>
    <w:rsid w:val="4F86767D"/>
    <w:rsid w:val="4FCD3035"/>
    <w:rsid w:val="5B8F8B4E"/>
    <w:rsid w:val="5ED4F241"/>
    <w:rsid w:val="62E47E4A"/>
    <w:rsid w:val="6327E308"/>
    <w:rsid w:val="676A4D6E"/>
    <w:rsid w:val="679A235D"/>
    <w:rsid w:val="6DCF43EC"/>
    <w:rsid w:val="72E6F95D"/>
    <w:rsid w:val="7345A0AE"/>
    <w:rsid w:val="76343DAA"/>
    <w:rsid w:val="79644E9C"/>
    <w:rsid w:val="7BD8F5CC"/>
    <w:rsid w:val="7F2CA6B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B3C73FD9-609E-46D1-99B7-95CDF91E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AC21EE"/>
    <w:pPr>
      <w:keepNext/>
      <w:keepLines/>
      <w:spacing w:before="72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AC21EE"/>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6"/>
      </w:numPr>
      <w:spacing w:after="200"/>
      <w:contextualSpacing/>
    </w:pPr>
  </w:style>
  <w:style w:type="paragraph" w:styleId="List2">
    <w:name w:val="List 2"/>
    <w:basedOn w:val="Normal"/>
    <w:uiPriority w:val="98"/>
    <w:qFormat/>
    <w:rsid w:val="00F85913"/>
    <w:pPr>
      <w:numPr>
        <w:ilvl w:val="1"/>
        <w:numId w:val="6"/>
      </w:numPr>
      <w:spacing w:after="200"/>
      <w:contextualSpacing/>
    </w:pPr>
  </w:style>
  <w:style w:type="paragraph" w:styleId="List3">
    <w:name w:val="List 3"/>
    <w:basedOn w:val="Normal"/>
    <w:uiPriority w:val="98"/>
    <w:qFormat/>
    <w:rsid w:val="00BC248C"/>
    <w:pPr>
      <w:numPr>
        <w:ilvl w:val="2"/>
        <w:numId w:val="6"/>
      </w:numPr>
      <w:spacing w:after="200"/>
      <w:contextualSpacing/>
    </w:pPr>
  </w:style>
  <w:style w:type="paragraph" w:styleId="List4">
    <w:name w:val="List 4"/>
    <w:basedOn w:val="Normal"/>
    <w:uiPriority w:val="98"/>
    <w:qFormat/>
    <w:rsid w:val="00BC248C"/>
    <w:pPr>
      <w:numPr>
        <w:ilvl w:val="3"/>
        <w:numId w:val="6"/>
      </w:numPr>
      <w:spacing w:after="200"/>
      <w:contextualSpacing/>
    </w:pPr>
  </w:style>
  <w:style w:type="paragraph" w:styleId="ListNumber">
    <w:name w:val="List Number"/>
    <w:basedOn w:val="Normal"/>
    <w:uiPriority w:val="98"/>
    <w:qFormat/>
    <w:rsid w:val="00276047"/>
    <w:pPr>
      <w:numPr>
        <w:numId w:val="3"/>
      </w:numPr>
      <w:spacing w:after="200"/>
      <w:contextualSpacing/>
    </w:pPr>
  </w:style>
  <w:style w:type="paragraph" w:styleId="ListNumber2">
    <w:name w:val="List Number 2"/>
    <w:basedOn w:val="Normal"/>
    <w:uiPriority w:val="98"/>
    <w:qFormat/>
    <w:rsid w:val="00276047"/>
    <w:pPr>
      <w:numPr>
        <w:ilvl w:val="1"/>
        <w:numId w:val="3"/>
      </w:numPr>
      <w:spacing w:after="200"/>
      <w:contextualSpacing/>
    </w:pPr>
  </w:style>
  <w:style w:type="paragraph" w:styleId="ListBullet3">
    <w:name w:val="List Bullet 3"/>
    <w:basedOn w:val="Normal"/>
    <w:uiPriority w:val="98"/>
    <w:qFormat/>
    <w:rsid w:val="008A36E1"/>
    <w:pPr>
      <w:numPr>
        <w:numId w:val="5"/>
      </w:numPr>
      <w:spacing w:after="200"/>
      <w:ind w:left="851" w:hanging="284"/>
      <w:contextualSpacing/>
    </w:pPr>
  </w:style>
  <w:style w:type="paragraph" w:styleId="ListNumber3">
    <w:name w:val="List Number 3"/>
    <w:basedOn w:val="Normal"/>
    <w:uiPriority w:val="98"/>
    <w:qFormat/>
    <w:rsid w:val="00950B06"/>
    <w:pPr>
      <w:numPr>
        <w:ilvl w:val="2"/>
        <w:numId w:val="3"/>
      </w:numPr>
      <w:spacing w:after="200"/>
      <w:contextualSpacing/>
    </w:pPr>
  </w:style>
  <w:style w:type="paragraph" w:styleId="ListNumber4">
    <w:name w:val="List Number 4"/>
    <w:basedOn w:val="Normal"/>
    <w:uiPriority w:val="98"/>
    <w:qFormat/>
    <w:rsid w:val="0012343A"/>
    <w:pPr>
      <w:numPr>
        <w:ilvl w:val="3"/>
        <w:numId w:val="3"/>
      </w:numPr>
      <w:spacing w:after="200"/>
      <w:contextualSpacing/>
    </w:pPr>
  </w:style>
  <w:style w:type="paragraph" w:styleId="ListBullet">
    <w:name w:val="List Bullet"/>
    <w:basedOn w:val="Normal"/>
    <w:uiPriority w:val="98"/>
    <w:qFormat/>
    <w:rsid w:val="008A36E1"/>
    <w:pPr>
      <w:numPr>
        <w:numId w:val="2"/>
      </w:numPr>
      <w:spacing w:after="200"/>
      <w:ind w:left="284" w:hanging="284"/>
      <w:contextualSpacing/>
    </w:pPr>
  </w:style>
  <w:style w:type="paragraph" w:styleId="ListBullet2">
    <w:name w:val="List Bullet 2"/>
    <w:basedOn w:val="Normal"/>
    <w:uiPriority w:val="98"/>
    <w:qFormat/>
    <w:rsid w:val="00C75706"/>
    <w:pPr>
      <w:numPr>
        <w:ilvl w:val="1"/>
        <w:numId w:val="2"/>
      </w:numPr>
      <w:spacing w:after="200"/>
      <w:ind w:left="568" w:hanging="284"/>
      <w:contextualSpacing/>
    </w:pPr>
  </w:style>
  <w:style w:type="paragraph" w:styleId="ListBullet4">
    <w:name w:val="List Bullet 4"/>
    <w:basedOn w:val="Normal"/>
    <w:uiPriority w:val="98"/>
    <w:qFormat/>
    <w:rsid w:val="00C75706"/>
    <w:pPr>
      <w:numPr>
        <w:numId w:val="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Indent">
    <w:name w:val="Normal Indent"/>
    <w:basedOn w:val="Normal"/>
    <w:link w:val="NormalIndentChar"/>
    <w:uiPriority w:val="99"/>
    <w:rsid w:val="001B109C"/>
    <w:pPr>
      <w:spacing w:before="120" w:after="120" w:line="220" w:lineRule="atLeast"/>
      <w:ind w:left="709"/>
    </w:pPr>
    <w:rPr>
      <w:rFonts w:ascii="Calibri" w:eastAsia="Times New Roman" w:hAnsi="Calibri" w:cs="Times New Roman"/>
      <w:szCs w:val="24"/>
      <w:lang w:eastAsia="en-AU"/>
    </w:rPr>
  </w:style>
  <w:style w:type="character" w:customStyle="1" w:styleId="NormalIndentChar">
    <w:name w:val="Normal Indent Char"/>
    <w:basedOn w:val="DefaultParagraphFont"/>
    <w:link w:val="NormalIndent"/>
    <w:uiPriority w:val="99"/>
    <w:locked/>
    <w:rsid w:val="001B109C"/>
    <w:rPr>
      <w:rFonts w:ascii="Calibri" w:eastAsia="Times New Roman" w:hAnsi="Calibri" w:cs="Times New Roman"/>
      <w:szCs w:val="24"/>
      <w:lang w:eastAsia="en-AU"/>
    </w:rPr>
  </w:style>
  <w:style w:type="character" w:styleId="Emphasis">
    <w:name w:val="Emphasis"/>
    <w:basedOn w:val="DefaultParagraphFont"/>
    <w:uiPriority w:val="99"/>
    <w:qFormat/>
    <w:rsid w:val="001B109C"/>
    <w:rPr>
      <w:rFonts w:ascii="Calibri" w:hAnsi="Calibri" w:cs="Times New Roman"/>
      <w:b w:val="0"/>
      <w:i/>
      <w:sz w:val="22"/>
    </w:rPr>
  </w:style>
  <w:style w:type="character" w:customStyle="1" w:styleId="normaltextrun">
    <w:name w:val="normaltextrun"/>
    <w:basedOn w:val="DefaultParagraphFont"/>
    <w:rsid w:val="001B109C"/>
  </w:style>
  <w:style w:type="paragraph" w:styleId="Revision">
    <w:name w:val="Revision"/>
    <w:hidden/>
    <w:uiPriority w:val="99"/>
    <w:semiHidden/>
    <w:rsid w:val="00FA7392"/>
    <w:pPr>
      <w:spacing w:after="0" w:line="240" w:lineRule="auto"/>
    </w:pPr>
  </w:style>
  <w:style w:type="character" w:styleId="CommentReference">
    <w:name w:val="annotation reference"/>
    <w:basedOn w:val="DefaultParagraphFont"/>
    <w:uiPriority w:val="99"/>
    <w:semiHidden/>
    <w:unhideWhenUsed/>
    <w:rsid w:val="002775F3"/>
    <w:rPr>
      <w:sz w:val="16"/>
      <w:szCs w:val="16"/>
    </w:rPr>
  </w:style>
  <w:style w:type="paragraph" w:styleId="CommentText">
    <w:name w:val="annotation text"/>
    <w:basedOn w:val="Normal"/>
    <w:link w:val="CommentTextChar"/>
    <w:uiPriority w:val="99"/>
    <w:unhideWhenUsed/>
    <w:rsid w:val="002775F3"/>
    <w:pPr>
      <w:spacing w:line="240" w:lineRule="auto"/>
    </w:pPr>
    <w:rPr>
      <w:sz w:val="20"/>
      <w:szCs w:val="20"/>
    </w:rPr>
  </w:style>
  <w:style w:type="character" w:customStyle="1" w:styleId="CommentTextChar">
    <w:name w:val="Comment Text Char"/>
    <w:basedOn w:val="DefaultParagraphFont"/>
    <w:link w:val="CommentText"/>
    <w:uiPriority w:val="99"/>
    <w:rsid w:val="002775F3"/>
    <w:rPr>
      <w:sz w:val="20"/>
      <w:szCs w:val="20"/>
    </w:rPr>
  </w:style>
  <w:style w:type="paragraph" w:styleId="CommentSubject">
    <w:name w:val="annotation subject"/>
    <w:basedOn w:val="CommentText"/>
    <w:next w:val="CommentText"/>
    <w:link w:val="CommentSubjectChar"/>
    <w:uiPriority w:val="99"/>
    <w:semiHidden/>
    <w:unhideWhenUsed/>
    <w:rsid w:val="002775F3"/>
    <w:rPr>
      <w:b/>
      <w:bCs/>
    </w:rPr>
  </w:style>
  <w:style w:type="character" w:customStyle="1" w:styleId="CommentSubjectChar">
    <w:name w:val="Comment Subject Char"/>
    <w:basedOn w:val="CommentTextChar"/>
    <w:link w:val="CommentSubject"/>
    <w:uiPriority w:val="99"/>
    <w:semiHidden/>
    <w:rsid w:val="002775F3"/>
    <w:rPr>
      <w:b/>
      <w:bCs/>
      <w:sz w:val="20"/>
      <w:szCs w:val="20"/>
    </w:rPr>
  </w:style>
  <w:style w:type="paragraph" w:styleId="ListParagraph">
    <w:name w:val="List Paragraph"/>
    <w:basedOn w:val="Normal"/>
    <w:uiPriority w:val="34"/>
    <w:qFormat/>
    <w:rsid w:val="00916B09"/>
    <w:pPr>
      <w:ind w:left="720"/>
      <w:contextualSpacing/>
    </w:pPr>
  </w:style>
  <w:style w:type="character" w:customStyle="1" w:styleId="cf01">
    <w:name w:val="cf01"/>
    <w:basedOn w:val="DefaultParagraphFont"/>
    <w:rsid w:val="00916B09"/>
    <w:rPr>
      <w:rFonts w:ascii="Segoe UI" w:hAnsi="Segoe UI" w:cs="Segoe UI" w:hint="default"/>
      <w:sz w:val="18"/>
      <w:szCs w:val="18"/>
    </w:rPr>
  </w:style>
  <w:style w:type="paragraph" w:styleId="NormalWeb">
    <w:name w:val="Normal (Web)"/>
    <w:basedOn w:val="Normal"/>
    <w:uiPriority w:val="99"/>
    <w:semiHidden/>
    <w:unhideWhenUsed/>
    <w:rsid w:val="00916B09"/>
    <w:pPr>
      <w:spacing w:before="100" w:beforeAutospacing="1" w:after="100" w:afterAutospacing="1" w:line="240" w:lineRule="auto"/>
    </w:pPr>
    <w:rPr>
      <w:rFonts w:ascii="Calibri" w:hAnsi="Calibri" w:cs="Calibri"/>
      <w:lang w:eastAsia="en-AU"/>
    </w:rPr>
  </w:style>
  <w:style w:type="paragraph" w:customStyle="1" w:styleId="elementtoproof">
    <w:name w:val="elementtoproof"/>
    <w:basedOn w:val="Normal"/>
    <w:uiPriority w:val="99"/>
    <w:semiHidden/>
    <w:rsid w:val="00916B09"/>
    <w:pPr>
      <w:spacing w:before="100" w:beforeAutospacing="1" w:after="100" w:afterAutospacing="1"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16B09"/>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policies.newcastle.edu.au/document/view-current.php?id=44"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newcastle.edu.au/current-staff/our-organisation/governance/academic-freed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newcastle.edu.au/current-students/respect-at-uni"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ewcastle.edu.au/__data/assets/pdf_file/0006/982212/2024-1056-Action-Plan-Sexual-Harm_v6.pdf" TargetMode="External"/><Relationship Id="rId20" Type="http://schemas.openxmlformats.org/officeDocument/2006/relationships/hyperlink" Target="https://www.newcastle.edu.au/current-staff/our-organisation/governance/legislation-and-compliance/national-security-compli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nzccart.adelaide.edu.au/openness-agreement" TargetMode="External"/><Relationship Id="rId5" Type="http://schemas.openxmlformats.org/officeDocument/2006/relationships/numbering" Target="numbering.xml"/><Relationship Id="rId15" Type="http://schemas.openxmlformats.org/officeDocument/2006/relationships/hyperlink" Target="https://www.newcastle.edu.au/engage/career-ready-placements/how-it-works" TargetMode="External"/><Relationship Id="rId23" Type="http://schemas.openxmlformats.org/officeDocument/2006/relationships/hyperlink" Target="https://policies.newcastle.edu.au/document/view-current.php?id=135"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ewcastle.edu.au/research/centre/ceehe/research-project-gender-based-violence-and-higher-educ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wcastle.edu.au/our-uni/strategic-plan" TargetMode="External"/><Relationship Id="rId22" Type="http://schemas.openxmlformats.org/officeDocument/2006/relationships/hyperlink" Target="https://policies.newcastle.edu.au/document/view-current.php?id=3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a52c8c-9806-4a1c-8ca9-6928160f6c09">
      <Terms xmlns="http://schemas.microsoft.com/office/infopath/2007/PartnerControls"/>
    </lcf76f155ced4ddcb4097134ff3c332f>
    <TaxCatchAll xmlns="6e75ac5a-1f9e-40aa-9df5-998dd543a947" xsi:nil="true"/>
    <Comment xmlns="fea52c8c-9806-4a1c-8ca9-6928160f6c0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36138AF4CB284D930A08DC3809C1D3" ma:contentTypeVersion="17" ma:contentTypeDescription="Create a new document." ma:contentTypeScope="" ma:versionID="60ba93596bb056ad26c101ca221cb0bd">
  <xsd:schema xmlns:xsd="http://www.w3.org/2001/XMLSchema" xmlns:xs="http://www.w3.org/2001/XMLSchema" xmlns:p="http://schemas.microsoft.com/office/2006/metadata/properties" xmlns:ns2="fea52c8c-9806-4a1c-8ca9-6928160f6c09" xmlns:ns3="6e75ac5a-1f9e-40aa-9df5-998dd543a947" targetNamespace="http://schemas.microsoft.com/office/2006/metadata/properties" ma:root="true" ma:fieldsID="de19e3e377286d2be77325670ce047b9" ns2:_="" ns3:_="">
    <xsd:import namespace="fea52c8c-9806-4a1c-8ca9-6928160f6c09"/>
    <xsd:import namespace="6e75ac5a-1f9e-40aa-9df5-998dd543a9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2c8c-9806-4a1c-8ca9-6928160f6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5ac5a-1f9e-40aa-9df5-998dd543a9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8b0ff3-da8a-4b47-8bbf-e69e6dea2796}" ma:internalName="TaxCatchAll" ma:showField="CatchAllData" ma:web="6e75ac5a-1f9e-40aa-9df5-998dd543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9897B7-12DD-4008-B018-50A4547F3B10}">
  <ds:schemaRefs>
    <ds:schemaRef ds:uri="http://schemas.microsoft.com/sharepoint/v3/contenttype/forms"/>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D8D836FB-0FEA-4EB6-8C1F-B6512B7A70B1}">
  <ds:schemaRefs>
    <ds:schemaRef ds:uri="http://purl.org/dc/elements/1.1/"/>
    <ds:schemaRef ds:uri="6e75ac5a-1f9e-40aa-9df5-998dd543a947"/>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schemas.microsoft.com/office/infopath/2007/PartnerControls"/>
    <ds:schemaRef ds:uri="fea52c8c-9806-4a1c-8ca9-6928160f6c09"/>
    <ds:schemaRef ds:uri="http://www.w3.org/XML/1998/namespace"/>
  </ds:schemaRefs>
</ds:datastoreItem>
</file>

<file path=customXml/itemProps4.xml><?xml version="1.0" encoding="utf-8"?>
<ds:datastoreItem xmlns:ds="http://schemas.openxmlformats.org/officeDocument/2006/customXml" ds:itemID="{726D674A-EC9F-4288-BD81-459A98D2F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52c8c-9806-4a1c-8ca9-6928160f6c09"/>
    <ds:schemaRef ds:uri="6e75ac5a-1f9e-40aa-9df5-998dd543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3570</Words>
  <Characters>22854</Characters>
  <Application>Microsoft Office Word</Application>
  <DocSecurity>0</DocSecurity>
  <Lines>523</Lines>
  <Paragraphs>174</Paragraphs>
  <ScaleCrop>false</ScaleCrop>
  <Company/>
  <LinksUpToDate>false</LinksUpToDate>
  <CharactersWithSpaces>26370</CharactersWithSpaces>
  <SharedDoc>false</SharedDoc>
  <HLinks>
    <vt:vector size="72" baseType="variant">
      <vt:variant>
        <vt:i4>2228261</vt:i4>
      </vt:variant>
      <vt:variant>
        <vt:i4>33</vt:i4>
      </vt:variant>
      <vt:variant>
        <vt:i4>0</vt:i4>
      </vt:variant>
      <vt:variant>
        <vt:i4>5</vt:i4>
      </vt:variant>
      <vt:variant>
        <vt:lpwstr>https://anzccart.adelaide.edu.au/openness-agreement</vt:lpwstr>
      </vt:variant>
      <vt:variant>
        <vt:lpwstr/>
      </vt:variant>
      <vt:variant>
        <vt:i4>8323118</vt:i4>
      </vt:variant>
      <vt:variant>
        <vt:i4>30</vt:i4>
      </vt:variant>
      <vt:variant>
        <vt:i4>0</vt:i4>
      </vt:variant>
      <vt:variant>
        <vt:i4>5</vt:i4>
      </vt:variant>
      <vt:variant>
        <vt:lpwstr>https://policies.newcastle.edu.au/document/view-current.php?id=135</vt:lpwstr>
      </vt:variant>
      <vt:variant>
        <vt:lpwstr/>
      </vt:variant>
      <vt:variant>
        <vt:i4>4718621</vt:i4>
      </vt:variant>
      <vt:variant>
        <vt:i4>27</vt:i4>
      </vt:variant>
      <vt:variant>
        <vt:i4>0</vt:i4>
      </vt:variant>
      <vt:variant>
        <vt:i4>5</vt:i4>
      </vt:variant>
      <vt:variant>
        <vt:lpwstr>https://policies.newcastle.edu.au/document/view-current.php?id=34</vt:lpwstr>
      </vt:variant>
      <vt:variant>
        <vt:lpwstr/>
      </vt:variant>
      <vt:variant>
        <vt:i4>4718621</vt:i4>
      </vt:variant>
      <vt:variant>
        <vt:i4>24</vt:i4>
      </vt:variant>
      <vt:variant>
        <vt:i4>0</vt:i4>
      </vt:variant>
      <vt:variant>
        <vt:i4>5</vt:i4>
      </vt:variant>
      <vt:variant>
        <vt:lpwstr>https://policies.newcastle.edu.au/document/view-current.php?id=35</vt:lpwstr>
      </vt:variant>
      <vt:variant>
        <vt:lpwstr/>
      </vt:variant>
      <vt:variant>
        <vt:i4>4063338</vt:i4>
      </vt:variant>
      <vt:variant>
        <vt:i4>21</vt:i4>
      </vt:variant>
      <vt:variant>
        <vt:i4>0</vt:i4>
      </vt:variant>
      <vt:variant>
        <vt:i4>5</vt:i4>
      </vt:variant>
      <vt:variant>
        <vt:lpwstr>https://www.newcastle.edu.au/current-staff/our-organisation/governance/academic-freedom</vt:lpwstr>
      </vt:variant>
      <vt:variant>
        <vt:lpwstr/>
      </vt:variant>
      <vt:variant>
        <vt:i4>8323125</vt:i4>
      </vt:variant>
      <vt:variant>
        <vt:i4>18</vt:i4>
      </vt:variant>
      <vt:variant>
        <vt:i4>0</vt:i4>
      </vt:variant>
      <vt:variant>
        <vt:i4>5</vt:i4>
      </vt:variant>
      <vt:variant>
        <vt:lpwstr>https://www.newcastle.edu.au/current-staff/our-organisation/governance/legislation-and-compliance/national-security-compliance</vt:lpwstr>
      </vt:variant>
      <vt:variant>
        <vt:lpwstr/>
      </vt:variant>
      <vt:variant>
        <vt:i4>7405619</vt:i4>
      </vt:variant>
      <vt:variant>
        <vt:i4>15</vt:i4>
      </vt:variant>
      <vt:variant>
        <vt:i4>0</vt:i4>
      </vt:variant>
      <vt:variant>
        <vt:i4>5</vt:i4>
      </vt:variant>
      <vt:variant>
        <vt:lpwstr>https://www.newcastle.edu.au/research/centre/ceehe/research-project-gender-based-violence-and-higher-education</vt:lpwstr>
      </vt:variant>
      <vt:variant>
        <vt:lpwstr/>
      </vt:variant>
      <vt:variant>
        <vt:i4>5177373</vt:i4>
      </vt:variant>
      <vt:variant>
        <vt:i4>12</vt:i4>
      </vt:variant>
      <vt:variant>
        <vt:i4>0</vt:i4>
      </vt:variant>
      <vt:variant>
        <vt:i4>5</vt:i4>
      </vt:variant>
      <vt:variant>
        <vt:lpwstr>https://policies.newcastle.edu.au/document/view-current.php?id=44</vt:lpwstr>
      </vt:variant>
      <vt:variant>
        <vt:lpwstr/>
      </vt:variant>
      <vt:variant>
        <vt:i4>4915212</vt:i4>
      </vt:variant>
      <vt:variant>
        <vt:i4>9</vt:i4>
      </vt:variant>
      <vt:variant>
        <vt:i4>0</vt:i4>
      </vt:variant>
      <vt:variant>
        <vt:i4>5</vt:i4>
      </vt:variant>
      <vt:variant>
        <vt:lpwstr>https://www.newcastle.edu.au/current-students/respect-at-uni</vt:lpwstr>
      </vt:variant>
      <vt:variant>
        <vt:lpwstr/>
      </vt:variant>
      <vt:variant>
        <vt:i4>589896</vt:i4>
      </vt:variant>
      <vt:variant>
        <vt:i4>6</vt:i4>
      </vt:variant>
      <vt:variant>
        <vt:i4>0</vt:i4>
      </vt:variant>
      <vt:variant>
        <vt:i4>5</vt:i4>
      </vt:variant>
      <vt:variant>
        <vt:lpwstr>https://www.newcastle.edu.au/__data/assets/pdf_file/0006/982212/2024-1056-Action-Plan-Sexual-Harm_v6.pdf</vt:lpwstr>
      </vt:variant>
      <vt:variant>
        <vt:lpwstr/>
      </vt:variant>
      <vt:variant>
        <vt:i4>1835080</vt:i4>
      </vt:variant>
      <vt:variant>
        <vt:i4>3</vt:i4>
      </vt:variant>
      <vt:variant>
        <vt:i4>0</vt:i4>
      </vt:variant>
      <vt:variant>
        <vt:i4>5</vt:i4>
      </vt:variant>
      <vt:variant>
        <vt:lpwstr>https://www.newcastle.edu.au/engage/career-ready-placements/how-it-works</vt:lpwstr>
      </vt:variant>
      <vt:variant>
        <vt:lpwstr/>
      </vt:variant>
      <vt:variant>
        <vt:i4>2162742</vt:i4>
      </vt:variant>
      <vt:variant>
        <vt:i4>0</vt:i4>
      </vt:variant>
      <vt:variant>
        <vt:i4>0</vt:i4>
      </vt:variant>
      <vt:variant>
        <vt:i4>5</vt:i4>
      </vt:variant>
      <vt:variant>
        <vt:lpwstr>https://www.newcastle.edu.au/our-uni/strategic-plan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Mission-Based Compact</dc:title>
  <dc:subject/>
  <dc:creator>ASHTON,Michael</dc:creator>
  <cp:keywords/>
  <dc:description/>
  <cp:lastModifiedBy>LEAP,Andrew</cp:lastModifiedBy>
  <cp:revision>9</cp:revision>
  <cp:lastPrinted>2025-12-01T05:38:00Z</cp:lastPrinted>
  <dcterms:created xsi:type="dcterms:W3CDTF">2025-11-23T23:24:00Z</dcterms:created>
  <dcterms:modified xsi:type="dcterms:W3CDTF">2025-12-17T04:44:00Z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0x0101001E36138AF4CB284D930A08DC3809C1D3</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