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002B3673">
        <w:tc>
          <w:tcPr>
            <w:tcW w:w="5000" w:type="pct"/>
            <w:tcBorders>
              <w:bottom w:val="single" w:sz="4" w:space="0" w:color="auto"/>
            </w:tcBorders>
          </w:tcPr>
          <w:p w14:paraId="26FC6577" w14:textId="5C107D0B" w:rsidR="001B109C" w:rsidRPr="00C37D63" w:rsidRDefault="001B109C" w:rsidP="00A35D32">
            <w:pPr>
              <w:pStyle w:val="Heading4"/>
              <w:spacing w:after="240"/>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A35D32">
              <w:t>the University of Melbourne</w:t>
            </w:r>
          </w:p>
        </w:tc>
      </w:tr>
      <w:tr w:rsidR="001B109C" w:rsidRPr="00E41388" w14:paraId="2126955C" w14:textId="77777777" w:rsidTr="002B3673">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002B3673">
        <w:trPr>
          <w:trHeight w:val="1682"/>
        </w:trPr>
        <w:tc>
          <w:tcPr>
            <w:tcW w:w="5000" w:type="pct"/>
            <w:tcBorders>
              <w:bottom w:val="single" w:sz="4" w:space="0" w:color="auto"/>
            </w:tcBorders>
          </w:tcPr>
          <w:p w14:paraId="603CAB15" w14:textId="7C9854B4"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Entering into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enter into a </w:t>
            </w:r>
            <w:r w:rsidR="001E3BF1" w:rsidRPr="6DCF43EC">
              <w:rPr>
                <w:rFonts w:asciiTheme="minorHAnsi" w:hAnsiTheme="minorHAnsi" w:cstheme="minorBidi"/>
              </w:rPr>
              <w:t>M</w:t>
            </w:r>
            <w:r w:rsidRPr="6DCF43EC">
              <w:rPr>
                <w:rFonts w:asciiTheme="minorHAnsi" w:hAnsiTheme="minorHAnsi" w:cstheme="minorBidi"/>
              </w:rPr>
              <w:t>ission</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E16E9E">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002B3673">
        <w:tc>
          <w:tcPr>
            <w:tcW w:w="5000" w:type="pct"/>
          </w:tcPr>
          <w:p w14:paraId="43C124C8" w14:textId="55208677" w:rsidR="001B109C" w:rsidRPr="00E169EE" w:rsidRDefault="00F30BFA" w:rsidP="00F30BFA">
            <w:pPr>
              <w:pStyle w:val="Heading4"/>
              <w:keepLines w:val="0"/>
              <w:spacing w:before="18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002B3673">
        <w:trPr>
          <w:trHeight w:val="1123"/>
        </w:trPr>
        <w:tc>
          <w:tcPr>
            <w:tcW w:w="5000" w:type="pct"/>
            <w:tcBorders>
              <w:bottom w:val="single" w:sz="4" w:space="0" w:color="auto"/>
            </w:tcBorders>
          </w:tcPr>
          <w:p w14:paraId="09DA4F07" w14:textId="77777777" w:rsidR="002B3673" w:rsidRDefault="002B3673" w:rsidP="00786866">
            <w:pPr>
              <w:pStyle w:val="NormalIndent"/>
              <w:spacing w:line="240" w:lineRule="atLeast"/>
              <w:ind w:left="0"/>
              <w:rPr>
                <w:b/>
                <w:bCs/>
              </w:rPr>
            </w:pPr>
            <w:r>
              <w:rPr>
                <w:b/>
                <w:bCs/>
              </w:rPr>
              <w:t>Mission</w:t>
            </w:r>
          </w:p>
          <w:p w14:paraId="171665FC" w14:textId="77777777" w:rsidR="002B3673" w:rsidRDefault="002B3673" w:rsidP="002B3673">
            <w:pPr>
              <w:pStyle w:val="NormalIndent"/>
              <w:spacing w:before="0" w:after="60"/>
              <w:ind w:left="0"/>
            </w:pPr>
            <w:r>
              <w:t xml:space="preserve">The University of Melbourne (UoM) is recognised for its high-quality education and research. Through its distinctive curriculum, UoM is committed to educating future thinkers and leaders in a rapidly changing world, while its research excellence continues to expand the boundaries of knowledge and deliver enduring positive impact. </w:t>
            </w:r>
          </w:p>
          <w:p w14:paraId="51532EFD" w14:textId="77777777" w:rsidR="002B3673" w:rsidRDefault="002B3673" w:rsidP="002B3673">
            <w:pPr>
              <w:pStyle w:val="NormalIndent"/>
              <w:spacing w:before="0" w:after="60"/>
              <w:ind w:left="0"/>
            </w:pPr>
            <w:r>
              <w:t xml:space="preserve">The University </w:t>
            </w:r>
            <w:r w:rsidRPr="000C65AF">
              <w:t>supports national and sector priorities and recognises our distinct role and offer in a diverse higher education system as a responsible, stabilising and sustainable</w:t>
            </w:r>
            <w:r>
              <w:t xml:space="preserve"> institution. Through enacting our </w:t>
            </w:r>
            <w:r w:rsidRPr="005074DE">
              <w:t xml:space="preserve">enduring purpose </w:t>
            </w:r>
            <w:r>
              <w:t>–</w:t>
            </w:r>
            <w:r w:rsidRPr="005074DE">
              <w:t xml:space="preserve"> to benefit society through the transformative impact of education and research</w:t>
            </w:r>
            <w:r>
              <w:t xml:space="preserve"> – UoM demonstrates academic excellence grounded in integrity, resilience and purpose. </w:t>
            </w:r>
          </w:p>
          <w:p w14:paraId="7F3E93D2" w14:textId="77777777" w:rsidR="002B3673" w:rsidRDefault="002B3673" w:rsidP="00786866">
            <w:pPr>
              <w:pStyle w:val="NormalIndent"/>
              <w:spacing w:line="240" w:lineRule="atLeast"/>
              <w:ind w:left="0"/>
              <w:rPr>
                <w:b/>
                <w:bCs/>
              </w:rPr>
            </w:pPr>
            <w:r>
              <w:rPr>
                <w:b/>
                <w:bCs/>
              </w:rPr>
              <w:t>Priorities and measures</w:t>
            </w:r>
          </w:p>
          <w:p w14:paraId="1EB9DF6B" w14:textId="77777777" w:rsidR="002B3673" w:rsidRDefault="002B3673" w:rsidP="002B3673">
            <w:pPr>
              <w:pStyle w:val="NormalIndent"/>
              <w:spacing w:after="60"/>
              <w:ind w:left="0"/>
            </w:pPr>
            <w:hyperlink r:id="rId15" w:history="1">
              <w:r w:rsidRPr="00AA30E9">
                <w:rPr>
                  <w:rStyle w:val="Hyperlink"/>
                  <w:i/>
                  <w:iCs/>
                </w:rPr>
                <w:t>Advancing Melbourne 2030</w:t>
              </w:r>
            </w:hyperlink>
            <w:r>
              <w:rPr>
                <w:i/>
                <w:iCs/>
              </w:rPr>
              <w:t xml:space="preserve"> </w:t>
            </w:r>
            <w:r>
              <w:t xml:space="preserve">is the University’s institutional strategy, outlining our mission and strategic priorities, and further expanded in a suite of </w:t>
            </w:r>
            <w:hyperlink r:id="rId16" w:history="1">
              <w:r w:rsidRPr="004C1C46">
                <w:rPr>
                  <w:rStyle w:val="Hyperlink"/>
                </w:rPr>
                <w:t>supporting strategies and plans</w:t>
              </w:r>
            </w:hyperlink>
            <w:r>
              <w:t xml:space="preserve">. UoM’s key priorities for 2025-2026 are: </w:t>
            </w:r>
          </w:p>
          <w:p w14:paraId="5BBCD6B9" w14:textId="77777777" w:rsidR="002B3673" w:rsidRPr="00D35B6A" w:rsidRDefault="002B3673" w:rsidP="002B3673">
            <w:pPr>
              <w:pStyle w:val="NormalIndent"/>
              <w:numPr>
                <w:ilvl w:val="0"/>
                <w:numId w:val="20"/>
              </w:numPr>
              <w:spacing w:before="0" w:after="60"/>
            </w:pPr>
            <w:r w:rsidRPr="00533195">
              <w:rPr>
                <w:b/>
                <w:bCs/>
              </w:rPr>
              <w:t>Anchoring the quality and distinctiveness of our education and research</w:t>
            </w:r>
            <w:r>
              <w:t xml:space="preserve">, including widening participation, expanding partnerships with other educational providers (e.g. twinning pathways), supporting international diversification with a focus on Southeast Asia engagement, </w:t>
            </w:r>
            <w:r w:rsidRPr="00D35B6A">
              <w:t xml:space="preserve">uplifting the student experience and ensuring student success, while continuing to deliver research excellence, collaboration and impact. </w:t>
            </w:r>
          </w:p>
          <w:p w14:paraId="768662A7" w14:textId="77777777" w:rsidR="002B3673" w:rsidRPr="00D35B6A" w:rsidRDefault="002B3673" w:rsidP="002B3673">
            <w:pPr>
              <w:pStyle w:val="NormalIndent"/>
              <w:numPr>
                <w:ilvl w:val="0"/>
                <w:numId w:val="20"/>
              </w:numPr>
              <w:spacing w:before="0" w:after="60"/>
            </w:pPr>
            <w:r w:rsidRPr="00D35B6A">
              <w:rPr>
                <w:b/>
                <w:bCs/>
              </w:rPr>
              <w:t>Embedding resilience, connectedness and sustainability</w:t>
            </w:r>
            <w:r w:rsidRPr="00D35B6A">
              <w:t xml:space="preserve"> in our strategy and operations to reinforce UoM as a responsible contributor of Australian higher education. The University is taking a principled approach to its student profile through targeted growth and diversification of its student profile in 2026 and beyond.</w:t>
            </w:r>
          </w:p>
          <w:p w14:paraId="1C838CA4" w14:textId="77777777" w:rsidR="002B3673" w:rsidRDefault="002B3673" w:rsidP="002B3673">
            <w:pPr>
              <w:pStyle w:val="NormalIndent"/>
              <w:numPr>
                <w:ilvl w:val="0"/>
                <w:numId w:val="20"/>
              </w:numPr>
              <w:spacing w:before="0" w:after="60"/>
            </w:pPr>
            <w:r w:rsidRPr="00533195">
              <w:rPr>
                <w:b/>
                <w:bCs/>
              </w:rPr>
              <w:lastRenderedPageBreak/>
              <w:t xml:space="preserve">Reviewing the </w:t>
            </w:r>
            <w:r w:rsidRPr="00533195">
              <w:rPr>
                <w:b/>
                <w:bCs/>
                <w:i/>
                <w:iCs/>
              </w:rPr>
              <w:t xml:space="preserve">Advancing Melbourne </w:t>
            </w:r>
            <w:r w:rsidRPr="00533195">
              <w:rPr>
                <w:b/>
                <w:bCs/>
              </w:rPr>
              <w:t>strategy</w:t>
            </w:r>
            <w:r>
              <w:t xml:space="preserve"> and revising performance metrics to meaningfully measure outcomes and impact of our work. Relevant metrics are outlined in each section. </w:t>
            </w:r>
          </w:p>
          <w:p w14:paraId="7DB73FAC" w14:textId="77777777" w:rsidR="002B3673" w:rsidRDefault="002B3673" w:rsidP="00786866">
            <w:pPr>
              <w:pStyle w:val="NormalIndent"/>
              <w:spacing w:line="240" w:lineRule="atLeast"/>
              <w:ind w:left="0"/>
              <w:rPr>
                <w:b/>
                <w:bCs/>
              </w:rPr>
            </w:pPr>
            <w:r>
              <w:rPr>
                <w:b/>
                <w:bCs/>
              </w:rPr>
              <w:t>Approach to national and sector priorities</w:t>
            </w:r>
          </w:p>
          <w:p w14:paraId="7A12B05A" w14:textId="77777777" w:rsidR="002B3673" w:rsidRDefault="002B3673" w:rsidP="002B3673">
            <w:pPr>
              <w:pStyle w:val="NormalIndent"/>
              <w:numPr>
                <w:ilvl w:val="1"/>
                <w:numId w:val="21"/>
              </w:numPr>
              <w:spacing w:before="0" w:after="60"/>
              <w:rPr>
                <w:b/>
                <w:bCs/>
              </w:rPr>
            </w:pPr>
            <w:r>
              <w:rPr>
                <w:b/>
                <w:bCs/>
              </w:rPr>
              <w:t>Workforce and skill needs</w:t>
            </w:r>
          </w:p>
          <w:p w14:paraId="3A046B1A" w14:textId="77777777" w:rsidR="002B3673" w:rsidRDefault="002B3673" w:rsidP="002B3673">
            <w:pPr>
              <w:pStyle w:val="NormalIndent"/>
              <w:spacing w:before="0" w:after="60"/>
              <w:ind w:left="742"/>
              <w:rPr>
                <w:rFonts w:eastAsiaTheme="minorHAnsi" w:cs="Calibri"/>
                <w:szCs w:val="22"/>
                <w:lang w:eastAsia="en-US"/>
              </w:rPr>
            </w:pPr>
            <w:r>
              <w:rPr>
                <w:rFonts w:eastAsiaTheme="minorHAnsi" w:cs="Calibri"/>
                <w:szCs w:val="22"/>
                <w:lang w:eastAsia="en-US"/>
              </w:rPr>
              <w:t>Our student profile and proposed growth</w:t>
            </w:r>
            <w:r w:rsidRPr="007C179A">
              <w:rPr>
                <w:szCs w:val="22"/>
              </w:rPr>
              <w:t xml:space="preserve"> </w:t>
            </w:r>
            <w:r w:rsidRPr="005E78A6">
              <w:rPr>
                <w:szCs w:val="22"/>
              </w:rPr>
              <w:t>targets are in national</w:t>
            </w:r>
            <w:r w:rsidRPr="007C179A">
              <w:rPr>
                <w:szCs w:val="22"/>
              </w:rPr>
              <w:t xml:space="preserve"> priority areas of education for in-demand professions</w:t>
            </w:r>
            <w:r>
              <w:rPr>
                <w:rFonts w:eastAsiaTheme="minorHAnsi" w:cs="Calibri"/>
                <w:szCs w:val="22"/>
                <w:lang w:eastAsia="en-US"/>
              </w:rPr>
              <w:t xml:space="preserve">, including </w:t>
            </w:r>
            <w:r>
              <w:rPr>
                <w:rFonts w:cs="Calibri"/>
              </w:rPr>
              <w:t xml:space="preserve">allied </w:t>
            </w:r>
            <w:r w:rsidRPr="00D23E4C">
              <w:rPr>
                <w:rFonts w:eastAsiaTheme="minorHAnsi" w:cs="Calibri"/>
                <w:szCs w:val="22"/>
                <w:lang w:eastAsia="en-US"/>
              </w:rPr>
              <w:t>health, engineering, technology, construction, education and STEM skills</w:t>
            </w:r>
            <w:r>
              <w:rPr>
                <w:rFonts w:eastAsiaTheme="minorHAnsi" w:cs="Calibri"/>
                <w:szCs w:val="22"/>
                <w:lang w:eastAsia="en-US"/>
              </w:rPr>
              <w:t xml:space="preserve">. </w:t>
            </w:r>
            <w:r w:rsidRPr="00D23E4C">
              <w:rPr>
                <w:rFonts w:eastAsiaTheme="minorHAnsi" w:cs="Calibri"/>
                <w:szCs w:val="22"/>
                <w:lang w:eastAsia="en-US"/>
              </w:rPr>
              <w:t xml:space="preserve">UoM’s </w:t>
            </w:r>
            <w:hyperlink r:id="rId17" w:history="1">
              <w:r w:rsidRPr="00257D0C">
                <w:rPr>
                  <w:rStyle w:val="Hyperlink"/>
                  <w:rFonts w:eastAsiaTheme="minorHAnsi" w:cs="Calibri"/>
                  <w:szCs w:val="22"/>
                  <w:lang w:eastAsia="en-US"/>
                </w:rPr>
                <w:t>distinctive curriculum</w:t>
              </w:r>
            </w:hyperlink>
            <w:r>
              <w:rPr>
                <w:rFonts w:eastAsiaTheme="minorHAnsi" w:cs="Calibri"/>
                <w:szCs w:val="22"/>
                <w:lang w:eastAsia="en-US"/>
              </w:rPr>
              <w:t xml:space="preserve"> </w:t>
            </w:r>
            <w:r w:rsidRPr="00D23E4C">
              <w:rPr>
                <w:rFonts w:eastAsiaTheme="minorHAnsi" w:cs="Calibri"/>
                <w:szCs w:val="22"/>
                <w:lang w:eastAsia="en-US"/>
              </w:rPr>
              <w:t>provides students with breadth</w:t>
            </w:r>
            <w:r>
              <w:rPr>
                <w:rFonts w:eastAsiaTheme="minorHAnsi" w:cs="Calibri"/>
                <w:szCs w:val="22"/>
                <w:lang w:eastAsia="en-US"/>
              </w:rPr>
              <w:t>,</w:t>
            </w:r>
            <w:r w:rsidRPr="00D23E4C">
              <w:rPr>
                <w:rFonts w:eastAsiaTheme="minorHAnsi" w:cs="Calibri"/>
                <w:szCs w:val="22"/>
                <w:lang w:eastAsia="en-US"/>
              </w:rPr>
              <w:t xml:space="preserve"> </w:t>
            </w:r>
            <w:r>
              <w:rPr>
                <w:rFonts w:eastAsiaTheme="minorHAnsi" w:cs="Calibri"/>
                <w:szCs w:val="22"/>
                <w:lang w:eastAsia="en-US"/>
              </w:rPr>
              <w:t xml:space="preserve">disciplinary depth, advanced analytical skills and expertise. </w:t>
            </w:r>
            <w:r w:rsidRPr="007C179A">
              <w:rPr>
                <w:szCs w:val="22"/>
              </w:rPr>
              <w:t>We are committed to educating future thinkers and leaders in a rapidly changing world and the emerging GenAI era</w:t>
            </w:r>
            <w:r>
              <w:rPr>
                <w:szCs w:val="22"/>
              </w:rPr>
              <w:t xml:space="preserve">. </w:t>
            </w:r>
          </w:p>
          <w:p w14:paraId="568D8867" w14:textId="77777777" w:rsidR="002B3673" w:rsidRDefault="002B3673" w:rsidP="002B3673">
            <w:pPr>
              <w:pStyle w:val="NormalIndent"/>
              <w:numPr>
                <w:ilvl w:val="1"/>
                <w:numId w:val="21"/>
              </w:numPr>
              <w:spacing w:before="0" w:after="60"/>
              <w:rPr>
                <w:b/>
                <w:bCs/>
              </w:rPr>
            </w:pPr>
            <w:r>
              <w:rPr>
                <w:b/>
                <w:bCs/>
              </w:rPr>
              <w:t>Ensuring student and staff safety</w:t>
            </w:r>
          </w:p>
          <w:p w14:paraId="0EB6CDF5" w14:textId="77777777" w:rsidR="002B3673" w:rsidRDefault="002B3673" w:rsidP="002B3673">
            <w:pPr>
              <w:pStyle w:val="NormalIndent"/>
              <w:spacing w:before="0" w:after="60"/>
              <w:ind w:left="742"/>
              <w:rPr>
                <w:rFonts w:asciiTheme="minorHAnsi" w:hAnsiTheme="minorHAnsi" w:cstheme="minorBidi"/>
              </w:rPr>
            </w:pPr>
            <w:r>
              <w:rPr>
                <w:rFonts w:asciiTheme="minorHAnsi" w:hAnsiTheme="minorHAnsi" w:cstheme="minorBidi"/>
              </w:rPr>
              <w:t xml:space="preserve">The University is actively implementing and monitoring a range of </w:t>
            </w:r>
            <w:hyperlink r:id="rId18" w:history="1">
              <w:r w:rsidRPr="00395128">
                <w:rPr>
                  <w:rStyle w:val="Hyperlink"/>
                  <w:rFonts w:asciiTheme="minorHAnsi" w:hAnsiTheme="minorHAnsi" w:cstheme="minorBidi"/>
                </w:rPr>
                <w:t>action plans</w:t>
              </w:r>
            </w:hyperlink>
            <w:r>
              <w:rPr>
                <w:rFonts w:asciiTheme="minorHAnsi" w:hAnsiTheme="minorHAnsi" w:cstheme="minorBidi"/>
              </w:rPr>
              <w:t xml:space="preserve"> to ensure safety for all students and staff. The forthcoming National Higher Education Code to Prevent and Respond to Gender-based Violence will further u</w:t>
            </w:r>
            <w:r>
              <w:t>nderscore</w:t>
            </w:r>
            <w:r>
              <w:rPr>
                <w:rFonts w:asciiTheme="minorHAnsi" w:hAnsiTheme="minorHAnsi" w:cstheme="minorBidi"/>
              </w:rPr>
              <w:t xml:space="preserve"> the work in </w:t>
            </w:r>
            <w:hyperlink r:id="rId19" w:history="1">
              <w:r w:rsidRPr="00A338CC">
                <w:rPr>
                  <w:rStyle w:val="Hyperlink"/>
                  <w:rFonts w:asciiTheme="minorHAnsi" w:hAnsiTheme="minorHAnsi" w:cstheme="minorBidi"/>
                </w:rPr>
                <w:t>gender equity and respect</w:t>
              </w:r>
            </w:hyperlink>
            <w:r>
              <w:rPr>
                <w:rFonts w:asciiTheme="minorHAnsi" w:hAnsiTheme="minorHAnsi" w:cstheme="minorBidi"/>
              </w:rPr>
              <w:t xml:space="preserve">. We remain closely engaged in strengthening social inclusion, including combating antisemitism, Islamophobia and </w:t>
            </w:r>
            <w:hyperlink r:id="rId20" w:history="1">
              <w:r w:rsidRPr="0029014C">
                <w:rPr>
                  <w:rStyle w:val="Hyperlink"/>
                  <w:rFonts w:asciiTheme="minorHAnsi" w:hAnsiTheme="minorHAnsi" w:cstheme="minorBidi"/>
                </w:rPr>
                <w:t>all forms of racism</w:t>
              </w:r>
            </w:hyperlink>
            <w:r>
              <w:rPr>
                <w:rFonts w:asciiTheme="minorHAnsi" w:hAnsiTheme="minorHAnsi" w:cstheme="minorBidi"/>
              </w:rPr>
              <w:t xml:space="preserve">, as well as strengthening </w:t>
            </w:r>
            <w:hyperlink r:id="rId21" w:history="1">
              <w:r w:rsidRPr="00834796">
                <w:rPr>
                  <w:rStyle w:val="Hyperlink"/>
                  <w:rFonts w:asciiTheme="minorHAnsi" w:hAnsiTheme="minorHAnsi" w:cstheme="minorBidi"/>
                </w:rPr>
                <w:t>disability inclusion</w:t>
              </w:r>
            </w:hyperlink>
            <w:r>
              <w:rPr>
                <w:rFonts w:asciiTheme="minorHAnsi" w:hAnsiTheme="minorHAnsi" w:cstheme="minorBidi"/>
              </w:rPr>
              <w:t xml:space="preserve"> and </w:t>
            </w:r>
            <w:hyperlink r:id="rId22" w:history="1">
              <w:r w:rsidRPr="001728C6">
                <w:rPr>
                  <w:rStyle w:val="Hyperlink"/>
                  <w:rFonts w:asciiTheme="minorHAnsi" w:hAnsiTheme="minorHAnsi" w:cstheme="minorBidi"/>
                </w:rPr>
                <w:t>LG</w:t>
              </w:r>
              <w:r>
                <w:rPr>
                  <w:rStyle w:val="Hyperlink"/>
                  <w:rFonts w:asciiTheme="minorHAnsi" w:hAnsiTheme="minorHAnsi" w:cstheme="minorBidi"/>
                </w:rPr>
                <w:t>B</w:t>
              </w:r>
              <w:r w:rsidRPr="001728C6">
                <w:rPr>
                  <w:rStyle w:val="Hyperlink"/>
                  <w:rFonts w:asciiTheme="minorHAnsi" w:hAnsiTheme="minorHAnsi" w:cstheme="minorBidi"/>
                </w:rPr>
                <w:t>TIQA+ inclusion</w:t>
              </w:r>
            </w:hyperlink>
            <w:r>
              <w:rPr>
                <w:rFonts w:asciiTheme="minorHAnsi" w:hAnsiTheme="minorHAnsi" w:cstheme="minorBidi"/>
              </w:rPr>
              <w:t xml:space="preserve">. </w:t>
            </w:r>
          </w:p>
          <w:p w14:paraId="1607F11F" w14:textId="77777777" w:rsidR="002B3673" w:rsidRDefault="002B3673" w:rsidP="002B3673">
            <w:pPr>
              <w:pStyle w:val="NormalIndent"/>
              <w:numPr>
                <w:ilvl w:val="1"/>
                <w:numId w:val="21"/>
              </w:numPr>
              <w:spacing w:before="0" w:after="60"/>
              <w:rPr>
                <w:b/>
                <w:bCs/>
              </w:rPr>
            </w:pPr>
            <w:r>
              <w:rPr>
                <w:b/>
                <w:bCs/>
              </w:rPr>
              <w:t>Countering foreign interference</w:t>
            </w:r>
          </w:p>
          <w:p w14:paraId="49B9DFD1" w14:textId="77777777" w:rsidR="002B3673" w:rsidRDefault="002B3673" w:rsidP="002B3673">
            <w:pPr>
              <w:pStyle w:val="NormalIndent"/>
              <w:spacing w:before="0" w:after="60"/>
              <w:ind w:left="742"/>
              <w:rPr>
                <w:rFonts w:cs="Calibri"/>
                <w:color w:val="000000"/>
              </w:rPr>
            </w:pPr>
            <w:r>
              <w:rPr>
                <w:rFonts w:cs="Calibri"/>
                <w:color w:val="000000"/>
              </w:rPr>
              <w:t xml:space="preserve">All staff complete an annual </w:t>
            </w:r>
            <w:r w:rsidRPr="00141605">
              <w:rPr>
                <w:color w:val="000000"/>
              </w:rPr>
              <w:t>Foreign Interest Disclosure</w:t>
            </w:r>
            <w:r>
              <w:rPr>
                <w:rFonts w:cs="Calibri"/>
                <w:color w:val="000000"/>
              </w:rPr>
              <w:t xml:space="preserve"> and a learning module every three years. The University regularly monitors and reports on its foreign and geopolitical risk through management and governance committees. </w:t>
            </w:r>
          </w:p>
          <w:p w14:paraId="7ACC3F8C" w14:textId="77777777" w:rsidR="002B3673" w:rsidRDefault="002B3673" w:rsidP="002B3673">
            <w:pPr>
              <w:pStyle w:val="NormalIndent"/>
              <w:numPr>
                <w:ilvl w:val="1"/>
                <w:numId w:val="21"/>
              </w:numPr>
              <w:spacing w:before="0" w:after="60"/>
              <w:rPr>
                <w:b/>
                <w:bCs/>
              </w:rPr>
            </w:pPr>
            <w:r>
              <w:rPr>
                <w:b/>
                <w:bCs/>
              </w:rPr>
              <w:t>Cyber and data security</w:t>
            </w:r>
          </w:p>
          <w:p w14:paraId="08AEC9E9" w14:textId="77777777" w:rsidR="002B3673" w:rsidRDefault="002B3673" w:rsidP="002B3673">
            <w:pPr>
              <w:pStyle w:val="NormalIndent"/>
              <w:spacing w:before="0" w:after="60"/>
              <w:ind w:left="742"/>
              <w:rPr>
                <w:rFonts w:eastAsia="Calibri" w:cs="Calibri"/>
                <w:color w:val="000000" w:themeColor="text1"/>
              </w:rPr>
            </w:pPr>
            <w:r>
              <w:rPr>
                <w:rFonts w:eastAsia="Calibri" w:cs="Calibri"/>
                <w:color w:val="000000" w:themeColor="text1"/>
              </w:rPr>
              <w:t xml:space="preserve">Strong University-wide systems support a shared responsibility to ensure </w:t>
            </w:r>
            <w:hyperlink r:id="rId23" w:history="1">
              <w:r w:rsidRPr="006E353B">
                <w:rPr>
                  <w:rStyle w:val="Hyperlink"/>
                  <w:rFonts w:eastAsia="Calibri" w:cs="Calibri"/>
                </w:rPr>
                <w:t>cyber safety and security</w:t>
              </w:r>
            </w:hyperlink>
            <w:r>
              <w:rPr>
                <w:rFonts w:eastAsia="Calibri" w:cs="Calibri"/>
                <w:color w:val="000000" w:themeColor="text1"/>
              </w:rPr>
              <w:t xml:space="preserve">. These include risk identification and mitigation, reporting and responding to cyber incidents, monitoring key security metrics and continued student and staff engagement. </w:t>
            </w:r>
          </w:p>
          <w:p w14:paraId="3484A06D" w14:textId="77777777" w:rsidR="002B3673" w:rsidRDefault="002B3673" w:rsidP="002B3673">
            <w:pPr>
              <w:pStyle w:val="NormalIndent"/>
              <w:numPr>
                <w:ilvl w:val="1"/>
                <w:numId w:val="21"/>
              </w:numPr>
              <w:spacing w:before="0" w:after="60"/>
              <w:rPr>
                <w:b/>
                <w:bCs/>
              </w:rPr>
            </w:pPr>
            <w:r>
              <w:rPr>
                <w:b/>
                <w:bCs/>
              </w:rPr>
              <w:t>Upholding freedom of speech and academic freedom</w:t>
            </w:r>
          </w:p>
          <w:p w14:paraId="183AFE5D" w14:textId="5F0B3296" w:rsidR="001B109C" w:rsidRDefault="002B3673" w:rsidP="00786866">
            <w:pPr>
              <w:pStyle w:val="NormalIndent"/>
              <w:spacing w:before="0" w:after="0"/>
              <w:ind w:left="742"/>
              <w:rPr>
                <w:rFonts w:asciiTheme="minorHAnsi" w:hAnsiTheme="minorHAnsi" w:cstheme="minorHAnsi"/>
                <w:i/>
                <w:iCs/>
                <w:szCs w:val="22"/>
              </w:rPr>
            </w:pPr>
            <w:hyperlink r:id="rId24" w:history="1">
              <w:r w:rsidRPr="00C0025C">
                <w:rPr>
                  <w:rStyle w:val="Hyperlink"/>
                  <w:rFonts w:eastAsia="Calibri" w:cs="Calibri"/>
                </w:rPr>
                <w:t>Academic freedom</w:t>
              </w:r>
            </w:hyperlink>
            <w:r w:rsidRPr="00307039">
              <w:rPr>
                <w:rFonts w:eastAsia="Calibri" w:cs="Calibri"/>
                <w:color w:val="000000" w:themeColor="text1"/>
              </w:rPr>
              <w:t xml:space="preserve"> and </w:t>
            </w:r>
            <w:hyperlink r:id="rId25" w:history="1">
              <w:r w:rsidRPr="00D61A79">
                <w:rPr>
                  <w:rStyle w:val="Hyperlink"/>
                  <w:rFonts w:eastAsia="Calibri" w:cs="Calibri"/>
                </w:rPr>
                <w:t>freedom of speech</w:t>
              </w:r>
            </w:hyperlink>
            <w:r w:rsidRPr="00307039">
              <w:rPr>
                <w:rFonts w:eastAsia="Calibri" w:cs="Calibri"/>
                <w:color w:val="000000" w:themeColor="text1"/>
              </w:rPr>
              <w:t xml:space="preserve"> </w:t>
            </w:r>
            <w:r>
              <w:rPr>
                <w:rFonts w:eastAsia="Calibri" w:cs="Calibri"/>
                <w:color w:val="000000" w:themeColor="text1"/>
              </w:rPr>
              <w:t xml:space="preserve">are </w:t>
            </w:r>
            <w:r w:rsidRPr="00307039">
              <w:rPr>
                <w:rFonts w:eastAsia="Calibri" w:cs="Calibri"/>
                <w:color w:val="000000" w:themeColor="text1"/>
              </w:rPr>
              <w:t>core values of the University</w:t>
            </w:r>
            <w:r>
              <w:rPr>
                <w:rFonts w:eastAsia="Calibri" w:cs="Calibri"/>
                <w:color w:val="000000" w:themeColor="text1"/>
              </w:rPr>
              <w:t>. Policies outlining the scope and appropriate exercise of these core values underpin the University’s approach to advancement of knowledge, inquiry and safety for all members of the University community. These are regularly shared with students and staff via learning modules and communications.</w:t>
            </w:r>
          </w:p>
          <w:p w14:paraId="0A990CED" w14:textId="77777777" w:rsidR="001B109C" w:rsidRDefault="001B109C" w:rsidP="00E16E9E">
            <w:pPr>
              <w:pStyle w:val="NormalIndent"/>
              <w:spacing w:before="0" w:after="0"/>
              <w:ind w:left="0"/>
              <w:rPr>
                <w:rFonts w:asciiTheme="minorHAnsi" w:hAnsiTheme="minorHAnsi" w:cstheme="minorHAnsi"/>
                <w:i/>
                <w:iCs/>
                <w:szCs w:val="22"/>
              </w:rPr>
            </w:pPr>
          </w:p>
          <w:p w14:paraId="2C91A87B" w14:textId="77777777" w:rsidR="001B109C" w:rsidRPr="005774F2" w:rsidRDefault="001B109C" w:rsidP="00E16E9E">
            <w:pPr>
              <w:pStyle w:val="NormalIndent"/>
              <w:spacing w:before="0" w:after="0"/>
              <w:ind w:left="0"/>
              <w:rPr>
                <w:rFonts w:asciiTheme="minorHAnsi" w:hAnsiTheme="minorHAnsi" w:cstheme="minorHAnsi"/>
                <w:i/>
                <w:iCs/>
                <w:szCs w:val="22"/>
              </w:rPr>
            </w:pPr>
          </w:p>
        </w:tc>
      </w:tr>
      <w:tr w:rsidR="001B109C" w:rsidRPr="00E41388" w14:paraId="0EA45E0C" w14:textId="77777777" w:rsidTr="002B3673">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002B3673">
        <w:tc>
          <w:tcPr>
            <w:tcW w:w="5000" w:type="pct"/>
          </w:tcPr>
          <w:p w14:paraId="36F25EFB" w14:textId="77777777" w:rsidR="005D3150" w:rsidRDefault="005D3150" w:rsidP="005D3150">
            <w:pPr>
              <w:spacing w:before="120" w:after="60"/>
              <w:rPr>
                <w:rFonts w:ascii="Calibri" w:eastAsia="Calibri" w:hAnsi="Calibri" w:cs="Calibri"/>
                <w:color w:val="000000" w:themeColor="text1"/>
              </w:rPr>
            </w:pPr>
            <w:bookmarkStart w:id="0" w:name="_Hlk150338733"/>
            <w:bookmarkStart w:id="1" w:name="_Hlk150338471"/>
            <w:r>
              <w:rPr>
                <w:bCs/>
              </w:rPr>
              <w:t xml:space="preserve">Through the </w:t>
            </w:r>
            <w:hyperlink r:id="rId26">
              <w:r w:rsidRPr="006E3BBC">
                <w:rPr>
                  <w:rStyle w:val="Hyperlink"/>
                  <w:i/>
                  <w:iCs/>
                </w:rPr>
                <w:t>Advancing Students &amp; Education Strategy</w:t>
              </w:r>
            </w:hyperlink>
            <w:r>
              <w:rPr>
                <w:bCs/>
              </w:rPr>
              <w:t>, UoM</w:t>
            </w:r>
            <w:r w:rsidRPr="00E749FA">
              <w:rPr>
                <w:rFonts w:eastAsiaTheme="minorEastAsia"/>
                <w:color w:val="000000" w:themeColor="text1"/>
              </w:rPr>
              <w:t xml:space="preserve"> </w:t>
            </w:r>
            <w:r w:rsidRPr="7F90F70D">
              <w:rPr>
                <w:rFonts w:eastAsiaTheme="minorEastAsia"/>
                <w:color w:val="000000" w:themeColor="text1"/>
              </w:rPr>
              <w:t>plans to</w:t>
            </w:r>
            <w:r>
              <w:rPr>
                <w:rFonts w:eastAsiaTheme="minorEastAsia"/>
                <w:color w:val="000000" w:themeColor="text1"/>
              </w:rPr>
              <w:t xml:space="preserve"> </w:t>
            </w:r>
            <w:r w:rsidRPr="00E749FA">
              <w:rPr>
                <w:rFonts w:eastAsiaTheme="minorEastAsia"/>
                <w:color w:val="000000" w:themeColor="text1"/>
              </w:rPr>
              <w:t xml:space="preserve">significantly increase participation from </w:t>
            </w:r>
            <w:r>
              <w:rPr>
                <w:rFonts w:eastAsiaTheme="minorEastAsia"/>
                <w:color w:val="000000" w:themeColor="text1"/>
              </w:rPr>
              <w:t xml:space="preserve">students from </w:t>
            </w:r>
            <w:r w:rsidRPr="226C621F">
              <w:rPr>
                <w:rFonts w:eastAsiaTheme="minorEastAsia"/>
                <w:color w:val="000000" w:themeColor="text1"/>
              </w:rPr>
              <w:t xml:space="preserve">First </w:t>
            </w:r>
            <w:r w:rsidRPr="2519737B">
              <w:rPr>
                <w:rFonts w:eastAsiaTheme="minorEastAsia"/>
                <w:color w:val="000000" w:themeColor="text1"/>
              </w:rPr>
              <w:t>Nations</w:t>
            </w:r>
            <w:r>
              <w:rPr>
                <w:rFonts w:eastAsiaTheme="minorEastAsia"/>
                <w:color w:val="000000" w:themeColor="text1"/>
              </w:rPr>
              <w:t xml:space="preserve">; </w:t>
            </w:r>
            <w:r w:rsidRPr="00E749FA">
              <w:rPr>
                <w:rFonts w:eastAsiaTheme="minorEastAsia"/>
                <w:color w:val="000000" w:themeColor="text1"/>
              </w:rPr>
              <w:t>low socio-economic</w:t>
            </w:r>
            <w:r>
              <w:rPr>
                <w:rFonts w:eastAsiaTheme="minorEastAsia"/>
                <w:color w:val="000000" w:themeColor="text1"/>
              </w:rPr>
              <w:t>;</w:t>
            </w:r>
            <w:r w:rsidRPr="00E749FA">
              <w:rPr>
                <w:rFonts w:eastAsiaTheme="minorEastAsia"/>
                <w:color w:val="000000" w:themeColor="text1"/>
              </w:rPr>
              <w:t xml:space="preserve"> rural and remote; </w:t>
            </w:r>
            <w:r>
              <w:rPr>
                <w:rFonts w:eastAsiaTheme="minorEastAsia"/>
                <w:color w:val="000000" w:themeColor="text1"/>
              </w:rPr>
              <w:t xml:space="preserve">and </w:t>
            </w:r>
            <w:r w:rsidRPr="00E749FA">
              <w:rPr>
                <w:rFonts w:eastAsiaTheme="minorEastAsia"/>
                <w:color w:val="000000" w:themeColor="text1"/>
              </w:rPr>
              <w:t>students with disability</w:t>
            </w:r>
            <w:r>
              <w:rPr>
                <w:rFonts w:eastAsiaTheme="minorEastAsia"/>
                <w:color w:val="000000" w:themeColor="text1"/>
              </w:rPr>
              <w:t xml:space="preserve">. </w:t>
            </w:r>
            <w:r>
              <w:rPr>
                <w:rFonts w:ascii="Calibri" w:eastAsia="Calibri" w:hAnsi="Calibri" w:cs="Calibri"/>
                <w:color w:val="000000" w:themeColor="text1"/>
              </w:rPr>
              <w:t>Our</w:t>
            </w:r>
            <w:r w:rsidRPr="00E15286">
              <w:rPr>
                <w:rFonts w:ascii="Calibri" w:eastAsia="Calibri" w:hAnsi="Calibri" w:cs="Calibri"/>
                <w:color w:val="000000" w:themeColor="text1"/>
              </w:rPr>
              <w:t xml:space="preserve"> flagship </w:t>
            </w:r>
            <w:hyperlink r:id="rId27">
              <w:r w:rsidRPr="00E15286">
                <w:rPr>
                  <w:rStyle w:val="Hyperlink"/>
                </w:rPr>
                <w:t>Narrm Scholarship</w:t>
              </w:r>
            </w:hyperlink>
            <w:r>
              <w:t xml:space="preserve"> Program is </w:t>
            </w:r>
            <w:r w:rsidRPr="00A31A33">
              <w:rPr>
                <w:rFonts w:ascii="Calibri" w:eastAsia="Calibri" w:hAnsi="Calibri" w:cs="Calibri"/>
                <w:color w:val="000000" w:themeColor="text1"/>
              </w:rPr>
              <w:t>in its</w:t>
            </w:r>
            <w:r w:rsidRPr="03A7161E">
              <w:rPr>
                <w:rFonts w:ascii="Calibri" w:eastAsia="Calibri" w:hAnsi="Calibri" w:cs="Calibri"/>
                <w:color w:val="000000" w:themeColor="text1"/>
              </w:rPr>
              <w:t xml:space="preserve"> second year</w:t>
            </w:r>
            <w:r w:rsidRPr="02004050">
              <w:rPr>
                <w:rFonts w:ascii="Calibri" w:eastAsia="Calibri" w:hAnsi="Calibri" w:cs="Calibri"/>
                <w:color w:val="000000" w:themeColor="text1"/>
              </w:rPr>
              <w:t xml:space="preserve">. </w:t>
            </w:r>
            <w:r w:rsidRPr="37660D6B">
              <w:rPr>
                <w:rFonts w:ascii="Calibri" w:eastAsia="Calibri" w:hAnsi="Calibri" w:cs="Calibri"/>
                <w:color w:val="000000" w:themeColor="text1"/>
              </w:rPr>
              <w:t>In 2025, Narrm</w:t>
            </w:r>
            <w:r w:rsidRPr="0AF17747">
              <w:rPr>
                <w:rFonts w:ascii="Calibri" w:eastAsia="Calibri" w:hAnsi="Calibri" w:cs="Calibri"/>
                <w:color w:val="000000" w:themeColor="text1"/>
              </w:rPr>
              <w:t xml:space="preserve"> Scholarships are </w:t>
            </w:r>
            <w:r w:rsidRPr="2CB25F94">
              <w:rPr>
                <w:rFonts w:ascii="Calibri" w:eastAsia="Calibri" w:hAnsi="Calibri" w:cs="Calibri"/>
                <w:color w:val="000000" w:themeColor="text1"/>
              </w:rPr>
              <w:t xml:space="preserve">supporting 958 </w:t>
            </w:r>
            <w:r w:rsidRPr="4B81D54E">
              <w:rPr>
                <w:rFonts w:ascii="Calibri" w:eastAsia="Calibri" w:hAnsi="Calibri" w:cs="Calibri"/>
                <w:color w:val="000000" w:themeColor="text1"/>
              </w:rPr>
              <w:t xml:space="preserve">students </w:t>
            </w:r>
            <w:r w:rsidRPr="00E15286">
              <w:rPr>
                <w:rFonts w:ascii="Calibri" w:eastAsia="Calibri" w:hAnsi="Calibri" w:cs="Calibri"/>
                <w:color w:val="000000" w:themeColor="text1"/>
              </w:rPr>
              <w:t>who are Indigenous Australians</w:t>
            </w:r>
            <w:r>
              <w:rPr>
                <w:rFonts w:ascii="Calibri" w:eastAsia="Calibri" w:hAnsi="Calibri" w:cs="Calibri"/>
                <w:color w:val="000000" w:themeColor="text1"/>
              </w:rPr>
              <w:t xml:space="preserve"> and from under-represented backgrounds with </w:t>
            </w:r>
            <w:r w:rsidRPr="00E15286">
              <w:rPr>
                <w:rFonts w:ascii="Calibri" w:eastAsia="Calibri" w:hAnsi="Calibri" w:cs="Calibri"/>
                <w:color w:val="000000" w:themeColor="text1"/>
              </w:rPr>
              <w:t>stipends, material support and a tailored enrichment program</w:t>
            </w:r>
            <w:r>
              <w:rPr>
                <w:rFonts w:ascii="Calibri" w:eastAsia="Calibri" w:hAnsi="Calibri" w:cs="Calibri"/>
                <w:color w:val="000000" w:themeColor="text1"/>
              </w:rPr>
              <w:t xml:space="preserve">. </w:t>
            </w:r>
          </w:p>
          <w:p w14:paraId="0B329828" w14:textId="77777777" w:rsidR="005D3150" w:rsidRDefault="005D3150" w:rsidP="009D1977">
            <w:pPr>
              <w:spacing w:before="120" w:after="0"/>
              <w:rPr>
                <w:rFonts w:ascii="Calibri" w:eastAsia="Calibri" w:hAnsi="Calibri" w:cs="Calibri"/>
              </w:rPr>
            </w:pPr>
            <w:hyperlink r:id="rId28">
              <w:r w:rsidRPr="006E3BBC">
                <w:rPr>
                  <w:rStyle w:val="Hyperlink"/>
                  <w:b/>
                  <w:i/>
                  <w:iCs/>
                </w:rPr>
                <w:t>Murmuk Djerring</w:t>
              </w:r>
              <w:r w:rsidRPr="00F20811">
                <w:rPr>
                  <w:rStyle w:val="Hyperlink"/>
                  <w:rFonts w:ascii="Calibri" w:eastAsia="Calibri" w:hAnsi="Calibri" w:cs="Calibri"/>
                  <w:b/>
                  <w:color w:val="auto"/>
                  <w:u w:val="none"/>
                </w:rPr>
                <w:t>, UoM’s Indigenous Strategy 2023-2027</w:t>
              </w:r>
            </w:hyperlink>
            <w:r w:rsidRPr="00F20811">
              <w:rPr>
                <w:rFonts w:ascii="Calibri" w:eastAsia="Calibri" w:hAnsi="Calibri" w:cs="Calibri"/>
                <w:b/>
              </w:rPr>
              <w:t>, and t</w:t>
            </w:r>
            <w:r w:rsidRPr="00F20811">
              <w:rPr>
                <w:b/>
              </w:rPr>
              <w:t>he</w:t>
            </w:r>
            <w:r w:rsidRPr="00F20811">
              <w:rPr>
                <w:rFonts w:ascii="Calibri" w:eastAsia="Calibri" w:hAnsi="Calibri" w:cs="Calibri"/>
                <w:b/>
              </w:rPr>
              <w:t xml:space="preserve"> </w:t>
            </w:r>
            <w:hyperlink r:id="rId29">
              <w:r w:rsidRPr="006E3BBC">
                <w:rPr>
                  <w:rStyle w:val="Hyperlink"/>
                  <w:rFonts w:ascii="Calibri" w:eastAsia="Calibri" w:hAnsi="Calibri" w:cs="Calibri"/>
                  <w:b/>
                  <w:i/>
                  <w:iCs/>
                </w:rPr>
                <w:t>I</w:t>
              </w:r>
              <w:r w:rsidRPr="006E3BBC">
                <w:rPr>
                  <w:rStyle w:val="Hyperlink"/>
                  <w:b/>
                  <w:i/>
                  <w:iCs/>
                </w:rPr>
                <w:t>n</w:t>
              </w:r>
              <w:r w:rsidRPr="006E3BBC">
                <w:rPr>
                  <w:rStyle w:val="Hyperlink"/>
                  <w:rFonts w:ascii="Calibri" w:eastAsia="Calibri" w:hAnsi="Calibri" w:cs="Calibri"/>
                  <w:b/>
                  <w:i/>
                  <w:iCs/>
                </w:rPr>
                <w:t xml:space="preserve">digenous Student Plan 2023-2027 </w:t>
              </w:r>
              <w:r w:rsidRPr="00F20811">
                <w:rPr>
                  <w:rStyle w:val="Hyperlink"/>
                  <w:rFonts w:ascii="Calibri" w:eastAsia="Calibri" w:hAnsi="Calibri" w:cs="Calibri"/>
                  <w:b/>
                </w:rPr>
                <w:t>(ISP)</w:t>
              </w:r>
            </w:hyperlink>
            <w:r w:rsidRPr="00F20811">
              <w:rPr>
                <w:rFonts w:ascii="Calibri" w:eastAsia="Calibri" w:hAnsi="Calibri" w:cs="Calibri"/>
                <w:b/>
                <w:bCs/>
                <w:i/>
                <w:iCs/>
              </w:rPr>
              <w:t xml:space="preserve"> </w:t>
            </w:r>
            <w:r w:rsidRPr="00F20811">
              <w:rPr>
                <w:rFonts w:ascii="Calibri" w:eastAsia="Calibri" w:hAnsi="Calibri" w:cs="Calibri"/>
                <w:b/>
                <w:bCs/>
              </w:rPr>
              <w:t xml:space="preserve"> outline initiatives to support the participation and success of Indigenous students</w:t>
            </w:r>
            <w:r>
              <w:rPr>
                <w:rFonts w:ascii="Calibri" w:eastAsia="Calibri" w:hAnsi="Calibri" w:cs="Calibri"/>
                <w:b/>
                <w:bCs/>
              </w:rPr>
              <w:t>:</w:t>
            </w:r>
          </w:p>
          <w:p w14:paraId="2F03E942" w14:textId="77777777" w:rsidR="005D3150" w:rsidRPr="00095057" w:rsidRDefault="005D3150" w:rsidP="009D1977">
            <w:pPr>
              <w:pStyle w:val="ListParagraph"/>
              <w:numPr>
                <w:ilvl w:val="0"/>
                <w:numId w:val="23"/>
              </w:numPr>
              <w:spacing w:after="0"/>
              <w:rPr>
                <w:rStyle w:val="Hyperlink"/>
                <w:rFonts w:ascii="Times New Roman" w:hAnsi="Times New Roman" w:cs="Times New Roman"/>
                <w:color w:val="auto"/>
                <w:u w:val="none"/>
              </w:rPr>
            </w:pPr>
            <w:r w:rsidRPr="00326D06">
              <w:rPr>
                <w:rFonts w:ascii="Calibri" w:eastAsia="Calibri" w:hAnsi="Calibri" w:cs="Calibri"/>
              </w:rPr>
              <w:t xml:space="preserve">This extends the work of dedicated initiatives </w:t>
            </w:r>
            <w:r>
              <w:rPr>
                <w:rFonts w:ascii="Calibri" w:eastAsia="Calibri" w:hAnsi="Calibri" w:cs="Calibri"/>
              </w:rPr>
              <w:t>including</w:t>
            </w:r>
            <w:r w:rsidRPr="00326D06">
              <w:rPr>
                <w:rFonts w:ascii="Calibri" w:eastAsia="Calibri" w:hAnsi="Calibri" w:cs="Calibri"/>
              </w:rPr>
              <w:t xml:space="preserve"> </w:t>
            </w:r>
            <w:hyperlink r:id="rId30" w:history="1">
              <w:proofErr w:type="spellStart"/>
              <w:r w:rsidRPr="003F15D4">
                <w:rPr>
                  <w:rStyle w:val="Hyperlink"/>
                  <w:rFonts w:ascii="Calibri" w:eastAsia="Calibri" w:hAnsi="Calibri" w:cs="Calibri"/>
                </w:rPr>
                <w:t>Murrup</w:t>
              </w:r>
              <w:proofErr w:type="spellEnd"/>
              <w:r w:rsidRPr="003F15D4">
                <w:rPr>
                  <w:rStyle w:val="Hyperlink"/>
                  <w:rFonts w:ascii="Calibri" w:eastAsia="Calibri" w:hAnsi="Calibri" w:cs="Calibri"/>
                </w:rPr>
                <w:t xml:space="preserve"> Barak</w:t>
              </w:r>
            </w:hyperlink>
            <w:r w:rsidRPr="00256A2E">
              <w:rPr>
                <w:rStyle w:val="Hyperlink"/>
                <w:rFonts w:ascii="Calibri" w:eastAsia="Calibri" w:hAnsi="Calibri" w:cs="Calibri"/>
                <w:color w:val="auto"/>
                <w:u w:val="none"/>
              </w:rPr>
              <w:t xml:space="preserve">, </w:t>
            </w:r>
            <w:hyperlink r:id="rId31" w:history="1">
              <w:r w:rsidRPr="00DA4996">
                <w:rPr>
                  <w:rStyle w:val="Hyperlink"/>
                  <w:rFonts w:ascii="Calibri" w:eastAsia="Calibri" w:hAnsi="Calibri" w:cs="Calibri"/>
                </w:rPr>
                <w:t>Wilin Centre</w:t>
              </w:r>
            </w:hyperlink>
            <w:r w:rsidRPr="00256A2E">
              <w:rPr>
                <w:rStyle w:val="Hyperlink"/>
                <w:rFonts w:ascii="Calibri" w:eastAsia="Calibri" w:hAnsi="Calibri" w:cs="Calibri"/>
                <w:color w:val="auto"/>
                <w:u w:val="none"/>
              </w:rPr>
              <w:t xml:space="preserve"> and the</w:t>
            </w:r>
            <w:r>
              <w:rPr>
                <w:rStyle w:val="Hyperlink"/>
                <w:rFonts w:ascii="Calibri" w:eastAsia="Calibri" w:hAnsi="Calibri" w:cs="Calibri"/>
                <w:color w:val="auto"/>
                <w:u w:val="none"/>
              </w:rPr>
              <w:t xml:space="preserve"> </w:t>
            </w:r>
            <w:hyperlink r:id="rId32" w:history="1">
              <w:r w:rsidRPr="00586AF6">
                <w:rPr>
                  <w:rStyle w:val="Hyperlink"/>
                  <w:rFonts w:ascii="Calibri" w:eastAsia="Calibri" w:hAnsi="Calibri" w:cs="Calibri"/>
                </w:rPr>
                <w:t>Melbourne Poche Centre for Indigenous Health</w:t>
              </w:r>
            </w:hyperlink>
            <w:r>
              <w:rPr>
                <w:rStyle w:val="Hyperlink"/>
                <w:rFonts w:ascii="Calibri" w:eastAsia="Calibri" w:hAnsi="Calibri" w:cs="Calibri"/>
                <w:color w:val="auto"/>
                <w:u w:val="none"/>
              </w:rPr>
              <w:t xml:space="preserve"> which </w:t>
            </w:r>
            <w:r w:rsidRPr="00421A46">
              <w:rPr>
                <w:rFonts w:cstheme="minorHAnsi"/>
                <w:iCs/>
              </w:rPr>
              <w:t>empower Aboriginal and Torres Strait Islander students to succeed in a safe, welcoming, and respectful environment</w:t>
            </w:r>
            <w:r>
              <w:rPr>
                <w:rFonts w:cstheme="minorHAnsi"/>
                <w:iCs/>
              </w:rPr>
              <w:t xml:space="preserve">. </w:t>
            </w:r>
          </w:p>
          <w:p w14:paraId="441861B1" w14:textId="77777777" w:rsidR="005D3150" w:rsidRPr="00EB256D" w:rsidRDefault="005D3150" w:rsidP="005D3150">
            <w:pPr>
              <w:pStyle w:val="NormalIndent"/>
              <w:numPr>
                <w:ilvl w:val="0"/>
                <w:numId w:val="22"/>
              </w:numPr>
              <w:spacing w:before="0" w:after="0"/>
              <w:rPr>
                <w:rFonts w:asciiTheme="minorHAnsi" w:hAnsiTheme="minorHAnsi" w:cstheme="minorBidi"/>
                <w:i/>
              </w:rPr>
            </w:pPr>
            <w:r>
              <w:lastRenderedPageBreak/>
              <w:t>U</w:t>
            </w:r>
            <w:r w:rsidRPr="00421A46">
              <w:t>nprecedented investment in student leadership programs</w:t>
            </w:r>
            <w:r>
              <w:t>;</w:t>
            </w:r>
            <w:r w:rsidRPr="00B36D86">
              <w:t xml:space="preserve"> surveying Indigenous students for an open and honest conversation about their UoM experiences</w:t>
            </w:r>
            <w:r>
              <w:t xml:space="preserve">; </w:t>
            </w:r>
            <w:r w:rsidRPr="00421A46">
              <w:t xml:space="preserve">promoting the recognition and activation of Indigenous Knowledge and value systems in the academy; </w:t>
            </w:r>
            <w:r w:rsidRPr="00EB256D">
              <w:t>ensuring UoM’s physical campuses recognise and give prominence to Indigenous cultures</w:t>
            </w:r>
            <w:r>
              <w:t xml:space="preserve">; </w:t>
            </w:r>
            <w:r w:rsidRPr="00421A46">
              <w:t>development of an Indigenous cultural education program;</w:t>
            </w:r>
            <w:r>
              <w:t xml:space="preserve"> and addressing historical and ongoing injustices through </w:t>
            </w:r>
            <w:hyperlink r:id="rId33" w:history="1">
              <w:r w:rsidRPr="00C22296">
                <w:rPr>
                  <w:rStyle w:val="Hyperlink"/>
                </w:rPr>
                <w:t>truth-telling</w:t>
              </w:r>
            </w:hyperlink>
            <w:r>
              <w:t xml:space="preserve">. </w:t>
            </w:r>
          </w:p>
          <w:p w14:paraId="76689F89" w14:textId="77777777" w:rsidR="005D3150" w:rsidRPr="00693A26" w:rsidRDefault="005D3150" w:rsidP="005D3150">
            <w:pPr>
              <w:pStyle w:val="NormalIndent"/>
              <w:numPr>
                <w:ilvl w:val="0"/>
                <w:numId w:val="22"/>
              </w:numPr>
              <w:spacing w:before="0" w:after="0"/>
              <w:rPr>
                <w:rFonts w:asciiTheme="minorHAnsi" w:hAnsiTheme="minorHAnsi" w:cstheme="minorBidi"/>
                <w:iCs/>
              </w:rPr>
            </w:pPr>
            <w:r>
              <w:rPr>
                <w:rFonts w:asciiTheme="minorHAnsi" w:hAnsiTheme="minorHAnsi" w:cstheme="minorBidi"/>
                <w:iCs/>
              </w:rPr>
              <w:t>T</w:t>
            </w:r>
            <w:r w:rsidRPr="00693A26">
              <w:rPr>
                <w:rFonts w:asciiTheme="minorHAnsi" w:hAnsiTheme="minorHAnsi" w:cstheme="minorBidi"/>
                <w:iCs/>
              </w:rPr>
              <w:t>he </w:t>
            </w:r>
            <w:hyperlink r:id="rId34" w:tgtFrame="_blank" w:tooltip="https://murrupbarak.unimelb.edu.au/home/student-experience/indigenous-tutorial-access-scheme" w:history="1">
              <w:r w:rsidRPr="00693A26">
                <w:rPr>
                  <w:rStyle w:val="Hyperlink"/>
                  <w:rFonts w:asciiTheme="minorHAnsi" w:hAnsiTheme="minorHAnsi" w:cstheme="minorBidi"/>
                  <w:iCs/>
                </w:rPr>
                <w:t>Indigenous Tutorial Assistance Scheme</w:t>
              </w:r>
            </w:hyperlink>
            <w:r w:rsidRPr="00693A26">
              <w:rPr>
                <w:rFonts w:asciiTheme="minorHAnsi" w:hAnsiTheme="minorHAnsi" w:cstheme="minorBidi"/>
                <w:iCs/>
              </w:rPr>
              <w:t> and the Professional Certificate in Indigenous Research &amp; Graduate Certificate in Indigenous Research and Leadership.</w:t>
            </w:r>
          </w:p>
          <w:p w14:paraId="26BD3B9D" w14:textId="77777777" w:rsidR="005D3150" w:rsidRPr="00141376" w:rsidRDefault="005D3150" w:rsidP="005D3150">
            <w:pPr>
              <w:pStyle w:val="ListParagraph"/>
              <w:numPr>
                <w:ilvl w:val="0"/>
                <w:numId w:val="22"/>
              </w:numPr>
              <w:spacing w:after="60"/>
              <w:contextualSpacing w:val="0"/>
              <w:rPr>
                <w:rFonts w:cstheme="minorHAnsi"/>
                <w:iCs/>
              </w:rPr>
            </w:pPr>
            <w:r>
              <w:rPr>
                <w:rFonts w:ascii="Calibri" w:eastAsia="Calibri" w:hAnsi="Calibri" w:cs="Calibri"/>
                <w:color w:val="000000" w:themeColor="text1"/>
              </w:rPr>
              <w:t>A</w:t>
            </w:r>
            <w:r w:rsidRPr="00BC2A0D">
              <w:rPr>
                <w:rFonts w:ascii="Calibri" w:eastAsia="Calibri" w:hAnsi="Calibri" w:cs="Calibri"/>
                <w:color w:val="000000" w:themeColor="text1"/>
              </w:rPr>
              <w:t xml:space="preserve"> student management system </w:t>
            </w:r>
            <w:r>
              <w:rPr>
                <w:rFonts w:ascii="Calibri" w:eastAsia="Calibri" w:hAnsi="Calibri" w:cs="Calibri"/>
                <w:color w:val="000000" w:themeColor="text1"/>
              </w:rPr>
              <w:t xml:space="preserve">is used </w:t>
            </w:r>
            <w:r w:rsidRPr="00BC2A0D">
              <w:rPr>
                <w:rFonts w:ascii="Calibri" w:eastAsia="Calibri" w:hAnsi="Calibri" w:cs="Calibri"/>
                <w:color w:val="000000" w:themeColor="text1"/>
              </w:rPr>
              <w:t xml:space="preserve">to monitor student success rates and ensure entry standards are appropriate. These data allow the University to tailor appropriate support programs and benchmark against other institutions. An annual </w:t>
            </w:r>
            <w:r w:rsidRPr="00BC2A0D">
              <w:rPr>
                <w:rFonts w:ascii="Calibri" w:eastAsia="Calibri" w:hAnsi="Calibri" w:cs="Calibri"/>
                <w:i/>
                <w:iCs/>
                <w:color w:val="000000" w:themeColor="text1"/>
              </w:rPr>
              <w:t xml:space="preserve">Indigenous Outcomes Performance Report </w:t>
            </w:r>
            <w:r w:rsidRPr="00BC2A0D">
              <w:rPr>
                <w:rFonts w:ascii="Calibri" w:eastAsia="Calibri" w:hAnsi="Calibri" w:cs="Calibri"/>
                <w:color w:val="000000" w:themeColor="text1"/>
              </w:rPr>
              <w:t xml:space="preserve">tracks performance against the </w:t>
            </w:r>
            <w:r w:rsidRPr="00BC2A0D">
              <w:rPr>
                <w:rFonts w:ascii="Calibri" w:eastAsia="Calibri" w:hAnsi="Calibri" w:cs="Calibri"/>
                <w:i/>
                <w:iCs/>
                <w:color w:val="000000" w:themeColor="text1"/>
              </w:rPr>
              <w:t>Indigenous Outcomes Measurement Framework</w:t>
            </w:r>
            <w:r w:rsidRPr="00BC2A0D">
              <w:rPr>
                <w:rFonts w:ascii="Calibri" w:eastAsia="Calibri" w:hAnsi="Calibri" w:cs="Calibri"/>
                <w:color w:val="000000" w:themeColor="text1"/>
              </w:rPr>
              <w:t>.</w:t>
            </w:r>
          </w:p>
          <w:p w14:paraId="44A4BECA" w14:textId="77777777" w:rsidR="005D3150" w:rsidRDefault="005D3150" w:rsidP="005D3150">
            <w:pPr>
              <w:spacing w:before="120" w:after="60"/>
              <w:rPr>
                <w:rFonts w:ascii="Calibri" w:eastAsia="Calibri" w:hAnsi="Calibri" w:cs="Calibri"/>
                <w:color w:val="000000" w:themeColor="text1"/>
              </w:rPr>
            </w:pPr>
            <w:r w:rsidRPr="00163277">
              <w:rPr>
                <w:rFonts w:eastAsiaTheme="minorEastAsia"/>
                <w:b/>
                <w:bCs/>
                <w:color w:val="000000" w:themeColor="text1"/>
              </w:rPr>
              <w:t xml:space="preserve">UoM’s Special Entry Access Scheme, </w:t>
            </w:r>
            <w:hyperlink r:id="rId35">
              <w:r w:rsidRPr="00163277">
                <w:rPr>
                  <w:rStyle w:val="Hyperlink"/>
                  <w:rFonts w:eastAsiaTheme="minorEastAsia"/>
                  <w:b/>
                  <w:bCs/>
                </w:rPr>
                <w:t>Access Melbourne</w:t>
              </w:r>
            </w:hyperlink>
            <w:r w:rsidRPr="00163277">
              <w:rPr>
                <w:rFonts w:eastAsiaTheme="minorEastAsia"/>
                <w:b/>
                <w:bCs/>
                <w:color w:val="000000" w:themeColor="text1"/>
              </w:rPr>
              <w:t xml:space="preserve"> is designed to support the entry of students who have faced unique circumstances throughout their schooling.</w:t>
            </w:r>
            <w:r w:rsidRPr="00B305ED">
              <w:rPr>
                <w:rFonts w:eastAsiaTheme="minorEastAsia"/>
                <w:color w:val="000000" w:themeColor="text1"/>
              </w:rPr>
              <w:t xml:space="preserve"> </w:t>
            </w:r>
          </w:p>
          <w:p w14:paraId="7F383388" w14:textId="77777777" w:rsidR="005D3150" w:rsidRPr="00163277" w:rsidRDefault="005D3150" w:rsidP="005D3150">
            <w:pPr>
              <w:pStyle w:val="ListParagraph"/>
              <w:numPr>
                <w:ilvl w:val="0"/>
                <w:numId w:val="24"/>
              </w:numPr>
              <w:spacing w:after="60"/>
              <w:rPr>
                <w:rFonts w:ascii="Calibri" w:eastAsia="Calibri" w:hAnsi="Calibri" w:cs="Calibri"/>
                <w:color w:val="000000" w:themeColor="text1"/>
              </w:rPr>
            </w:pPr>
            <w:r w:rsidRPr="00163277">
              <w:rPr>
                <w:rFonts w:ascii="Calibri" w:eastAsia="Calibri" w:hAnsi="Calibri" w:cs="Calibri"/>
                <w:color w:val="000000" w:themeColor="text1"/>
              </w:rPr>
              <w:t xml:space="preserve">UoM’s new </w:t>
            </w:r>
            <w:hyperlink r:id="rId36">
              <w:r w:rsidRPr="00163277">
                <w:rPr>
                  <w:rStyle w:val="Hyperlink"/>
                  <w:rFonts w:ascii="Calibri" w:eastAsia="Calibri" w:hAnsi="Calibri" w:cs="Calibri"/>
                </w:rPr>
                <w:t>Access Melbourne calculator</w:t>
              </w:r>
            </w:hyperlink>
            <w:r w:rsidRPr="00163277">
              <w:rPr>
                <w:rFonts w:ascii="Calibri" w:eastAsia="Calibri" w:hAnsi="Calibri" w:cs="Calibri"/>
                <w:color w:val="000000" w:themeColor="text1"/>
              </w:rPr>
              <w:t xml:space="preserve"> allows undergraduate students to see their eligibility for the scheme and the estimated ATAR needed. Our admissions transparency framework  provides both international and domestic </w:t>
            </w:r>
            <w:hyperlink r:id="rId37">
              <w:r w:rsidRPr="00163277">
                <w:rPr>
                  <w:rStyle w:val="Hyperlink"/>
                  <w:rFonts w:ascii="Calibri" w:eastAsia="Calibri" w:hAnsi="Calibri" w:cs="Calibri"/>
                </w:rPr>
                <w:t>graduate coursework students</w:t>
              </w:r>
            </w:hyperlink>
            <w:r w:rsidRPr="00163277">
              <w:rPr>
                <w:rFonts w:ascii="Calibri" w:eastAsia="Calibri" w:hAnsi="Calibri" w:cs="Calibri"/>
                <w:color w:val="000000" w:themeColor="text1"/>
              </w:rPr>
              <w:t xml:space="preserve"> with clarity on our entrance standards.</w:t>
            </w:r>
          </w:p>
          <w:p w14:paraId="2A1DD4AE" w14:textId="77777777" w:rsidR="005D3150" w:rsidRPr="0092174E" w:rsidRDefault="005D3150" w:rsidP="005D3150">
            <w:pPr>
              <w:pStyle w:val="ListParagraph"/>
              <w:numPr>
                <w:ilvl w:val="0"/>
                <w:numId w:val="22"/>
              </w:numPr>
              <w:spacing w:after="60"/>
              <w:rPr>
                <w:rFonts w:eastAsiaTheme="minorEastAsia"/>
                <w:color w:val="000000" w:themeColor="text1"/>
              </w:rPr>
            </w:pPr>
            <w:r w:rsidRPr="0092174E">
              <w:rPr>
                <w:rFonts w:eastAsiaTheme="minorEastAsia"/>
                <w:color w:val="000000" w:themeColor="text1"/>
              </w:rPr>
              <w:t>Revised selection and support processes to better attract and retain students from all backgrounds</w:t>
            </w:r>
            <w:r>
              <w:rPr>
                <w:rFonts w:eastAsiaTheme="minorEastAsia"/>
                <w:color w:val="000000" w:themeColor="text1"/>
              </w:rPr>
              <w:t>,</w:t>
            </w:r>
            <w:r w:rsidRPr="0092174E">
              <w:rPr>
                <w:rFonts w:eastAsiaTheme="minorEastAsia"/>
                <w:color w:val="000000" w:themeColor="text1"/>
              </w:rPr>
              <w:t xml:space="preserve"> including the expansion of the Access Melbourne program to include Graduate Degree Packages (a guaranteed CSP for both an undergraduate and specialised professional graduate course).</w:t>
            </w:r>
          </w:p>
          <w:p w14:paraId="5574DCD1" w14:textId="77777777" w:rsidR="005D3150" w:rsidRPr="00051E4F" w:rsidRDefault="005D3150" w:rsidP="005D3150">
            <w:pPr>
              <w:pStyle w:val="ListParagraph"/>
              <w:numPr>
                <w:ilvl w:val="0"/>
                <w:numId w:val="22"/>
              </w:numPr>
              <w:spacing w:after="60"/>
              <w:rPr>
                <w:rFonts w:ascii="Calibri" w:eastAsia="Calibri" w:hAnsi="Calibri" w:cs="Calibri"/>
                <w:color w:val="000000" w:themeColor="text1"/>
              </w:rPr>
            </w:pPr>
            <w:r>
              <w:rPr>
                <w:rFonts w:ascii="Calibri" w:eastAsia="Calibri" w:hAnsi="Calibri" w:cs="Calibri"/>
                <w:color w:val="000000" w:themeColor="text1"/>
              </w:rPr>
              <w:t>UoM</w:t>
            </w:r>
            <w:r w:rsidRPr="00C80A37">
              <w:rPr>
                <w:rFonts w:ascii="Calibri" w:eastAsia="Calibri" w:hAnsi="Calibri" w:cs="Calibri"/>
                <w:color w:val="000000" w:themeColor="text1"/>
              </w:rPr>
              <w:t xml:space="preserve"> </w:t>
            </w:r>
            <w:r w:rsidRPr="010AE691">
              <w:rPr>
                <w:rFonts w:ascii="Calibri" w:eastAsia="Calibri" w:hAnsi="Calibri" w:cs="Calibri"/>
                <w:color w:val="000000" w:themeColor="text1"/>
              </w:rPr>
              <w:t>continues</w:t>
            </w:r>
            <w:r w:rsidRPr="00C80A37">
              <w:rPr>
                <w:rFonts w:ascii="Calibri" w:eastAsia="Calibri" w:hAnsi="Calibri" w:cs="Calibri"/>
                <w:color w:val="000000" w:themeColor="text1"/>
              </w:rPr>
              <w:t xml:space="preserve"> to strengthen its </w:t>
            </w:r>
            <w:hyperlink r:id="rId38">
              <w:r w:rsidRPr="2175A7CB">
                <w:rPr>
                  <w:rStyle w:val="Hyperlink"/>
                  <w:rFonts w:ascii="Calibri" w:eastAsia="Calibri" w:hAnsi="Calibri" w:cs="Calibri"/>
                </w:rPr>
                <w:t>schools outreach programs</w:t>
              </w:r>
            </w:hyperlink>
            <w:r w:rsidRPr="00C80A37">
              <w:rPr>
                <w:rFonts w:ascii="Calibri" w:eastAsia="Calibri" w:hAnsi="Calibri" w:cs="Calibri"/>
                <w:color w:val="000000" w:themeColor="text1"/>
              </w:rPr>
              <w:t xml:space="preserve"> to</w:t>
            </w:r>
            <w:r>
              <w:rPr>
                <w:rFonts w:ascii="Calibri" w:eastAsia="Calibri" w:hAnsi="Calibri" w:cs="Calibri"/>
                <w:color w:val="000000" w:themeColor="text1"/>
              </w:rPr>
              <w:t xml:space="preserve"> attract</w:t>
            </w:r>
            <w:r w:rsidRPr="00C80A37">
              <w:rPr>
                <w:rFonts w:ascii="Calibri" w:eastAsia="Calibri" w:hAnsi="Calibri" w:cs="Calibri"/>
                <w:color w:val="000000" w:themeColor="text1"/>
              </w:rPr>
              <w:t xml:space="preserve"> students from under</w:t>
            </w:r>
            <w:r>
              <w:rPr>
                <w:rFonts w:ascii="Calibri" w:eastAsia="Calibri" w:hAnsi="Calibri" w:cs="Calibri"/>
                <w:color w:val="000000" w:themeColor="text1"/>
              </w:rPr>
              <w:t>-</w:t>
            </w:r>
            <w:r w:rsidRPr="00C80A37">
              <w:rPr>
                <w:rFonts w:ascii="Calibri" w:eastAsia="Calibri" w:hAnsi="Calibri" w:cs="Calibri"/>
                <w:color w:val="000000" w:themeColor="text1"/>
              </w:rPr>
              <w:t xml:space="preserve">represented cohorts, and has established two advisory groups of school careers practitioners to guide these efforts </w:t>
            </w:r>
            <w:r>
              <w:rPr>
                <w:rFonts w:ascii="Calibri" w:eastAsia="Calibri" w:hAnsi="Calibri" w:cs="Calibri"/>
                <w:color w:val="000000" w:themeColor="text1"/>
              </w:rPr>
              <w:t>(</w:t>
            </w:r>
            <w:r w:rsidRPr="00C80A37">
              <w:rPr>
                <w:rFonts w:ascii="Calibri" w:eastAsia="Calibri" w:hAnsi="Calibri" w:cs="Calibri"/>
                <w:color w:val="000000" w:themeColor="text1"/>
              </w:rPr>
              <w:t>for regional areas and</w:t>
            </w:r>
            <w:r>
              <w:rPr>
                <w:rFonts w:ascii="Calibri" w:eastAsia="Calibri" w:hAnsi="Calibri" w:cs="Calibri"/>
                <w:color w:val="000000" w:themeColor="text1"/>
              </w:rPr>
              <w:t xml:space="preserve"> </w:t>
            </w:r>
            <w:r w:rsidRPr="00C80A37">
              <w:rPr>
                <w:rFonts w:ascii="Calibri" w:eastAsia="Calibri" w:hAnsi="Calibri" w:cs="Calibri"/>
                <w:color w:val="000000" w:themeColor="text1"/>
              </w:rPr>
              <w:t>low SES metro schools</w:t>
            </w:r>
            <w:r>
              <w:rPr>
                <w:rFonts w:ascii="Calibri" w:eastAsia="Calibri" w:hAnsi="Calibri" w:cs="Calibri"/>
                <w:color w:val="000000" w:themeColor="text1"/>
              </w:rPr>
              <w:t>)</w:t>
            </w:r>
            <w:r w:rsidRPr="00C80A37">
              <w:rPr>
                <w:rFonts w:ascii="Calibri" w:eastAsia="Calibri" w:hAnsi="Calibri" w:cs="Calibri"/>
                <w:color w:val="000000" w:themeColor="text1"/>
              </w:rPr>
              <w:t xml:space="preserve">. </w:t>
            </w:r>
            <w:r>
              <w:rPr>
                <w:rFonts w:ascii="Calibri" w:eastAsia="Calibri" w:hAnsi="Calibri" w:cs="Calibri"/>
                <w:color w:val="000000" w:themeColor="text1"/>
              </w:rPr>
              <w:t>F</w:t>
            </w:r>
            <w:r w:rsidRPr="00C80A37">
              <w:rPr>
                <w:rFonts w:ascii="Calibri" w:eastAsia="Calibri" w:hAnsi="Calibri" w:cs="Calibri"/>
                <w:color w:val="000000" w:themeColor="text1"/>
              </w:rPr>
              <w:t>unding</w:t>
            </w:r>
            <w:r w:rsidRPr="43EB1E2F">
              <w:rPr>
                <w:rFonts w:ascii="Calibri" w:eastAsia="Calibri" w:hAnsi="Calibri" w:cs="Calibri"/>
                <w:color w:val="000000" w:themeColor="text1"/>
              </w:rPr>
              <w:t xml:space="preserve"> provided</w:t>
            </w:r>
            <w:r w:rsidRPr="00C80A37">
              <w:rPr>
                <w:rFonts w:ascii="Calibri" w:eastAsia="Calibri" w:hAnsi="Calibri" w:cs="Calibri"/>
                <w:color w:val="000000" w:themeColor="text1"/>
              </w:rPr>
              <w:t xml:space="preserve"> </w:t>
            </w:r>
            <w:r>
              <w:rPr>
                <w:rFonts w:ascii="Calibri" w:eastAsia="Calibri" w:hAnsi="Calibri" w:cs="Calibri"/>
                <w:color w:val="000000" w:themeColor="text1"/>
              </w:rPr>
              <w:t xml:space="preserve">in 2025-2026 </w:t>
            </w:r>
            <w:r w:rsidRPr="00C80A37">
              <w:rPr>
                <w:rFonts w:ascii="Calibri" w:eastAsia="Calibri" w:hAnsi="Calibri" w:cs="Calibri"/>
                <w:color w:val="000000" w:themeColor="text1"/>
              </w:rPr>
              <w:t>through the ‘</w:t>
            </w:r>
            <w:r>
              <w:rPr>
                <w:rFonts w:ascii="Calibri" w:eastAsia="Calibri" w:hAnsi="Calibri" w:cs="Calibri"/>
                <w:color w:val="000000" w:themeColor="text1"/>
              </w:rPr>
              <w:t>Equity Places</w:t>
            </w:r>
            <w:r w:rsidRPr="00C80A37">
              <w:rPr>
                <w:rFonts w:ascii="Calibri" w:eastAsia="Calibri" w:hAnsi="Calibri" w:cs="Calibri"/>
                <w:color w:val="000000" w:themeColor="text1"/>
              </w:rPr>
              <w:t xml:space="preserve"> CSPs’ program</w:t>
            </w:r>
            <w:r>
              <w:rPr>
                <w:rFonts w:ascii="Calibri" w:eastAsia="Calibri" w:hAnsi="Calibri" w:cs="Calibri"/>
                <w:color w:val="000000" w:themeColor="text1"/>
              </w:rPr>
              <w:t xml:space="preserve"> is utilised</w:t>
            </w:r>
            <w:r w:rsidRPr="17E813E4">
              <w:rPr>
                <w:rFonts w:ascii="Calibri" w:eastAsia="Calibri" w:hAnsi="Calibri" w:cs="Calibri"/>
                <w:color w:val="000000" w:themeColor="text1"/>
              </w:rPr>
              <w:t xml:space="preserve"> to </w:t>
            </w:r>
            <w:r>
              <w:rPr>
                <w:rFonts w:ascii="Calibri" w:eastAsia="Calibri" w:hAnsi="Calibri" w:cs="Calibri"/>
                <w:color w:val="000000" w:themeColor="text1"/>
              </w:rPr>
              <w:t>attract</w:t>
            </w:r>
            <w:r w:rsidRPr="17E813E4">
              <w:rPr>
                <w:rFonts w:ascii="Calibri" w:eastAsia="Calibri" w:hAnsi="Calibri" w:cs="Calibri"/>
                <w:color w:val="000000" w:themeColor="text1"/>
              </w:rPr>
              <w:t xml:space="preserve"> and</w:t>
            </w:r>
            <w:r w:rsidRPr="00C80A37">
              <w:rPr>
                <w:rFonts w:ascii="Calibri" w:eastAsia="Calibri" w:hAnsi="Calibri" w:cs="Calibri"/>
                <w:color w:val="000000" w:themeColor="text1"/>
              </w:rPr>
              <w:t xml:space="preserve"> support new </w:t>
            </w:r>
            <w:r>
              <w:rPr>
                <w:rFonts w:ascii="Calibri" w:eastAsia="Calibri" w:hAnsi="Calibri" w:cs="Calibri"/>
                <w:color w:val="000000" w:themeColor="text1"/>
              </w:rPr>
              <w:t xml:space="preserve">undergraduate </w:t>
            </w:r>
            <w:r w:rsidRPr="00C80A37">
              <w:rPr>
                <w:rFonts w:ascii="Calibri" w:eastAsia="Calibri" w:hAnsi="Calibri" w:cs="Calibri"/>
                <w:color w:val="000000" w:themeColor="text1"/>
              </w:rPr>
              <w:t xml:space="preserve">students in equity groups </w:t>
            </w:r>
            <w:r w:rsidRPr="4CDB47E6">
              <w:rPr>
                <w:rFonts w:ascii="Calibri" w:eastAsia="Calibri" w:hAnsi="Calibri" w:cs="Calibri"/>
                <w:color w:val="000000" w:themeColor="text1"/>
              </w:rPr>
              <w:t>within</w:t>
            </w:r>
            <w:r w:rsidRPr="00C80A37">
              <w:rPr>
                <w:rFonts w:ascii="Calibri" w:eastAsia="Calibri" w:hAnsi="Calibri" w:cs="Calibri"/>
                <w:color w:val="000000" w:themeColor="text1"/>
              </w:rPr>
              <w:t xml:space="preserve"> Engineering and Computer Science majors.</w:t>
            </w:r>
            <w:r>
              <w:rPr>
                <w:rFonts w:ascii="Calibri" w:eastAsia="Calibri" w:hAnsi="Calibri" w:cs="Calibri"/>
                <w:color w:val="000000" w:themeColor="text1"/>
              </w:rPr>
              <w:t xml:space="preserve"> </w:t>
            </w:r>
          </w:p>
          <w:p w14:paraId="7F48344F" w14:textId="77777777" w:rsidR="005D3150" w:rsidRPr="00A52A5C" w:rsidRDefault="005D3150" w:rsidP="005D3150">
            <w:pPr>
              <w:spacing w:before="120" w:after="60"/>
              <w:rPr>
                <w:rFonts w:ascii="Calibri" w:eastAsia="Calibri" w:hAnsi="Calibri" w:cs="Calibri"/>
                <w:b/>
                <w:bCs/>
                <w:color w:val="000000" w:themeColor="text1"/>
              </w:rPr>
            </w:pPr>
            <w:r w:rsidRPr="00A52A5C">
              <w:rPr>
                <w:rFonts w:ascii="Calibri" w:eastAsia="Calibri" w:hAnsi="Calibri" w:cs="Calibri"/>
                <w:b/>
                <w:color w:val="000000" w:themeColor="text1"/>
              </w:rPr>
              <w:t xml:space="preserve">UoM’s </w:t>
            </w:r>
            <w:hyperlink r:id="rId39">
              <w:r w:rsidRPr="00FD0064">
                <w:rPr>
                  <w:rStyle w:val="Hyperlink"/>
                  <w:rFonts w:ascii="Calibri" w:eastAsia="Calibri" w:hAnsi="Calibri" w:cs="Calibri"/>
                  <w:b/>
                  <w:i/>
                  <w:iCs/>
                  <w:color w:val="CE372F"/>
                </w:rPr>
                <w:t>Diversity and Inclusion Strategy 2030</w:t>
              </w:r>
            </w:hyperlink>
            <w:r w:rsidRPr="00A52A5C">
              <w:rPr>
                <w:rFonts w:ascii="Calibri" w:eastAsia="Calibri" w:hAnsi="Calibri" w:cs="Calibri"/>
                <w:b/>
                <w:color w:val="000000" w:themeColor="text1"/>
              </w:rPr>
              <w:t xml:space="preserve"> </w:t>
            </w:r>
            <w:r w:rsidRPr="00A52A5C">
              <w:rPr>
                <w:rFonts w:ascii="Calibri" w:eastAsia="Calibri" w:hAnsi="Calibri" w:cs="Calibri"/>
                <w:b/>
                <w:bCs/>
                <w:color w:val="000000" w:themeColor="text1"/>
              </w:rPr>
              <w:t>aims to create</w:t>
            </w:r>
            <w:r w:rsidRPr="00A52A5C">
              <w:rPr>
                <w:rFonts w:ascii="Calibri" w:eastAsia="Calibri" w:hAnsi="Calibri" w:cs="Calibri"/>
                <w:b/>
                <w:color w:val="000000" w:themeColor="text1"/>
              </w:rPr>
              <w:t xml:space="preserve"> a culturally safe University, ensuring fully accessible campuses</w:t>
            </w:r>
            <w:r w:rsidRPr="00A52A5C">
              <w:rPr>
                <w:rFonts w:ascii="Calibri" w:eastAsia="Calibri" w:hAnsi="Calibri" w:cs="Calibri"/>
                <w:b/>
                <w:bCs/>
                <w:color w:val="000000" w:themeColor="text1"/>
              </w:rPr>
              <w:t>,</w:t>
            </w:r>
            <w:r w:rsidRPr="00A52A5C">
              <w:rPr>
                <w:rFonts w:ascii="Calibri" w:eastAsia="Calibri" w:hAnsi="Calibri" w:cs="Calibri"/>
                <w:b/>
                <w:color w:val="000000" w:themeColor="text1"/>
              </w:rPr>
              <w:t xml:space="preserve"> increasing diversity and supporting equitable recruitment of students</w:t>
            </w:r>
            <w:r w:rsidRPr="00A52A5C">
              <w:rPr>
                <w:rFonts w:ascii="Calibri" w:eastAsia="Calibri" w:hAnsi="Calibri" w:cs="Calibri"/>
                <w:b/>
                <w:bCs/>
                <w:color w:val="000000" w:themeColor="text1"/>
              </w:rPr>
              <w:t xml:space="preserve"> and staff. </w:t>
            </w:r>
          </w:p>
          <w:p w14:paraId="100BBA9B" w14:textId="77777777" w:rsidR="005D3150" w:rsidRPr="0004691C" w:rsidRDefault="005D3150" w:rsidP="005D3150">
            <w:pPr>
              <w:pStyle w:val="ListParagraph"/>
              <w:numPr>
                <w:ilvl w:val="0"/>
                <w:numId w:val="25"/>
              </w:numPr>
              <w:spacing w:after="60"/>
              <w:rPr>
                <w:rFonts w:ascii="Calibri" w:eastAsia="Calibri" w:hAnsi="Calibri" w:cs="Calibri"/>
                <w:color w:val="000000" w:themeColor="text1"/>
              </w:rPr>
            </w:pPr>
            <w:r w:rsidRPr="00C80A37">
              <w:rPr>
                <w:rFonts w:ascii="Calibri" w:eastAsia="Calibri" w:hAnsi="Calibri" w:cs="Calibri"/>
                <w:color w:val="000000" w:themeColor="text1"/>
              </w:rPr>
              <w:t xml:space="preserve">The </w:t>
            </w:r>
            <w:hyperlink r:id="rId40">
              <w:r w:rsidRPr="00C80A37">
                <w:rPr>
                  <w:rStyle w:val="Hyperlink"/>
                  <w:rFonts w:ascii="Calibri" w:eastAsia="Calibri" w:hAnsi="Calibri" w:cs="Calibri"/>
                  <w:color w:val="CE372F"/>
                </w:rPr>
                <w:t>Disability Inclusion Action Plan</w:t>
              </w:r>
            </w:hyperlink>
            <w:r w:rsidRPr="00C80A37">
              <w:rPr>
                <w:rFonts w:ascii="Calibri" w:eastAsia="Calibri" w:hAnsi="Calibri" w:cs="Calibri"/>
                <w:color w:val="000000" w:themeColor="text1"/>
              </w:rPr>
              <w:t xml:space="preserve"> </w:t>
            </w:r>
            <w:r w:rsidRPr="18593E0C">
              <w:rPr>
                <w:rFonts w:ascii="Calibri" w:eastAsia="Calibri" w:hAnsi="Calibri" w:cs="Calibri"/>
                <w:color w:val="000000" w:themeColor="text1"/>
              </w:rPr>
              <w:t>(</w:t>
            </w:r>
            <w:r w:rsidRPr="5D96B697">
              <w:rPr>
                <w:rFonts w:ascii="Calibri" w:eastAsia="Calibri" w:hAnsi="Calibri" w:cs="Calibri"/>
                <w:color w:val="000000" w:themeColor="text1"/>
              </w:rPr>
              <w:t>2023-2026) sets</w:t>
            </w:r>
            <w:r w:rsidRPr="00C80A37">
              <w:rPr>
                <w:rFonts w:ascii="Calibri" w:eastAsia="Calibri" w:hAnsi="Calibri" w:cs="Calibri"/>
                <w:color w:val="000000" w:themeColor="text1"/>
              </w:rPr>
              <w:t xml:space="preserve"> out the actions </w:t>
            </w:r>
            <w:r w:rsidRPr="77B6D421">
              <w:rPr>
                <w:rFonts w:ascii="Calibri" w:eastAsia="Calibri" w:hAnsi="Calibri" w:cs="Calibri"/>
                <w:color w:val="000000" w:themeColor="text1"/>
              </w:rPr>
              <w:t>to significantly</w:t>
            </w:r>
            <w:r w:rsidRPr="00C80A37">
              <w:rPr>
                <w:rFonts w:ascii="Calibri" w:eastAsia="Calibri" w:hAnsi="Calibri" w:cs="Calibri"/>
                <w:color w:val="000000" w:themeColor="text1"/>
              </w:rPr>
              <w:t xml:space="preserve"> improve the inclusion and participation of students and staff with disability</w:t>
            </w:r>
            <w:r w:rsidRPr="7895565B">
              <w:rPr>
                <w:rFonts w:ascii="Calibri" w:eastAsia="Calibri" w:hAnsi="Calibri" w:cs="Calibri"/>
                <w:color w:val="000000" w:themeColor="text1"/>
              </w:rPr>
              <w:t xml:space="preserve">, including </w:t>
            </w:r>
            <w:r w:rsidRPr="4E583C35">
              <w:rPr>
                <w:rFonts w:ascii="Calibri" w:eastAsia="Calibri" w:hAnsi="Calibri" w:cs="Calibri"/>
                <w:color w:val="000000" w:themeColor="text1"/>
              </w:rPr>
              <w:t xml:space="preserve">implementation of </w:t>
            </w:r>
            <w:r w:rsidRPr="56254E5D">
              <w:rPr>
                <w:rFonts w:ascii="Calibri" w:eastAsia="Calibri" w:hAnsi="Calibri" w:cs="Calibri"/>
                <w:color w:val="000000" w:themeColor="text1"/>
              </w:rPr>
              <w:t xml:space="preserve">recommendations from </w:t>
            </w:r>
            <w:r w:rsidRPr="26D04E09">
              <w:rPr>
                <w:rFonts w:ascii="Calibri" w:eastAsia="Calibri" w:hAnsi="Calibri" w:cs="Calibri"/>
                <w:color w:val="000000" w:themeColor="text1"/>
              </w:rPr>
              <w:t>a</w:t>
            </w:r>
            <w:r w:rsidRPr="44CDB97E">
              <w:rPr>
                <w:rFonts w:ascii="Calibri" w:eastAsia="Calibri" w:hAnsi="Calibri" w:cs="Calibri"/>
                <w:color w:val="000000" w:themeColor="text1"/>
              </w:rPr>
              <w:t xml:space="preserve"> major</w:t>
            </w:r>
            <w:r w:rsidRPr="3ADFA132">
              <w:rPr>
                <w:rFonts w:ascii="Calibri" w:eastAsia="Calibri" w:hAnsi="Calibri" w:cs="Calibri"/>
                <w:color w:val="000000" w:themeColor="text1"/>
              </w:rPr>
              <w:t xml:space="preserve"> </w:t>
            </w:r>
            <w:r w:rsidRPr="06FB0AC4">
              <w:rPr>
                <w:rFonts w:ascii="Calibri" w:eastAsia="Calibri" w:hAnsi="Calibri" w:cs="Calibri"/>
                <w:color w:val="000000" w:themeColor="text1"/>
              </w:rPr>
              <w:t xml:space="preserve">review of Student </w:t>
            </w:r>
            <w:r w:rsidRPr="4108F928">
              <w:rPr>
                <w:rFonts w:ascii="Calibri" w:eastAsia="Calibri" w:hAnsi="Calibri" w:cs="Calibri"/>
                <w:color w:val="000000" w:themeColor="text1"/>
              </w:rPr>
              <w:t xml:space="preserve">Equity and Disability </w:t>
            </w:r>
            <w:r w:rsidRPr="0C8A3079">
              <w:rPr>
                <w:rFonts w:ascii="Calibri" w:eastAsia="Calibri" w:hAnsi="Calibri" w:cs="Calibri"/>
                <w:color w:val="000000" w:themeColor="text1"/>
              </w:rPr>
              <w:t>Services</w:t>
            </w:r>
            <w:r w:rsidRPr="2EDD7161">
              <w:rPr>
                <w:rFonts w:ascii="Calibri" w:eastAsia="Calibri" w:hAnsi="Calibri" w:cs="Calibri"/>
                <w:color w:val="000000" w:themeColor="text1"/>
              </w:rPr>
              <w:t>.</w:t>
            </w:r>
          </w:p>
          <w:p w14:paraId="2D02822F" w14:textId="77777777" w:rsidR="005D3150" w:rsidRPr="000C65DE" w:rsidRDefault="005D3150" w:rsidP="005D3150">
            <w:pPr>
              <w:spacing w:before="120" w:after="0"/>
              <w:rPr>
                <w:rFonts w:cstheme="minorHAnsi"/>
                <w:b/>
                <w:bCs/>
                <w:iCs/>
              </w:rPr>
            </w:pPr>
            <w:r w:rsidRPr="000C65DE">
              <w:rPr>
                <w:rFonts w:cstheme="minorHAnsi"/>
                <w:b/>
                <w:bCs/>
                <w:iCs/>
              </w:rPr>
              <w:t>Key metrics:</w:t>
            </w:r>
          </w:p>
          <w:p w14:paraId="54490F8D" w14:textId="77777777" w:rsidR="005D3150" w:rsidRDefault="005D3150" w:rsidP="005D3150">
            <w:pPr>
              <w:pStyle w:val="ListParagraph"/>
              <w:numPr>
                <w:ilvl w:val="1"/>
                <w:numId w:val="26"/>
              </w:numPr>
              <w:spacing w:after="0"/>
              <w:rPr>
                <w:rFonts w:cstheme="minorHAnsi"/>
                <w:iCs/>
              </w:rPr>
            </w:pPr>
            <w:r>
              <w:rPr>
                <w:rFonts w:cstheme="minorHAnsi"/>
                <w:iCs/>
              </w:rPr>
              <w:t># Indigenous students and Indigenous staff</w:t>
            </w:r>
          </w:p>
          <w:p w14:paraId="2BA6F5EE" w14:textId="77777777" w:rsidR="005D3150" w:rsidRDefault="005D3150" w:rsidP="005D3150">
            <w:pPr>
              <w:pStyle w:val="ListParagraph"/>
              <w:numPr>
                <w:ilvl w:val="1"/>
                <w:numId w:val="26"/>
              </w:numPr>
              <w:spacing w:after="0"/>
              <w:rPr>
                <w:rFonts w:cstheme="minorHAnsi"/>
                <w:iCs/>
              </w:rPr>
            </w:pPr>
            <w:r>
              <w:rPr>
                <w:rFonts w:cstheme="minorHAnsi"/>
                <w:iCs/>
              </w:rPr>
              <w:t>% students from under-represented backgrounds</w:t>
            </w:r>
          </w:p>
          <w:p w14:paraId="73503E89" w14:textId="77777777" w:rsidR="001B109C" w:rsidRPr="00AE16C4" w:rsidRDefault="005D3150" w:rsidP="00AE16C4">
            <w:pPr>
              <w:pStyle w:val="ListParagraph"/>
              <w:numPr>
                <w:ilvl w:val="1"/>
                <w:numId w:val="26"/>
              </w:numPr>
              <w:spacing w:after="0"/>
            </w:pPr>
            <w:r w:rsidRPr="005D3150">
              <w:rPr>
                <w:rFonts w:cstheme="minorHAnsi"/>
                <w:iCs/>
              </w:rPr>
              <w:t>Staff gender profile</w:t>
            </w:r>
            <w:bookmarkEnd w:id="0"/>
            <w:bookmarkEnd w:id="1"/>
          </w:p>
          <w:p w14:paraId="5112CF40" w14:textId="77777777" w:rsidR="00AE16C4" w:rsidRDefault="00AE16C4" w:rsidP="009F09E1">
            <w:pPr>
              <w:spacing w:after="0"/>
            </w:pPr>
          </w:p>
          <w:p w14:paraId="22B87A46" w14:textId="414AF999" w:rsidR="009F09E1" w:rsidRDefault="009F09E1" w:rsidP="009F09E1">
            <w:pPr>
              <w:spacing w:after="0"/>
            </w:pPr>
          </w:p>
        </w:tc>
      </w:tr>
      <w:tr w:rsidR="001B109C" w:rsidRPr="00E41388" w14:paraId="39ADE404" w14:textId="77777777" w:rsidTr="002B3673">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002B3673">
        <w:trPr>
          <w:trHeight w:val="977"/>
        </w:trPr>
        <w:tc>
          <w:tcPr>
            <w:tcW w:w="5000" w:type="pct"/>
            <w:tcBorders>
              <w:bottom w:val="single" w:sz="4" w:space="0" w:color="auto"/>
            </w:tcBorders>
          </w:tcPr>
          <w:p w14:paraId="55A28422" w14:textId="77777777" w:rsidR="009F09E1" w:rsidRDefault="009F09E1" w:rsidP="009F09E1">
            <w:pPr>
              <w:pStyle w:val="NormalIndent"/>
              <w:spacing w:after="0"/>
              <w:ind w:left="0"/>
              <w:rPr>
                <w:rFonts w:eastAsia="Calibri" w:cs="Calibri"/>
                <w:color w:val="000000" w:themeColor="text1"/>
                <w:szCs w:val="22"/>
                <w:lang w:eastAsia="en-US"/>
              </w:rPr>
            </w:pPr>
            <w:hyperlink r:id="rId41" w:history="1">
              <w:r w:rsidRPr="006B55CF">
                <w:rPr>
                  <w:rStyle w:val="Hyperlink"/>
                  <w:rFonts w:eastAsia="Calibri" w:cs="Calibri"/>
                  <w:i/>
                  <w:iCs/>
                  <w:lang w:eastAsia="en-US"/>
                </w:rPr>
                <w:t>Advancing Students &amp; Education Strategy</w:t>
              </w:r>
              <w:r w:rsidRPr="006B55CF">
                <w:rPr>
                  <w:rStyle w:val="Hyperlink"/>
                  <w:rFonts w:eastAsia="Calibri" w:cs="Calibri"/>
                  <w:lang w:eastAsia="en-US"/>
                </w:rPr>
                <w:t> </w:t>
              </w:r>
            </w:hyperlink>
            <w:r w:rsidRPr="00D82288">
              <w:rPr>
                <w:rFonts w:eastAsia="Calibri" w:cs="Calibri"/>
                <w:color w:val="000000" w:themeColor="text1"/>
                <w:szCs w:val="22"/>
                <w:lang w:eastAsia="en-US"/>
              </w:rPr>
              <w:t>enacts an institution-wide transformation for our students, supporting major initiatives in curriculum, teaching and learning, and the student experience.</w:t>
            </w:r>
          </w:p>
          <w:p w14:paraId="56B3FE04" w14:textId="77777777" w:rsidR="009F09E1" w:rsidRDefault="009F09E1" w:rsidP="009F09E1">
            <w:pPr>
              <w:pStyle w:val="NormalIndent"/>
              <w:spacing w:after="0"/>
              <w:ind w:left="0"/>
              <w:rPr>
                <w:rFonts w:asciiTheme="minorHAnsi" w:hAnsiTheme="minorHAnsi" w:cstheme="minorHAnsi"/>
                <w:b/>
                <w:bCs/>
                <w:iCs/>
                <w:szCs w:val="22"/>
              </w:rPr>
            </w:pPr>
            <w:r>
              <w:rPr>
                <w:rFonts w:asciiTheme="minorHAnsi" w:hAnsiTheme="minorHAnsi" w:cstheme="minorHAnsi"/>
                <w:b/>
                <w:bCs/>
                <w:iCs/>
                <w:szCs w:val="22"/>
              </w:rPr>
              <w:lastRenderedPageBreak/>
              <w:t>Teaching and learning practice</w:t>
            </w:r>
          </w:p>
          <w:p w14:paraId="5224CE59" w14:textId="77777777" w:rsidR="009F09E1" w:rsidRDefault="009F09E1" w:rsidP="009F09E1">
            <w:pPr>
              <w:pStyle w:val="ListParagraph"/>
              <w:numPr>
                <w:ilvl w:val="0"/>
                <w:numId w:val="22"/>
              </w:numPr>
              <w:spacing w:after="0"/>
              <w:rPr>
                <w:rFonts w:ascii="Calibri" w:eastAsia="Calibri" w:hAnsi="Calibri" w:cs="Calibri"/>
                <w:color w:val="000000" w:themeColor="text1"/>
              </w:rPr>
            </w:pPr>
            <w:r>
              <w:rPr>
                <w:rFonts w:ascii="Calibri" w:eastAsia="Calibri" w:hAnsi="Calibri" w:cs="Calibri"/>
                <w:color w:val="000000" w:themeColor="text1"/>
              </w:rPr>
              <w:t xml:space="preserve">A foundation stone to excellence in teaching and learning at the University of Melbourne is the </w:t>
            </w:r>
            <w:hyperlink r:id="rId42" w:history="1">
              <w:r w:rsidRPr="00D62694">
                <w:rPr>
                  <w:rStyle w:val="Hyperlink"/>
                  <w:rFonts w:ascii="Calibri" w:eastAsia="Calibri" w:hAnsi="Calibri" w:cs="Calibri"/>
                  <w:i/>
                  <w:iCs/>
                </w:rPr>
                <w:t>Framework for Educational Excellence</w:t>
              </w:r>
            </w:hyperlink>
            <w:r>
              <w:rPr>
                <w:rFonts w:ascii="Calibri" w:eastAsia="Calibri" w:hAnsi="Calibri" w:cs="Calibri"/>
                <w:color w:val="000000" w:themeColor="text1"/>
              </w:rPr>
              <w:t xml:space="preserve"> (developed in 2024). This framework has seven dimensions and is now embedded across the University, including in professional development activities and in confirmation and promotion processes. </w:t>
            </w:r>
          </w:p>
          <w:p w14:paraId="690CFF93" w14:textId="77777777" w:rsidR="009F09E1" w:rsidRDefault="009F09E1" w:rsidP="009F09E1">
            <w:pPr>
              <w:pStyle w:val="ListParagraph"/>
              <w:numPr>
                <w:ilvl w:val="0"/>
                <w:numId w:val="22"/>
              </w:numPr>
              <w:spacing w:after="0"/>
              <w:rPr>
                <w:rFonts w:ascii="Calibri" w:eastAsia="Calibri" w:hAnsi="Calibri" w:cs="Calibri"/>
                <w:color w:val="000000" w:themeColor="text1"/>
              </w:rPr>
            </w:pPr>
            <w:r>
              <w:rPr>
                <w:rFonts w:ascii="Calibri" w:eastAsia="Calibri" w:hAnsi="Calibri" w:cs="Calibri"/>
                <w:color w:val="000000" w:themeColor="text1"/>
              </w:rPr>
              <w:t xml:space="preserve">The </w:t>
            </w:r>
            <w:hyperlink r:id="rId43" w:history="1">
              <w:r w:rsidRPr="001C5F2C">
                <w:rPr>
                  <w:rStyle w:val="Hyperlink"/>
                  <w:rFonts w:ascii="Calibri" w:eastAsia="Calibri" w:hAnsi="Calibri" w:cs="Calibri"/>
                  <w:i/>
                  <w:iCs/>
                </w:rPr>
                <w:t>Education at Melbourne</w:t>
              </w:r>
            </w:hyperlink>
            <w:r w:rsidRPr="00212A97">
              <w:rPr>
                <w:rFonts w:ascii="Calibri" w:eastAsia="Calibri" w:hAnsi="Calibri" w:cs="Calibri"/>
                <w:color w:val="000000" w:themeColor="text1"/>
              </w:rPr>
              <w:t xml:space="preserve"> model </w:t>
            </w:r>
            <w:r>
              <w:rPr>
                <w:rFonts w:ascii="Calibri" w:eastAsia="Calibri" w:hAnsi="Calibri" w:cs="Calibri"/>
                <w:color w:val="000000" w:themeColor="text1"/>
              </w:rPr>
              <w:t xml:space="preserve">supports teaching staff across the University by promoting, recognising and supporting excellence and innovation in teaching and learning through, for example, dedicated communities of practice, internal grants and external recognition. </w:t>
            </w:r>
          </w:p>
          <w:p w14:paraId="32B5A30A" w14:textId="77777777" w:rsidR="009F09E1" w:rsidRPr="00F47291" w:rsidRDefault="009F09E1" w:rsidP="009F09E1">
            <w:pPr>
              <w:pStyle w:val="ListParagraph"/>
              <w:numPr>
                <w:ilvl w:val="0"/>
                <w:numId w:val="22"/>
              </w:numPr>
              <w:spacing w:after="0"/>
              <w:rPr>
                <w:rFonts w:ascii="Calibri" w:eastAsia="Calibri" w:hAnsi="Calibri" w:cs="Calibri"/>
                <w:color w:val="000000" w:themeColor="text1"/>
              </w:rPr>
            </w:pPr>
            <w:r w:rsidRPr="0D1B1454">
              <w:rPr>
                <w:rFonts w:ascii="Calibri" w:eastAsia="Calibri" w:hAnsi="Calibri" w:cs="Calibri"/>
                <w:color w:val="000000" w:themeColor="text1"/>
              </w:rPr>
              <w:t>Evolving</w:t>
            </w:r>
            <w:r w:rsidRPr="00F47291">
              <w:rPr>
                <w:rFonts w:ascii="Calibri" w:eastAsia="Calibri" w:hAnsi="Calibri" w:cs="Calibri"/>
                <w:color w:val="000000" w:themeColor="text1"/>
              </w:rPr>
              <w:t xml:space="preserve"> the </w:t>
            </w:r>
            <w:hyperlink r:id="rId44" w:history="1">
              <w:r w:rsidRPr="008527A4">
                <w:rPr>
                  <w:rStyle w:val="Hyperlink"/>
                  <w:rFonts w:ascii="Calibri" w:eastAsia="Calibri" w:hAnsi="Calibri" w:cs="Calibri"/>
                </w:rPr>
                <w:t>Melbourne Curriculum</w:t>
              </w:r>
            </w:hyperlink>
            <w:r w:rsidRPr="00F47291">
              <w:rPr>
                <w:rFonts w:ascii="Calibri" w:eastAsia="Calibri" w:hAnsi="Calibri" w:cs="Calibri"/>
                <w:color w:val="000000" w:themeColor="text1"/>
              </w:rPr>
              <w:t xml:space="preserve"> so students move through clearly defined study pathways and engage with research and industry in their learning</w:t>
            </w:r>
            <w:r>
              <w:rPr>
                <w:rFonts w:ascii="Calibri" w:eastAsia="Calibri" w:hAnsi="Calibri" w:cs="Calibri"/>
                <w:color w:val="000000" w:themeColor="text1"/>
              </w:rPr>
              <w:t>.</w:t>
            </w:r>
          </w:p>
          <w:p w14:paraId="7D3C7B0A" w14:textId="77777777" w:rsidR="009F09E1" w:rsidRPr="00F47291" w:rsidRDefault="009F09E1" w:rsidP="009F09E1">
            <w:pPr>
              <w:pStyle w:val="ListParagraph"/>
              <w:numPr>
                <w:ilvl w:val="0"/>
                <w:numId w:val="22"/>
              </w:numPr>
              <w:spacing w:after="0"/>
              <w:rPr>
                <w:rFonts w:ascii="Calibri" w:eastAsia="Calibri" w:hAnsi="Calibri" w:cs="Calibri"/>
                <w:color w:val="000000" w:themeColor="text1"/>
              </w:rPr>
            </w:pPr>
            <w:r w:rsidRPr="5EAB5BA1">
              <w:rPr>
                <w:rFonts w:ascii="Calibri" w:eastAsia="Calibri" w:hAnsi="Calibri" w:cs="Calibri"/>
                <w:color w:val="000000" w:themeColor="text1"/>
              </w:rPr>
              <w:t>Improving</w:t>
            </w:r>
            <w:r w:rsidRPr="00F47291">
              <w:rPr>
                <w:rFonts w:ascii="Calibri" w:eastAsia="Calibri" w:hAnsi="Calibri" w:cs="Calibri"/>
                <w:color w:val="000000" w:themeColor="text1"/>
              </w:rPr>
              <w:t xml:space="preserve"> first-year transition into our undergraduate programs that gives students the time, space and structures to establish themselves academically, personally and socially</w:t>
            </w:r>
            <w:r>
              <w:rPr>
                <w:rFonts w:ascii="Calibri" w:eastAsia="Calibri" w:hAnsi="Calibri" w:cs="Calibri"/>
                <w:color w:val="000000" w:themeColor="text1"/>
              </w:rPr>
              <w:t>.</w:t>
            </w:r>
          </w:p>
          <w:p w14:paraId="1449289E" w14:textId="77777777" w:rsidR="009F09E1" w:rsidRPr="00F47291" w:rsidRDefault="009F09E1" w:rsidP="009F09E1">
            <w:pPr>
              <w:pStyle w:val="ListParagraph"/>
              <w:numPr>
                <w:ilvl w:val="0"/>
                <w:numId w:val="22"/>
              </w:numPr>
              <w:spacing w:after="0"/>
              <w:rPr>
                <w:rFonts w:ascii="Calibri" w:eastAsia="Calibri" w:hAnsi="Calibri" w:cs="Calibri"/>
                <w:color w:val="000000" w:themeColor="text1"/>
              </w:rPr>
            </w:pPr>
            <w:r w:rsidRPr="00F47291">
              <w:rPr>
                <w:rFonts w:ascii="Calibri" w:eastAsia="Calibri" w:hAnsi="Calibri" w:cs="Calibri"/>
                <w:color w:val="000000" w:themeColor="text1"/>
              </w:rPr>
              <w:t xml:space="preserve">Systematically </w:t>
            </w:r>
            <w:r w:rsidRPr="2210F682">
              <w:rPr>
                <w:rFonts w:ascii="Calibri" w:eastAsia="Calibri" w:hAnsi="Calibri" w:cs="Calibri"/>
                <w:color w:val="000000" w:themeColor="text1"/>
              </w:rPr>
              <w:t>transforming</w:t>
            </w:r>
            <w:r w:rsidRPr="00F47291">
              <w:rPr>
                <w:rFonts w:ascii="Calibri" w:eastAsia="Calibri" w:hAnsi="Calibri" w:cs="Calibri"/>
                <w:color w:val="000000" w:themeColor="text1"/>
              </w:rPr>
              <w:t xml:space="preserve"> assessment practices</w:t>
            </w:r>
            <w:r>
              <w:rPr>
                <w:rFonts w:ascii="Calibri" w:eastAsia="Calibri" w:hAnsi="Calibri" w:cs="Calibri"/>
                <w:color w:val="000000" w:themeColor="text1"/>
              </w:rPr>
              <w:t>, particularly in the age of Gen AI, to both</w:t>
            </w:r>
            <w:r w:rsidRPr="00F47291">
              <w:rPr>
                <w:rFonts w:ascii="Calibri" w:eastAsia="Calibri" w:hAnsi="Calibri" w:cs="Calibri"/>
                <w:color w:val="000000" w:themeColor="text1"/>
              </w:rPr>
              <w:t xml:space="preserve"> deepen student learning</w:t>
            </w:r>
            <w:r>
              <w:rPr>
                <w:rFonts w:ascii="Calibri" w:eastAsia="Calibri" w:hAnsi="Calibri" w:cs="Calibri"/>
                <w:color w:val="000000" w:themeColor="text1"/>
              </w:rPr>
              <w:t xml:space="preserve"> and strengthen the assurance of learning.</w:t>
            </w:r>
          </w:p>
          <w:p w14:paraId="55A80426" w14:textId="77777777" w:rsidR="009F09E1" w:rsidRDefault="009F09E1" w:rsidP="009F09E1">
            <w:pPr>
              <w:pStyle w:val="ListParagraph"/>
              <w:numPr>
                <w:ilvl w:val="0"/>
                <w:numId w:val="22"/>
              </w:numPr>
              <w:spacing w:after="0"/>
              <w:rPr>
                <w:rFonts w:ascii="Calibri" w:eastAsia="Calibri" w:hAnsi="Calibri" w:cs="Calibri"/>
                <w:color w:val="000000" w:themeColor="text1"/>
              </w:rPr>
            </w:pPr>
            <w:r>
              <w:rPr>
                <w:rFonts w:ascii="Calibri" w:eastAsia="Calibri" w:hAnsi="Calibri" w:cs="Calibri"/>
                <w:color w:val="000000" w:themeColor="text1"/>
              </w:rPr>
              <w:t xml:space="preserve">Implementation </w:t>
            </w:r>
            <w:r w:rsidRPr="00F47291">
              <w:rPr>
                <w:rFonts w:ascii="Calibri" w:eastAsia="Calibri" w:hAnsi="Calibri" w:cs="Calibri"/>
                <w:color w:val="000000" w:themeColor="text1"/>
              </w:rPr>
              <w:t xml:space="preserve">of </w:t>
            </w:r>
            <w:r>
              <w:rPr>
                <w:rFonts w:ascii="Calibri" w:eastAsia="Calibri" w:hAnsi="Calibri" w:cs="Calibri"/>
                <w:color w:val="000000" w:themeColor="text1"/>
              </w:rPr>
              <w:t>the University’s</w:t>
            </w:r>
            <w:r w:rsidRPr="00F47291">
              <w:rPr>
                <w:rFonts w:ascii="Calibri" w:eastAsia="Calibri" w:hAnsi="Calibri" w:cs="Calibri"/>
                <w:color w:val="000000" w:themeColor="text1"/>
              </w:rPr>
              <w:t xml:space="preserve"> </w:t>
            </w:r>
            <w:r>
              <w:rPr>
                <w:rFonts w:ascii="Calibri" w:eastAsia="Calibri" w:hAnsi="Calibri" w:cs="Calibri"/>
                <w:color w:val="000000" w:themeColor="text1"/>
              </w:rPr>
              <w:t>I</w:t>
            </w:r>
            <w:r w:rsidRPr="00F47291">
              <w:rPr>
                <w:rFonts w:ascii="Calibri" w:eastAsia="Calibri" w:hAnsi="Calibri" w:cs="Calibri"/>
                <w:color w:val="000000" w:themeColor="text1"/>
              </w:rPr>
              <w:t xml:space="preserve">nternational </w:t>
            </w:r>
            <w:r>
              <w:rPr>
                <w:rFonts w:ascii="Calibri" w:eastAsia="Calibri" w:hAnsi="Calibri" w:cs="Calibri"/>
                <w:color w:val="000000" w:themeColor="text1"/>
              </w:rPr>
              <w:t>S</w:t>
            </w:r>
            <w:r w:rsidRPr="00F47291">
              <w:rPr>
                <w:rFonts w:ascii="Calibri" w:eastAsia="Calibri" w:hAnsi="Calibri" w:cs="Calibri"/>
                <w:color w:val="000000" w:themeColor="text1"/>
              </w:rPr>
              <w:t xml:space="preserve">tudent </w:t>
            </w:r>
            <w:r>
              <w:rPr>
                <w:rFonts w:ascii="Calibri" w:eastAsia="Calibri" w:hAnsi="Calibri" w:cs="Calibri"/>
                <w:color w:val="000000" w:themeColor="text1"/>
              </w:rPr>
              <w:t>D</w:t>
            </w:r>
            <w:r w:rsidRPr="00F47291">
              <w:rPr>
                <w:rFonts w:ascii="Calibri" w:eastAsia="Calibri" w:hAnsi="Calibri" w:cs="Calibri"/>
                <w:color w:val="000000" w:themeColor="text1"/>
              </w:rPr>
              <w:t xml:space="preserve">iversification </w:t>
            </w:r>
            <w:r>
              <w:rPr>
                <w:rFonts w:ascii="Calibri" w:eastAsia="Calibri" w:hAnsi="Calibri" w:cs="Calibri"/>
                <w:color w:val="000000" w:themeColor="text1"/>
              </w:rPr>
              <w:t>P</w:t>
            </w:r>
            <w:r w:rsidRPr="00F47291">
              <w:rPr>
                <w:rFonts w:ascii="Calibri" w:eastAsia="Calibri" w:hAnsi="Calibri" w:cs="Calibri"/>
                <w:color w:val="000000" w:themeColor="text1"/>
              </w:rPr>
              <w:t>lan</w:t>
            </w:r>
            <w:r>
              <w:rPr>
                <w:rFonts w:ascii="Calibri" w:eastAsia="Calibri" w:hAnsi="Calibri" w:cs="Calibri"/>
                <w:color w:val="000000" w:themeColor="text1"/>
              </w:rPr>
              <w:t>, including an expansion in scholarship offerings</w:t>
            </w:r>
            <w:r w:rsidDel="00E06354">
              <w:rPr>
                <w:rFonts w:ascii="Calibri" w:eastAsia="Calibri" w:hAnsi="Calibri" w:cs="Calibri"/>
                <w:color w:val="000000" w:themeColor="text1"/>
              </w:rPr>
              <w:t xml:space="preserve"> </w:t>
            </w:r>
            <w:r>
              <w:rPr>
                <w:rFonts w:ascii="Calibri" w:eastAsia="Calibri" w:hAnsi="Calibri" w:cs="Calibri"/>
                <w:color w:val="000000" w:themeColor="text1"/>
              </w:rPr>
              <w:t>with Southeast Asian countries is a core focus.</w:t>
            </w:r>
          </w:p>
          <w:p w14:paraId="29B3FBF9" w14:textId="77777777" w:rsidR="009F09E1" w:rsidRDefault="009F09E1" w:rsidP="009F09E1">
            <w:pPr>
              <w:pStyle w:val="ListParagraph"/>
              <w:numPr>
                <w:ilvl w:val="0"/>
                <w:numId w:val="22"/>
              </w:numPr>
              <w:spacing w:after="0"/>
              <w:rPr>
                <w:rFonts w:ascii="Calibri" w:eastAsia="Calibri" w:hAnsi="Calibri" w:cs="Calibri"/>
                <w:color w:val="000000" w:themeColor="text1"/>
              </w:rPr>
            </w:pPr>
            <w:r w:rsidRPr="5EAB5BA1">
              <w:rPr>
                <w:rFonts w:ascii="Calibri" w:eastAsia="Calibri" w:hAnsi="Calibri" w:cs="Calibri"/>
                <w:color w:val="000000" w:themeColor="text1"/>
              </w:rPr>
              <w:t>Building</w:t>
            </w:r>
            <w:r w:rsidRPr="00F47291">
              <w:rPr>
                <w:rFonts w:ascii="Calibri" w:eastAsia="Calibri" w:hAnsi="Calibri" w:cs="Calibri"/>
                <w:color w:val="000000" w:themeColor="text1"/>
              </w:rPr>
              <w:t xml:space="preserve"> </w:t>
            </w:r>
            <w:r w:rsidRPr="6E52BCB0">
              <w:rPr>
                <w:rFonts w:ascii="Calibri" w:eastAsia="Calibri" w:hAnsi="Calibri" w:cs="Calibri"/>
                <w:color w:val="000000" w:themeColor="text1"/>
              </w:rPr>
              <w:t xml:space="preserve">peer </w:t>
            </w:r>
            <w:r w:rsidRPr="5E7C7F04">
              <w:rPr>
                <w:rFonts w:ascii="Calibri" w:eastAsia="Calibri" w:hAnsi="Calibri" w:cs="Calibri"/>
                <w:color w:val="000000" w:themeColor="text1"/>
              </w:rPr>
              <w:t xml:space="preserve">support and mentoring </w:t>
            </w:r>
            <w:r w:rsidRPr="5BC0F31E">
              <w:rPr>
                <w:rFonts w:ascii="Calibri" w:eastAsia="Calibri" w:hAnsi="Calibri" w:cs="Calibri"/>
                <w:color w:val="000000" w:themeColor="text1"/>
              </w:rPr>
              <w:t xml:space="preserve">programs to </w:t>
            </w:r>
            <w:r w:rsidRPr="71E8DA92">
              <w:rPr>
                <w:rFonts w:ascii="Calibri" w:eastAsia="Calibri" w:hAnsi="Calibri" w:cs="Calibri"/>
                <w:color w:val="000000" w:themeColor="text1"/>
              </w:rPr>
              <w:t xml:space="preserve">increase </w:t>
            </w:r>
            <w:r w:rsidRPr="00F47291">
              <w:rPr>
                <w:rFonts w:ascii="Calibri" w:eastAsia="Calibri" w:hAnsi="Calibri" w:cs="Calibri"/>
                <w:color w:val="000000" w:themeColor="text1"/>
              </w:rPr>
              <w:t xml:space="preserve">sense of belonging for all students </w:t>
            </w:r>
            <w:r>
              <w:rPr>
                <w:rFonts w:ascii="Calibri" w:eastAsia="Calibri" w:hAnsi="Calibri" w:cs="Calibri"/>
                <w:color w:val="000000" w:themeColor="text1"/>
              </w:rPr>
              <w:t>inside and outside the classroom.</w:t>
            </w:r>
          </w:p>
          <w:p w14:paraId="78D654F2" w14:textId="77777777" w:rsidR="009F09E1" w:rsidRPr="00F47291" w:rsidRDefault="009F09E1" w:rsidP="009F09E1">
            <w:pPr>
              <w:pStyle w:val="ListParagraph"/>
              <w:numPr>
                <w:ilvl w:val="0"/>
                <w:numId w:val="22"/>
              </w:numPr>
              <w:spacing w:after="0"/>
              <w:rPr>
                <w:rFonts w:ascii="Calibri" w:eastAsia="Calibri" w:hAnsi="Calibri" w:cs="Calibri"/>
                <w:color w:val="000000" w:themeColor="text1"/>
              </w:rPr>
            </w:pPr>
            <w:r>
              <w:rPr>
                <w:rFonts w:ascii="Calibri" w:eastAsia="Calibri" w:hAnsi="Calibri" w:cs="Calibri"/>
                <w:color w:val="000000" w:themeColor="text1"/>
              </w:rPr>
              <w:t xml:space="preserve">All this is supported by T&amp;L workforce priorities outlined in the </w:t>
            </w:r>
            <w:hyperlink r:id="rId45" w:history="1">
              <w:r w:rsidRPr="00202B29">
                <w:rPr>
                  <w:rStyle w:val="Hyperlink"/>
                  <w:rFonts w:ascii="Calibri" w:eastAsia="Calibri" w:hAnsi="Calibri" w:cs="Calibri"/>
                </w:rPr>
                <w:t>People Strategy</w:t>
              </w:r>
            </w:hyperlink>
            <w:r>
              <w:rPr>
                <w:rFonts w:ascii="Calibri" w:eastAsia="Calibri" w:hAnsi="Calibri" w:cs="Calibri"/>
                <w:color w:val="000000" w:themeColor="text1"/>
              </w:rPr>
              <w:t xml:space="preserve">, including: </w:t>
            </w:r>
            <w:r w:rsidRPr="00B2464F">
              <w:rPr>
                <w:rFonts w:ascii="Calibri" w:eastAsia="Calibri" w:hAnsi="Calibri" w:cs="Calibri"/>
                <w:color w:val="000000" w:themeColor="text1"/>
              </w:rPr>
              <w:t>defining academic roles on a</w:t>
            </w:r>
            <w:r>
              <w:t xml:space="preserve"> spectrum from education-focused to research-focused with no continuing roles exclusively one or the other (embedding even more strongly research into the curriculum).</w:t>
            </w:r>
          </w:p>
          <w:p w14:paraId="5185D1C8" w14:textId="77777777" w:rsidR="009F09E1" w:rsidRPr="000C4FB9" w:rsidRDefault="009F09E1" w:rsidP="009F09E1">
            <w:pPr>
              <w:spacing w:before="120" w:after="0"/>
              <w:rPr>
                <w:rFonts w:ascii="Calibri" w:eastAsia="Calibri" w:hAnsi="Calibri" w:cs="Calibri"/>
                <w:b/>
                <w:bCs/>
                <w:color w:val="000000" w:themeColor="text1"/>
              </w:rPr>
            </w:pPr>
            <w:r>
              <w:rPr>
                <w:rFonts w:ascii="Calibri" w:eastAsia="Calibri" w:hAnsi="Calibri" w:cs="Calibri"/>
                <w:b/>
                <w:bCs/>
                <w:color w:val="000000" w:themeColor="text1"/>
              </w:rPr>
              <w:t>Student retention and success</w:t>
            </w:r>
          </w:p>
          <w:p w14:paraId="15CDC7E4" w14:textId="59FC8E4E" w:rsidR="009F09E1" w:rsidRPr="009B4B15" w:rsidRDefault="009F09E1" w:rsidP="009F09E1">
            <w:pPr>
              <w:spacing w:after="0"/>
              <w:rPr>
                <w:rFonts w:ascii="Calibri" w:eastAsia="Calibri" w:hAnsi="Calibri" w:cs="Calibri"/>
                <w:color w:val="000000" w:themeColor="text1"/>
              </w:rPr>
            </w:pPr>
            <w:r w:rsidRPr="009B4B15">
              <w:rPr>
                <w:rFonts w:ascii="Calibri" w:eastAsia="Calibri" w:hAnsi="Calibri" w:cs="Calibri"/>
                <w:color w:val="000000" w:themeColor="text1"/>
              </w:rPr>
              <w:t xml:space="preserve">UoM offers </w:t>
            </w:r>
            <w:r>
              <w:rPr>
                <w:rFonts w:ascii="Calibri" w:eastAsia="Calibri" w:hAnsi="Calibri" w:cs="Calibri"/>
                <w:color w:val="000000" w:themeColor="text1"/>
              </w:rPr>
              <w:t>a comprehensive and dedicated suite of</w:t>
            </w:r>
            <w:r w:rsidRPr="009B4B15">
              <w:rPr>
                <w:rFonts w:ascii="Calibri" w:eastAsia="Calibri" w:hAnsi="Calibri" w:cs="Calibri"/>
                <w:color w:val="000000" w:themeColor="text1"/>
              </w:rPr>
              <w:t xml:space="preserve"> </w:t>
            </w:r>
            <w:hyperlink r:id="rId46">
              <w:r w:rsidRPr="009B4B15">
                <w:rPr>
                  <w:rStyle w:val="Hyperlink"/>
                  <w:rFonts w:ascii="Calibri" w:eastAsia="Calibri" w:hAnsi="Calibri" w:cs="Calibri"/>
                  <w:color w:val="7F4594"/>
                </w:rPr>
                <w:t>support services</w:t>
              </w:r>
            </w:hyperlink>
            <w:r>
              <w:t>,</w:t>
            </w:r>
            <w:r w:rsidRPr="009B4B15">
              <w:rPr>
                <w:rFonts w:ascii="Calibri" w:eastAsia="Calibri" w:hAnsi="Calibri" w:cs="Calibri"/>
                <w:color w:val="000000" w:themeColor="text1"/>
              </w:rPr>
              <w:t xml:space="preserve"> tailored to </w:t>
            </w:r>
            <w:r>
              <w:rPr>
                <w:rFonts w:ascii="Calibri" w:eastAsia="Calibri" w:hAnsi="Calibri" w:cs="Calibri"/>
                <w:color w:val="000000" w:themeColor="text1"/>
              </w:rPr>
              <w:t>meet</w:t>
            </w:r>
            <w:r w:rsidRPr="009B4B15">
              <w:rPr>
                <w:rFonts w:ascii="Calibri" w:eastAsia="Calibri" w:hAnsi="Calibri" w:cs="Calibri"/>
                <w:color w:val="000000" w:themeColor="text1"/>
              </w:rPr>
              <w:t xml:space="preserve"> students’ academic and wellbeing needs</w:t>
            </w:r>
            <w:r>
              <w:rPr>
                <w:rFonts w:ascii="Calibri" w:eastAsia="Calibri" w:hAnsi="Calibri" w:cs="Calibri"/>
                <w:color w:val="000000" w:themeColor="text1"/>
              </w:rPr>
              <w:t>:</w:t>
            </w:r>
          </w:p>
          <w:p w14:paraId="127A2E54" w14:textId="6888678B" w:rsidR="009F09E1" w:rsidRPr="00362048" w:rsidRDefault="009F09E1" w:rsidP="009F09E1">
            <w:pPr>
              <w:pStyle w:val="ListParagraph"/>
              <w:numPr>
                <w:ilvl w:val="0"/>
                <w:numId w:val="22"/>
              </w:numPr>
              <w:spacing w:after="60"/>
              <w:rPr>
                <w:rFonts w:ascii="Calibri" w:eastAsia="Calibri" w:hAnsi="Calibri" w:cs="Calibri"/>
                <w:color w:val="000000" w:themeColor="text1"/>
              </w:rPr>
            </w:pPr>
            <w:hyperlink r:id="rId47">
              <w:r w:rsidRPr="04D38F83">
                <w:rPr>
                  <w:rStyle w:val="Hyperlink"/>
                  <w:rFonts w:ascii="Calibri" w:eastAsia="Calibri" w:hAnsi="Calibri" w:cs="Calibri"/>
                </w:rPr>
                <w:t>Murrup Barak</w:t>
              </w:r>
            </w:hyperlink>
            <w:r>
              <w:t xml:space="preserve"> support</w:t>
            </w:r>
            <w:r w:rsidR="00DD0314">
              <w:t>s</w:t>
            </w:r>
            <w:r>
              <w:t xml:space="preserve"> First Peoples to access higher education and study at UoM through provision of a safe, responsive and empowering service to Aboriginal and Torres Strait Islander peoples.</w:t>
            </w:r>
          </w:p>
          <w:p w14:paraId="744FFE57" w14:textId="77777777" w:rsidR="009F09E1" w:rsidRPr="00ED07EE" w:rsidRDefault="009F09E1" w:rsidP="009F09E1">
            <w:pPr>
              <w:pStyle w:val="ListParagraph"/>
              <w:numPr>
                <w:ilvl w:val="0"/>
                <w:numId w:val="22"/>
              </w:numPr>
              <w:spacing w:after="60"/>
              <w:rPr>
                <w:rFonts w:ascii="Calibri" w:eastAsia="Calibri" w:hAnsi="Calibri" w:cs="Calibri"/>
                <w:color w:val="000000" w:themeColor="text1"/>
              </w:rPr>
            </w:pPr>
            <w:r w:rsidRPr="001900B9">
              <w:rPr>
                <w:rFonts w:ascii="Calibri" w:eastAsia="Calibri" w:hAnsi="Calibri" w:cs="Calibri"/>
                <w:color w:val="000000" w:themeColor="text1"/>
              </w:rPr>
              <w:t xml:space="preserve">The University monitors student progression and performance to identify students that may need support in accordance with </w:t>
            </w:r>
            <w:r>
              <w:rPr>
                <w:rFonts w:ascii="Calibri" w:eastAsia="Calibri" w:hAnsi="Calibri" w:cs="Calibri"/>
                <w:color w:val="000000" w:themeColor="text1"/>
              </w:rPr>
              <w:t xml:space="preserve">a range of </w:t>
            </w:r>
            <w:hyperlink r:id="rId48" w:history="1">
              <w:r w:rsidRPr="00BF4377">
                <w:rPr>
                  <w:rStyle w:val="Hyperlink"/>
                  <w:rFonts w:ascii="Calibri" w:eastAsia="Calibri" w:hAnsi="Calibri" w:cs="Calibri"/>
                </w:rPr>
                <w:t>student policies</w:t>
              </w:r>
            </w:hyperlink>
            <w:r>
              <w:t xml:space="preserve">. </w:t>
            </w:r>
            <w:r w:rsidRPr="00ED07EE">
              <w:t>Students identified as needing individual support during a teaching period may be contacted through the Student Outreach and Referral service</w:t>
            </w:r>
            <w:r>
              <w:t xml:space="preserve">. In addition, students may register for </w:t>
            </w:r>
            <w:hyperlink r:id="rId49" w:history="1">
              <w:r w:rsidRPr="00534329">
                <w:rPr>
                  <w:rStyle w:val="Hyperlink"/>
                </w:rPr>
                <w:t>ongoing support</w:t>
              </w:r>
            </w:hyperlink>
            <w:r>
              <w:t xml:space="preserve"> when </w:t>
            </w:r>
            <w:r w:rsidRPr="00534329">
              <w:t>an ongoing circumstance affects their ability to perform their studies and assessment tasks</w:t>
            </w:r>
            <w:r>
              <w:t>.</w:t>
            </w:r>
          </w:p>
          <w:p w14:paraId="3BDD47CB" w14:textId="77777777" w:rsidR="009F09E1" w:rsidRDefault="009F09E1" w:rsidP="009F09E1">
            <w:pPr>
              <w:pStyle w:val="ListParagraph"/>
              <w:numPr>
                <w:ilvl w:val="0"/>
                <w:numId w:val="22"/>
              </w:numPr>
              <w:spacing w:after="60"/>
              <w:rPr>
                <w:rFonts w:ascii="Calibri" w:eastAsia="Calibri" w:hAnsi="Calibri" w:cs="Calibri"/>
                <w:color w:val="000000" w:themeColor="text1"/>
              </w:rPr>
            </w:pPr>
            <w:r>
              <w:rPr>
                <w:rFonts w:ascii="Calibri" w:eastAsia="Calibri" w:hAnsi="Calibri" w:cs="Calibri"/>
                <w:color w:val="000000" w:themeColor="text1"/>
              </w:rPr>
              <w:t xml:space="preserve">A range of personalised </w:t>
            </w:r>
            <w:hyperlink r:id="rId50" w:anchor="academic" w:history="1">
              <w:r w:rsidRPr="00E50279">
                <w:rPr>
                  <w:rStyle w:val="Hyperlink"/>
                  <w:rFonts w:ascii="Calibri" w:eastAsia="Calibri" w:hAnsi="Calibri" w:cs="Calibri"/>
                </w:rPr>
                <w:t>academic support</w:t>
              </w:r>
            </w:hyperlink>
            <w:r>
              <w:rPr>
                <w:rFonts w:ascii="Calibri" w:eastAsia="Calibri" w:hAnsi="Calibri" w:cs="Calibri"/>
                <w:color w:val="000000" w:themeColor="text1"/>
              </w:rPr>
              <w:t xml:space="preserve"> is available to help students succeed, these include Academic Mentoring, Academic Skills, Course Advising, Melbourne Peer Mentoring Program and Student Equity and Disability Services. These services enable students to build caring connections and scaffolded support in the context of learning and teaching. </w:t>
            </w:r>
          </w:p>
          <w:p w14:paraId="3317F7B6" w14:textId="77777777" w:rsidR="009F09E1" w:rsidRPr="00630311" w:rsidRDefault="009F09E1" w:rsidP="009F09E1">
            <w:pPr>
              <w:pStyle w:val="ListParagraph"/>
              <w:numPr>
                <w:ilvl w:val="0"/>
                <w:numId w:val="22"/>
              </w:numPr>
              <w:spacing w:after="60"/>
              <w:rPr>
                <w:rFonts w:ascii="Calibri" w:eastAsia="Calibri" w:hAnsi="Calibri" w:cs="Calibri"/>
                <w:color w:val="000000" w:themeColor="text1"/>
              </w:rPr>
            </w:pPr>
            <w:r>
              <w:rPr>
                <w:rFonts w:ascii="Calibri" w:eastAsia="Calibri" w:hAnsi="Calibri" w:cs="Calibri"/>
                <w:color w:val="000000" w:themeColor="text1"/>
              </w:rPr>
              <w:t xml:space="preserve">The University offers a range of </w:t>
            </w:r>
            <w:hyperlink r:id="rId51" w:anchor="non-academic" w:history="1">
              <w:r w:rsidRPr="004332F0">
                <w:rPr>
                  <w:rStyle w:val="Hyperlink"/>
                  <w:rFonts w:ascii="Calibri" w:eastAsia="Calibri" w:hAnsi="Calibri" w:cs="Calibri"/>
                </w:rPr>
                <w:t>non-academic support</w:t>
              </w:r>
            </w:hyperlink>
            <w:r>
              <w:rPr>
                <w:rFonts w:ascii="Calibri" w:eastAsia="Calibri" w:hAnsi="Calibri" w:cs="Calibri"/>
                <w:color w:val="000000" w:themeColor="text1"/>
              </w:rPr>
              <w:t xml:space="preserve"> for students as guided by the </w:t>
            </w:r>
            <w:hyperlink r:id="rId52" w:history="1">
              <w:r w:rsidRPr="00D8573A">
                <w:rPr>
                  <w:rStyle w:val="Hyperlink"/>
                  <w:rFonts w:ascii="Calibri" w:eastAsia="Calibri" w:hAnsi="Calibri" w:cs="Calibri"/>
                </w:rPr>
                <w:t>Student Wellbeing and Mental Health framework</w:t>
              </w:r>
            </w:hyperlink>
            <w:r>
              <w:rPr>
                <w:rFonts w:ascii="Calibri" w:eastAsia="Calibri" w:hAnsi="Calibri" w:cs="Calibri"/>
                <w:color w:val="000000" w:themeColor="text1"/>
              </w:rPr>
              <w:t xml:space="preserve">, including Counselling and Psychological Services, Financial Aid, Health Services and the Safer Community Program. </w:t>
            </w:r>
            <w:r w:rsidRPr="00766054">
              <w:rPr>
                <w:rFonts w:ascii="Calibri" w:eastAsia="Calibri" w:hAnsi="Calibri" w:cs="Calibri"/>
                <w:color w:val="000000" w:themeColor="text1"/>
              </w:rPr>
              <w:t xml:space="preserve">All commencing undergraduate students undertake wellbeing and success modules as part of </w:t>
            </w:r>
            <w:r>
              <w:rPr>
                <w:rFonts w:ascii="Calibri" w:eastAsia="Calibri" w:hAnsi="Calibri" w:cs="Calibri"/>
                <w:color w:val="000000" w:themeColor="text1"/>
              </w:rPr>
              <w:t xml:space="preserve">their first-year subjects. </w:t>
            </w:r>
          </w:p>
          <w:p w14:paraId="3986C71A" w14:textId="77777777" w:rsidR="009F09E1" w:rsidRPr="00630311" w:rsidRDefault="009F09E1" w:rsidP="009F09E1">
            <w:pPr>
              <w:spacing w:before="120" w:after="0"/>
              <w:rPr>
                <w:rFonts w:cstheme="minorHAnsi"/>
                <w:b/>
                <w:bCs/>
                <w:iCs/>
              </w:rPr>
            </w:pPr>
            <w:r w:rsidRPr="00630311">
              <w:rPr>
                <w:rFonts w:cstheme="minorHAnsi"/>
                <w:b/>
                <w:bCs/>
                <w:iCs/>
              </w:rPr>
              <w:t xml:space="preserve">Key metrics: </w:t>
            </w:r>
          </w:p>
          <w:p w14:paraId="0290FCF4" w14:textId="77777777" w:rsidR="009F09E1" w:rsidRPr="001E77D2" w:rsidRDefault="009F09E1" w:rsidP="009F09E1">
            <w:pPr>
              <w:pStyle w:val="NormalIndent"/>
              <w:numPr>
                <w:ilvl w:val="0"/>
                <w:numId w:val="22"/>
              </w:numPr>
              <w:spacing w:before="0" w:after="0"/>
              <w:rPr>
                <w:rFonts w:asciiTheme="minorHAnsi" w:hAnsiTheme="minorHAnsi" w:cstheme="minorHAnsi"/>
                <w:iCs/>
                <w:szCs w:val="22"/>
              </w:rPr>
            </w:pPr>
            <w:r w:rsidRPr="001E77D2">
              <w:rPr>
                <w:rFonts w:asciiTheme="minorHAnsi" w:hAnsiTheme="minorHAnsi" w:cstheme="minorBidi"/>
              </w:rPr>
              <w:t xml:space="preserve">QILT </w:t>
            </w:r>
            <w:r>
              <w:rPr>
                <w:rFonts w:asciiTheme="minorHAnsi" w:hAnsiTheme="minorHAnsi" w:cstheme="minorBidi"/>
              </w:rPr>
              <w:t>m</w:t>
            </w:r>
            <w:r w:rsidRPr="001E77D2">
              <w:rPr>
                <w:rFonts w:asciiTheme="minorHAnsi" w:hAnsiTheme="minorHAnsi" w:cstheme="minorBidi"/>
              </w:rPr>
              <w:t xml:space="preserve">easures – Overall </w:t>
            </w:r>
            <w:r>
              <w:rPr>
                <w:rFonts w:asciiTheme="minorHAnsi" w:hAnsiTheme="minorHAnsi" w:cstheme="minorBidi"/>
              </w:rPr>
              <w:t>s</w:t>
            </w:r>
            <w:r w:rsidRPr="001E77D2">
              <w:rPr>
                <w:rFonts w:asciiTheme="minorHAnsi" w:hAnsiTheme="minorHAnsi" w:cstheme="minorBidi"/>
              </w:rPr>
              <w:t xml:space="preserve">tudent </w:t>
            </w:r>
            <w:r>
              <w:rPr>
                <w:rFonts w:asciiTheme="minorHAnsi" w:hAnsiTheme="minorHAnsi" w:cstheme="minorBidi"/>
              </w:rPr>
              <w:t>e</w:t>
            </w:r>
            <w:r w:rsidRPr="001E77D2">
              <w:rPr>
                <w:rFonts w:asciiTheme="minorHAnsi" w:hAnsiTheme="minorHAnsi" w:cstheme="minorBidi"/>
              </w:rPr>
              <w:t xml:space="preserve">xperience, </w:t>
            </w:r>
            <w:r>
              <w:rPr>
                <w:rFonts w:asciiTheme="minorHAnsi" w:hAnsiTheme="minorHAnsi" w:cstheme="minorBidi"/>
              </w:rPr>
              <w:t>graduate outcomes</w:t>
            </w:r>
          </w:p>
          <w:p w14:paraId="0F44BB37" w14:textId="77777777" w:rsidR="009F09E1" w:rsidRPr="006D47EB" w:rsidRDefault="009F09E1" w:rsidP="009F09E1">
            <w:pPr>
              <w:pStyle w:val="NormalIndent"/>
              <w:numPr>
                <w:ilvl w:val="0"/>
                <w:numId w:val="22"/>
              </w:numPr>
              <w:spacing w:before="0" w:after="0"/>
              <w:rPr>
                <w:rFonts w:asciiTheme="minorHAnsi" w:hAnsiTheme="minorHAnsi" w:cstheme="minorHAnsi"/>
                <w:iCs/>
                <w:szCs w:val="22"/>
              </w:rPr>
            </w:pPr>
            <w:r>
              <w:rPr>
                <w:rFonts w:asciiTheme="minorHAnsi" w:hAnsiTheme="minorHAnsi" w:cstheme="minorBidi"/>
              </w:rPr>
              <w:t xml:space="preserve">End of </w:t>
            </w:r>
            <w:r w:rsidDel="009C57B6">
              <w:rPr>
                <w:rFonts w:asciiTheme="minorHAnsi" w:hAnsiTheme="minorHAnsi" w:cstheme="minorBidi"/>
              </w:rPr>
              <w:t>Subject</w:t>
            </w:r>
            <w:r w:rsidRPr="001E77D2" w:rsidDel="009C57B6">
              <w:rPr>
                <w:rFonts w:asciiTheme="minorHAnsi" w:hAnsiTheme="minorHAnsi" w:cstheme="minorBidi"/>
              </w:rPr>
              <w:t xml:space="preserve"> </w:t>
            </w:r>
            <w:r>
              <w:rPr>
                <w:rFonts w:asciiTheme="minorHAnsi" w:hAnsiTheme="minorHAnsi" w:cstheme="minorBidi"/>
              </w:rPr>
              <w:t>Survey</w:t>
            </w:r>
            <w:r w:rsidRPr="001E77D2">
              <w:rPr>
                <w:rFonts w:asciiTheme="minorHAnsi" w:hAnsiTheme="minorHAnsi" w:cstheme="minorBidi"/>
              </w:rPr>
              <w:t xml:space="preserve"> (</w:t>
            </w:r>
            <w:r>
              <w:rPr>
                <w:rFonts w:asciiTheme="minorHAnsi" w:hAnsiTheme="minorHAnsi" w:cstheme="minorBidi"/>
              </w:rPr>
              <w:t xml:space="preserve">ESS - </w:t>
            </w:r>
            <w:r w:rsidRPr="001E77D2">
              <w:rPr>
                <w:rFonts w:asciiTheme="minorHAnsi" w:hAnsiTheme="minorHAnsi" w:cstheme="minorBidi"/>
              </w:rPr>
              <w:t>internal survey)</w:t>
            </w:r>
          </w:p>
          <w:p w14:paraId="74D1FDC7" w14:textId="0DC6204A" w:rsidR="001B109C" w:rsidRPr="009F09E1" w:rsidRDefault="009F09E1" w:rsidP="009F09E1">
            <w:pPr>
              <w:pStyle w:val="NormalIndent"/>
              <w:numPr>
                <w:ilvl w:val="0"/>
                <w:numId w:val="22"/>
              </w:numPr>
              <w:spacing w:before="0" w:after="0"/>
              <w:rPr>
                <w:rFonts w:asciiTheme="minorHAnsi" w:hAnsiTheme="minorHAnsi" w:cstheme="minorHAnsi"/>
                <w:iCs/>
                <w:szCs w:val="22"/>
              </w:rPr>
            </w:pPr>
            <w:r>
              <w:rPr>
                <w:rFonts w:asciiTheme="minorHAnsi" w:hAnsiTheme="minorHAnsi" w:cstheme="minorHAnsi"/>
                <w:iCs/>
              </w:rPr>
              <w:t>University Survey of Student Experience (USSE – internal pulse check survey)</w:t>
            </w:r>
          </w:p>
        </w:tc>
      </w:tr>
      <w:tr w:rsidR="001B109C" w:rsidRPr="00E41388" w14:paraId="3EB68E1B" w14:textId="77777777" w:rsidTr="002B3673">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002B3673">
        <w:tc>
          <w:tcPr>
            <w:tcW w:w="5000" w:type="pct"/>
          </w:tcPr>
          <w:p w14:paraId="55B1F198" w14:textId="77777777" w:rsidR="006B27CB" w:rsidRDefault="006B27CB" w:rsidP="006B27CB">
            <w:pPr>
              <w:spacing w:before="120" w:after="0"/>
              <w:rPr>
                <w:rFonts w:eastAsia="Times New Roman" w:cs="Calibri"/>
              </w:rPr>
            </w:pPr>
            <w:r>
              <w:rPr>
                <w:rFonts w:eastAsia="Times New Roman" w:cs="Calibri"/>
              </w:rPr>
              <w:t>Building on the University of Melbourne’s recent successes in global rankings and awards (e.g. 2025 Nobel Prize in Chemistry, and 19</w:t>
            </w:r>
            <w:r w:rsidRPr="006A528C">
              <w:rPr>
                <w:rFonts w:eastAsia="Times New Roman" w:cs="Calibri"/>
                <w:vertAlign w:val="superscript"/>
              </w:rPr>
              <w:t>th</w:t>
            </w:r>
            <w:r>
              <w:rPr>
                <w:rFonts w:eastAsia="Times New Roman" w:cs="Calibri"/>
              </w:rPr>
              <w:t xml:space="preserve"> and 37</w:t>
            </w:r>
            <w:r w:rsidRPr="006A528C">
              <w:rPr>
                <w:rFonts w:eastAsia="Times New Roman" w:cs="Calibri"/>
                <w:vertAlign w:val="superscript"/>
              </w:rPr>
              <w:t>th</w:t>
            </w:r>
            <w:r>
              <w:rPr>
                <w:rFonts w:eastAsia="Times New Roman" w:cs="Calibri"/>
              </w:rPr>
              <w:t xml:space="preserve"> in QS and THE rankings respectively), areas of focus for research, research training and innovation are outlined in </w:t>
            </w:r>
            <w:hyperlink r:id="rId53" w:history="1">
              <w:r w:rsidRPr="00C37BD6">
                <w:rPr>
                  <w:rStyle w:val="Hyperlink"/>
                  <w:rFonts w:eastAsia="Times New Roman" w:cs="Calibri"/>
                  <w:i/>
                  <w:iCs/>
                </w:rPr>
                <w:t>Advancing Research 2030: Excellence for Impact</w:t>
              </w:r>
            </w:hyperlink>
            <w:r>
              <w:rPr>
                <w:rFonts w:eastAsia="Times New Roman" w:cs="Calibri"/>
                <w:i/>
                <w:iCs/>
              </w:rPr>
              <w:t xml:space="preserve">. </w:t>
            </w:r>
          </w:p>
          <w:p w14:paraId="268E3FAB" w14:textId="77777777" w:rsidR="006B27CB" w:rsidRPr="003D5B20" w:rsidRDefault="006B27CB" w:rsidP="006B27CB">
            <w:pPr>
              <w:spacing w:before="120" w:after="0"/>
              <w:rPr>
                <w:rFonts w:eastAsia="Times New Roman" w:cs="Calibri"/>
                <w:b/>
                <w:bCs/>
                <w:iCs/>
              </w:rPr>
            </w:pPr>
            <w:r w:rsidRPr="003D5B20">
              <w:rPr>
                <w:rFonts w:eastAsia="Times New Roman" w:cs="Calibri"/>
                <w:b/>
                <w:bCs/>
                <w:iCs/>
              </w:rPr>
              <w:t xml:space="preserve">Driving research capability and culture  </w:t>
            </w:r>
          </w:p>
          <w:p w14:paraId="3A2D48BB" w14:textId="77777777" w:rsidR="006B27CB" w:rsidRPr="003D5B20" w:rsidRDefault="006B27CB" w:rsidP="006B27CB">
            <w:pPr>
              <w:numPr>
                <w:ilvl w:val="0"/>
                <w:numId w:val="27"/>
              </w:numPr>
              <w:spacing w:after="0"/>
              <w:rPr>
                <w:rFonts w:eastAsia="Times New Roman" w:cs="Calibri"/>
                <w:iCs/>
              </w:rPr>
            </w:pPr>
            <w:r w:rsidRPr="003D5B20">
              <w:rPr>
                <w:rFonts w:eastAsia="Times New Roman" w:cs="Calibri"/>
                <w:iCs/>
              </w:rPr>
              <w:t xml:space="preserve">Articulating research culture expectations informed by University-wide values and embedding these in standards, policies and procedures. </w:t>
            </w:r>
          </w:p>
          <w:p w14:paraId="764BFDF4" w14:textId="77777777" w:rsidR="006B27CB" w:rsidRPr="003D5B20" w:rsidRDefault="006B27CB" w:rsidP="006B27CB">
            <w:pPr>
              <w:numPr>
                <w:ilvl w:val="0"/>
                <w:numId w:val="27"/>
              </w:numPr>
              <w:spacing w:after="0"/>
              <w:rPr>
                <w:rFonts w:eastAsia="Times New Roman" w:cs="Calibri"/>
                <w:iCs/>
              </w:rPr>
            </w:pPr>
            <w:r w:rsidRPr="003D5B20">
              <w:rPr>
                <w:rFonts w:eastAsia="Times New Roman" w:cs="Calibri"/>
                <w:iCs/>
              </w:rPr>
              <w:t>Accelerating support for Indigenous researchers and Indigenous Graduate Researchers, including through the development of a targeted Fellows program.</w:t>
            </w:r>
          </w:p>
          <w:p w14:paraId="5C5A798B" w14:textId="77777777" w:rsidR="006B27CB" w:rsidRPr="003D5B20" w:rsidRDefault="006B27CB" w:rsidP="006B27CB">
            <w:pPr>
              <w:numPr>
                <w:ilvl w:val="0"/>
                <w:numId w:val="27"/>
              </w:numPr>
              <w:spacing w:after="0"/>
              <w:rPr>
                <w:rFonts w:eastAsia="Times New Roman" w:cs="Calibri"/>
                <w:iCs/>
              </w:rPr>
            </w:pPr>
            <w:r w:rsidRPr="003D5B20">
              <w:rPr>
                <w:rFonts w:eastAsia="Times New Roman" w:cs="Calibri"/>
                <w:iCs/>
              </w:rPr>
              <w:t>Expanding the Melbourne Collaborative Research Infrastructure Program to further develop, attract and retain the right technical research infrastructure workforce.</w:t>
            </w:r>
          </w:p>
          <w:p w14:paraId="15F5A5BC" w14:textId="77777777" w:rsidR="006B27CB" w:rsidRPr="003D5B20" w:rsidRDefault="006B27CB" w:rsidP="006B27CB">
            <w:pPr>
              <w:numPr>
                <w:ilvl w:val="0"/>
                <w:numId w:val="27"/>
              </w:numPr>
              <w:spacing w:after="0"/>
              <w:rPr>
                <w:rFonts w:eastAsia="Times New Roman" w:cs="Calibri"/>
                <w:b/>
                <w:bCs/>
                <w:iCs/>
              </w:rPr>
            </w:pPr>
            <w:r w:rsidRPr="003D5B20">
              <w:rPr>
                <w:rFonts w:eastAsia="Times New Roman" w:cs="Calibri"/>
                <w:iCs/>
              </w:rPr>
              <w:t>Developing a target future state for Graduate Research Melbourne, a new centrally coordinated model for supporting high-quality graduate research experience and opportunities across cohort development, supervision, induction, candidature management and future ready pathways.</w:t>
            </w:r>
          </w:p>
          <w:p w14:paraId="0BE3E7C7" w14:textId="77777777" w:rsidR="006B27CB" w:rsidRPr="003B1C44" w:rsidRDefault="006B27CB" w:rsidP="006B27CB">
            <w:pPr>
              <w:spacing w:before="120" w:after="0"/>
              <w:rPr>
                <w:b/>
                <w:bCs/>
              </w:rPr>
            </w:pPr>
            <w:r w:rsidRPr="003D5B20">
              <w:rPr>
                <w:rFonts w:eastAsia="Times New Roman" w:cs="Calibri"/>
                <w:b/>
              </w:rPr>
              <w:t xml:space="preserve">Advancing research translation and impact </w:t>
            </w:r>
          </w:p>
          <w:p w14:paraId="413F85E6" w14:textId="77777777" w:rsidR="006B27CB" w:rsidRDefault="006B27CB" w:rsidP="006B27CB">
            <w:pPr>
              <w:numPr>
                <w:ilvl w:val="0"/>
                <w:numId w:val="27"/>
              </w:numPr>
              <w:spacing w:after="0"/>
              <w:rPr>
                <w:rFonts w:eastAsia="Times New Roman" w:cs="Calibri"/>
                <w:iCs/>
              </w:rPr>
            </w:pPr>
            <w:r w:rsidRPr="003D5B20">
              <w:rPr>
                <w:rFonts w:eastAsia="Times New Roman" w:cs="Calibri"/>
                <w:iCs/>
              </w:rPr>
              <w:t xml:space="preserve">The new 'Melbourne Impact Accelerators' will drive targeted investment and enhance cross-disciplinary partnerships. These Accelerators will bring together researchers, </w:t>
            </w:r>
            <w:r>
              <w:rPr>
                <w:rFonts w:eastAsia="Times New Roman" w:cs="Calibri"/>
                <w:iCs/>
              </w:rPr>
              <w:t>government,</w:t>
            </w:r>
            <w:r w:rsidRPr="003D5B20">
              <w:rPr>
                <w:rFonts w:eastAsia="Times New Roman" w:cs="Calibri"/>
                <w:iCs/>
              </w:rPr>
              <w:t xml:space="preserve"> industry partners, and communities to formulate long-term ambitions in high-impact domains such as climate sustainability, democracy, national security, transformative technologies, health futures, and Indigenous knowledges</w:t>
            </w:r>
          </w:p>
          <w:p w14:paraId="3D00A2C5" w14:textId="77777777" w:rsidR="006B27CB" w:rsidRPr="00797FB2" w:rsidRDefault="006B27CB" w:rsidP="006B27CB">
            <w:pPr>
              <w:numPr>
                <w:ilvl w:val="0"/>
                <w:numId w:val="27"/>
              </w:numPr>
              <w:spacing w:after="0"/>
              <w:rPr>
                <w:rFonts w:eastAsia="Times New Roman" w:cs="Calibri"/>
                <w:iCs/>
              </w:rPr>
            </w:pPr>
            <w:hyperlink r:id="rId54" w:history="1">
              <w:r w:rsidRPr="00F4320D">
                <w:rPr>
                  <w:rStyle w:val="Hyperlink"/>
                  <w:rFonts w:eastAsia="Times New Roman" w:cs="Calibri"/>
                  <w:iCs/>
                </w:rPr>
                <w:t>Activate existing and new precincts</w:t>
              </w:r>
            </w:hyperlink>
            <w:r w:rsidRPr="003D5B20">
              <w:rPr>
                <w:rFonts w:eastAsia="Times New Roman" w:cs="Calibri"/>
                <w:iCs/>
              </w:rPr>
              <w:t xml:space="preserve"> (</w:t>
            </w:r>
            <w:r>
              <w:rPr>
                <w:rFonts w:eastAsia="Times New Roman" w:cs="Calibri"/>
                <w:iCs/>
              </w:rPr>
              <w:t xml:space="preserve">Melbourne Connect, Melbourne Health &amp; Biomedical Precinct, </w:t>
            </w:r>
            <w:r w:rsidRPr="006701DD">
              <w:rPr>
                <w:rFonts w:eastAsia="Times New Roman" w:cs="Calibri"/>
                <w:iCs/>
              </w:rPr>
              <w:t>Aikenhead Centre for Medical Discovery</w:t>
            </w:r>
            <w:r>
              <w:rPr>
                <w:rFonts w:eastAsia="Times New Roman" w:cs="Calibri"/>
                <w:iCs/>
              </w:rPr>
              <w:t xml:space="preserve">, </w:t>
            </w:r>
            <w:r w:rsidRPr="00797FB2">
              <w:rPr>
                <w:rFonts w:eastAsia="Times New Roman" w:cs="Calibri"/>
                <w:iCs/>
              </w:rPr>
              <w:t>Australian Institute of Infectious Disease</w:t>
            </w:r>
            <w:r>
              <w:rPr>
                <w:rFonts w:eastAsia="Times New Roman" w:cs="Calibri"/>
                <w:iCs/>
              </w:rPr>
              <w:t xml:space="preserve">, </w:t>
            </w:r>
            <w:r w:rsidRPr="00797FB2">
              <w:rPr>
                <w:rFonts w:eastAsia="Times New Roman" w:cs="Calibri"/>
                <w:iCs/>
              </w:rPr>
              <w:t>Cumming Global Centre for Pandemic Therapeutics</w:t>
            </w:r>
            <w:r>
              <w:rPr>
                <w:rFonts w:eastAsia="Times New Roman" w:cs="Calibri"/>
                <w:iCs/>
              </w:rPr>
              <w:t xml:space="preserve">) </w:t>
            </w:r>
            <w:r w:rsidRPr="00797FB2">
              <w:rPr>
                <w:rFonts w:eastAsia="Times New Roman" w:cs="Calibri"/>
                <w:iCs/>
              </w:rPr>
              <w:t>to grow internationally</w:t>
            </w:r>
            <w:r>
              <w:rPr>
                <w:rFonts w:eastAsia="Times New Roman" w:cs="Calibri"/>
                <w:iCs/>
              </w:rPr>
              <w:t>-</w:t>
            </w:r>
            <w:r w:rsidRPr="00797FB2">
              <w:rPr>
                <w:rFonts w:eastAsia="Times New Roman" w:cs="Calibri"/>
                <w:iCs/>
              </w:rPr>
              <w:t>renowned locations for collaborative research, innovation and enterprise. This will expand awareness of our expert workforce, equipment, facilities, and the local and global companies, entities and startups that convene across our precincts</w:t>
            </w:r>
            <w:r>
              <w:rPr>
                <w:rFonts w:eastAsia="Times New Roman" w:cs="Calibri"/>
                <w:iCs/>
              </w:rPr>
              <w:t xml:space="preserve">. </w:t>
            </w:r>
          </w:p>
          <w:p w14:paraId="5C712DB7" w14:textId="77777777" w:rsidR="006B27CB" w:rsidRPr="002C488B" w:rsidRDefault="006B27CB" w:rsidP="006B27CB">
            <w:pPr>
              <w:numPr>
                <w:ilvl w:val="0"/>
                <w:numId w:val="27"/>
              </w:numPr>
              <w:spacing w:after="0"/>
              <w:rPr>
                <w:rFonts w:eastAsia="Times New Roman" w:cs="Calibri"/>
                <w:iCs/>
              </w:rPr>
            </w:pPr>
            <w:r w:rsidRPr="00C66FAC">
              <w:rPr>
                <w:rFonts w:eastAsia="Times New Roman" w:cs="Calibri"/>
                <w:iCs/>
              </w:rPr>
              <w:t xml:space="preserve">Continued implementation of </w:t>
            </w:r>
            <w:hyperlink r:id="rId55" w:history="1">
              <w:r w:rsidRPr="00C66FAC">
                <w:rPr>
                  <w:rStyle w:val="Hyperlink"/>
                  <w:rFonts w:eastAsia="Times New Roman" w:cs="Calibri"/>
                  <w:iCs/>
                  <w:color w:val="auto"/>
                </w:rPr>
                <w:t>research commercialisation</w:t>
              </w:r>
            </w:hyperlink>
            <w:r w:rsidRPr="00C66FAC">
              <w:rPr>
                <w:rFonts w:eastAsia="Times New Roman" w:cs="Calibri"/>
                <w:iCs/>
              </w:rPr>
              <w:t xml:space="preserve"> and industry engagement initiatives and activities, including </w:t>
            </w:r>
            <w:r w:rsidRPr="002C488B">
              <w:rPr>
                <w:rFonts w:eastAsia="Times New Roman" w:cs="Calibri"/>
                <w:iCs/>
              </w:rPr>
              <w:t>Melbourne Accelerator Program</w:t>
            </w:r>
            <w:r w:rsidRPr="00C66FAC">
              <w:rPr>
                <w:rFonts w:eastAsia="Times New Roman" w:cs="Calibri"/>
                <w:iCs/>
              </w:rPr>
              <w:t xml:space="preserve">, </w:t>
            </w:r>
            <w:r w:rsidRPr="002C488B">
              <w:rPr>
                <w:rFonts w:eastAsia="Times New Roman" w:cs="Calibri"/>
                <w:iCs/>
              </w:rPr>
              <w:t>Translating Research at Melbourne</w:t>
            </w:r>
            <w:r w:rsidRPr="00C66FAC">
              <w:rPr>
                <w:rFonts w:eastAsia="Times New Roman" w:cs="Calibri"/>
                <w:iCs/>
              </w:rPr>
              <w:t xml:space="preserve">, Venture Creators, </w:t>
            </w:r>
            <w:r w:rsidRPr="002C488B">
              <w:rPr>
                <w:rFonts w:eastAsia="Times New Roman" w:cs="Calibri"/>
                <w:iCs/>
              </w:rPr>
              <w:t>Proof of Concept Fund</w:t>
            </w:r>
            <w:r w:rsidRPr="00C66FAC">
              <w:rPr>
                <w:rFonts w:eastAsia="Times New Roman" w:cs="Calibri"/>
                <w:iCs/>
              </w:rPr>
              <w:t xml:space="preserve">, </w:t>
            </w:r>
            <w:r w:rsidRPr="002C488B">
              <w:rPr>
                <w:rFonts w:eastAsia="Times New Roman" w:cs="Calibri"/>
                <w:iCs/>
              </w:rPr>
              <w:t>Genesis Pre-Seed Fund</w:t>
            </w:r>
            <w:r w:rsidRPr="00C66FAC">
              <w:rPr>
                <w:rFonts w:eastAsia="Times New Roman" w:cs="Calibri"/>
                <w:iCs/>
              </w:rPr>
              <w:t xml:space="preserve"> and </w:t>
            </w:r>
            <w:r w:rsidRPr="002C488B">
              <w:rPr>
                <w:rFonts w:eastAsia="Times New Roman" w:cs="Calibri"/>
                <w:iCs/>
              </w:rPr>
              <w:t xml:space="preserve">Tin Alley Ventures; alongside leveraging UoM’s </w:t>
            </w:r>
            <w:hyperlink r:id="rId56" w:history="1">
              <w:r w:rsidRPr="00C73FD0">
                <w:rPr>
                  <w:rStyle w:val="Hyperlink"/>
                  <w:rFonts w:eastAsia="Times New Roman" w:cs="Calibri"/>
                  <w:iCs/>
                </w:rPr>
                <w:t>industry partnerships</w:t>
              </w:r>
            </w:hyperlink>
            <w:r w:rsidRPr="002C488B">
              <w:rPr>
                <w:rFonts w:eastAsia="Times New Roman" w:cs="Calibri"/>
                <w:iCs/>
              </w:rPr>
              <w:t xml:space="preserve"> such as with </w:t>
            </w:r>
            <w:r w:rsidRPr="00C001CA">
              <w:rPr>
                <w:rFonts w:eastAsia="Times New Roman" w:cs="Calibri"/>
                <w:iCs/>
              </w:rPr>
              <w:t>Illumina</w:t>
            </w:r>
            <w:r>
              <w:rPr>
                <w:rFonts w:eastAsia="Times New Roman" w:cs="Calibri"/>
                <w:iCs/>
              </w:rPr>
              <w:t>, CSL,</w:t>
            </w:r>
            <w:r w:rsidRPr="002C488B">
              <w:rPr>
                <w:rFonts w:eastAsia="Times New Roman" w:cs="Calibri"/>
                <w:iCs/>
              </w:rPr>
              <w:t xml:space="preserve"> </w:t>
            </w:r>
            <w:r w:rsidRPr="00CB592D">
              <w:rPr>
                <w:rFonts w:eastAsia="Times New Roman" w:cs="Calibri"/>
                <w:iCs/>
              </w:rPr>
              <w:t xml:space="preserve">Jumar </w:t>
            </w:r>
            <w:proofErr w:type="spellStart"/>
            <w:r w:rsidRPr="00CB592D">
              <w:rPr>
                <w:rFonts w:eastAsia="Times New Roman" w:cs="Calibri"/>
                <w:iCs/>
              </w:rPr>
              <w:t>Bioincubator</w:t>
            </w:r>
            <w:proofErr w:type="spellEnd"/>
            <w:r w:rsidRPr="002C488B">
              <w:rPr>
                <w:rFonts w:eastAsia="Times New Roman" w:cs="Calibri"/>
                <w:iCs/>
              </w:rPr>
              <w:t xml:space="preserve">, </w:t>
            </w:r>
            <w:r w:rsidRPr="00CB592D">
              <w:rPr>
                <w:rFonts w:eastAsia="Times New Roman" w:cs="Calibri"/>
                <w:iCs/>
              </w:rPr>
              <w:t>Neo-</w:t>
            </w:r>
            <w:proofErr w:type="spellStart"/>
            <w:r w:rsidRPr="00CB592D">
              <w:rPr>
                <w:rFonts w:eastAsia="Times New Roman" w:cs="Calibri"/>
                <w:iCs/>
              </w:rPr>
              <w:t>bionica</w:t>
            </w:r>
            <w:proofErr w:type="spellEnd"/>
            <w:r w:rsidRPr="002C488B">
              <w:rPr>
                <w:rFonts w:eastAsia="Times New Roman" w:cs="Calibri"/>
                <w:iCs/>
              </w:rPr>
              <w:t xml:space="preserve">, and the </w:t>
            </w:r>
            <w:r w:rsidRPr="00CB592D">
              <w:rPr>
                <w:rFonts w:eastAsia="Times New Roman" w:cs="Calibri"/>
                <w:iCs/>
              </w:rPr>
              <w:t>Victorian Medtech Skills and Device Hub</w:t>
            </w:r>
            <w:r w:rsidRPr="002C488B">
              <w:rPr>
                <w:rFonts w:eastAsia="Times New Roman" w:cs="Calibri"/>
                <w:iCs/>
              </w:rPr>
              <w:t>.</w:t>
            </w:r>
          </w:p>
          <w:p w14:paraId="7CF3B0A0" w14:textId="77777777" w:rsidR="006B27CB" w:rsidRPr="00805A8D" w:rsidRDefault="006B27CB" w:rsidP="006B27CB">
            <w:pPr>
              <w:numPr>
                <w:ilvl w:val="0"/>
                <w:numId w:val="27"/>
              </w:numPr>
              <w:spacing w:after="0"/>
              <w:rPr>
                <w:rFonts w:eastAsia="Times New Roman" w:cs="Calibri"/>
                <w:iCs/>
                <w:lang w:val="en-GB"/>
              </w:rPr>
            </w:pPr>
            <w:r w:rsidRPr="00805A8D">
              <w:rPr>
                <w:rFonts w:eastAsia="Times New Roman" w:cs="Calibri"/>
                <w:iCs/>
              </w:rPr>
              <w:t xml:space="preserve">Update the </w:t>
            </w:r>
            <w:hyperlink r:id="rId57" w:history="1">
              <w:r w:rsidRPr="00805A8D">
                <w:rPr>
                  <w:rStyle w:val="Hyperlink"/>
                  <w:rFonts w:eastAsia="Times New Roman" w:cs="Calibri"/>
                  <w:iCs/>
                </w:rPr>
                <w:t>University’s Research Impact Framework</w:t>
              </w:r>
            </w:hyperlink>
            <w:r w:rsidRPr="00805A8D">
              <w:rPr>
                <w:rFonts w:eastAsia="Times New Roman" w:cs="Calibri"/>
                <w:iCs/>
              </w:rPr>
              <w:t xml:space="preserve"> to strengthen research impact culture; support services provided by </w:t>
            </w:r>
            <w:r w:rsidRPr="00805A8D">
              <w:rPr>
                <w:rFonts w:eastAsia="Times New Roman" w:cs="Calibri"/>
                <w:iCs/>
                <w:lang w:val="en-GB"/>
              </w:rPr>
              <w:t>UoM’s business and research development staff and knowledge and tech transfer specialists;</w:t>
            </w:r>
            <w:r w:rsidRPr="00805A8D">
              <w:rPr>
                <w:rFonts w:eastAsia="Times New Roman" w:cs="Calibri"/>
                <w:iCs/>
              </w:rPr>
              <w:t xml:space="preserve"> reward and recognition of research translation and impact; and updated</w:t>
            </w:r>
            <w:r w:rsidRPr="00805A8D">
              <w:rPr>
                <w:rFonts w:eastAsia="Times New Roman" w:cs="Calibri"/>
                <w:iCs/>
                <w:lang w:val="en-GB"/>
              </w:rPr>
              <w:t xml:space="preserve"> researcher promotion criteria which recognise impact measures (including industry partnerships and commercialisation) alongside more traditional scholarship measures.</w:t>
            </w:r>
            <w:r w:rsidRPr="00805A8D">
              <w:rPr>
                <w:rFonts w:eastAsia="Times New Roman" w:cs="Calibri"/>
                <w:iCs/>
              </w:rPr>
              <w:t xml:space="preserve"> </w:t>
            </w:r>
          </w:p>
          <w:p w14:paraId="2BCBE097" w14:textId="77777777" w:rsidR="006B27CB" w:rsidRPr="003D5B20" w:rsidRDefault="006B27CB" w:rsidP="006B27CB">
            <w:pPr>
              <w:spacing w:before="120" w:after="0"/>
              <w:rPr>
                <w:rFonts w:eastAsia="Times New Roman" w:cs="Calibri"/>
                <w:b/>
                <w:bCs/>
                <w:iCs/>
              </w:rPr>
            </w:pPr>
            <w:r w:rsidRPr="003D5B20">
              <w:rPr>
                <w:rFonts w:eastAsia="Times New Roman" w:cs="Calibri"/>
                <w:b/>
                <w:bCs/>
                <w:iCs/>
              </w:rPr>
              <w:t xml:space="preserve">Fostering and initiating research collaborations and partnerships with key national and international partner organisations </w:t>
            </w:r>
            <w:r w:rsidRPr="00021D8A">
              <w:rPr>
                <w:rFonts w:eastAsia="Times New Roman" w:cs="Calibri"/>
                <w:iCs/>
              </w:rPr>
              <w:t>(See also Section 4)</w:t>
            </w:r>
          </w:p>
          <w:p w14:paraId="4773BB13" w14:textId="77777777" w:rsidR="006B27CB" w:rsidRPr="003D5B20" w:rsidRDefault="006B27CB" w:rsidP="006B27CB">
            <w:pPr>
              <w:numPr>
                <w:ilvl w:val="0"/>
                <w:numId w:val="28"/>
              </w:numPr>
              <w:spacing w:after="0"/>
              <w:rPr>
                <w:rFonts w:eastAsia="Times New Roman" w:cs="Calibri"/>
                <w:iCs/>
              </w:rPr>
            </w:pPr>
            <w:r w:rsidRPr="003D5B20">
              <w:rPr>
                <w:rFonts w:eastAsia="Times New Roman" w:cs="Calibri"/>
                <w:iCs/>
              </w:rPr>
              <w:t xml:space="preserve">Leveraging our place and precincts such as the world-renowned </w:t>
            </w:r>
            <w:hyperlink r:id="rId58" w:history="1">
              <w:r w:rsidRPr="00B85718">
                <w:rPr>
                  <w:rStyle w:val="Hyperlink"/>
                  <w:rFonts w:eastAsia="Times New Roman" w:cs="Calibri"/>
                  <w:iCs/>
                </w:rPr>
                <w:t>Melbourne Health and Biomedical Precinct</w:t>
              </w:r>
            </w:hyperlink>
            <w:r>
              <w:rPr>
                <w:rFonts w:eastAsia="Times New Roman" w:cs="Calibri"/>
                <w:iCs/>
              </w:rPr>
              <w:t xml:space="preserve"> </w:t>
            </w:r>
            <w:r w:rsidRPr="003D5B20">
              <w:rPr>
                <w:rFonts w:eastAsia="Times New Roman" w:cs="Calibri"/>
                <w:iCs/>
              </w:rPr>
              <w:t xml:space="preserve">to </w:t>
            </w:r>
            <w:r>
              <w:rPr>
                <w:rFonts w:eastAsia="Times New Roman" w:cs="Calibri"/>
                <w:iCs/>
              </w:rPr>
              <w:t>pursue</w:t>
            </w:r>
            <w:r w:rsidRPr="003D5B20">
              <w:rPr>
                <w:rFonts w:eastAsia="Times New Roman" w:cs="Calibri"/>
                <w:iCs/>
              </w:rPr>
              <w:t xml:space="preserve"> high-value opportunities for collaboration, including clinical trials, </w:t>
            </w:r>
            <w:r>
              <w:rPr>
                <w:rFonts w:eastAsia="Times New Roman" w:cs="Calibri"/>
                <w:iCs/>
              </w:rPr>
              <w:t>shared infrastructure</w:t>
            </w:r>
            <w:r w:rsidRPr="003D5B20">
              <w:rPr>
                <w:rFonts w:eastAsia="Times New Roman" w:cs="Calibri"/>
                <w:iCs/>
              </w:rPr>
              <w:t xml:space="preserve"> and a </w:t>
            </w:r>
            <w:r>
              <w:rPr>
                <w:rFonts w:eastAsia="Times New Roman" w:cs="Calibri"/>
                <w:iCs/>
              </w:rPr>
              <w:t>proposed</w:t>
            </w:r>
            <w:r w:rsidRPr="003D5B20">
              <w:rPr>
                <w:rFonts w:eastAsia="Times New Roman" w:cs="Calibri"/>
                <w:iCs/>
              </w:rPr>
              <w:t xml:space="preserve"> landing pad</w:t>
            </w:r>
            <w:r>
              <w:rPr>
                <w:rFonts w:eastAsia="Times New Roman" w:cs="Calibri"/>
                <w:iCs/>
              </w:rPr>
              <w:t xml:space="preserve"> for international partners.</w:t>
            </w:r>
          </w:p>
          <w:p w14:paraId="3DDCA6E9" w14:textId="77777777" w:rsidR="006B27CB" w:rsidRPr="003D5B20" w:rsidRDefault="006B27CB" w:rsidP="006B27CB">
            <w:pPr>
              <w:numPr>
                <w:ilvl w:val="0"/>
                <w:numId w:val="28"/>
              </w:numPr>
              <w:spacing w:after="0"/>
              <w:rPr>
                <w:rFonts w:eastAsia="Times New Roman" w:cs="Calibri"/>
                <w:iCs/>
              </w:rPr>
            </w:pPr>
            <w:r w:rsidRPr="003D5B20">
              <w:rPr>
                <w:rFonts w:eastAsia="Times New Roman" w:cs="Calibri"/>
                <w:iCs/>
              </w:rPr>
              <w:t xml:space="preserve">Supporting researchers and graduate researchers to develop high-quality and impactful global partnerships, through expanding international research partnerships and </w:t>
            </w:r>
            <w:r w:rsidRPr="003D5B20">
              <w:rPr>
                <w:rFonts w:eastAsia="Times New Roman" w:cs="Calibri"/>
                <w:iCs/>
              </w:rPr>
              <w:lastRenderedPageBreak/>
              <w:t>International Collaborative Research Academies (ICRAs) programs to drive collaborative and industry engaged research opportunities</w:t>
            </w:r>
            <w:r>
              <w:rPr>
                <w:rFonts w:eastAsia="Times New Roman" w:cs="Calibri"/>
                <w:iCs/>
              </w:rPr>
              <w:t>.</w:t>
            </w:r>
          </w:p>
          <w:p w14:paraId="54FC1EC5" w14:textId="77777777" w:rsidR="006B27CB" w:rsidRPr="003D5B20" w:rsidRDefault="006B27CB" w:rsidP="006B27CB">
            <w:pPr>
              <w:numPr>
                <w:ilvl w:val="0"/>
                <w:numId w:val="27"/>
              </w:numPr>
              <w:spacing w:after="0"/>
              <w:rPr>
                <w:rFonts w:eastAsia="Times New Roman" w:cs="Calibri"/>
                <w:iCs/>
              </w:rPr>
            </w:pPr>
            <w:r>
              <w:rPr>
                <w:rFonts w:eastAsia="Times New Roman" w:cs="Calibri"/>
                <w:iCs/>
              </w:rPr>
              <w:t>Deepen our commitment to</w:t>
            </w:r>
            <w:r w:rsidRPr="003D5B20">
              <w:rPr>
                <w:rFonts w:eastAsia="Times New Roman" w:cs="Calibri"/>
                <w:iCs/>
              </w:rPr>
              <w:t xml:space="preserve"> consumer and patient involvement in research</w:t>
            </w:r>
            <w:r>
              <w:rPr>
                <w:rFonts w:eastAsia="Times New Roman" w:cs="Calibri"/>
                <w:iCs/>
              </w:rPr>
              <w:t>.</w:t>
            </w:r>
          </w:p>
          <w:p w14:paraId="67355B82" w14:textId="77777777" w:rsidR="006B27CB" w:rsidRPr="003D5B20" w:rsidRDefault="006B27CB" w:rsidP="006B27CB">
            <w:pPr>
              <w:numPr>
                <w:ilvl w:val="0"/>
                <w:numId w:val="27"/>
              </w:numPr>
              <w:spacing w:after="0"/>
              <w:rPr>
                <w:rFonts w:eastAsia="Times New Roman" w:cs="Calibri"/>
                <w:iCs/>
              </w:rPr>
            </w:pPr>
            <w:r w:rsidRPr="003D5B20">
              <w:rPr>
                <w:rFonts w:eastAsia="Times New Roman" w:cs="Calibri"/>
                <w:iCs/>
              </w:rPr>
              <w:t xml:space="preserve">Establish international presence in target regions to support the growth of research and innovation activities. </w:t>
            </w:r>
          </w:p>
          <w:p w14:paraId="0504724E" w14:textId="77777777" w:rsidR="006B27CB" w:rsidRPr="006D7086" w:rsidRDefault="006B27CB" w:rsidP="006B27CB">
            <w:pPr>
              <w:spacing w:before="120" w:after="0"/>
              <w:rPr>
                <w:rFonts w:eastAsia="Times New Roman" w:cs="Calibri"/>
                <w:b/>
                <w:bCs/>
                <w:iCs/>
              </w:rPr>
            </w:pPr>
            <w:r w:rsidRPr="006D7086">
              <w:rPr>
                <w:rFonts w:eastAsia="Times New Roman" w:cs="Calibri"/>
                <w:b/>
                <w:bCs/>
                <w:iCs/>
              </w:rPr>
              <w:t xml:space="preserve">Key metrics: </w:t>
            </w:r>
          </w:p>
          <w:p w14:paraId="16A1D947" w14:textId="77777777" w:rsidR="006B27CB" w:rsidRPr="003D5B20" w:rsidRDefault="006B27CB" w:rsidP="006B27CB">
            <w:pPr>
              <w:numPr>
                <w:ilvl w:val="0"/>
                <w:numId w:val="27"/>
              </w:numPr>
              <w:spacing w:after="0"/>
              <w:rPr>
                <w:rFonts w:eastAsia="Times New Roman" w:cs="Calibri"/>
                <w:iCs/>
              </w:rPr>
            </w:pPr>
            <w:r w:rsidRPr="003D5B20">
              <w:rPr>
                <w:rFonts w:eastAsia="Times New Roman" w:cs="Calibri"/>
                <w:iCs/>
              </w:rPr>
              <w:t>HERDC total income</w:t>
            </w:r>
          </w:p>
          <w:p w14:paraId="5A194272" w14:textId="77777777" w:rsidR="006B27CB" w:rsidRPr="003D5B20" w:rsidRDefault="006B27CB" w:rsidP="006B27CB">
            <w:pPr>
              <w:numPr>
                <w:ilvl w:val="0"/>
                <w:numId w:val="27"/>
              </w:numPr>
              <w:spacing w:after="0"/>
              <w:rPr>
                <w:rFonts w:eastAsia="Times New Roman" w:cs="Calibri"/>
                <w:iCs/>
              </w:rPr>
            </w:pPr>
            <w:r w:rsidRPr="003D5B20">
              <w:rPr>
                <w:rFonts w:eastAsia="Times New Roman" w:cs="Calibri"/>
                <w:iCs/>
              </w:rPr>
              <w:t># Graduate Research completions</w:t>
            </w:r>
          </w:p>
          <w:p w14:paraId="1616FE76" w14:textId="77777777" w:rsidR="006B27CB" w:rsidRPr="003D5B20" w:rsidRDefault="006B27CB" w:rsidP="006B27CB">
            <w:pPr>
              <w:numPr>
                <w:ilvl w:val="0"/>
                <w:numId w:val="27"/>
              </w:numPr>
              <w:spacing w:after="0"/>
              <w:rPr>
                <w:rFonts w:eastAsia="Times New Roman" w:cs="Calibri"/>
                <w:iCs/>
              </w:rPr>
            </w:pPr>
            <w:r w:rsidRPr="003D5B20">
              <w:rPr>
                <w:rFonts w:eastAsia="Times New Roman" w:cs="Calibri"/>
                <w:iCs/>
              </w:rPr>
              <w:t># IP disclosures</w:t>
            </w:r>
          </w:p>
          <w:p w14:paraId="0B2CAFB0" w14:textId="77777777" w:rsidR="006B27CB" w:rsidRPr="003D5B20" w:rsidRDefault="006B27CB" w:rsidP="006B27CB">
            <w:pPr>
              <w:numPr>
                <w:ilvl w:val="0"/>
                <w:numId w:val="27"/>
              </w:numPr>
              <w:spacing w:after="0"/>
              <w:rPr>
                <w:rFonts w:eastAsia="Times New Roman" w:cs="Calibri"/>
                <w:iCs/>
              </w:rPr>
            </w:pPr>
            <w:r w:rsidRPr="003D5B20">
              <w:rPr>
                <w:rFonts w:eastAsia="Times New Roman" w:cs="Calibri"/>
                <w:iCs/>
              </w:rPr>
              <w:t>% of research outputs co-authored with international institutions</w:t>
            </w:r>
          </w:p>
          <w:p w14:paraId="4780044B" w14:textId="77777777" w:rsidR="006B27CB" w:rsidRDefault="006B27CB" w:rsidP="006B27CB">
            <w:pPr>
              <w:numPr>
                <w:ilvl w:val="0"/>
                <w:numId w:val="27"/>
              </w:numPr>
              <w:spacing w:after="0"/>
              <w:rPr>
                <w:rFonts w:eastAsia="Times New Roman" w:cs="Calibri"/>
                <w:iCs/>
              </w:rPr>
            </w:pPr>
            <w:r w:rsidRPr="003D5B20">
              <w:rPr>
                <w:rFonts w:eastAsia="Times New Roman" w:cs="Calibri"/>
                <w:iCs/>
              </w:rPr>
              <w:t xml:space="preserve">Field-Weighted Citation Impact </w:t>
            </w:r>
          </w:p>
          <w:p w14:paraId="6508884A" w14:textId="008D4AED" w:rsidR="001B109C" w:rsidRPr="006B27CB" w:rsidRDefault="006B27CB" w:rsidP="006B27CB">
            <w:pPr>
              <w:numPr>
                <w:ilvl w:val="0"/>
                <w:numId w:val="27"/>
              </w:numPr>
              <w:spacing w:after="0"/>
              <w:rPr>
                <w:rFonts w:eastAsia="Times New Roman" w:cs="Calibri"/>
                <w:iCs/>
              </w:rPr>
            </w:pPr>
            <w:r w:rsidRPr="006B27CB">
              <w:rPr>
                <w:rFonts w:cs="Calibri"/>
                <w:iCs/>
              </w:rPr>
              <w:t># Start-up and spin out companies</w:t>
            </w:r>
          </w:p>
          <w:p w14:paraId="40DA31C2" w14:textId="77777777" w:rsidR="001B109C" w:rsidRPr="00583B49" w:rsidRDefault="001B109C" w:rsidP="00E16E9E">
            <w:pPr>
              <w:pStyle w:val="NormalIndent"/>
              <w:spacing w:before="0" w:after="0"/>
              <w:ind w:left="0"/>
              <w:rPr>
                <w:rFonts w:asciiTheme="minorHAnsi" w:hAnsiTheme="minorHAnsi" w:cstheme="minorHAnsi"/>
                <w:i/>
                <w:color w:val="FF0000"/>
                <w:szCs w:val="22"/>
              </w:rPr>
            </w:pPr>
          </w:p>
        </w:tc>
      </w:tr>
      <w:tr w:rsidR="001B109C" w:rsidRPr="00E41388" w14:paraId="23C06863" w14:textId="77777777" w:rsidTr="002B3673">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002B3673">
        <w:trPr>
          <w:trHeight w:val="1033"/>
        </w:trPr>
        <w:tc>
          <w:tcPr>
            <w:tcW w:w="5000" w:type="pct"/>
          </w:tcPr>
          <w:p w14:paraId="4E824A86" w14:textId="77777777" w:rsidR="0031162E" w:rsidRDefault="0031162E" w:rsidP="0031162E">
            <w:pPr>
              <w:spacing w:before="120" w:after="60"/>
            </w:pPr>
            <w:r>
              <w:t xml:space="preserve">The University’s engagement with industry is a critical enabler to our shared success. We aim to be an </w:t>
            </w:r>
            <w:r w:rsidRPr="007C179A">
              <w:t>industry partner of choice in foundational and applied research</w:t>
            </w:r>
            <w:r>
              <w:t xml:space="preserve"> and recognise that partnering for impact underpins our work in research, teaching and learning and engagement with government and regional communities. </w:t>
            </w:r>
          </w:p>
          <w:p w14:paraId="7771E366" w14:textId="77777777" w:rsidR="0031162E" w:rsidRDefault="0031162E" w:rsidP="0031162E">
            <w:pPr>
              <w:spacing w:before="120" w:after="60"/>
            </w:pPr>
            <w:r w:rsidRPr="005D60AA">
              <w:rPr>
                <w:b/>
                <w:bCs/>
              </w:rPr>
              <w:t>Research-industry partnership</w:t>
            </w:r>
            <w:r>
              <w:rPr>
                <w:b/>
                <w:bCs/>
              </w:rPr>
              <w:t>s</w:t>
            </w:r>
            <w:r w:rsidRPr="005D60AA">
              <w:rPr>
                <w:b/>
                <w:bCs/>
              </w:rPr>
              <w:t xml:space="preserve"> </w:t>
            </w:r>
          </w:p>
          <w:p w14:paraId="672DAF65" w14:textId="77777777" w:rsidR="0031162E" w:rsidRPr="00E55081" w:rsidRDefault="0031162E" w:rsidP="0031162E">
            <w:pPr>
              <w:pStyle w:val="ListParagraph"/>
              <w:numPr>
                <w:ilvl w:val="0"/>
                <w:numId w:val="29"/>
              </w:numPr>
              <w:spacing w:after="0"/>
              <w:ind w:left="714" w:hanging="357"/>
              <w:rPr>
                <w:rFonts w:cs="Calibri"/>
                <w:color w:val="000000"/>
              </w:rPr>
            </w:pPr>
            <w:r w:rsidRPr="00203509">
              <w:t xml:space="preserve">Progressing operational plans for the </w:t>
            </w:r>
            <w:r>
              <w:t>addition of the</w:t>
            </w:r>
            <w:r w:rsidRPr="00203509">
              <w:t xml:space="preserve"> </w:t>
            </w:r>
            <w:hyperlink r:id="rId59" w:history="1">
              <w:r w:rsidRPr="00052F5A">
                <w:rPr>
                  <w:rStyle w:val="Hyperlink"/>
                </w:rPr>
                <w:t>Australian Institute for Infectious Disease (AIID)</w:t>
              </w:r>
            </w:hyperlink>
            <w:r w:rsidRPr="00203509">
              <w:t xml:space="preserve"> </w:t>
            </w:r>
            <w:r>
              <w:t xml:space="preserve">to the Melbourne Biomedical Precinct, </w:t>
            </w:r>
            <w:r w:rsidRPr="00203509">
              <w:t xml:space="preserve">and </w:t>
            </w:r>
            <w:r>
              <w:t>the</w:t>
            </w:r>
            <w:r w:rsidRPr="00203509">
              <w:t xml:space="preserve"> </w:t>
            </w:r>
            <w:hyperlink r:id="rId60" w:history="1">
              <w:r w:rsidRPr="003856BC">
                <w:rPr>
                  <w:rStyle w:val="Hyperlink"/>
                </w:rPr>
                <w:t>Aikenhead Centre for Medical Discovery (ACMD)</w:t>
              </w:r>
            </w:hyperlink>
            <w:r w:rsidRPr="00203509" w:rsidDel="00BD6E92">
              <w:t xml:space="preserve"> </w:t>
            </w:r>
            <w:r w:rsidRPr="00E55081">
              <w:rPr>
                <w:rFonts w:cs="Calibri"/>
                <w:color w:val="000000" w:themeColor="text1"/>
              </w:rPr>
              <w:t>as part of the</w:t>
            </w:r>
            <w:r w:rsidRPr="00E55081" w:rsidDel="00082767">
              <w:rPr>
                <w:rFonts w:cs="Calibri"/>
                <w:color w:val="000000" w:themeColor="text1"/>
              </w:rPr>
              <w:t xml:space="preserve"> </w:t>
            </w:r>
            <w:r w:rsidRPr="00E55081">
              <w:rPr>
                <w:rFonts w:cs="Calibri"/>
                <w:color w:val="000000" w:themeColor="text1"/>
              </w:rPr>
              <w:t xml:space="preserve">existing network of </w:t>
            </w:r>
            <w:r>
              <w:rPr>
                <w:rFonts w:cs="Calibri"/>
                <w:color w:val="000000" w:themeColor="text1"/>
              </w:rPr>
              <w:t xml:space="preserve">industry and research </w:t>
            </w:r>
            <w:hyperlink r:id="rId61" w:history="1">
              <w:r w:rsidRPr="00E55081">
                <w:rPr>
                  <w:rStyle w:val="Hyperlink"/>
                  <w:rFonts w:cs="Calibri"/>
                </w:rPr>
                <w:t>precincts</w:t>
              </w:r>
            </w:hyperlink>
            <w:r>
              <w:rPr>
                <w:rFonts w:cs="Calibri"/>
                <w:color w:val="000000" w:themeColor="text1"/>
              </w:rPr>
              <w:t>.</w:t>
            </w:r>
          </w:p>
          <w:p w14:paraId="5EAEB2E5" w14:textId="77777777" w:rsidR="0031162E" w:rsidRPr="00E55081" w:rsidRDefault="0031162E" w:rsidP="0031162E">
            <w:pPr>
              <w:pStyle w:val="ListParagraph"/>
              <w:numPr>
                <w:ilvl w:val="0"/>
                <w:numId w:val="29"/>
              </w:numPr>
              <w:spacing w:after="0"/>
              <w:ind w:left="714" w:hanging="357"/>
              <w:rPr>
                <w:rFonts w:cs="Calibri"/>
                <w:color w:val="000000"/>
              </w:rPr>
            </w:pPr>
            <w:r w:rsidRPr="00E55081">
              <w:rPr>
                <w:rFonts w:cs="Calibri"/>
                <w:color w:val="000000" w:themeColor="text1"/>
              </w:rPr>
              <w:t xml:space="preserve">Elevating the </w:t>
            </w:r>
            <w:hyperlink r:id="rId62" w:history="1">
              <w:r w:rsidRPr="00E55081">
                <w:rPr>
                  <w:rStyle w:val="Hyperlink"/>
                  <w:rFonts w:cs="Calibri"/>
                </w:rPr>
                <w:t>Melbourne Entrepreneurial Centre</w:t>
              </w:r>
            </w:hyperlink>
            <w:r w:rsidRPr="00E55081">
              <w:rPr>
                <w:rFonts w:cs="Calibri"/>
                <w:color w:val="000000" w:themeColor="text1"/>
              </w:rPr>
              <w:t xml:space="preserve"> as an internationally recognised leader for entrepreneurial activity, integrating entrepreneurship into researcher development, and scaling-up high-quality programs.</w:t>
            </w:r>
          </w:p>
          <w:p w14:paraId="6F11E909" w14:textId="77777777" w:rsidR="0031162E" w:rsidRPr="00203509" w:rsidRDefault="0031162E" w:rsidP="0031162E">
            <w:pPr>
              <w:pStyle w:val="ListParagraph"/>
              <w:numPr>
                <w:ilvl w:val="0"/>
                <w:numId w:val="29"/>
              </w:numPr>
              <w:spacing w:after="0"/>
              <w:rPr>
                <w:rFonts w:cs="Calibri"/>
                <w:color w:val="000000"/>
              </w:rPr>
            </w:pPr>
            <w:r w:rsidRPr="00203509">
              <w:t xml:space="preserve">Identifying interventions to address gaps in the impact ecosystem, including </w:t>
            </w:r>
            <w:r>
              <w:t>a</w:t>
            </w:r>
            <w:r w:rsidRPr="00203509">
              <w:rPr>
                <w:rFonts w:cs="Calibri"/>
                <w:color w:val="000000" w:themeColor="text1"/>
              </w:rPr>
              <w:t>ccelerati</w:t>
            </w:r>
            <w:r>
              <w:rPr>
                <w:rFonts w:cs="Calibri"/>
                <w:color w:val="000000" w:themeColor="text1"/>
              </w:rPr>
              <w:t>ng</w:t>
            </w:r>
            <w:r w:rsidRPr="00203509">
              <w:rPr>
                <w:rFonts w:cs="Calibri"/>
                <w:color w:val="000000" w:themeColor="text1"/>
              </w:rPr>
              <w:t xml:space="preserve"> support for Indigenous researchers and </w:t>
            </w:r>
            <w:hyperlink r:id="rId63">
              <w:r w:rsidRPr="00F93B33">
                <w:rPr>
                  <w:rStyle w:val="Hyperlink"/>
                  <w:rFonts w:ascii="Calibri" w:eastAsia="Calibri" w:hAnsi="Calibri" w:cs="Calibri"/>
                </w:rPr>
                <w:t>graduate research internships</w:t>
              </w:r>
            </w:hyperlink>
            <w:r w:rsidRPr="00203509">
              <w:rPr>
                <w:rFonts w:cs="Calibri"/>
                <w:color w:val="000000" w:themeColor="text1"/>
              </w:rPr>
              <w:t>.</w:t>
            </w:r>
          </w:p>
          <w:p w14:paraId="1D25E30D" w14:textId="77777777" w:rsidR="0031162E" w:rsidRPr="00203509" w:rsidRDefault="0031162E" w:rsidP="0031162E">
            <w:pPr>
              <w:pStyle w:val="ListParagraph"/>
              <w:numPr>
                <w:ilvl w:val="0"/>
                <w:numId w:val="29"/>
              </w:numPr>
              <w:spacing w:after="0"/>
              <w:ind w:left="714"/>
              <w:rPr>
                <w:rFonts w:cs="Calibri"/>
                <w:color w:val="000000"/>
              </w:rPr>
            </w:pPr>
            <w:r>
              <w:t xml:space="preserve">Strengthen partnerships with industry and maximise the utility of the University’s </w:t>
            </w:r>
            <w:hyperlink r:id="rId64" w:history="1">
              <w:r w:rsidRPr="00037295">
                <w:rPr>
                  <w:rStyle w:val="Hyperlink"/>
                </w:rPr>
                <w:t>&gt;30 research platforms</w:t>
              </w:r>
            </w:hyperlink>
            <w:r>
              <w:t>.</w:t>
            </w:r>
          </w:p>
          <w:p w14:paraId="56272AC4" w14:textId="77777777" w:rsidR="0031162E" w:rsidRDefault="0031162E" w:rsidP="0031162E">
            <w:pPr>
              <w:pStyle w:val="NormalIndent"/>
              <w:spacing w:after="60"/>
              <w:ind w:left="0"/>
              <w:rPr>
                <w:rFonts w:asciiTheme="minorHAnsi" w:hAnsiTheme="minorHAnsi" w:cstheme="minorBidi"/>
                <w:b/>
                <w:bCs/>
              </w:rPr>
            </w:pPr>
            <w:r>
              <w:rPr>
                <w:rFonts w:asciiTheme="minorHAnsi" w:hAnsiTheme="minorHAnsi" w:cstheme="minorBidi"/>
                <w:b/>
                <w:bCs/>
              </w:rPr>
              <w:t xml:space="preserve">Experiential learning </w:t>
            </w:r>
          </w:p>
          <w:p w14:paraId="37A07BA4" w14:textId="77777777" w:rsidR="0031162E" w:rsidRDefault="0031162E" w:rsidP="0031162E">
            <w:pPr>
              <w:pStyle w:val="NormalIndent"/>
              <w:numPr>
                <w:ilvl w:val="0"/>
                <w:numId w:val="30"/>
              </w:numPr>
              <w:spacing w:before="0" w:after="0"/>
              <w:ind w:left="714" w:hanging="357"/>
              <w:rPr>
                <w:rFonts w:asciiTheme="minorHAnsi" w:hAnsiTheme="minorHAnsi" w:cstheme="minorBidi"/>
              </w:rPr>
            </w:pPr>
            <w:r>
              <w:rPr>
                <w:rFonts w:asciiTheme="minorHAnsi" w:hAnsiTheme="minorHAnsi" w:cstheme="minorBidi"/>
              </w:rPr>
              <w:t>Increase the number of internship practicums through partnerships with industry to improve student employment outcomes.</w:t>
            </w:r>
          </w:p>
          <w:p w14:paraId="22B425A3" w14:textId="77777777" w:rsidR="0031162E" w:rsidRDefault="0031162E" w:rsidP="0031162E">
            <w:pPr>
              <w:pStyle w:val="NormalIndent"/>
              <w:numPr>
                <w:ilvl w:val="0"/>
                <w:numId w:val="30"/>
              </w:numPr>
              <w:spacing w:before="0" w:after="0"/>
              <w:ind w:left="714" w:hanging="357"/>
              <w:rPr>
                <w:rFonts w:asciiTheme="minorHAnsi" w:hAnsiTheme="minorHAnsi" w:cstheme="minorBidi"/>
              </w:rPr>
            </w:pPr>
            <w:r>
              <w:rPr>
                <w:rFonts w:asciiTheme="minorHAnsi" w:hAnsiTheme="minorHAnsi" w:cstheme="minorBidi"/>
              </w:rPr>
              <w:t>Enrolment in work integrated learning undergraduate subjects has increased 7% in 2025, including in flagship subjects in the Bachelor of Commerce and Bachelor of Science.</w:t>
            </w:r>
          </w:p>
          <w:p w14:paraId="741496A2" w14:textId="77777777" w:rsidR="0031162E" w:rsidRPr="002E2F4C" w:rsidRDefault="0031162E" w:rsidP="0031162E">
            <w:pPr>
              <w:pStyle w:val="NormalIndent"/>
              <w:numPr>
                <w:ilvl w:val="0"/>
                <w:numId w:val="30"/>
              </w:numPr>
              <w:spacing w:before="0" w:after="0"/>
              <w:ind w:left="714" w:hanging="357"/>
              <w:rPr>
                <w:rFonts w:asciiTheme="minorHAnsi" w:hAnsiTheme="minorHAnsi" w:cstheme="minorBidi"/>
              </w:rPr>
            </w:pPr>
            <w:r>
              <w:rPr>
                <w:rFonts w:asciiTheme="minorHAnsi" w:hAnsiTheme="minorHAnsi" w:cstheme="minorBidi"/>
              </w:rPr>
              <w:t>F</w:t>
            </w:r>
            <w:r w:rsidRPr="060705B0">
              <w:rPr>
                <w:rFonts w:asciiTheme="minorHAnsi" w:hAnsiTheme="minorHAnsi" w:cstheme="minorBidi"/>
              </w:rPr>
              <w:t xml:space="preserve">urther </w:t>
            </w:r>
            <w:r>
              <w:rPr>
                <w:rFonts w:asciiTheme="minorHAnsi" w:hAnsiTheme="minorHAnsi" w:cstheme="minorBidi"/>
              </w:rPr>
              <w:t xml:space="preserve">develop the </w:t>
            </w:r>
            <w:hyperlink r:id="rId65" w:history="1">
              <w:r w:rsidRPr="006533FB">
                <w:rPr>
                  <w:rStyle w:val="Hyperlink"/>
                  <w:rFonts w:asciiTheme="minorHAnsi" w:hAnsiTheme="minorHAnsi" w:cstheme="minorBidi"/>
                </w:rPr>
                <w:t>Innovative Practice Program</w:t>
              </w:r>
            </w:hyperlink>
            <w:r>
              <w:rPr>
                <w:rFonts w:asciiTheme="minorHAnsi" w:hAnsiTheme="minorHAnsi" w:cstheme="minorBidi"/>
              </w:rPr>
              <w:t xml:space="preserve"> </w:t>
            </w:r>
            <w:r w:rsidRPr="2614636B">
              <w:rPr>
                <w:rFonts w:asciiTheme="minorHAnsi" w:hAnsiTheme="minorHAnsi" w:cstheme="minorBidi"/>
              </w:rPr>
              <w:t xml:space="preserve">to enhance work </w:t>
            </w:r>
            <w:r w:rsidRPr="66F91618">
              <w:rPr>
                <w:rFonts w:asciiTheme="minorHAnsi" w:hAnsiTheme="minorHAnsi" w:cstheme="minorBidi"/>
              </w:rPr>
              <w:t>readiness of postgraduate students</w:t>
            </w:r>
            <w:r w:rsidRPr="434AA72D">
              <w:rPr>
                <w:rFonts w:asciiTheme="minorHAnsi" w:hAnsiTheme="minorHAnsi" w:cstheme="minorBidi"/>
              </w:rPr>
              <w:t xml:space="preserve"> </w:t>
            </w:r>
            <w:r>
              <w:rPr>
                <w:rFonts w:asciiTheme="minorHAnsi" w:hAnsiTheme="minorHAnsi" w:cstheme="minorBidi"/>
              </w:rPr>
              <w:t>through</w:t>
            </w:r>
            <w:r w:rsidRPr="0D25450E">
              <w:rPr>
                <w:rFonts w:asciiTheme="minorHAnsi" w:hAnsiTheme="minorHAnsi" w:cstheme="minorBidi"/>
              </w:rPr>
              <w:t xml:space="preserve"> the creation of a new </w:t>
            </w:r>
            <w:hyperlink r:id="rId66" w:history="1">
              <w:r w:rsidRPr="00D20797">
                <w:rPr>
                  <w:rStyle w:val="Hyperlink"/>
                  <w:rFonts w:asciiTheme="minorHAnsi" w:hAnsiTheme="minorHAnsi" w:cstheme="minorBidi"/>
                </w:rPr>
                <w:t>Graduate Certificate of Innovation Practice</w:t>
              </w:r>
            </w:hyperlink>
            <w:r w:rsidRPr="2AB188C0">
              <w:rPr>
                <w:rFonts w:asciiTheme="minorHAnsi" w:hAnsiTheme="minorHAnsi" w:cstheme="minorBidi"/>
              </w:rPr>
              <w:t>.</w:t>
            </w:r>
          </w:p>
          <w:p w14:paraId="54E3BC70" w14:textId="77777777" w:rsidR="0031162E" w:rsidRPr="00AA4AA7" w:rsidRDefault="0031162E" w:rsidP="0031162E">
            <w:pPr>
              <w:spacing w:before="120" w:after="60" w:line="220" w:lineRule="atLeast"/>
              <w:rPr>
                <w:rFonts w:eastAsia="Times New Roman"/>
                <w:b/>
                <w:bCs/>
                <w:lang w:eastAsia="en-AU"/>
              </w:rPr>
            </w:pPr>
            <w:r>
              <w:rPr>
                <w:rFonts w:eastAsia="Times New Roman"/>
                <w:b/>
                <w:bCs/>
                <w:lang w:eastAsia="en-AU"/>
              </w:rPr>
              <w:t xml:space="preserve">Government and industry partnerships </w:t>
            </w:r>
          </w:p>
          <w:p w14:paraId="3FC0EAA1" w14:textId="77777777" w:rsidR="0031162E" w:rsidRPr="00871F21" w:rsidRDefault="0031162E" w:rsidP="0031162E">
            <w:pPr>
              <w:numPr>
                <w:ilvl w:val="0"/>
                <w:numId w:val="30"/>
              </w:numPr>
              <w:spacing w:after="160" w:line="220" w:lineRule="atLeast"/>
              <w:ind w:left="714" w:hanging="357"/>
              <w:contextualSpacing/>
            </w:pPr>
            <w:r>
              <w:rPr>
                <w:rFonts w:eastAsia="Times New Roman"/>
              </w:rPr>
              <w:t>P</w:t>
            </w:r>
            <w:r w:rsidRPr="00871F21">
              <w:rPr>
                <w:rFonts w:eastAsia="Times New Roman"/>
              </w:rPr>
              <w:t>artner</w:t>
            </w:r>
            <w:r>
              <w:rPr>
                <w:rFonts w:eastAsia="Times New Roman"/>
              </w:rPr>
              <w:t>ing</w:t>
            </w:r>
            <w:r w:rsidRPr="00871F21">
              <w:rPr>
                <w:rFonts w:eastAsia="Times New Roman"/>
              </w:rPr>
              <w:t xml:space="preserve"> with government and defence agencies to leverage world-leading expertise and capabilities for national security and to advance Australian defence and sovereign capabilities. </w:t>
            </w:r>
            <w:r>
              <w:rPr>
                <w:rFonts w:eastAsia="Times New Roman"/>
              </w:rPr>
              <w:t>UoM</w:t>
            </w:r>
            <w:r w:rsidRPr="00871F21">
              <w:rPr>
                <w:rFonts w:eastAsia="Times New Roman"/>
              </w:rPr>
              <w:t xml:space="preserve"> will work </w:t>
            </w:r>
            <w:r w:rsidRPr="00871F21">
              <w:t xml:space="preserve">with industry and government to develop curriculum (including </w:t>
            </w:r>
            <w:r>
              <w:t>300</w:t>
            </w:r>
            <w:r w:rsidRPr="00871F21">
              <w:t xml:space="preserve"> CSP places allocated in the BSc over 2024-27 through the Nuclear-Powered Submarine program)</w:t>
            </w:r>
            <w:r>
              <w:t>;</w:t>
            </w:r>
            <w:r w:rsidRPr="00871F21">
              <w:t xml:space="preserve"> develop technical solutions for delivery of the Government’s submarine program</w:t>
            </w:r>
            <w:r>
              <w:t>;</w:t>
            </w:r>
            <w:r w:rsidRPr="00871F21">
              <w:t xml:space="preserve"> and develop dedicated talent pipelines for defence workforce and AUKUS needs</w:t>
            </w:r>
            <w:r>
              <w:t>.</w:t>
            </w:r>
          </w:p>
          <w:p w14:paraId="66F60970" w14:textId="77777777" w:rsidR="0031162E" w:rsidRPr="00871F21" w:rsidRDefault="0031162E" w:rsidP="0031162E">
            <w:pPr>
              <w:numPr>
                <w:ilvl w:val="0"/>
                <w:numId w:val="30"/>
              </w:numPr>
              <w:spacing w:after="160" w:line="220" w:lineRule="atLeast"/>
              <w:ind w:left="714" w:hanging="357"/>
              <w:rPr>
                <w:rFonts w:eastAsia="Times New Roman"/>
                <w:sz w:val="24"/>
                <w:szCs w:val="24"/>
              </w:rPr>
            </w:pPr>
            <w:r w:rsidRPr="00871F21">
              <w:rPr>
                <w:rFonts w:eastAsia="Times New Roman"/>
              </w:rPr>
              <w:lastRenderedPageBreak/>
              <w:t xml:space="preserve">Delivery of learning experience programs at </w:t>
            </w:r>
            <w:hyperlink r:id="rId67" w:history="1">
              <w:r w:rsidRPr="00871F21">
                <w:rPr>
                  <w:rFonts w:eastAsia="Times New Roman"/>
                  <w:color w:val="7F4594"/>
                  <w:u w:val="single"/>
                </w:rPr>
                <w:t>Science Gallery</w:t>
              </w:r>
            </w:hyperlink>
            <w:r w:rsidRPr="00871F21">
              <w:rPr>
                <w:rFonts w:eastAsia="Times New Roman"/>
              </w:rPr>
              <w:t xml:space="preserve"> with industry and government partners through the </w:t>
            </w:r>
            <w:hyperlink r:id="rId68" w:history="1">
              <w:r w:rsidRPr="00871F21">
                <w:rPr>
                  <w:rFonts w:eastAsia="Times New Roman"/>
                  <w:color w:val="7F4594"/>
                  <w:u w:val="single"/>
                </w:rPr>
                <w:t>STEM Centre of Excellence</w:t>
              </w:r>
            </w:hyperlink>
            <w:r w:rsidRPr="00871F21">
              <w:rPr>
                <w:rFonts w:eastAsia="Times New Roman"/>
              </w:rPr>
              <w:t>. Partners include the Parliament of Victoria, Victorian Government, Australian Space Agency, BASF, PACCAR, CA-ANZ.</w:t>
            </w:r>
          </w:p>
          <w:p w14:paraId="07D4FD8F" w14:textId="77777777" w:rsidR="0031162E" w:rsidRPr="00EE534E" w:rsidRDefault="0031162E" w:rsidP="0031162E">
            <w:pPr>
              <w:spacing w:before="120" w:after="60" w:line="220" w:lineRule="atLeast"/>
              <w:rPr>
                <w:rFonts w:eastAsia="Times New Roman"/>
                <w:b/>
                <w:bCs/>
                <w:lang w:eastAsia="en-AU"/>
              </w:rPr>
            </w:pPr>
            <w:r>
              <w:rPr>
                <w:rFonts w:eastAsia="Times New Roman"/>
                <w:b/>
                <w:bCs/>
                <w:lang w:eastAsia="en-AU"/>
              </w:rPr>
              <w:t>Regional and community partnerships</w:t>
            </w:r>
          </w:p>
          <w:p w14:paraId="111011B2" w14:textId="77777777" w:rsidR="0031162E" w:rsidRDefault="0031162E" w:rsidP="0031162E">
            <w:pPr>
              <w:pStyle w:val="NormalIndent"/>
              <w:numPr>
                <w:ilvl w:val="0"/>
                <w:numId w:val="30"/>
              </w:numPr>
              <w:spacing w:before="0" w:after="0"/>
              <w:ind w:left="714" w:hanging="357"/>
              <w:rPr>
                <w:rFonts w:asciiTheme="minorHAnsi" w:hAnsiTheme="minorHAnsi" w:cstheme="minorBidi"/>
              </w:rPr>
            </w:pPr>
            <w:r w:rsidRPr="00C22672">
              <w:rPr>
                <w:rFonts w:asciiTheme="minorHAnsi" w:hAnsiTheme="minorHAnsi" w:cstheme="minorBidi"/>
              </w:rPr>
              <w:t>Continue to foster meaningful place-based partners</w:t>
            </w:r>
            <w:r>
              <w:rPr>
                <w:rFonts w:asciiTheme="minorHAnsi" w:hAnsiTheme="minorHAnsi" w:cstheme="minorBidi"/>
              </w:rPr>
              <w:t>hips</w:t>
            </w:r>
            <w:r w:rsidRPr="00C22672">
              <w:rPr>
                <w:rFonts w:asciiTheme="minorHAnsi" w:hAnsiTheme="minorHAnsi" w:cstheme="minorBidi"/>
              </w:rPr>
              <w:t xml:space="preserve"> and contribut</w:t>
            </w:r>
            <w:r>
              <w:rPr>
                <w:rFonts w:asciiTheme="minorHAnsi" w:hAnsiTheme="minorHAnsi" w:cstheme="minorBidi"/>
              </w:rPr>
              <w:t>e</w:t>
            </w:r>
            <w:r w:rsidRPr="00C22672">
              <w:rPr>
                <w:rFonts w:asciiTheme="minorHAnsi" w:hAnsiTheme="minorHAnsi" w:cstheme="minorBidi"/>
              </w:rPr>
              <w:t xml:space="preserve"> to social</w:t>
            </w:r>
            <w:r>
              <w:rPr>
                <w:rFonts w:asciiTheme="minorHAnsi" w:hAnsiTheme="minorHAnsi" w:cstheme="minorBidi"/>
              </w:rPr>
              <w:t>,</w:t>
            </w:r>
            <w:r w:rsidRPr="00C22672">
              <w:rPr>
                <w:rFonts w:asciiTheme="minorHAnsi" w:hAnsiTheme="minorHAnsi" w:cstheme="minorBidi"/>
              </w:rPr>
              <w:t xml:space="preserve"> cultural and economic prosperity across Melbourne, the </w:t>
            </w:r>
            <w:r>
              <w:rPr>
                <w:rFonts w:asciiTheme="minorHAnsi" w:hAnsiTheme="minorHAnsi" w:cstheme="minorBidi"/>
              </w:rPr>
              <w:t>Western Growth Corridor,</w:t>
            </w:r>
            <w:r w:rsidRPr="00C22672">
              <w:rPr>
                <w:rFonts w:asciiTheme="minorHAnsi" w:hAnsiTheme="minorHAnsi" w:cstheme="minorBidi"/>
              </w:rPr>
              <w:t xml:space="preserve"> Goulburn Valley and North</w:t>
            </w:r>
            <w:r>
              <w:rPr>
                <w:rFonts w:asciiTheme="minorHAnsi" w:hAnsiTheme="minorHAnsi" w:cstheme="minorBidi"/>
              </w:rPr>
              <w:t>e</w:t>
            </w:r>
            <w:r w:rsidRPr="00C22672">
              <w:rPr>
                <w:rFonts w:asciiTheme="minorHAnsi" w:hAnsiTheme="minorHAnsi" w:cstheme="minorBidi"/>
              </w:rPr>
              <w:t>ast Arnhem Land</w:t>
            </w:r>
            <w:r>
              <w:rPr>
                <w:rFonts w:asciiTheme="minorHAnsi" w:hAnsiTheme="minorHAnsi" w:cstheme="minorBidi"/>
              </w:rPr>
              <w:t>.</w:t>
            </w:r>
          </w:p>
          <w:p w14:paraId="30839CBA" w14:textId="77777777" w:rsidR="0031162E" w:rsidRPr="00C22672" w:rsidRDefault="0031162E" w:rsidP="0031162E">
            <w:pPr>
              <w:pStyle w:val="NormalIndent"/>
              <w:numPr>
                <w:ilvl w:val="0"/>
                <w:numId w:val="30"/>
              </w:numPr>
              <w:spacing w:before="0" w:after="0"/>
              <w:ind w:left="714" w:hanging="357"/>
              <w:rPr>
                <w:rFonts w:asciiTheme="minorHAnsi" w:hAnsiTheme="minorHAnsi" w:cstheme="minorBidi"/>
              </w:rPr>
            </w:pPr>
            <w:r>
              <w:t xml:space="preserve">In partnership </w:t>
            </w:r>
            <w:r w:rsidRPr="00C22672">
              <w:rPr>
                <w:rFonts w:asciiTheme="minorHAnsi" w:hAnsiTheme="minorHAnsi" w:cstheme="minorBidi"/>
              </w:rPr>
              <w:t>with the Victorian Government</w:t>
            </w:r>
            <w:r>
              <w:rPr>
                <w:rFonts w:asciiTheme="minorHAnsi" w:hAnsiTheme="minorHAnsi" w:cstheme="minorBidi"/>
              </w:rPr>
              <w:t>,</w:t>
            </w:r>
            <w:r>
              <w:t xml:space="preserve"> increase opportunities and pathways for Indigenous community in Shepparton through the new </w:t>
            </w:r>
            <w:hyperlink r:id="rId69" w:history="1">
              <w:r w:rsidRPr="00A13C81">
                <w:rPr>
                  <w:rStyle w:val="Hyperlink"/>
                  <w:rFonts w:asciiTheme="minorHAnsi" w:hAnsiTheme="minorHAnsi" w:cstheme="minorBidi"/>
                </w:rPr>
                <w:t>Munarra Centre for Regional Excellence</w:t>
              </w:r>
            </w:hyperlink>
            <w:r w:rsidRPr="00C22672">
              <w:rPr>
                <w:rFonts w:asciiTheme="minorHAnsi" w:hAnsiTheme="minorHAnsi" w:cstheme="minorBidi"/>
              </w:rPr>
              <w:t>.</w:t>
            </w:r>
          </w:p>
          <w:p w14:paraId="442054DA" w14:textId="77777777" w:rsidR="0031162E" w:rsidRDefault="0031162E" w:rsidP="0031162E">
            <w:pPr>
              <w:pStyle w:val="NormalIndent"/>
              <w:numPr>
                <w:ilvl w:val="0"/>
                <w:numId w:val="30"/>
              </w:numPr>
              <w:spacing w:before="0" w:after="0"/>
              <w:ind w:left="714" w:hanging="357"/>
              <w:rPr>
                <w:rFonts w:asciiTheme="minorHAnsi" w:hAnsiTheme="minorHAnsi" w:cstheme="minorBidi"/>
              </w:rPr>
            </w:pPr>
            <w:r>
              <w:rPr>
                <w:rFonts w:asciiTheme="minorHAnsi" w:hAnsiTheme="minorHAnsi" w:cstheme="minorBidi"/>
              </w:rPr>
              <w:t>UoM’s</w:t>
            </w:r>
            <w:r w:rsidRPr="00C22672">
              <w:rPr>
                <w:rFonts w:asciiTheme="minorHAnsi" w:hAnsiTheme="minorHAnsi" w:cstheme="minorBidi"/>
              </w:rPr>
              <w:t xml:space="preserve"> </w:t>
            </w:r>
            <w:hyperlink r:id="rId70">
              <w:r w:rsidRPr="4F11CBE5">
                <w:rPr>
                  <w:rStyle w:val="Hyperlink"/>
                  <w:rFonts w:asciiTheme="minorHAnsi" w:hAnsiTheme="minorHAnsi" w:cstheme="minorBidi"/>
                </w:rPr>
                <w:t xml:space="preserve">Asialink </w:t>
              </w:r>
            </w:hyperlink>
            <w:r w:rsidRPr="00C22672">
              <w:rPr>
                <w:rFonts w:asciiTheme="minorHAnsi" w:hAnsiTheme="minorHAnsi" w:cstheme="minorBidi"/>
              </w:rPr>
              <w:t>will focus on new knowledge and learning assets across priority sectors to provide Australian businesses with deeper knowledge and sectoral insights into Asian markets</w:t>
            </w:r>
            <w:r>
              <w:rPr>
                <w:rFonts w:asciiTheme="minorHAnsi" w:hAnsiTheme="minorHAnsi" w:cstheme="minorBidi"/>
              </w:rPr>
              <w:t>, f</w:t>
            </w:r>
            <w:r w:rsidRPr="00C22672">
              <w:rPr>
                <w:rFonts w:asciiTheme="minorHAnsi" w:hAnsiTheme="minorHAnsi" w:cstheme="minorBidi"/>
              </w:rPr>
              <w:t xml:space="preserve">ollowing </w:t>
            </w:r>
            <w:r>
              <w:rPr>
                <w:rFonts w:asciiTheme="minorHAnsi" w:hAnsiTheme="minorHAnsi" w:cstheme="minorBidi"/>
              </w:rPr>
              <w:t>its</w:t>
            </w:r>
            <w:r w:rsidRPr="00C22672">
              <w:rPr>
                <w:rFonts w:asciiTheme="minorHAnsi" w:hAnsiTheme="minorHAnsi" w:cstheme="minorBidi"/>
              </w:rPr>
              <w:t xml:space="preserve"> 4-year renewal</w:t>
            </w:r>
            <w:r>
              <w:rPr>
                <w:rFonts w:asciiTheme="minorHAnsi" w:hAnsiTheme="minorHAnsi" w:cstheme="minorBidi"/>
              </w:rPr>
              <w:t xml:space="preserve"> by the</w:t>
            </w:r>
            <w:r w:rsidRPr="00C22672">
              <w:rPr>
                <w:rFonts w:asciiTheme="minorHAnsi" w:hAnsiTheme="minorHAnsi" w:cstheme="minorBidi"/>
              </w:rPr>
              <w:t xml:space="preserve"> De</w:t>
            </w:r>
            <w:r>
              <w:rPr>
                <w:rFonts w:asciiTheme="minorHAnsi" w:hAnsiTheme="minorHAnsi" w:cstheme="minorBidi"/>
              </w:rPr>
              <w:t>pt.</w:t>
            </w:r>
            <w:r w:rsidRPr="00C22672">
              <w:rPr>
                <w:rFonts w:asciiTheme="minorHAnsi" w:hAnsiTheme="minorHAnsi" w:cstheme="minorBidi"/>
              </w:rPr>
              <w:t xml:space="preserve"> of Industry, Science</w:t>
            </w:r>
            <w:r>
              <w:rPr>
                <w:rFonts w:asciiTheme="minorHAnsi" w:hAnsiTheme="minorHAnsi" w:cstheme="minorBidi"/>
              </w:rPr>
              <w:t>,</w:t>
            </w:r>
            <w:r w:rsidRPr="00C22672">
              <w:rPr>
                <w:rFonts w:asciiTheme="minorHAnsi" w:hAnsiTheme="minorHAnsi" w:cstheme="minorBidi"/>
              </w:rPr>
              <w:t xml:space="preserve"> Resources</w:t>
            </w:r>
            <w:r>
              <w:rPr>
                <w:rFonts w:asciiTheme="minorHAnsi" w:hAnsiTheme="minorHAnsi" w:cstheme="minorBidi"/>
              </w:rPr>
              <w:t>.</w:t>
            </w:r>
          </w:p>
          <w:p w14:paraId="2763FB66" w14:textId="77777777" w:rsidR="0031162E" w:rsidRPr="003C4561" w:rsidRDefault="0031162E" w:rsidP="0031162E">
            <w:pPr>
              <w:pStyle w:val="NormalIndent"/>
              <w:numPr>
                <w:ilvl w:val="0"/>
                <w:numId w:val="30"/>
              </w:numPr>
              <w:spacing w:before="0" w:after="0"/>
              <w:ind w:left="714" w:hanging="357"/>
              <w:rPr>
                <w:rFonts w:asciiTheme="minorHAnsi" w:hAnsiTheme="minorHAnsi" w:cstheme="minorBidi"/>
              </w:rPr>
            </w:pPr>
            <w:r>
              <w:rPr>
                <w:rFonts w:asciiTheme="minorHAnsi" w:hAnsiTheme="minorHAnsi" w:cstheme="minorBidi"/>
              </w:rPr>
              <w:t xml:space="preserve">UoM’s </w:t>
            </w:r>
            <w:hyperlink r:id="rId71">
              <w:r w:rsidRPr="35E99092">
                <w:rPr>
                  <w:rStyle w:val="Hyperlink"/>
                  <w:rFonts w:asciiTheme="minorHAnsi" w:hAnsiTheme="minorHAnsi" w:cstheme="minorBidi"/>
                </w:rPr>
                <w:t>Australia India Institute</w:t>
              </w:r>
            </w:hyperlink>
            <w:r>
              <w:rPr>
                <w:rFonts w:asciiTheme="minorHAnsi" w:hAnsiTheme="minorHAnsi" w:cstheme="minorBidi"/>
              </w:rPr>
              <w:t xml:space="preserve"> partners with government to advance bilateral education </w:t>
            </w:r>
            <w:r w:rsidRPr="35E99092">
              <w:rPr>
                <w:rFonts w:asciiTheme="minorHAnsi" w:hAnsiTheme="minorHAnsi" w:cstheme="minorBidi"/>
              </w:rPr>
              <w:t xml:space="preserve">and defence </w:t>
            </w:r>
            <w:r>
              <w:rPr>
                <w:rFonts w:asciiTheme="minorHAnsi" w:hAnsiTheme="minorHAnsi" w:cstheme="minorBidi"/>
              </w:rPr>
              <w:t>cooperation, as</w:t>
            </w:r>
            <w:r w:rsidRPr="009C0353">
              <w:rPr>
                <w:rFonts w:asciiTheme="minorHAnsi" w:hAnsiTheme="minorHAnsi" w:cstheme="minorBidi"/>
              </w:rPr>
              <w:t xml:space="preserve"> Australia’s leading voice on the Australia-India relationship and the principal convener of strategic dialogue between </w:t>
            </w:r>
            <w:r>
              <w:rPr>
                <w:rFonts w:asciiTheme="minorHAnsi" w:hAnsiTheme="minorHAnsi" w:cstheme="minorBidi"/>
              </w:rPr>
              <w:t>the</w:t>
            </w:r>
            <w:r w:rsidRPr="009C0353">
              <w:rPr>
                <w:rFonts w:asciiTheme="minorHAnsi" w:hAnsiTheme="minorHAnsi" w:cstheme="minorBidi"/>
              </w:rPr>
              <w:t xml:space="preserve"> two nations</w:t>
            </w:r>
            <w:r>
              <w:rPr>
                <w:rFonts w:asciiTheme="minorHAnsi" w:hAnsiTheme="minorHAnsi" w:cstheme="minorBidi"/>
              </w:rPr>
              <w:t>.</w:t>
            </w:r>
          </w:p>
          <w:p w14:paraId="41B0477B" w14:textId="77777777" w:rsidR="0031162E" w:rsidRDefault="0031162E" w:rsidP="0031162E">
            <w:pPr>
              <w:pStyle w:val="NormalIndent"/>
              <w:numPr>
                <w:ilvl w:val="0"/>
                <w:numId w:val="30"/>
              </w:numPr>
              <w:spacing w:before="0" w:after="0" w:line="240" w:lineRule="auto"/>
              <w:rPr>
                <w:rFonts w:eastAsia="Calibri" w:cs="Calibri"/>
                <w:color w:val="000000" w:themeColor="text1"/>
              </w:rPr>
            </w:pPr>
            <w:r w:rsidRPr="0D1B1454">
              <w:rPr>
                <w:rFonts w:eastAsia="Calibri" w:cs="Calibri"/>
                <w:color w:val="000000" w:themeColor="text1"/>
              </w:rPr>
              <w:t xml:space="preserve">Continue an extensive annual program of cultural activities </w:t>
            </w:r>
            <w:r>
              <w:rPr>
                <w:rFonts w:eastAsia="Calibri" w:cs="Calibri"/>
                <w:color w:val="000000" w:themeColor="text1"/>
              </w:rPr>
              <w:t>for</w:t>
            </w:r>
            <w:r w:rsidRPr="0D1B1454">
              <w:rPr>
                <w:rFonts w:eastAsia="Calibri" w:cs="Calibri"/>
                <w:color w:val="000000" w:themeColor="text1"/>
              </w:rPr>
              <w:t xml:space="preserve"> students, staff and the public</w:t>
            </w:r>
            <w:r>
              <w:rPr>
                <w:rFonts w:eastAsia="Calibri" w:cs="Calibri"/>
                <w:color w:val="000000" w:themeColor="text1"/>
              </w:rPr>
              <w:t xml:space="preserve"> </w:t>
            </w:r>
            <w:r w:rsidRPr="0D1B1454">
              <w:rPr>
                <w:rFonts w:eastAsia="Calibri" w:cs="Calibri"/>
                <w:color w:val="000000" w:themeColor="text1"/>
              </w:rPr>
              <w:t>through UoM’s cultural venues</w:t>
            </w:r>
            <w:r>
              <w:rPr>
                <w:rFonts w:eastAsia="Calibri" w:cs="Calibri"/>
                <w:color w:val="000000" w:themeColor="text1"/>
              </w:rPr>
              <w:t>, including</w:t>
            </w:r>
            <w:r w:rsidRPr="0D1B1454">
              <w:rPr>
                <w:rFonts w:eastAsia="Calibri" w:cs="Calibri"/>
                <w:color w:val="000000" w:themeColor="text1"/>
              </w:rPr>
              <w:t xml:space="preserve"> </w:t>
            </w:r>
            <w:hyperlink r:id="rId72">
              <w:r w:rsidRPr="0D1B1454">
                <w:rPr>
                  <w:rStyle w:val="Hyperlink"/>
                  <w:rFonts w:eastAsia="Calibri" w:cs="Calibri"/>
                </w:rPr>
                <w:t>Buxton Contemporary</w:t>
              </w:r>
            </w:hyperlink>
            <w:r w:rsidRPr="0D1B1454">
              <w:rPr>
                <w:rFonts w:eastAsia="Calibri" w:cs="Calibri"/>
                <w:color w:val="000000" w:themeColor="text1"/>
              </w:rPr>
              <w:t xml:space="preserve">, </w:t>
            </w:r>
            <w:hyperlink r:id="rId73">
              <w:r w:rsidRPr="0D1B1454">
                <w:rPr>
                  <w:rStyle w:val="Hyperlink"/>
                  <w:rFonts w:eastAsia="Calibri" w:cs="Calibri"/>
                </w:rPr>
                <w:t>Grainger Museum</w:t>
              </w:r>
            </w:hyperlink>
            <w:r w:rsidRPr="0D1B1454">
              <w:rPr>
                <w:rFonts w:eastAsia="Calibri" w:cs="Calibri"/>
                <w:color w:val="000000" w:themeColor="text1"/>
              </w:rPr>
              <w:t xml:space="preserve">, </w:t>
            </w:r>
            <w:hyperlink r:id="rId74">
              <w:r w:rsidRPr="0D1B1454">
                <w:rPr>
                  <w:rStyle w:val="Hyperlink"/>
                  <w:rFonts w:eastAsia="Calibri" w:cs="Calibri"/>
                </w:rPr>
                <w:t>Potter Museum of Art</w:t>
              </w:r>
            </w:hyperlink>
            <w:r w:rsidRPr="0D1B1454">
              <w:rPr>
                <w:rFonts w:eastAsia="Calibri" w:cs="Calibri"/>
                <w:color w:val="000000" w:themeColor="text1"/>
              </w:rPr>
              <w:t xml:space="preserve">, </w:t>
            </w:r>
            <w:hyperlink r:id="rId75">
              <w:proofErr w:type="spellStart"/>
              <w:r w:rsidRPr="0D1B1454">
                <w:rPr>
                  <w:rStyle w:val="Hyperlink"/>
                  <w:rFonts w:eastAsia="Calibri" w:cs="Calibri"/>
                </w:rPr>
                <w:t>MPavillion</w:t>
              </w:r>
              <w:proofErr w:type="spellEnd"/>
            </w:hyperlink>
            <w:r>
              <w:t>,</w:t>
            </w:r>
            <w:r>
              <w:rPr>
                <w:rFonts w:eastAsia="Calibri" w:cs="Calibri"/>
                <w:color w:val="000000" w:themeColor="text1"/>
              </w:rPr>
              <w:t xml:space="preserve"> </w:t>
            </w:r>
            <w:r w:rsidRPr="45748875">
              <w:rPr>
                <w:rFonts w:eastAsia="Calibri" w:cs="Calibri"/>
                <w:color w:val="000000" w:themeColor="text1"/>
              </w:rPr>
              <w:t>and partnerships with key civic and community organisations</w:t>
            </w:r>
            <w:r>
              <w:rPr>
                <w:rFonts w:eastAsia="Calibri" w:cs="Calibri"/>
                <w:color w:val="000000" w:themeColor="text1"/>
              </w:rPr>
              <w:t xml:space="preserve">. </w:t>
            </w:r>
          </w:p>
          <w:p w14:paraId="22B301D7" w14:textId="77777777" w:rsidR="0031162E" w:rsidRPr="006D7086" w:rsidRDefault="0031162E" w:rsidP="0031162E">
            <w:pPr>
              <w:spacing w:before="120" w:after="60" w:line="220" w:lineRule="atLeast"/>
              <w:rPr>
                <w:rFonts w:eastAsia="Times New Roman" w:cs="Calibri"/>
                <w:b/>
                <w:bCs/>
                <w:iCs/>
              </w:rPr>
            </w:pPr>
            <w:r w:rsidRPr="006D7086">
              <w:rPr>
                <w:rFonts w:eastAsia="Times New Roman" w:cs="Calibri"/>
                <w:b/>
                <w:bCs/>
                <w:iCs/>
              </w:rPr>
              <w:t xml:space="preserve">Key metrics: </w:t>
            </w:r>
          </w:p>
          <w:p w14:paraId="485A6BDF" w14:textId="77777777" w:rsidR="0031162E" w:rsidRDefault="0031162E" w:rsidP="0031162E">
            <w:pPr>
              <w:pStyle w:val="NormalIndent"/>
              <w:numPr>
                <w:ilvl w:val="0"/>
                <w:numId w:val="30"/>
              </w:numPr>
              <w:spacing w:before="0" w:after="0" w:line="240" w:lineRule="auto"/>
              <w:rPr>
                <w:rFonts w:eastAsia="Calibri" w:cs="Calibri"/>
                <w:color w:val="000000" w:themeColor="text1"/>
              </w:rPr>
            </w:pPr>
            <w:r>
              <w:rPr>
                <w:rFonts w:eastAsia="Calibri" w:cs="Calibri"/>
                <w:color w:val="000000" w:themeColor="text1"/>
              </w:rPr>
              <w:t xml:space="preserve">Sustainability and impact of key partnerships </w:t>
            </w:r>
          </w:p>
          <w:p w14:paraId="4FE930E3" w14:textId="77777777" w:rsidR="0031162E" w:rsidRDefault="0031162E" w:rsidP="0031162E">
            <w:pPr>
              <w:pStyle w:val="NormalIndent"/>
              <w:numPr>
                <w:ilvl w:val="0"/>
                <w:numId w:val="30"/>
              </w:numPr>
              <w:spacing w:before="0" w:after="0" w:line="240" w:lineRule="auto"/>
              <w:rPr>
                <w:rFonts w:eastAsia="Calibri" w:cs="Calibri"/>
                <w:color w:val="000000" w:themeColor="text1"/>
              </w:rPr>
            </w:pPr>
            <w:r>
              <w:rPr>
                <w:rFonts w:eastAsia="Calibri" w:cs="Calibri"/>
                <w:color w:val="000000" w:themeColor="text1"/>
              </w:rPr>
              <w:t>Engagement of Aboriginal and Torres Strait Islander staff, students and partners</w:t>
            </w:r>
          </w:p>
          <w:p w14:paraId="40055D5D" w14:textId="77777777" w:rsidR="0031162E" w:rsidRDefault="0031162E" w:rsidP="0031162E">
            <w:pPr>
              <w:pStyle w:val="NormalIndent"/>
              <w:numPr>
                <w:ilvl w:val="0"/>
                <w:numId w:val="30"/>
              </w:numPr>
              <w:spacing w:before="0" w:after="0" w:line="240" w:lineRule="auto"/>
              <w:rPr>
                <w:rFonts w:eastAsia="Calibri" w:cs="Calibri"/>
                <w:color w:val="000000" w:themeColor="text1"/>
              </w:rPr>
            </w:pPr>
            <w:r>
              <w:rPr>
                <w:rFonts w:eastAsia="Calibri" w:cs="Calibri"/>
                <w:color w:val="000000" w:themeColor="text1"/>
              </w:rPr>
              <w:t># start-ups</w:t>
            </w:r>
          </w:p>
          <w:p w14:paraId="28DB9E04" w14:textId="77777777" w:rsidR="0031162E" w:rsidRPr="0030180C" w:rsidRDefault="0031162E" w:rsidP="0031162E">
            <w:pPr>
              <w:pStyle w:val="NormalIndent"/>
              <w:numPr>
                <w:ilvl w:val="0"/>
                <w:numId w:val="30"/>
              </w:numPr>
              <w:spacing w:before="0" w:after="0" w:line="240" w:lineRule="auto"/>
              <w:rPr>
                <w:rFonts w:eastAsia="Calibri" w:cs="Calibri"/>
                <w:color w:val="000000" w:themeColor="text1"/>
              </w:rPr>
            </w:pPr>
            <w:r>
              <w:rPr>
                <w:rFonts w:eastAsia="Calibri" w:cs="Calibri"/>
                <w:color w:val="000000" w:themeColor="text1"/>
              </w:rPr>
              <w:t>Depth of community engagement</w:t>
            </w:r>
          </w:p>
          <w:p w14:paraId="6465FC91" w14:textId="77777777" w:rsidR="001B109C" w:rsidRPr="007E3E37" w:rsidRDefault="001B109C" w:rsidP="00E16E9E">
            <w:pPr>
              <w:pStyle w:val="NormalIndent"/>
              <w:spacing w:before="0" w:after="0"/>
              <w:ind w:left="0"/>
              <w:rPr>
                <w:rFonts w:asciiTheme="minorHAnsi" w:hAnsiTheme="minorHAnsi" w:cstheme="minorHAnsi"/>
                <w:i/>
                <w:color w:val="FF0000"/>
                <w:szCs w:val="22"/>
              </w:rPr>
            </w:pP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E16E9E">
        <w:tc>
          <w:tcPr>
            <w:tcW w:w="4508" w:type="dxa"/>
          </w:tcPr>
          <w:p w14:paraId="68C798FC" w14:textId="77777777" w:rsidR="001B109C" w:rsidRPr="00E114B4" w:rsidRDefault="001B109C" w:rsidP="00E16E9E">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E16E9E">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E16E9E">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E16E9E">
            <w:pPr>
              <w:rPr>
                <w:rFonts w:cstheme="minorHAnsi"/>
                <w:sz w:val="24"/>
                <w:szCs w:val="24"/>
              </w:rPr>
            </w:pPr>
            <w:r w:rsidRPr="00E114B4">
              <w:rPr>
                <w:rFonts w:cstheme="minorHAnsi"/>
                <w:sz w:val="24"/>
                <w:szCs w:val="24"/>
              </w:rPr>
              <w:t>In the presence of:</w:t>
            </w:r>
          </w:p>
        </w:tc>
      </w:tr>
      <w:tr w:rsidR="001B109C" w:rsidRPr="00E169EE" w14:paraId="186905E2" w14:textId="77777777" w:rsidTr="00E16E9E">
        <w:tc>
          <w:tcPr>
            <w:tcW w:w="4508" w:type="dxa"/>
          </w:tcPr>
          <w:p w14:paraId="32153A99" w14:textId="5E967DED" w:rsidR="001B109C" w:rsidRPr="00E114B4" w:rsidRDefault="004129D4" w:rsidP="00E16E9E">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rsidP="00E16E9E">
            <w:pPr>
              <w:rPr>
                <w:rFonts w:cstheme="minorHAnsi"/>
              </w:rPr>
            </w:pPr>
            <w:r w:rsidRPr="00E114B4">
              <w:rPr>
                <w:rFonts w:cstheme="minorHAnsi"/>
              </w:rPr>
              <w:t>Full name (please print)</w:t>
            </w:r>
          </w:p>
        </w:tc>
        <w:tc>
          <w:tcPr>
            <w:tcW w:w="4508" w:type="dxa"/>
          </w:tcPr>
          <w:p w14:paraId="091A8D51" w14:textId="08B9892E" w:rsidR="001B109C" w:rsidRPr="00E114B4" w:rsidRDefault="00240D5B" w:rsidP="00E16E9E">
            <w:pPr>
              <w:pBdr>
                <w:bottom w:val="single" w:sz="12" w:space="1" w:color="auto"/>
              </w:pBdr>
              <w:rPr>
                <w:rFonts w:cstheme="minorHAnsi"/>
                <w:b/>
                <w:bCs/>
              </w:rPr>
            </w:pPr>
            <w:r w:rsidRPr="001E1D51">
              <w:rPr>
                <w:b/>
                <w:bCs/>
              </w:rPr>
              <w:t>Rachel Searl</w:t>
            </w:r>
          </w:p>
          <w:p w14:paraId="5AAC2089" w14:textId="77777777" w:rsidR="001B109C" w:rsidRPr="00E114B4" w:rsidRDefault="001B109C" w:rsidP="00E16E9E">
            <w:pPr>
              <w:rPr>
                <w:rFonts w:cstheme="minorHAnsi"/>
              </w:rPr>
            </w:pPr>
            <w:r w:rsidRPr="00E114B4">
              <w:rPr>
                <w:rFonts w:cstheme="minorHAnsi"/>
              </w:rPr>
              <w:t>Witness (please print)</w:t>
            </w:r>
          </w:p>
        </w:tc>
      </w:tr>
      <w:tr w:rsidR="001B109C" w:rsidRPr="00E169EE" w14:paraId="6D0DB948" w14:textId="77777777" w:rsidTr="00E16E9E">
        <w:tc>
          <w:tcPr>
            <w:tcW w:w="4508" w:type="dxa"/>
          </w:tcPr>
          <w:p w14:paraId="101367FA" w14:textId="5A5F944C" w:rsidR="001B109C" w:rsidRPr="00E114B4" w:rsidRDefault="00A2726F" w:rsidP="00E16E9E">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E16E9E">
            <w:pPr>
              <w:rPr>
                <w:rFonts w:cstheme="minorHAnsi"/>
              </w:rPr>
            </w:pPr>
            <w:r w:rsidRPr="00E114B4">
              <w:rPr>
                <w:rFonts w:cstheme="minorHAnsi"/>
              </w:rPr>
              <w:t>Position</w:t>
            </w:r>
          </w:p>
          <w:p w14:paraId="390DFF35" w14:textId="77777777" w:rsidR="001B109C" w:rsidRPr="00E114B4" w:rsidRDefault="001B109C" w:rsidP="00E16E9E">
            <w:pPr>
              <w:rPr>
                <w:rFonts w:cstheme="minorHAnsi"/>
              </w:rPr>
            </w:pPr>
            <w:r w:rsidRPr="00E114B4">
              <w:rPr>
                <w:rFonts w:cstheme="minorHAnsi"/>
              </w:rPr>
              <w:t>of the Department of Education</w:t>
            </w:r>
          </w:p>
        </w:tc>
        <w:tc>
          <w:tcPr>
            <w:tcW w:w="4508" w:type="dxa"/>
          </w:tcPr>
          <w:p w14:paraId="69045716" w14:textId="65AE386A" w:rsidR="001B109C" w:rsidRPr="00E114B4" w:rsidRDefault="009E4F3D" w:rsidP="00E16E9E">
            <w:pPr>
              <w:pBdr>
                <w:bottom w:val="single" w:sz="12" w:space="1" w:color="auto"/>
              </w:pBdr>
              <w:rPr>
                <w:rFonts w:cstheme="minorHAnsi"/>
                <w:b/>
                <w:bCs/>
              </w:rPr>
            </w:pPr>
            <w:r w:rsidRPr="00E91A60">
              <w:rPr>
                <w:b/>
                <w:bCs/>
              </w:rPr>
              <w:t>Executive Officer</w:t>
            </w:r>
          </w:p>
          <w:p w14:paraId="668DE817" w14:textId="77777777" w:rsidR="001B109C" w:rsidRPr="00E114B4" w:rsidRDefault="001B109C" w:rsidP="00E16E9E">
            <w:pPr>
              <w:rPr>
                <w:rFonts w:cstheme="minorHAnsi"/>
              </w:rPr>
            </w:pPr>
            <w:r w:rsidRPr="00E114B4">
              <w:rPr>
                <w:rFonts w:cstheme="minorHAnsi"/>
              </w:rPr>
              <w:t>Position or profession of witness (please print)</w:t>
            </w:r>
          </w:p>
        </w:tc>
      </w:tr>
      <w:tr w:rsidR="001B109C" w:rsidRPr="00E169EE" w14:paraId="38C68E43" w14:textId="77777777" w:rsidTr="00E16E9E">
        <w:tc>
          <w:tcPr>
            <w:tcW w:w="4508" w:type="dxa"/>
          </w:tcPr>
          <w:p w14:paraId="4289F3D2" w14:textId="77777777" w:rsidR="001B109C" w:rsidRPr="00E114B4" w:rsidRDefault="001B109C" w:rsidP="00E16E9E">
            <w:pPr>
              <w:pBdr>
                <w:bottom w:val="single" w:sz="12" w:space="1" w:color="auto"/>
              </w:pBdr>
              <w:rPr>
                <w:rFonts w:cstheme="minorHAnsi"/>
                <w:b/>
                <w:bCs/>
              </w:rPr>
            </w:pPr>
          </w:p>
          <w:p w14:paraId="415B9216" w14:textId="77777777" w:rsidR="001B109C" w:rsidRPr="00E114B4" w:rsidRDefault="001B109C" w:rsidP="00E16E9E">
            <w:pPr>
              <w:rPr>
                <w:rFonts w:cstheme="minorHAnsi"/>
              </w:rPr>
            </w:pPr>
            <w:r w:rsidRPr="00E114B4">
              <w:rPr>
                <w:rFonts w:cstheme="minorHAnsi"/>
              </w:rPr>
              <w:t>Signature</w:t>
            </w:r>
          </w:p>
        </w:tc>
        <w:tc>
          <w:tcPr>
            <w:tcW w:w="4508" w:type="dxa"/>
          </w:tcPr>
          <w:p w14:paraId="710024D0" w14:textId="77777777" w:rsidR="001B109C" w:rsidRPr="00E114B4" w:rsidRDefault="001B109C" w:rsidP="00E16E9E">
            <w:pPr>
              <w:pBdr>
                <w:bottom w:val="single" w:sz="12" w:space="1" w:color="auto"/>
              </w:pBdr>
              <w:rPr>
                <w:rFonts w:cstheme="minorHAnsi"/>
                <w:b/>
                <w:bCs/>
              </w:rPr>
            </w:pPr>
          </w:p>
          <w:p w14:paraId="2D914310" w14:textId="77777777" w:rsidR="001B109C" w:rsidRPr="00E114B4" w:rsidRDefault="001B109C" w:rsidP="00E16E9E">
            <w:pPr>
              <w:rPr>
                <w:rFonts w:cstheme="minorHAnsi"/>
              </w:rPr>
            </w:pPr>
            <w:r w:rsidRPr="00E114B4">
              <w:rPr>
                <w:rFonts w:cstheme="minorHAnsi"/>
              </w:rPr>
              <w:t>Signature</w:t>
            </w:r>
          </w:p>
        </w:tc>
      </w:tr>
      <w:tr w:rsidR="001B109C" w:rsidRPr="00E169EE" w14:paraId="4B1444B6" w14:textId="77777777" w:rsidTr="00E16E9E">
        <w:tc>
          <w:tcPr>
            <w:tcW w:w="4508" w:type="dxa"/>
          </w:tcPr>
          <w:p w14:paraId="344C64D3" w14:textId="34436760" w:rsidR="001B109C" w:rsidRPr="00B318F5" w:rsidRDefault="00B318F5" w:rsidP="00E16E9E">
            <w:pPr>
              <w:pBdr>
                <w:bottom w:val="single" w:sz="12" w:space="1" w:color="auto"/>
              </w:pBdr>
              <w:rPr>
                <w:rFonts w:cstheme="minorHAnsi"/>
              </w:rPr>
            </w:pPr>
            <w:r>
              <w:rPr>
                <w:rFonts w:cstheme="minorHAnsi"/>
              </w:rPr>
              <w:t>01/12/2025</w:t>
            </w:r>
          </w:p>
          <w:p w14:paraId="71C4CD3D" w14:textId="77777777" w:rsidR="001B109C" w:rsidRPr="00E169EE" w:rsidRDefault="001B109C" w:rsidP="00E16E9E">
            <w:pPr>
              <w:rPr>
                <w:rFonts w:cstheme="minorHAnsi"/>
              </w:rPr>
            </w:pPr>
            <w:r w:rsidRPr="00E169EE">
              <w:rPr>
                <w:rFonts w:cstheme="minorHAnsi"/>
              </w:rPr>
              <w:t>Date</w:t>
            </w:r>
          </w:p>
        </w:tc>
        <w:tc>
          <w:tcPr>
            <w:tcW w:w="4508" w:type="dxa"/>
          </w:tcPr>
          <w:p w14:paraId="26028E27" w14:textId="77777777" w:rsidR="001B109C" w:rsidRPr="00F60B66" w:rsidRDefault="001B109C" w:rsidP="00E16E9E">
            <w:pPr>
              <w:rPr>
                <w:rFonts w:cstheme="minorHAnsi"/>
                <w:b/>
                <w:bCs/>
                <w:highlight w:val="yellow"/>
              </w:rPr>
            </w:pPr>
          </w:p>
        </w:tc>
      </w:tr>
      <w:tr w:rsidR="001B109C" w:rsidRPr="00E169EE" w14:paraId="45CC96F9" w14:textId="77777777" w:rsidTr="00E16E9E">
        <w:tc>
          <w:tcPr>
            <w:tcW w:w="4508" w:type="dxa"/>
          </w:tcPr>
          <w:p w14:paraId="639CCC16" w14:textId="77777777" w:rsidR="001B109C" w:rsidRDefault="001B109C" w:rsidP="00E16E9E">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6CE4CFB4" w:rsidR="001B109C" w:rsidRPr="00E169EE" w:rsidRDefault="002D1A71" w:rsidP="00E16E9E">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UNIVERSITY OF MELBOURNE</w:t>
            </w:r>
          </w:p>
          <w:p w14:paraId="065C6AB9" w14:textId="77777777" w:rsidR="001B109C" w:rsidRPr="00E169EE" w:rsidRDefault="001B109C" w:rsidP="00E16E9E">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E16E9E">
            <w:pPr>
              <w:rPr>
                <w:rFonts w:cstheme="minorHAnsi"/>
              </w:rPr>
            </w:pPr>
            <w:r w:rsidRPr="002F4604">
              <w:rPr>
                <w:rFonts w:cstheme="minorHAnsi"/>
                <w:sz w:val="24"/>
                <w:szCs w:val="24"/>
              </w:rPr>
              <w:t>In the presence of:</w:t>
            </w:r>
          </w:p>
        </w:tc>
      </w:tr>
      <w:tr w:rsidR="001B109C" w:rsidRPr="00E169EE" w14:paraId="5AAB6D63" w14:textId="77777777" w:rsidTr="00E16E9E">
        <w:tc>
          <w:tcPr>
            <w:tcW w:w="4508" w:type="dxa"/>
          </w:tcPr>
          <w:p w14:paraId="54C8A9A5" w14:textId="3576E366" w:rsidR="001B109C" w:rsidRPr="00E169EE" w:rsidRDefault="002D1A71" w:rsidP="00E16E9E">
            <w:pPr>
              <w:pBdr>
                <w:bottom w:val="single" w:sz="12" w:space="1" w:color="auto"/>
              </w:pBdr>
              <w:rPr>
                <w:rFonts w:cstheme="minorHAnsi"/>
                <w:b/>
                <w:bCs/>
              </w:rPr>
            </w:pPr>
            <w:r>
              <w:rPr>
                <w:rFonts w:cstheme="minorHAnsi"/>
                <w:b/>
                <w:bCs/>
              </w:rPr>
              <w:t>Michael Wesley</w:t>
            </w:r>
          </w:p>
          <w:p w14:paraId="3120FAF4" w14:textId="77777777" w:rsidR="001B109C" w:rsidRPr="00E169EE" w:rsidRDefault="001B109C" w:rsidP="00E16E9E">
            <w:pPr>
              <w:rPr>
                <w:rFonts w:cstheme="minorHAnsi"/>
              </w:rPr>
            </w:pPr>
            <w:r w:rsidRPr="00E169EE">
              <w:rPr>
                <w:rFonts w:cstheme="minorHAnsi"/>
              </w:rPr>
              <w:t>Full name (please print)</w:t>
            </w:r>
          </w:p>
        </w:tc>
        <w:tc>
          <w:tcPr>
            <w:tcW w:w="4508" w:type="dxa"/>
          </w:tcPr>
          <w:p w14:paraId="59483E94" w14:textId="0EAC15D6" w:rsidR="001B109C" w:rsidRPr="002F4604" w:rsidRDefault="002D1A71" w:rsidP="00E16E9E">
            <w:pPr>
              <w:pBdr>
                <w:bottom w:val="single" w:sz="12" w:space="1" w:color="auto"/>
              </w:pBdr>
              <w:rPr>
                <w:rFonts w:cstheme="minorHAnsi"/>
                <w:b/>
                <w:bCs/>
              </w:rPr>
            </w:pPr>
            <w:r>
              <w:rPr>
                <w:rFonts w:cstheme="minorHAnsi"/>
                <w:b/>
                <w:bCs/>
              </w:rPr>
              <w:t>Carol Boles</w:t>
            </w:r>
          </w:p>
          <w:p w14:paraId="439588BC" w14:textId="77777777" w:rsidR="001B109C" w:rsidRPr="002F4604" w:rsidRDefault="001B109C" w:rsidP="00E16E9E">
            <w:pPr>
              <w:rPr>
                <w:rFonts w:cstheme="minorHAnsi"/>
              </w:rPr>
            </w:pPr>
            <w:r w:rsidRPr="002F4604">
              <w:rPr>
                <w:rFonts w:cstheme="minorHAnsi"/>
              </w:rPr>
              <w:t>Witness (please print)</w:t>
            </w:r>
          </w:p>
        </w:tc>
      </w:tr>
      <w:tr w:rsidR="001B109C" w:rsidRPr="00E169EE" w14:paraId="20B90866" w14:textId="77777777" w:rsidTr="00E16E9E">
        <w:tc>
          <w:tcPr>
            <w:tcW w:w="4508" w:type="dxa"/>
          </w:tcPr>
          <w:p w14:paraId="7D9047AD" w14:textId="0AEDCD04" w:rsidR="001B109C" w:rsidRPr="00E169EE" w:rsidRDefault="002D1A71" w:rsidP="00E16E9E">
            <w:pPr>
              <w:pBdr>
                <w:bottom w:val="single" w:sz="12" w:space="1" w:color="auto"/>
              </w:pBdr>
              <w:spacing w:after="0"/>
              <w:rPr>
                <w:rFonts w:cstheme="minorHAnsi"/>
                <w:b/>
                <w:bCs/>
              </w:rPr>
            </w:pPr>
            <w:r>
              <w:rPr>
                <w:rFonts w:cstheme="minorHAnsi"/>
                <w:b/>
                <w:bCs/>
              </w:rPr>
              <w:t>Acting Vice-Chancellor</w:t>
            </w:r>
          </w:p>
          <w:p w14:paraId="231ABA73" w14:textId="77777777" w:rsidR="001B109C" w:rsidRPr="00E169EE" w:rsidRDefault="001B109C" w:rsidP="00E16E9E">
            <w:pPr>
              <w:spacing w:after="0"/>
              <w:rPr>
                <w:rFonts w:cstheme="minorHAnsi"/>
              </w:rPr>
            </w:pPr>
            <w:r w:rsidRPr="00E169EE">
              <w:rPr>
                <w:rFonts w:cstheme="minorHAnsi"/>
              </w:rPr>
              <w:t>Position</w:t>
            </w:r>
          </w:p>
          <w:p w14:paraId="536F9855" w14:textId="77777777" w:rsidR="001B109C" w:rsidRPr="00E169EE" w:rsidRDefault="001B109C" w:rsidP="00E16E9E">
            <w:pPr>
              <w:spacing w:after="0"/>
              <w:rPr>
                <w:rFonts w:cstheme="minorHAnsi"/>
              </w:rPr>
            </w:pPr>
          </w:p>
        </w:tc>
        <w:tc>
          <w:tcPr>
            <w:tcW w:w="4508" w:type="dxa"/>
          </w:tcPr>
          <w:p w14:paraId="7B33C473" w14:textId="7EC56CFB" w:rsidR="001B109C" w:rsidRPr="002F4604" w:rsidRDefault="002D1A71" w:rsidP="00E16E9E">
            <w:pPr>
              <w:pBdr>
                <w:bottom w:val="single" w:sz="12" w:space="1" w:color="auto"/>
              </w:pBdr>
              <w:spacing w:after="0"/>
              <w:rPr>
                <w:rFonts w:cstheme="minorHAnsi"/>
                <w:b/>
                <w:bCs/>
              </w:rPr>
            </w:pPr>
            <w:r>
              <w:rPr>
                <w:rFonts w:cstheme="minorHAnsi"/>
                <w:b/>
                <w:bCs/>
              </w:rPr>
              <w:t>Executive Assistant</w:t>
            </w:r>
          </w:p>
          <w:p w14:paraId="0C046C3D" w14:textId="77777777" w:rsidR="001B109C" w:rsidRPr="002F4604" w:rsidRDefault="001B109C" w:rsidP="00E16E9E">
            <w:pPr>
              <w:spacing w:after="0"/>
              <w:rPr>
                <w:rFonts w:cstheme="minorHAnsi"/>
              </w:rPr>
            </w:pPr>
            <w:r w:rsidRPr="002F4604">
              <w:rPr>
                <w:rFonts w:cstheme="minorHAnsi"/>
              </w:rPr>
              <w:t>Position or profession of witness (please print)</w:t>
            </w:r>
          </w:p>
        </w:tc>
      </w:tr>
      <w:tr w:rsidR="001B109C" w:rsidRPr="00E169EE" w14:paraId="51440CFB" w14:textId="77777777" w:rsidTr="00E16E9E">
        <w:trPr>
          <w:trHeight w:val="80"/>
        </w:trPr>
        <w:tc>
          <w:tcPr>
            <w:tcW w:w="4508" w:type="dxa"/>
          </w:tcPr>
          <w:p w14:paraId="7583F948" w14:textId="5E331EBE" w:rsidR="001B109C" w:rsidRPr="00E169EE" w:rsidRDefault="002D1A71" w:rsidP="00E16E9E">
            <w:pPr>
              <w:pBdr>
                <w:bottom w:val="single" w:sz="12" w:space="1" w:color="auto"/>
              </w:pBdr>
              <w:spacing w:after="0"/>
              <w:rPr>
                <w:rFonts w:cstheme="minorHAnsi"/>
                <w:b/>
                <w:bCs/>
              </w:rPr>
            </w:pPr>
            <w:r>
              <w:rPr>
                <w:rFonts w:cstheme="minorHAnsi"/>
                <w:b/>
                <w:bCs/>
              </w:rPr>
              <w:t>Michael Wesley</w:t>
            </w:r>
          </w:p>
          <w:p w14:paraId="62FF4341" w14:textId="77777777" w:rsidR="001B109C" w:rsidRPr="00E169EE" w:rsidRDefault="001B109C" w:rsidP="00E16E9E">
            <w:pPr>
              <w:spacing w:after="0"/>
              <w:rPr>
                <w:rFonts w:cstheme="minorHAnsi"/>
              </w:rPr>
            </w:pPr>
            <w:r w:rsidRPr="00E169EE">
              <w:rPr>
                <w:rFonts w:cstheme="minorHAnsi"/>
              </w:rPr>
              <w:t>Signature</w:t>
            </w:r>
          </w:p>
        </w:tc>
        <w:tc>
          <w:tcPr>
            <w:tcW w:w="4508" w:type="dxa"/>
          </w:tcPr>
          <w:p w14:paraId="75C3F771" w14:textId="4E9B13D6" w:rsidR="001B109C" w:rsidRPr="002F4604" w:rsidRDefault="002D1A71" w:rsidP="00E16E9E">
            <w:pPr>
              <w:pBdr>
                <w:bottom w:val="single" w:sz="12" w:space="1" w:color="auto"/>
              </w:pBdr>
              <w:spacing w:after="0"/>
              <w:rPr>
                <w:rFonts w:cstheme="minorHAnsi"/>
                <w:b/>
                <w:bCs/>
              </w:rPr>
            </w:pPr>
            <w:r>
              <w:rPr>
                <w:rFonts w:cstheme="minorHAnsi"/>
                <w:b/>
                <w:bCs/>
              </w:rPr>
              <w:t>Carol Boles</w:t>
            </w:r>
          </w:p>
          <w:p w14:paraId="79F89A4A" w14:textId="77777777" w:rsidR="001B109C" w:rsidRPr="002F4604" w:rsidRDefault="001B109C" w:rsidP="00E16E9E">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headerReference w:type="even" r:id="rId76"/>
      <w:headerReference w:type="default" r:id="rId77"/>
      <w:footerReference w:type="even" r:id="rId78"/>
      <w:footerReference w:type="default" r:id="rId79"/>
      <w:headerReference w:type="first" r:id="rId80"/>
      <w:footerReference w:type="first" r:id="rId8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28E6" w14:textId="77777777" w:rsidR="00E752D4" w:rsidRDefault="00E752D4" w:rsidP="000A6228">
      <w:pPr>
        <w:spacing w:after="0" w:line="240" w:lineRule="auto"/>
      </w:pPr>
      <w:r>
        <w:separator/>
      </w:r>
    </w:p>
  </w:endnote>
  <w:endnote w:type="continuationSeparator" w:id="0">
    <w:p w14:paraId="30B47125" w14:textId="77777777" w:rsidR="00E752D4" w:rsidRDefault="00E752D4" w:rsidP="000A6228">
      <w:pPr>
        <w:spacing w:after="0" w:line="240" w:lineRule="auto"/>
      </w:pPr>
      <w:r>
        <w:continuationSeparator/>
      </w:r>
    </w:p>
  </w:endnote>
  <w:endnote w:type="continuationNotice" w:id="1">
    <w:p w14:paraId="6B4EFA55" w14:textId="77777777" w:rsidR="00E752D4" w:rsidRDefault="00E75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6845" w14:textId="77777777" w:rsidR="002D1A71" w:rsidRDefault="002D1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D617" w14:textId="77777777" w:rsidR="00E752D4" w:rsidRDefault="00E752D4" w:rsidP="000A6228">
      <w:pPr>
        <w:spacing w:after="0" w:line="240" w:lineRule="auto"/>
      </w:pPr>
      <w:r>
        <w:separator/>
      </w:r>
    </w:p>
  </w:footnote>
  <w:footnote w:type="continuationSeparator" w:id="0">
    <w:p w14:paraId="4FE0D2BE" w14:textId="77777777" w:rsidR="00E752D4" w:rsidRDefault="00E752D4" w:rsidP="000A6228">
      <w:pPr>
        <w:spacing w:after="0" w:line="240" w:lineRule="auto"/>
      </w:pPr>
      <w:r>
        <w:continuationSeparator/>
      </w:r>
    </w:p>
  </w:footnote>
  <w:footnote w:type="continuationNotice" w:id="1">
    <w:p w14:paraId="7A6D4D27" w14:textId="77777777" w:rsidR="00E752D4" w:rsidRDefault="00E75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4C25" w14:textId="77777777" w:rsidR="002D1A71" w:rsidRDefault="002D1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0C6E" w14:textId="77777777" w:rsidR="002D1A71" w:rsidRDefault="002D1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E3ED" w14:textId="77777777" w:rsidR="002D1A71" w:rsidRDefault="002D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3E22D8"/>
    <w:multiLevelType w:val="hybridMultilevel"/>
    <w:tmpl w:val="A53A243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64738BC"/>
    <w:multiLevelType w:val="hybridMultilevel"/>
    <w:tmpl w:val="FFFFFFFF"/>
    <w:lvl w:ilvl="0" w:tplc="0316E19A">
      <w:start w:val="1"/>
      <w:numFmt w:val="bullet"/>
      <w:lvlText w:val=""/>
      <w:lvlJc w:val="left"/>
      <w:pPr>
        <w:ind w:left="720" w:hanging="360"/>
      </w:pPr>
      <w:rPr>
        <w:rFonts w:ascii="Symbol" w:hAnsi="Symbol" w:hint="default"/>
      </w:rPr>
    </w:lvl>
    <w:lvl w:ilvl="1" w:tplc="5F6E5E44">
      <w:start w:val="1"/>
      <w:numFmt w:val="bullet"/>
      <w:lvlText w:val="o"/>
      <w:lvlJc w:val="left"/>
      <w:pPr>
        <w:ind w:left="1440" w:hanging="360"/>
      </w:pPr>
      <w:rPr>
        <w:rFonts w:ascii="Courier New" w:hAnsi="Courier New" w:hint="default"/>
      </w:rPr>
    </w:lvl>
    <w:lvl w:ilvl="2" w:tplc="B6B6E886">
      <w:start w:val="1"/>
      <w:numFmt w:val="bullet"/>
      <w:lvlText w:val=""/>
      <w:lvlJc w:val="left"/>
      <w:pPr>
        <w:ind w:left="2160" w:hanging="360"/>
      </w:pPr>
      <w:rPr>
        <w:rFonts w:ascii="Wingdings" w:hAnsi="Wingdings" w:hint="default"/>
      </w:rPr>
    </w:lvl>
    <w:lvl w:ilvl="3" w:tplc="04E4F336">
      <w:start w:val="1"/>
      <w:numFmt w:val="bullet"/>
      <w:lvlText w:val=""/>
      <w:lvlJc w:val="left"/>
      <w:pPr>
        <w:ind w:left="2880" w:hanging="360"/>
      </w:pPr>
      <w:rPr>
        <w:rFonts w:ascii="Symbol" w:hAnsi="Symbol" w:hint="default"/>
      </w:rPr>
    </w:lvl>
    <w:lvl w:ilvl="4" w:tplc="14CE6DEE">
      <w:start w:val="1"/>
      <w:numFmt w:val="bullet"/>
      <w:lvlText w:val="o"/>
      <w:lvlJc w:val="left"/>
      <w:pPr>
        <w:ind w:left="3600" w:hanging="360"/>
      </w:pPr>
      <w:rPr>
        <w:rFonts w:ascii="Courier New" w:hAnsi="Courier New" w:hint="default"/>
      </w:rPr>
    </w:lvl>
    <w:lvl w:ilvl="5" w:tplc="AC62D27C">
      <w:start w:val="1"/>
      <w:numFmt w:val="bullet"/>
      <w:lvlText w:val=""/>
      <w:lvlJc w:val="left"/>
      <w:pPr>
        <w:ind w:left="4320" w:hanging="360"/>
      </w:pPr>
      <w:rPr>
        <w:rFonts w:ascii="Wingdings" w:hAnsi="Wingdings" w:hint="default"/>
      </w:rPr>
    </w:lvl>
    <w:lvl w:ilvl="6" w:tplc="5672E3B0">
      <w:start w:val="1"/>
      <w:numFmt w:val="bullet"/>
      <w:lvlText w:val=""/>
      <w:lvlJc w:val="left"/>
      <w:pPr>
        <w:ind w:left="5040" w:hanging="360"/>
      </w:pPr>
      <w:rPr>
        <w:rFonts w:ascii="Symbol" w:hAnsi="Symbol" w:hint="default"/>
      </w:rPr>
    </w:lvl>
    <w:lvl w:ilvl="7" w:tplc="9A3A38F8">
      <w:start w:val="1"/>
      <w:numFmt w:val="bullet"/>
      <w:lvlText w:val="o"/>
      <w:lvlJc w:val="left"/>
      <w:pPr>
        <w:ind w:left="5760" w:hanging="360"/>
      </w:pPr>
      <w:rPr>
        <w:rFonts w:ascii="Courier New" w:hAnsi="Courier New" w:hint="default"/>
      </w:rPr>
    </w:lvl>
    <w:lvl w:ilvl="8" w:tplc="1012DD92">
      <w:start w:val="1"/>
      <w:numFmt w:val="bullet"/>
      <w:lvlText w:val=""/>
      <w:lvlJc w:val="left"/>
      <w:pPr>
        <w:ind w:left="6480" w:hanging="360"/>
      </w:pPr>
      <w:rPr>
        <w:rFonts w:ascii="Wingdings" w:hAnsi="Wingdings" w:hint="default"/>
      </w:r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78E4AE6"/>
    <w:multiLevelType w:val="hybridMultilevel"/>
    <w:tmpl w:val="60609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F93CDE"/>
    <w:multiLevelType w:val="hybridMultilevel"/>
    <w:tmpl w:val="24E6FD02"/>
    <w:lvl w:ilvl="0" w:tplc="3BAA61EE">
      <w:start w:val="1"/>
      <w:numFmt w:val="bullet"/>
      <w:lvlText w:val=""/>
      <w:lvlJc w:val="left"/>
      <w:pPr>
        <w:ind w:left="720" w:hanging="360"/>
      </w:pPr>
      <w:rPr>
        <w:rFonts w:ascii="Symbol" w:hAnsi="Symbol" w:hint="default"/>
      </w:rPr>
    </w:lvl>
    <w:lvl w:ilvl="1" w:tplc="F18058BC">
      <w:numFmt w:val="bullet"/>
      <w:lvlText w:val="•"/>
      <w:lvlJc w:val="left"/>
      <w:pPr>
        <w:ind w:left="1800" w:hanging="720"/>
      </w:pPr>
      <w:rPr>
        <w:rFonts w:ascii="Calibri" w:eastAsia="Times New Roman" w:hAnsi="Calibri" w:cs="Calibri" w:hint="default"/>
        <w:color w:val="FF000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1E1957"/>
    <w:multiLevelType w:val="hybridMultilevel"/>
    <w:tmpl w:val="C522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DA732F"/>
    <w:multiLevelType w:val="hybridMultilevel"/>
    <w:tmpl w:val="5156B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E36622E"/>
    <w:multiLevelType w:val="hybridMultilevel"/>
    <w:tmpl w:val="E9D2A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394B70"/>
    <w:multiLevelType w:val="hybridMultilevel"/>
    <w:tmpl w:val="B638F2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20F4282"/>
    <w:multiLevelType w:val="hybridMultilevel"/>
    <w:tmpl w:val="BB506AE4"/>
    <w:lvl w:ilvl="0" w:tplc="FFFFFFF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0C2306"/>
    <w:multiLevelType w:val="hybridMultilevel"/>
    <w:tmpl w:val="99CA6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7C62E50"/>
    <w:multiLevelType w:val="hybridMultilevel"/>
    <w:tmpl w:val="B2BEB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8"/>
  </w:num>
  <w:num w:numId="6" w16cid:durableId="120733662">
    <w:abstractNumId w:val="2"/>
  </w:num>
  <w:num w:numId="7" w16cid:durableId="2022584168">
    <w:abstractNumId w:val="1"/>
  </w:num>
  <w:num w:numId="8" w16cid:durableId="534267804">
    <w:abstractNumId w:val="0"/>
  </w:num>
  <w:num w:numId="9" w16cid:durableId="1265042610">
    <w:abstractNumId w:val="17"/>
  </w:num>
  <w:num w:numId="10" w16cid:durableId="1943879001">
    <w:abstractNumId w:val="8"/>
  </w:num>
  <w:num w:numId="11" w16cid:durableId="419833051">
    <w:abstractNumId w:val="25"/>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1"/>
  </w:num>
  <w:num w:numId="15" w16cid:durableId="928125744">
    <w:abstractNumId w:val="6"/>
  </w:num>
  <w:num w:numId="16" w16cid:durableId="1172835113">
    <w:abstractNumId w:val="27"/>
  </w:num>
  <w:num w:numId="17" w16cid:durableId="1022434231">
    <w:abstractNumId w:val="20"/>
  </w:num>
  <w:num w:numId="18" w16cid:durableId="618417265">
    <w:abstractNumId w:val="10"/>
  </w:num>
  <w:num w:numId="19" w16cid:durableId="271010807">
    <w:abstractNumId w:val="24"/>
  </w:num>
  <w:num w:numId="20" w16cid:durableId="1128355101">
    <w:abstractNumId w:val="26"/>
  </w:num>
  <w:num w:numId="21" w16cid:durableId="991711960">
    <w:abstractNumId w:val="23"/>
  </w:num>
  <w:num w:numId="22" w16cid:durableId="1465730884">
    <w:abstractNumId w:val="21"/>
  </w:num>
  <w:num w:numId="23" w16cid:durableId="1222790990">
    <w:abstractNumId w:val="12"/>
  </w:num>
  <w:num w:numId="24" w16cid:durableId="331876706">
    <w:abstractNumId w:val="16"/>
  </w:num>
  <w:num w:numId="25" w16cid:durableId="1601451669">
    <w:abstractNumId w:val="19"/>
  </w:num>
  <w:num w:numId="26" w16cid:durableId="37751640">
    <w:abstractNumId w:val="7"/>
  </w:num>
  <w:num w:numId="27" w16cid:durableId="524514848">
    <w:abstractNumId w:val="9"/>
  </w:num>
  <w:num w:numId="28" w16cid:durableId="1514494243">
    <w:abstractNumId w:val="22"/>
  </w:num>
  <w:num w:numId="29" w16cid:durableId="1908296399">
    <w:abstractNumId w:val="15"/>
  </w:num>
  <w:num w:numId="30" w16cid:durableId="573613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31674"/>
    <w:rsid w:val="00045E1D"/>
    <w:rsid w:val="000521D7"/>
    <w:rsid w:val="000544CA"/>
    <w:rsid w:val="000960CF"/>
    <w:rsid w:val="000A0B58"/>
    <w:rsid w:val="000A3A19"/>
    <w:rsid w:val="000A6228"/>
    <w:rsid w:val="000B5D40"/>
    <w:rsid w:val="000B7EC6"/>
    <w:rsid w:val="00107D87"/>
    <w:rsid w:val="00107DD5"/>
    <w:rsid w:val="0012343A"/>
    <w:rsid w:val="00133B8D"/>
    <w:rsid w:val="00135B59"/>
    <w:rsid w:val="0013611E"/>
    <w:rsid w:val="001515BF"/>
    <w:rsid w:val="0015549C"/>
    <w:rsid w:val="0017134D"/>
    <w:rsid w:val="00196CDA"/>
    <w:rsid w:val="001B109C"/>
    <w:rsid w:val="001C1523"/>
    <w:rsid w:val="001E3BF1"/>
    <w:rsid w:val="001E6DBC"/>
    <w:rsid w:val="00217414"/>
    <w:rsid w:val="00221D8F"/>
    <w:rsid w:val="002272DB"/>
    <w:rsid w:val="00235752"/>
    <w:rsid w:val="00240D5B"/>
    <w:rsid w:val="00241CF3"/>
    <w:rsid w:val="00276047"/>
    <w:rsid w:val="002775F3"/>
    <w:rsid w:val="0029618B"/>
    <w:rsid w:val="002A4458"/>
    <w:rsid w:val="002B3673"/>
    <w:rsid w:val="002C1F0F"/>
    <w:rsid w:val="002D1A71"/>
    <w:rsid w:val="002D3EFA"/>
    <w:rsid w:val="002D589A"/>
    <w:rsid w:val="002E491A"/>
    <w:rsid w:val="002E5025"/>
    <w:rsid w:val="002E5498"/>
    <w:rsid w:val="002F4604"/>
    <w:rsid w:val="00304890"/>
    <w:rsid w:val="0031162E"/>
    <w:rsid w:val="0040155D"/>
    <w:rsid w:val="004129D4"/>
    <w:rsid w:val="0041713E"/>
    <w:rsid w:val="00421D3F"/>
    <w:rsid w:val="00423785"/>
    <w:rsid w:val="0042692C"/>
    <w:rsid w:val="00431EFC"/>
    <w:rsid w:val="00452D26"/>
    <w:rsid w:val="00462848"/>
    <w:rsid w:val="00463568"/>
    <w:rsid w:val="00476923"/>
    <w:rsid w:val="0049333E"/>
    <w:rsid w:val="004A06CD"/>
    <w:rsid w:val="004A4B6F"/>
    <w:rsid w:val="004A4CF9"/>
    <w:rsid w:val="004D2965"/>
    <w:rsid w:val="004D2D9D"/>
    <w:rsid w:val="004E6C1C"/>
    <w:rsid w:val="00520BA6"/>
    <w:rsid w:val="00541139"/>
    <w:rsid w:val="00547FB7"/>
    <w:rsid w:val="0057028F"/>
    <w:rsid w:val="00591F57"/>
    <w:rsid w:val="005A75C9"/>
    <w:rsid w:val="005B187D"/>
    <w:rsid w:val="005D3150"/>
    <w:rsid w:val="005F015E"/>
    <w:rsid w:val="005F35D6"/>
    <w:rsid w:val="006232DC"/>
    <w:rsid w:val="0063094F"/>
    <w:rsid w:val="00667757"/>
    <w:rsid w:val="006A01FF"/>
    <w:rsid w:val="006B27CB"/>
    <w:rsid w:val="006B2B77"/>
    <w:rsid w:val="006C1BBB"/>
    <w:rsid w:val="006D67F3"/>
    <w:rsid w:val="006E6078"/>
    <w:rsid w:val="006F1FFF"/>
    <w:rsid w:val="006F2406"/>
    <w:rsid w:val="006F6D10"/>
    <w:rsid w:val="00712B94"/>
    <w:rsid w:val="00717352"/>
    <w:rsid w:val="007517BA"/>
    <w:rsid w:val="0077487D"/>
    <w:rsid w:val="0077782B"/>
    <w:rsid w:val="00786866"/>
    <w:rsid w:val="007B2CA1"/>
    <w:rsid w:val="007D0ABC"/>
    <w:rsid w:val="007E1D68"/>
    <w:rsid w:val="007F7B2A"/>
    <w:rsid w:val="008034C4"/>
    <w:rsid w:val="008042F5"/>
    <w:rsid w:val="0086428D"/>
    <w:rsid w:val="00886959"/>
    <w:rsid w:val="00893A34"/>
    <w:rsid w:val="008A36E1"/>
    <w:rsid w:val="008A37A7"/>
    <w:rsid w:val="008A7AB4"/>
    <w:rsid w:val="008B0736"/>
    <w:rsid w:val="008C1F5A"/>
    <w:rsid w:val="008D4FA9"/>
    <w:rsid w:val="00907EBF"/>
    <w:rsid w:val="00913D0F"/>
    <w:rsid w:val="009354D0"/>
    <w:rsid w:val="00950B06"/>
    <w:rsid w:val="00954FA5"/>
    <w:rsid w:val="00970069"/>
    <w:rsid w:val="009721EB"/>
    <w:rsid w:val="009741FE"/>
    <w:rsid w:val="009769D1"/>
    <w:rsid w:val="00980B05"/>
    <w:rsid w:val="00994D60"/>
    <w:rsid w:val="009A08CE"/>
    <w:rsid w:val="009B706E"/>
    <w:rsid w:val="009C1E72"/>
    <w:rsid w:val="009C423A"/>
    <w:rsid w:val="009D1977"/>
    <w:rsid w:val="009E4F3D"/>
    <w:rsid w:val="009E79ED"/>
    <w:rsid w:val="009F09E1"/>
    <w:rsid w:val="00A07596"/>
    <w:rsid w:val="00A17A08"/>
    <w:rsid w:val="00A2072C"/>
    <w:rsid w:val="00A2726F"/>
    <w:rsid w:val="00A314D3"/>
    <w:rsid w:val="00A35D32"/>
    <w:rsid w:val="00A60673"/>
    <w:rsid w:val="00A818DE"/>
    <w:rsid w:val="00A9320B"/>
    <w:rsid w:val="00AB2A61"/>
    <w:rsid w:val="00AC1872"/>
    <w:rsid w:val="00AC21EE"/>
    <w:rsid w:val="00AD13D0"/>
    <w:rsid w:val="00AD631F"/>
    <w:rsid w:val="00AE16C4"/>
    <w:rsid w:val="00AE21FF"/>
    <w:rsid w:val="00AF1F18"/>
    <w:rsid w:val="00B04FA8"/>
    <w:rsid w:val="00B0726E"/>
    <w:rsid w:val="00B219D1"/>
    <w:rsid w:val="00B318F5"/>
    <w:rsid w:val="00B37F99"/>
    <w:rsid w:val="00B64B3D"/>
    <w:rsid w:val="00B72125"/>
    <w:rsid w:val="00B81FA4"/>
    <w:rsid w:val="00B8794C"/>
    <w:rsid w:val="00B95EF4"/>
    <w:rsid w:val="00BB6509"/>
    <w:rsid w:val="00BC248C"/>
    <w:rsid w:val="00C01EC0"/>
    <w:rsid w:val="00C034B5"/>
    <w:rsid w:val="00C212D2"/>
    <w:rsid w:val="00C2270F"/>
    <w:rsid w:val="00C244EE"/>
    <w:rsid w:val="00C319A4"/>
    <w:rsid w:val="00C32AE5"/>
    <w:rsid w:val="00C33F85"/>
    <w:rsid w:val="00C37D63"/>
    <w:rsid w:val="00C72224"/>
    <w:rsid w:val="00C75706"/>
    <w:rsid w:val="00C96121"/>
    <w:rsid w:val="00CA4815"/>
    <w:rsid w:val="00CC1725"/>
    <w:rsid w:val="00CF6562"/>
    <w:rsid w:val="00D22F93"/>
    <w:rsid w:val="00D23ABC"/>
    <w:rsid w:val="00D33FCB"/>
    <w:rsid w:val="00D5688A"/>
    <w:rsid w:val="00D65E8B"/>
    <w:rsid w:val="00D7558A"/>
    <w:rsid w:val="00D82BFE"/>
    <w:rsid w:val="00D86284"/>
    <w:rsid w:val="00DB2992"/>
    <w:rsid w:val="00DC5980"/>
    <w:rsid w:val="00DD0314"/>
    <w:rsid w:val="00DD2B46"/>
    <w:rsid w:val="00DD3400"/>
    <w:rsid w:val="00DD3642"/>
    <w:rsid w:val="00DF3F63"/>
    <w:rsid w:val="00E06ED6"/>
    <w:rsid w:val="00E0752E"/>
    <w:rsid w:val="00E1090C"/>
    <w:rsid w:val="00E114B4"/>
    <w:rsid w:val="00E16E9E"/>
    <w:rsid w:val="00E25352"/>
    <w:rsid w:val="00E30B4D"/>
    <w:rsid w:val="00E529E5"/>
    <w:rsid w:val="00E55A60"/>
    <w:rsid w:val="00E55C8C"/>
    <w:rsid w:val="00E7297C"/>
    <w:rsid w:val="00E752D4"/>
    <w:rsid w:val="00EB4C2F"/>
    <w:rsid w:val="00ED0DDF"/>
    <w:rsid w:val="00EE2E52"/>
    <w:rsid w:val="00EF5C61"/>
    <w:rsid w:val="00F07246"/>
    <w:rsid w:val="00F1000D"/>
    <w:rsid w:val="00F11041"/>
    <w:rsid w:val="00F30BFA"/>
    <w:rsid w:val="00F311A4"/>
    <w:rsid w:val="00F60B66"/>
    <w:rsid w:val="00F65AF8"/>
    <w:rsid w:val="00F6777E"/>
    <w:rsid w:val="00F82C2C"/>
    <w:rsid w:val="00F85913"/>
    <w:rsid w:val="00FA7392"/>
    <w:rsid w:val="00FC2B31"/>
    <w:rsid w:val="00FD4D6E"/>
    <w:rsid w:val="00FD6383"/>
    <w:rsid w:val="00FD7A94"/>
    <w:rsid w:val="00FF5BC8"/>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8EE78E6B-7321-403E-A865-F07C8725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basedOn w:val="Normal"/>
    <w:uiPriority w:val="34"/>
    <w:qFormat/>
    <w:rsid w:val="005D3150"/>
    <w:pPr>
      <w:ind w:left="720"/>
      <w:contextualSpacing/>
    </w:pPr>
  </w:style>
  <w:style w:type="character" w:styleId="FollowedHyperlink">
    <w:name w:val="FollowedHyperlink"/>
    <w:basedOn w:val="DefaultParagraphFont"/>
    <w:uiPriority w:val="99"/>
    <w:semiHidden/>
    <w:unhideWhenUsed/>
    <w:rsid w:val="002E5498"/>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bout.unimelb.edu.au/strategy/advancing-students-and-education" TargetMode="External"/><Relationship Id="rId21" Type="http://schemas.openxmlformats.org/officeDocument/2006/relationships/hyperlink" Target="https://about.unimelb.edu.au/diversity-inclusion/disability-inclusion" TargetMode="External"/><Relationship Id="rId42" Type="http://schemas.openxmlformats.org/officeDocument/2006/relationships/hyperlink" Target="https://melbourne-cshe.unimelb.edu.au/resources/a-framework-for-educational-excellence" TargetMode="External"/><Relationship Id="rId47" Type="http://schemas.openxmlformats.org/officeDocument/2006/relationships/hyperlink" Target="https://murrupbarak.unimelb.edu.au/" TargetMode="External"/><Relationship Id="rId63" Type="http://schemas.openxmlformats.org/officeDocument/2006/relationships/hyperlink" Target="https://gradresearch.unimelb.edu.au/developing-my-skills/graduate-research-internships" TargetMode="External"/><Relationship Id="rId68" Type="http://schemas.openxmlformats.org/officeDocument/2006/relationships/hyperlink" Target="https://melbourne.sciencegallery.com/stem-centre-of-excellence" TargetMode="External"/><Relationship Id="rId16" Type="http://schemas.openxmlformats.org/officeDocument/2006/relationships/hyperlink" Target="https://about.unimelb.edu.au/strategy/supporting-strategies" TargetMode="External"/><Relationship Id="rId11" Type="http://schemas.openxmlformats.org/officeDocument/2006/relationships/endnotes" Target="endnotes.xml"/><Relationship Id="rId32" Type="http://schemas.openxmlformats.org/officeDocument/2006/relationships/hyperlink" Target="https://poche.mdhs.unimelb.edu.au/" TargetMode="External"/><Relationship Id="rId37" Type="http://schemas.openxmlformats.org/officeDocument/2006/relationships/hyperlink" Target="https://study.unimelb.edu.au/how-to-apply/graduate-coursework-study/grade-conversion-eligibility-calculator" TargetMode="External"/><Relationship Id="rId53" Type="http://schemas.openxmlformats.org/officeDocument/2006/relationships/hyperlink" Target="https://research.unimelb.edu.au/strengths/advancing-research-2030-excellence-for-impact" TargetMode="External"/><Relationship Id="rId58" Type="http://schemas.openxmlformats.org/officeDocument/2006/relationships/hyperlink" Target="https://research.unimelb.edu.au/facilities/precincts/melbourne-biomedical" TargetMode="External"/><Relationship Id="rId74" Type="http://schemas.openxmlformats.org/officeDocument/2006/relationships/hyperlink" Target="https://potter-museum.unimelb.edu.au/" TargetMode="External"/><Relationship Id="rId79"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research.unimelb.edu.au/facilities/precincts" TargetMode="External"/><Relationship Id="rId82" Type="http://schemas.openxmlformats.org/officeDocument/2006/relationships/fontTable" Target="fontTable.xml"/><Relationship Id="rId19" Type="http://schemas.openxmlformats.org/officeDocument/2006/relationships/hyperlink" Target="https://about.unimelb.edu.au/diversity-inclusion/gender-equity" TargetMode="External"/><Relationship Id="rId14" Type="http://schemas.openxmlformats.org/officeDocument/2006/relationships/image" Target="media/image3.svg"/><Relationship Id="rId22" Type="http://schemas.openxmlformats.org/officeDocument/2006/relationships/hyperlink" Target="https://about.unimelb.edu.au/diversity-inclusion/lgbtiqa-inclusion" TargetMode="External"/><Relationship Id="rId27" Type="http://schemas.openxmlformats.org/officeDocument/2006/relationships/hyperlink" Target="https://scholarships.unimelb.edu.au/about-scholarships/narrm-scholarship" TargetMode="External"/><Relationship Id="rId30" Type="http://schemas.openxmlformats.org/officeDocument/2006/relationships/hyperlink" Target="https://murrupbarak.unimelb.edu.au/" TargetMode="External"/><Relationship Id="rId35" Type="http://schemas.openxmlformats.org/officeDocument/2006/relationships/hyperlink" Target="https://study.unimelb.edu.au/how-to-apply/special-entry-access-schemes/access-melbourne-undergraduate" TargetMode="External"/><Relationship Id="rId43" Type="http://schemas.openxmlformats.org/officeDocument/2006/relationships/hyperlink" Target="https://about.unimelb.edu.au/education-melbourne" TargetMode="External"/><Relationship Id="rId48" Type="http://schemas.openxmlformats.org/officeDocument/2006/relationships/hyperlink" Target="https://students.unimelb.edu.au/student-support/support-for-students-policy" TargetMode="External"/><Relationship Id="rId56" Type="http://schemas.openxmlformats.org/officeDocument/2006/relationships/hyperlink" Target="https://research.unimelb.edu.au/partnerships" TargetMode="External"/><Relationship Id="rId64" Type="http://schemas.openxmlformats.org/officeDocument/2006/relationships/hyperlink" Target="https://research.unimelb.edu.au/facilities/infrastructure" TargetMode="External"/><Relationship Id="rId69" Type="http://schemas.openxmlformats.org/officeDocument/2006/relationships/hyperlink" Target="https://www.munarra.com.au/" TargetMode="External"/><Relationship Id="rId77"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students.unimelb.edu.au/student-support/support-for-students-policy" TargetMode="External"/><Relationship Id="rId72" Type="http://schemas.openxmlformats.org/officeDocument/2006/relationships/hyperlink" Target="https://buxtoncontemporary.com/"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study.unimelb.edu.au/study-with-us/the-melbourne-curriculum" TargetMode="External"/><Relationship Id="rId25" Type="http://schemas.openxmlformats.org/officeDocument/2006/relationships/hyperlink" Target="https://policy.unimelb.edu.au/MPF1342/" TargetMode="External"/><Relationship Id="rId33" Type="http://schemas.openxmlformats.org/officeDocument/2006/relationships/hyperlink" Target="https://www.unimelb.edu.au/indigenous/murmuk-djerring/truth-telling-and-justice" TargetMode="External"/><Relationship Id="rId38" Type="http://schemas.openxmlformats.org/officeDocument/2006/relationships/hyperlink" Target="https://study.unimelb.edu.au/connect-with-us/information-for-schools/Australia-and-New-Zealand/school-outreach-programs" TargetMode="External"/><Relationship Id="rId46" Type="http://schemas.openxmlformats.org/officeDocument/2006/relationships/hyperlink" Target="https://students.unimelb.edu.au/student-support" TargetMode="External"/><Relationship Id="rId59" Type="http://schemas.openxmlformats.org/officeDocument/2006/relationships/hyperlink" Target="https://aiid.edu.au/" TargetMode="External"/><Relationship Id="rId67" Type="http://schemas.openxmlformats.org/officeDocument/2006/relationships/hyperlink" Target="https://melbourne.sciencegallery.com/" TargetMode="External"/><Relationship Id="rId20" Type="http://schemas.openxmlformats.org/officeDocument/2006/relationships/hyperlink" Target="https://about.unimelb.edu.au/diversity-inclusion/anti-racism" TargetMode="External"/><Relationship Id="rId41" Type="http://schemas.openxmlformats.org/officeDocument/2006/relationships/hyperlink" Target="https://about.unimelb.edu.au/strategy/advancing-students-and-education" TargetMode="External"/><Relationship Id="rId54" Type="http://schemas.openxmlformats.org/officeDocument/2006/relationships/hyperlink" Target="https://research.unimelb.edu.au/facilities/precincts" TargetMode="External"/><Relationship Id="rId62" Type="http://schemas.openxmlformats.org/officeDocument/2006/relationships/hyperlink" Target="https://www.unimelb.edu.au/mec" TargetMode="External"/><Relationship Id="rId70" Type="http://schemas.openxmlformats.org/officeDocument/2006/relationships/hyperlink" Target="https://asialink.unimelb.edu.au/" TargetMode="External"/><Relationship Id="rId75" Type="http://schemas.openxmlformats.org/officeDocument/2006/relationships/hyperlink" Target="https://mpavilion.org/"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about.unimelb.edu.au/__data/assets/pdf_file/0023/132629/Advancing-Melbourne.pdf" TargetMode="External"/><Relationship Id="rId23" Type="http://schemas.openxmlformats.org/officeDocument/2006/relationships/hyperlink" Target="https://www.unimelb.edu.au/cybersecurity" TargetMode="External"/><Relationship Id="rId28" Type="http://schemas.openxmlformats.org/officeDocument/2006/relationships/hyperlink" Target="https://about.unimelb.edu.au/reconciliation/murmuk-djerring" TargetMode="External"/><Relationship Id="rId36" Type="http://schemas.openxmlformats.org/officeDocument/2006/relationships/hyperlink" Target="https://study.unimelb.edu.au/how-to-apply/special-entry-access-schemes/access-melbourne-undergraduate/access-melbourne-eligibility/eligibility-calculator" TargetMode="External"/><Relationship Id="rId49" Type="http://schemas.openxmlformats.org/officeDocument/2006/relationships/hyperlink" Target="https://students.unimelb.edu.au/student-support/student-equity-and-disability-services/registration-for-ongoing-support" TargetMode="External"/><Relationship Id="rId57" Type="http://schemas.openxmlformats.org/officeDocument/2006/relationships/hyperlink" Target="https://research.unimelb.edu.au/strengths/research-impact" TargetMode="External"/><Relationship Id="rId10" Type="http://schemas.openxmlformats.org/officeDocument/2006/relationships/footnotes" Target="footnotes.xml"/><Relationship Id="rId31" Type="http://schemas.openxmlformats.org/officeDocument/2006/relationships/hyperlink" Target="https://finearts-music.unimelb.edu.au/about-us/wilin" TargetMode="External"/><Relationship Id="rId44" Type="http://schemas.openxmlformats.org/officeDocument/2006/relationships/hyperlink" Target="https://study.unimelb.edu.au/study-with-us/the-melbourne-curriculum" TargetMode="External"/><Relationship Id="rId52" Type="http://schemas.openxmlformats.org/officeDocument/2006/relationships/hyperlink" Target="https://about.unimelb.edu.au/__data/assets/pdf_file/0032/385178/SWBMH-Framework-Full-Document.pdf" TargetMode="External"/><Relationship Id="rId60" Type="http://schemas.openxmlformats.org/officeDocument/2006/relationships/hyperlink" Target="https://acmd.org.au/" TargetMode="External"/><Relationship Id="rId65" Type="http://schemas.openxmlformats.org/officeDocument/2006/relationships/hyperlink" Target="https://ipp.eng.unimelb.edu.au/" TargetMode="External"/><Relationship Id="rId73" Type="http://schemas.openxmlformats.org/officeDocument/2006/relationships/hyperlink" Target="https://grainger.unimelb.edu.au/"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about.unimelb.edu.au/diversity-inclusion" TargetMode="External"/><Relationship Id="rId39" Type="http://schemas.openxmlformats.org/officeDocument/2006/relationships/hyperlink" Target="https://about.unimelb.edu.au/__data/assets/pdf_file/0021/284250/diversity-inclusion-strategy.pdf" TargetMode="External"/><Relationship Id="rId34" Type="http://schemas.openxmlformats.org/officeDocument/2006/relationships/hyperlink" Target="https://murrupbarak.unimelb.edu.au/home/student-experience/indigenous-tutorial-access-scheme" TargetMode="External"/><Relationship Id="rId50" Type="http://schemas.openxmlformats.org/officeDocument/2006/relationships/hyperlink" Target="https://students.unimelb.edu.au/student-support/support-for-students-policy" TargetMode="External"/><Relationship Id="rId55" Type="http://schemas.openxmlformats.org/officeDocument/2006/relationships/hyperlink" Target="https://research.unimelb.edu.au/commercialisation" TargetMode="External"/><Relationship Id="rId76"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s://aii.unimelb.edu.au/" TargetMode="External"/><Relationship Id="rId2" Type="http://schemas.openxmlformats.org/officeDocument/2006/relationships/customXml" Target="../customXml/item2.xml"/><Relationship Id="rId29" Type="http://schemas.openxmlformats.org/officeDocument/2006/relationships/hyperlink" Target="https://www.unimelb.edu.au/indigenous/governance/indigenous-strategies-and-reports/documents/indigenous-student-plan-20232027" TargetMode="External"/><Relationship Id="rId24" Type="http://schemas.openxmlformats.org/officeDocument/2006/relationships/hyperlink" Target="https://policy.unimelb.edu.au/MPF1224/" TargetMode="External"/><Relationship Id="rId40" Type="http://schemas.openxmlformats.org/officeDocument/2006/relationships/hyperlink" Target="https://about.unimelb.edu.au/diversity-inclusion/disability-inclusion-action-plan-2023-2026" TargetMode="External"/><Relationship Id="rId45" Type="http://schemas.openxmlformats.org/officeDocument/2006/relationships/hyperlink" Target="https://about.unimelb.edu.au/__data/assets/pdf_file/0027/409707/0a3296a5292dd06909bcf1d950a27152fcec95e9.pdf" TargetMode="External"/><Relationship Id="rId66" Type="http://schemas.openxmlformats.org/officeDocument/2006/relationships/hyperlink" Target="https://handbook.unimelb.edu.au/2025/courses/gc-innovp"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2.xml>��< ? x m l   v e r s i o n = " 1 . 0 "   e n c o d i n g = " u t f - 1 6 " ? > < K a p i s h F i l e n a m e T o U r i M a p p i n g s 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36FB-0FEA-4EB6-8C1F-B6512B7A70B1}">
  <ds:schemaRef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6e75ac5a-1f9e-40aa-9df5-998dd543a947"/>
    <ds:schemaRef ds:uri="fea52c8c-9806-4a1c-8ca9-6928160f6c09"/>
    <ds:schemaRef ds:uri="http://schemas.microsoft.com/office/2006/metadata/properties"/>
  </ds:schemaRefs>
</ds:datastoreItem>
</file>

<file path=customXml/itemProps2.xml><?xml version="1.0" encoding="utf-8"?>
<ds:datastoreItem xmlns:ds="http://schemas.openxmlformats.org/officeDocument/2006/customXml" ds:itemID="{48B3E9FE-D6E9-484C-8069-48B81D7991C7}">
  <ds:schemaRefs>
    <ds:schemaRef ds:uri="http://www.w3.org/2001/XMLSchema"/>
  </ds:schemaRefs>
</ds:datastoreItem>
</file>

<file path=customXml/itemProps3.xml><?xml version="1.0" encoding="utf-8"?>
<ds:datastoreItem xmlns:ds="http://schemas.openxmlformats.org/officeDocument/2006/customXml" ds:itemID="{E30660C3-D343-4CFC-B521-17E504129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5.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2750</Words>
  <Characters>17868</Characters>
  <Application>Microsoft Office Word</Application>
  <DocSecurity>0</DocSecurity>
  <Lines>336</Lines>
  <Paragraphs>144</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20589</CharactersWithSpaces>
  <SharedDoc>false</SharedDoc>
  <HLinks>
    <vt:vector size="366" baseType="variant">
      <vt:variant>
        <vt:i4>6750250</vt:i4>
      </vt:variant>
      <vt:variant>
        <vt:i4>180</vt:i4>
      </vt:variant>
      <vt:variant>
        <vt:i4>0</vt:i4>
      </vt:variant>
      <vt:variant>
        <vt:i4>5</vt:i4>
      </vt:variant>
      <vt:variant>
        <vt:lpwstr>https://mpavilion.org/</vt:lpwstr>
      </vt:variant>
      <vt:variant>
        <vt:lpwstr/>
      </vt:variant>
      <vt:variant>
        <vt:i4>4390939</vt:i4>
      </vt:variant>
      <vt:variant>
        <vt:i4>177</vt:i4>
      </vt:variant>
      <vt:variant>
        <vt:i4>0</vt:i4>
      </vt:variant>
      <vt:variant>
        <vt:i4>5</vt:i4>
      </vt:variant>
      <vt:variant>
        <vt:lpwstr>https://potter-museum.unimelb.edu.au/</vt:lpwstr>
      </vt:variant>
      <vt:variant>
        <vt:lpwstr/>
      </vt:variant>
      <vt:variant>
        <vt:i4>5898269</vt:i4>
      </vt:variant>
      <vt:variant>
        <vt:i4>174</vt:i4>
      </vt:variant>
      <vt:variant>
        <vt:i4>0</vt:i4>
      </vt:variant>
      <vt:variant>
        <vt:i4>5</vt:i4>
      </vt:variant>
      <vt:variant>
        <vt:lpwstr>https://grainger.unimelb.edu.au/</vt:lpwstr>
      </vt:variant>
      <vt:variant>
        <vt:lpwstr/>
      </vt:variant>
      <vt:variant>
        <vt:i4>7405676</vt:i4>
      </vt:variant>
      <vt:variant>
        <vt:i4>171</vt:i4>
      </vt:variant>
      <vt:variant>
        <vt:i4>0</vt:i4>
      </vt:variant>
      <vt:variant>
        <vt:i4>5</vt:i4>
      </vt:variant>
      <vt:variant>
        <vt:lpwstr>https://buxtoncontemporary.com/</vt:lpwstr>
      </vt:variant>
      <vt:variant>
        <vt:lpwstr/>
      </vt:variant>
      <vt:variant>
        <vt:i4>2621474</vt:i4>
      </vt:variant>
      <vt:variant>
        <vt:i4>168</vt:i4>
      </vt:variant>
      <vt:variant>
        <vt:i4>0</vt:i4>
      </vt:variant>
      <vt:variant>
        <vt:i4>5</vt:i4>
      </vt:variant>
      <vt:variant>
        <vt:lpwstr>https://aii.unimelb.edu.au/</vt:lpwstr>
      </vt:variant>
      <vt:variant>
        <vt:lpwstr/>
      </vt:variant>
      <vt:variant>
        <vt:i4>4456474</vt:i4>
      </vt:variant>
      <vt:variant>
        <vt:i4>165</vt:i4>
      </vt:variant>
      <vt:variant>
        <vt:i4>0</vt:i4>
      </vt:variant>
      <vt:variant>
        <vt:i4>5</vt:i4>
      </vt:variant>
      <vt:variant>
        <vt:lpwstr>https://asialink.unimelb.edu.au/</vt:lpwstr>
      </vt:variant>
      <vt:variant>
        <vt:lpwstr/>
      </vt:variant>
      <vt:variant>
        <vt:i4>3407935</vt:i4>
      </vt:variant>
      <vt:variant>
        <vt:i4>162</vt:i4>
      </vt:variant>
      <vt:variant>
        <vt:i4>0</vt:i4>
      </vt:variant>
      <vt:variant>
        <vt:i4>5</vt:i4>
      </vt:variant>
      <vt:variant>
        <vt:lpwstr>https://www.munarra.com.au/</vt:lpwstr>
      </vt:variant>
      <vt:variant>
        <vt:lpwstr/>
      </vt:variant>
      <vt:variant>
        <vt:i4>2621560</vt:i4>
      </vt:variant>
      <vt:variant>
        <vt:i4>159</vt:i4>
      </vt:variant>
      <vt:variant>
        <vt:i4>0</vt:i4>
      </vt:variant>
      <vt:variant>
        <vt:i4>5</vt:i4>
      </vt:variant>
      <vt:variant>
        <vt:lpwstr>https://melbourne.sciencegallery.com/stem-centre-of-excellence</vt:lpwstr>
      </vt:variant>
      <vt:variant>
        <vt:lpwstr/>
      </vt:variant>
      <vt:variant>
        <vt:i4>6225942</vt:i4>
      </vt:variant>
      <vt:variant>
        <vt:i4>156</vt:i4>
      </vt:variant>
      <vt:variant>
        <vt:i4>0</vt:i4>
      </vt:variant>
      <vt:variant>
        <vt:i4>5</vt:i4>
      </vt:variant>
      <vt:variant>
        <vt:lpwstr>https://melbourne.sciencegallery.com/</vt:lpwstr>
      </vt:variant>
      <vt:variant>
        <vt:lpwstr/>
      </vt:variant>
      <vt:variant>
        <vt:i4>8192113</vt:i4>
      </vt:variant>
      <vt:variant>
        <vt:i4>153</vt:i4>
      </vt:variant>
      <vt:variant>
        <vt:i4>0</vt:i4>
      </vt:variant>
      <vt:variant>
        <vt:i4>5</vt:i4>
      </vt:variant>
      <vt:variant>
        <vt:lpwstr>https://handbook.unimelb.edu.au/2025/courses/gc-innovp</vt:lpwstr>
      </vt:variant>
      <vt:variant>
        <vt:lpwstr/>
      </vt:variant>
      <vt:variant>
        <vt:i4>7405617</vt:i4>
      </vt:variant>
      <vt:variant>
        <vt:i4>150</vt:i4>
      </vt:variant>
      <vt:variant>
        <vt:i4>0</vt:i4>
      </vt:variant>
      <vt:variant>
        <vt:i4>5</vt:i4>
      </vt:variant>
      <vt:variant>
        <vt:lpwstr>https://ipp.eng.unimelb.edu.au/</vt:lpwstr>
      </vt:variant>
      <vt:variant>
        <vt:lpwstr/>
      </vt:variant>
      <vt:variant>
        <vt:i4>6029391</vt:i4>
      </vt:variant>
      <vt:variant>
        <vt:i4>147</vt:i4>
      </vt:variant>
      <vt:variant>
        <vt:i4>0</vt:i4>
      </vt:variant>
      <vt:variant>
        <vt:i4>5</vt:i4>
      </vt:variant>
      <vt:variant>
        <vt:lpwstr>https://research.unimelb.edu.au/facilities/infrastructure</vt:lpwstr>
      </vt:variant>
      <vt:variant>
        <vt:lpwstr/>
      </vt:variant>
      <vt:variant>
        <vt:i4>3866681</vt:i4>
      </vt:variant>
      <vt:variant>
        <vt:i4>144</vt:i4>
      </vt:variant>
      <vt:variant>
        <vt:i4>0</vt:i4>
      </vt:variant>
      <vt:variant>
        <vt:i4>5</vt:i4>
      </vt:variant>
      <vt:variant>
        <vt:lpwstr>https://gradresearch.unimelb.edu.au/developing-my-skills/graduate-research-internships</vt:lpwstr>
      </vt:variant>
      <vt:variant>
        <vt:lpwstr/>
      </vt:variant>
      <vt:variant>
        <vt:i4>3670112</vt:i4>
      </vt:variant>
      <vt:variant>
        <vt:i4>141</vt:i4>
      </vt:variant>
      <vt:variant>
        <vt:i4>0</vt:i4>
      </vt:variant>
      <vt:variant>
        <vt:i4>5</vt:i4>
      </vt:variant>
      <vt:variant>
        <vt:lpwstr>https://www.unimelb.edu.au/mec</vt:lpwstr>
      </vt:variant>
      <vt:variant>
        <vt:lpwstr/>
      </vt:variant>
      <vt:variant>
        <vt:i4>5832783</vt:i4>
      </vt:variant>
      <vt:variant>
        <vt:i4>138</vt:i4>
      </vt:variant>
      <vt:variant>
        <vt:i4>0</vt:i4>
      </vt:variant>
      <vt:variant>
        <vt:i4>5</vt:i4>
      </vt:variant>
      <vt:variant>
        <vt:lpwstr>https://research.unimelb.edu.au/facilities/precincts</vt:lpwstr>
      </vt:variant>
      <vt:variant>
        <vt:lpwstr/>
      </vt:variant>
      <vt:variant>
        <vt:i4>5242955</vt:i4>
      </vt:variant>
      <vt:variant>
        <vt:i4>135</vt:i4>
      </vt:variant>
      <vt:variant>
        <vt:i4>0</vt:i4>
      </vt:variant>
      <vt:variant>
        <vt:i4>5</vt:i4>
      </vt:variant>
      <vt:variant>
        <vt:lpwstr>https://acmd.org.au/</vt:lpwstr>
      </vt:variant>
      <vt:variant>
        <vt:lpwstr/>
      </vt:variant>
      <vt:variant>
        <vt:i4>4325465</vt:i4>
      </vt:variant>
      <vt:variant>
        <vt:i4>132</vt:i4>
      </vt:variant>
      <vt:variant>
        <vt:i4>0</vt:i4>
      </vt:variant>
      <vt:variant>
        <vt:i4>5</vt:i4>
      </vt:variant>
      <vt:variant>
        <vt:lpwstr>https://aiid.edu.au/</vt:lpwstr>
      </vt:variant>
      <vt:variant>
        <vt:lpwstr/>
      </vt:variant>
      <vt:variant>
        <vt:i4>4194386</vt:i4>
      </vt:variant>
      <vt:variant>
        <vt:i4>129</vt:i4>
      </vt:variant>
      <vt:variant>
        <vt:i4>0</vt:i4>
      </vt:variant>
      <vt:variant>
        <vt:i4>5</vt:i4>
      </vt:variant>
      <vt:variant>
        <vt:lpwstr>https://research.unimelb.edu.au/facilities/precincts/melbourne-biomedical</vt:lpwstr>
      </vt:variant>
      <vt:variant>
        <vt:lpwstr/>
      </vt:variant>
      <vt:variant>
        <vt:i4>2031705</vt:i4>
      </vt:variant>
      <vt:variant>
        <vt:i4>126</vt:i4>
      </vt:variant>
      <vt:variant>
        <vt:i4>0</vt:i4>
      </vt:variant>
      <vt:variant>
        <vt:i4>5</vt:i4>
      </vt:variant>
      <vt:variant>
        <vt:lpwstr>https://research.unimelb.edu.au/strengths/research-impact</vt:lpwstr>
      </vt:variant>
      <vt:variant>
        <vt:lpwstr/>
      </vt:variant>
      <vt:variant>
        <vt:i4>5701653</vt:i4>
      </vt:variant>
      <vt:variant>
        <vt:i4>123</vt:i4>
      </vt:variant>
      <vt:variant>
        <vt:i4>0</vt:i4>
      </vt:variant>
      <vt:variant>
        <vt:i4>5</vt:i4>
      </vt:variant>
      <vt:variant>
        <vt:lpwstr>https://research.unimelb.edu.au/partnerships</vt:lpwstr>
      </vt:variant>
      <vt:variant>
        <vt:lpwstr/>
      </vt:variant>
      <vt:variant>
        <vt:i4>5439515</vt:i4>
      </vt:variant>
      <vt:variant>
        <vt:i4>120</vt:i4>
      </vt:variant>
      <vt:variant>
        <vt:i4>0</vt:i4>
      </vt:variant>
      <vt:variant>
        <vt:i4>5</vt:i4>
      </vt:variant>
      <vt:variant>
        <vt:lpwstr>https://research.unimelb.edu.au/commercialisation</vt:lpwstr>
      </vt:variant>
      <vt:variant>
        <vt:lpwstr/>
      </vt:variant>
      <vt:variant>
        <vt:i4>5832783</vt:i4>
      </vt:variant>
      <vt:variant>
        <vt:i4>117</vt:i4>
      </vt:variant>
      <vt:variant>
        <vt:i4>0</vt:i4>
      </vt:variant>
      <vt:variant>
        <vt:i4>5</vt:i4>
      </vt:variant>
      <vt:variant>
        <vt:lpwstr>https://research.unimelb.edu.au/facilities/precincts</vt:lpwstr>
      </vt:variant>
      <vt:variant>
        <vt:lpwstr/>
      </vt:variant>
      <vt:variant>
        <vt:i4>7864365</vt:i4>
      </vt:variant>
      <vt:variant>
        <vt:i4>114</vt:i4>
      </vt:variant>
      <vt:variant>
        <vt:i4>0</vt:i4>
      </vt:variant>
      <vt:variant>
        <vt:i4>5</vt:i4>
      </vt:variant>
      <vt:variant>
        <vt:lpwstr>https://research.unimelb.edu.au/strengths/advancing-research-2030-excellence-for-impact</vt:lpwstr>
      </vt:variant>
      <vt:variant>
        <vt:lpwstr/>
      </vt:variant>
      <vt:variant>
        <vt:i4>2818048</vt:i4>
      </vt:variant>
      <vt:variant>
        <vt:i4>111</vt:i4>
      </vt:variant>
      <vt:variant>
        <vt:i4>0</vt:i4>
      </vt:variant>
      <vt:variant>
        <vt:i4>5</vt:i4>
      </vt:variant>
      <vt:variant>
        <vt:lpwstr>https://about.unimelb.edu.au/__data/assets/pdf_file/0032/385178/SWBMH-Framework-Full-Document.pdf</vt:lpwstr>
      </vt:variant>
      <vt:variant>
        <vt:lpwstr/>
      </vt:variant>
      <vt:variant>
        <vt:i4>7536692</vt:i4>
      </vt:variant>
      <vt:variant>
        <vt:i4>108</vt:i4>
      </vt:variant>
      <vt:variant>
        <vt:i4>0</vt:i4>
      </vt:variant>
      <vt:variant>
        <vt:i4>5</vt:i4>
      </vt:variant>
      <vt:variant>
        <vt:lpwstr>https://students.unimelb.edu.au/student-support/support-for-students-policy</vt:lpwstr>
      </vt:variant>
      <vt:variant>
        <vt:lpwstr>non-academic</vt:lpwstr>
      </vt:variant>
      <vt:variant>
        <vt:i4>3211316</vt:i4>
      </vt:variant>
      <vt:variant>
        <vt:i4>105</vt:i4>
      </vt:variant>
      <vt:variant>
        <vt:i4>0</vt:i4>
      </vt:variant>
      <vt:variant>
        <vt:i4>5</vt:i4>
      </vt:variant>
      <vt:variant>
        <vt:lpwstr>https://students.unimelb.edu.au/student-support/support-for-students-policy</vt:lpwstr>
      </vt:variant>
      <vt:variant>
        <vt:lpwstr>academic</vt:lpwstr>
      </vt:variant>
      <vt:variant>
        <vt:i4>7536678</vt:i4>
      </vt:variant>
      <vt:variant>
        <vt:i4>102</vt:i4>
      </vt:variant>
      <vt:variant>
        <vt:i4>0</vt:i4>
      </vt:variant>
      <vt:variant>
        <vt:i4>5</vt:i4>
      </vt:variant>
      <vt:variant>
        <vt:lpwstr>https://students.unimelb.edu.au/student-support/student-equity-and-disability-services/registration-for-ongoing-support</vt:lpwstr>
      </vt:variant>
      <vt:variant>
        <vt:lpwstr/>
      </vt:variant>
      <vt:variant>
        <vt:i4>3670072</vt:i4>
      </vt:variant>
      <vt:variant>
        <vt:i4>99</vt:i4>
      </vt:variant>
      <vt:variant>
        <vt:i4>0</vt:i4>
      </vt:variant>
      <vt:variant>
        <vt:i4>5</vt:i4>
      </vt:variant>
      <vt:variant>
        <vt:lpwstr>https://students.unimelb.edu.au/student-support/support-for-students-policy</vt:lpwstr>
      </vt:variant>
      <vt:variant>
        <vt:lpwstr/>
      </vt:variant>
      <vt:variant>
        <vt:i4>3539003</vt:i4>
      </vt:variant>
      <vt:variant>
        <vt:i4>96</vt:i4>
      </vt:variant>
      <vt:variant>
        <vt:i4>0</vt:i4>
      </vt:variant>
      <vt:variant>
        <vt:i4>5</vt:i4>
      </vt:variant>
      <vt:variant>
        <vt:lpwstr>https://murrupbarak.unimelb.edu.au/</vt:lpwstr>
      </vt:variant>
      <vt:variant>
        <vt:lpwstr/>
      </vt:variant>
      <vt:variant>
        <vt:i4>8192124</vt:i4>
      </vt:variant>
      <vt:variant>
        <vt:i4>93</vt:i4>
      </vt:variant>
      <vt:variant>
        <vt:i4>0</vt:i4>
      </vt:variant>
      <vt:variant>
        <vt:i4>5</vt:i4>
      </vt:variant>
      <vt:variant>
        <vt:lpwstr>https://students.unimelb.edu.au/student-support</vt:lpwstr>
      </vt:variant>
      <vt:variant>
        <vt:lpwstr/>
      </vt:variant>
      <vt:variant>
        <vt:i4>3670105</vt:i4>
      </vt:variant>
      <vt:variant>
        <vt:i4>90</vt:i4>
      </vt:variant>
      <vt:variant>
        <vt:i4>0</vt:i4>
      </vt:variant>
      <vt:variant>
        <vt:i4>5</vt:i4>
      </vt:variant>
      <vt:variant>
        <vt:lpwstr>https://about.unimelb.edu.au/__data/assets/pdf_file/0027/409707/0a3296a5292dd06909bcf1d950a27152fcec95e9.pdf</vt:lpwstr>
      </vt:variant>
      <vt:variant>
        <vt:lpwstr/>
      </vt:variant>
      <vt:variant>
        <vt:i4>6488160</vt:i4>
      </vt:variant>
      <vt:variant>
        <vt:i4>87</vt:i4>
      </vt:variant>
      <vt:variant>
        <vt:i4>0</vt:i4>
      </vt:variant>
      <vt:variant>
        <vt:i4>5</vt:i4>
      </vt:variant>
      <vt:variant>
        <vt:lpwstr>https://study.unimelb.edu.au/study-with-us/the-melbourne-curriculum</vt:lpwstr>
      </vt:variant>
      <vt:variant>
        <vt:lpwstr/>
      </vt:variant>
      <vt:variant>
        <vt:i4>5832786</vt:i4>
      </vt:variant>
      <vt:variant>
        <vt:i4>84</vt:i4>
      </vt:variant>
      <vt:variant>
        <vt:i4>0</vt:i4>
      </vt:variant>
      <vt:variant>
        <vt:i4>5</vt:i4>
      </vt:variant>
      <vt:variant>
        <vt:lpwstr>https://about.unimelb.edu.au/education-melbourne</vt:lpwstr>
      </vt:variant>
      <vt:variant>
        <vt:lpwstr/>
      </vt:variant>
      <vt:variant>
        <vt:i4>3342435</vt:i4>
      </vt:variant>
      <vt:variant>
        <vt:i4>81</vt:i4>
      </vt:variant>
      <vt:variant>
        <vt:i4>0</vt:i4>
      </vt:variant>
      <vt:variant>
        <vt:i4>5</vt:i4>
      </vt:variant>
      <vt:variant>
        <vt:lpwstr>https://melbourne-cshe.unimelb.edu.au/resources/a-framework-for-educational-excellence</vt:lpwstr>
      </vt:variant>
      <vt:variant>
        <vt:lpwstr/>
      </vt:variant>
      <vt:variant>
        <vt:i4>3145828</vt:i4>
      </vt:variant>
      <vt:variant>
        <vt:i4>78</vt:i4>
      </vt:variant>
      <vt:variant>
        <vt:i4>0</vt:i4>
      </vt:variant>
      <vt:variant>
        <vt:i4>5</vt:i4>
      </vt:variant>
      <vt:variant>
        <vt:lpwstr>https://about.unimelb.edu.au/strategy/advancing-students-and-education</vt:lpwstr>
      </vt:variant>
      <vt:variant>
        <vt:lpwstr/>
      </vt:variant>
      <vt:variant>
        <vt:i4>7733289</vt:i4>
      </vt:variant>
      <vt:variant>
        <vt:i4>75</vt:i4>
      </vt:variant>
      <vt:variant>
        <vt:i4>0</vt:i4>
      </vt:variant>
      <vt:variant>
        <vt:i4>5</vt:i4>
      </vt:variant>
      <vt:variant>
        <vt:lpwstr>https://about.unimelb.edu.au/diversity-inclusion/disability-inclusion-action-plan-2023-2026</vt:lpwstr>
      </vt:variant>
      <vt:variant>
        <vt:lpwstr/>
      </vt:variant>
      <vt:variant>
        <vt:i4>7798809</vt:i4>
      </vt:variant>
      <vt:variant>
        <vt:i4>72</vt:i4>
      </vt:variant>
      <vt:variant>
        <vt:i4>0</vt:i4>
      </vt:variant>
      <vt:variant>
        <vt:i4>5</vt:i4>
      </vt:variant>
      <vt:variant>
        <vt:lpwstr>https://about.unimelb.edu.au/__data/assets/pdf_file/0021/284250/diversity-inclusion-strategy.pdf</vt:lpwstr>
      </vt:variant>
      <vt:variant>
        <vt:lpwstr/>
      </vt:variant>
      <vt:variant>
        <vt:i4>2097274</vt:i4>
      </vt:variant>
      <vt:variant>
        <vt:i4>69</vt:i4>
      </vt:variant>
      <vt:variant>
        <vt:i4>0</vt:i4>
      </vt:variant>
      <vt:variant>
        <vt:i4>5</vt:i4>
      </vt:variant>
      <vt:variant>
        <vt:lpwstr>https://study.unimelb.edu.au/connect-with-us/information-for-schools/Australia-and-New-Zealand/school-outreach-programs</vt:lpwstr>
      </vt:variant>
      <vt:variant>
        <vt:lpwstr/>
      </vt:variant>
      <vt:variant>
        <vt:i4>8061034</vt:i4>
      </vt:variant>
      <vt:variant>
        <vt:i4>66</vt:i4>
      </vt:variant>
      <vt:variant>
        <vt:i4>0</vt:i4>
      </vt:variant>
      <vt:variant>
        <vt:i4>5</vt:i4>
      </vt:variant>
      <vt:variant>
        <vt:lpwstr>https://study.unimelb.edu.au/how-to-apply/graduate-coursework-study/grade-conversion-eligibility-calculator</vt:lpwstr>
      </vt:variant>
      <vt:variant>
        <vt:lpwstr/>
      </vt:variant>
      <vt:variant>
        <vt:i4>786524</vt:i4>
      </vt:variant>
      <vt:variant>
        <vt:i4>63</vt:i4>
      </vt:variant>
      <vt:variant>
        <vt:i4>0</vt:i4>
      </vt:variant>
      <vt:variant>
        <vt:i4>5</vt:i4>
      </vt:variant>
      <vt:variant>
        <vt:lpwstr>https://study.unimelb.edu.au/how-to-apply/special-entry-access-schemes/access-melbourne-undergraduate/access-melbourne-eligibility/eligibility-calculator</vt:lpwstr>
      </vt:variant>
      <vt:variant>
        <vt:lpwstr/>
      </vt:variant>
      <vt:variant>
        <vt:i4>5963852</vt:i4>
      </vt:variant>
      <vt:variant>
        <vt:i4>60</vt:i4>
      </vt:variant>
      <vt:variant>
        <vt:i4>0</vt:i4>
      </vt:variant>
      <vt:variant>
        <vt:i4>5</vt:i4>
      </vt:variant>
      <vt:variant>
        <vt:lpwstr>https://study.unimelb.edu.au/how-to-apply/special-entry-access-schemes/access-melbourne-undergraduate</vt:lpwstr>
      </vt:variant>
      <vt:variant>
        <vt:lpwstr/>
      </vt:variant>
      <vt:variant>
        <vt:i4>4980740</vt:i4>
      </vt:variant>
      <vt:variant>
        <vt:i4>57</vt:i4>
      </vt:variant>
      <vt:variant>
        <vt:i4>0</vt:i4>
      </vt:variant>
      <vt:variant>
        <vt:i4>5</vt:i4>
      </vt:variant>
      <vt:variant>
        <vt:lpwstr>https://murrupbarak.unimelb.edu.au/home/student-experience/indigenous-tutorial-access-scheme</vt:lpwstr>
      </vt:variant>
      <vt:variant>
        <vt:lpwstr/>
      </vt:variant>
      <vt:variant>
        <vt:i4>6881312</vt:i4>
      </vt:variant>
      <vt:variant>
        <vt:i4>54</vt:i4>
      </vt:variant>
      <vt:variant>
        <vt:i4>0</vt:i4>
      </vt:variant>
      <vt:variant>
        <vt:i4>5</vt:i4>
      </vt:variant>
      <vt:variant>
        <vt:lpwstr>https://www.unimelb.edu.au/indigenous/murmuk-djerring/truth-telling-and-justice</vt:lpwstr>
      </vt:variant>
      <vt:variant>
        <vt:lpwstr/>
      </vt:variant>
      <vt:variant>
        <vt:i4>6946915</vt:i4>
      </vt:variant>
      <vt:variant>
        <vt:i4>51</vt:i4>
      </vt:variant>
      <vt:variant>
        <vt:i4>0</vt:i4>
      </vt:variant>
      <vt:variant>
        <vt:i4>5</vt:i4>
      </vt:variant>
      <vt:variant>
        <vt:lpwstr>https://poche.mdhs.unimelb.edu.au/</vt:lpwstr>
      </vt:variant>
      <vt:variant>
        <vt:lpwstr/>
      </vt:variant>
      <vt:variant>
        <vt:i4>1572892</vt:i4>
      </vt:variant>
      <vt:variant>
        <vt:i4>48</vt:i4>
      </vt:variant>
      <vt:variant>
        <vt:i4>0</vt:i4>
      </vt:variant>
      <vt:variant>
        <vt:i4>5</vt:i4>
      </vt:variant>
      <vt:variant>
        <vt:lpwstr>https://finearts-music.unimelb.edu.au/about-us/wilin</vt:lpwstr>
      </vt:variant>
      <vt:variant>
        <vt:lpwstr/>
      </vt:variant>
      <vt:variant>
        <vt:i4>3539003</vt:i4>
      </vt:variant>
      <vt:variant>
        <vt:i4>45</vt:i4>
      </vt:variant>
      <vt:variant>
        <vt:i4>0</vt:i4>
      </vt:variant>
      <vt:variant>
        <vt:i4>5</vt:i4>
      </vt:variant>
      <vt:variant>
        <vt:lpwstr>https://murrupbarak.unimelb.edu.au/</vt:lpwstr>
      </vt:variant>
      <vt:variant>
        <vt:lpwstr/>
      </vt:variant>
      <vt:variant>
        <vt:i4>5046337</vt:i4>
      </vt:variant>
      <vt:variant>
        <vt:i4>42</vt:i4>
      </vt:variant>
      <vt:variant>
        <vt:i4>0</vt:i4>
      </vt:variant>
      <vt:variant>
        <vt:i4>5</vt:i4>
      </vt:variant>
      <vt:variant>
        <vt:lpwstr>https://www.unimelb.edu.au/indigenous/governance/indigenous-strategies-and-reports/documents/indigenous-student-plan-20232027</vt:lpwstr>
      </vt:variant>
      <vt:variant>
        <vt:lpwstr/>
      </vt:variant>
      <vt:variant>
        <vt:i4>7536682</vt:i4>
      </vt:variant>
      <vt:variant>
        <vt:i4>39</vt:i4>
      </vt:variant>
      <vt:variant>
        <vt:i4>0</vt:i4>
      </vt:variant>
      <vt:variant>
        <vt:i4>5</vt:i4>
      </vt:variant>
      <vt:variant>
        <vt:lpwstr>https://about.unimelb.edu.au/reconciliation/murmuk-djerring</vt:lpwstr>
      </vt:variant>
      <vt:variant>
        <vt:lpwstr/>
      </vt:variant>
      <vt:variant>
        <vt:i4>131084</vt:i4>
      </vt:variant>
      <vt:variant>
        <vt:i4>36</vt:i4>
      </vt:variant>
      <vt:variant>
        <vt:i4>0</vt:i4>
      </vt:variant>
      <vt:variant>
        <vt:i4>5</vt:i4>
      </vt:variant>
      <vt:variant>
        <vt:lpwstr>https://scholarships.unimelb.edu.au/about-scholarships/narrm-scholarship</vt:lpwstr>
      </vt:variant>
      <vt:variant>
        <vt:lpwstr/>
      </vt:variant>
      <vt:variant>
        <vt:i4>3145828</vt:i4>
      </vt:variant>
      <vt:variant>
        <vt:i4>33</vt:i4>
      </vt:variant>
      <vt:variant>
        <vt:i4>0</vt:i4>
      </vt:variant>
      <vt:variant>
        <vt:i4>5</vt:i4>
      </vt:variant>
      <vt:variant>
        <vt:lpwstr>https://about.unimelb.edu.au/strategy/advancing-students-and-education</vt:lpwstr>
      </vt:variant>
      <vt:variant>
        <vt:lpwstr/>
      </vt:variant>
      <vt:variant>
        <vt:i4>7405669</vt:i4>
      </vt:variant>
      <vt:variant>
        <vt:i4>30</vt:i4>
      </vt:variant>
      <vt:variant>
        <vt:i4>0</vt:i4>
      </vt:variant>
      <vt:variant>
        <vt:i4>5</vt:i4>
      </vt:variant>
      <vt:variant>
        <vt:lpwstr>https://policy.unimelb.edu.au/MPF1342/</vt:lpwstr>
      </vt:variant>
      <vt:variant>
        <vt:lpwstr/>
      </vt:variant>
      <vt:variant>
        <vt:i4>7798882</vt:i4>
      </vt:variant>
      <vt:variant>
        <vt:i4>27</vt:i4>
      </vt:variant>
      <vt:variant>
        <vt:i4>0</vt:i4>
      </vt:variant>
      <vt:variant>
        <vt:i4>5</vt:i4>
      </vt:variant>
      <vt:variant>
        <vt:lpwstr>https://policy.unimelb.edu.au/MPF1224/</vt:lpwstr>
      </vt:variant>
      <vt:variant>
        <vt:lpwstr/>
      </vt:variant>
      <vt:variant>
        <vt:i4>4521999</vt:i4>
      </vt:variant>
      <vt:variant>
        <vt:i4>24</vt:i4>
      </vt:variant>
      <vt:variant>
        <vt:i4>0</vt:i4>
      </vt:variant>
      <vt:variant>
        <vt:i4>5</vt:i4>
      </vt:variant>
      <vt:variant>
        <vt:lpwstr>https://www.unimelb.edu.au/cybersecurity</vt:lpwstr>
      </vt:variant>
      <vt:variant>
        <vt:lpwstr/>
      </vt:variant>
      <vt:variant>
        <vt:i4>2097209</vt:i4>
      </vt:variant>
      <vt:variant>
        <vt:i4>21</vt:i4>
      </vt:variant>
      <vt:variant>
        <vt:i4>0</vt:i4>
      </vt:variant>
      <vt:variant>
        <vt:i4>5</vt:i4>
      </vt:variant>
      <vt:variant>
        <vt:lpwstr>https://about.unimelb.edu.au/diversity-inclusion/lgbtiqa-inclusion</vt:lpwstr>
      </vt:variant>
      <vt:variant>
        <vt:lpwstr/>
      </vt:variant>
      <vt:variant>
        <vt:i4>15</vt:i4>
      </vt:variant>
      <vt:variant>
        <vt:i4>18</vt:i4>
      </vt:variant>
      <vt:variant>
        <vt:i4>0</vt:i4>
      </vt:variant>
      <vt:variant>
        <vt:i4>5</vt:i4>
      </vt:variant>
      <vt:variant>
        <vt:lpwstr>https://about.unimelb.edu.au/diversity-inclusion/disability-inclusion</vt:lpwstr>
      </vt:variant>
      <vt:variant>
        <vt:lpwstr/>
      </vt:variant>
      <vt:variant>
        <vt:i4>196621</vt:i4>
      </vt:variant>
      <vt:variant>
        <vt:i4>15</vt:i4>
      </vt:variant>
      <vt:variant>
        <vt:i4>0</vt:i4>
      </vt:variant>
      <vt:variant>
        <vt:i4>5</vt:i4>
      </vt:variant>
      <vt:variant>
        <vt:lpwstr>https://about.unimelb.edu.au/diversity-inclusion/anti-racism</vt:lpwstr>
      </vt:variant>
      <vt:variant>
        <vt:lpwstr/>
      </vt:variant>
      <vt:variant>
        <vt:i4>8257663</vt:i4>
      </vt:variant>
      <vt:variant>
        <vt:i4>12</vt:i4>
      </vt:variant>
      <vt:variant>
        <vt:i4>0</vt:i4>
      </vt:variant>
      <vt:variant>
        <vt:i4>5</vt:i4>
      </vt:variant>
      <vt:variant>
        <vt:lpwstr>https://about.unimelb.edu.au/diversity-inclusion/gender-equity</vt:lpwstr>
      </vt:variant>
      <vt:variant>
        <vt:lpwstr/>
      </vt:variant>
      <vt:variant>
        <vt:i4>6160455</vt:i4>
      </vt:variant>
      <vt:variant>
        <vt:i4>9</vt:i4>
      </vt:variant>
      <vt:variant>
        <vt:i4>0</vt:i4>
      </vt:variant>
      <vt:variant>
        <vt:i4>5</vt:i4>
      </vt:variant>
      <vt:variant>
        <vt:lpwstr>https://about.unimelb.edu.au/diversity-inclusion</vt:lpwstr>
      </vt:variant>
      <vt:variant>
        <vt:lpwstr/>
      </vt:variant>
      <vt:variant>
        <vt:i4>6488160</vt:i4>
      </vt:variant>
      <vt:variant>
        <vt:i4>6</vt:i4>
      </vt:variant>
      <vt:variant>
        <vt:i4>0</vt:i4>
      </vt:variant>
      <vt:variant>
        <vt:i4>5</vt:i4>
      </vt:variant>
      <vt:variant>
        <vt:lpwstr>https://study.unimelb.edu.au/study-with-us/the-melbourne-curriculum</vt:lpwstr>
      </vt:variant>
      <vt:variant>
        <vt:lpwstr/>
      </vt:variant>
      <vt:variant>
        <vt:i4>6619188</vt:i4>
      </vt:variant>
      <vt:variant>
        <vt:i4>3</vt:i4>
      </vt:variant>
      <vt:variant>
        <vt:i4>0</vt:i4>
      </vt:variant>
      <vt:variant>
        <vt:i4>5</vt:i4>
      </vt:variant>
      <vt:variant>
        <vt:lpwstr>https://about.unimelb.edu.au/strategy/supporting-strategies</vt:lpwstr>
      </vt:variant>
      <vt:variant>
        <vt:lpwstr/>
      </vt:variant>
      <vt:variant>
        <vt:i4>917553</vt:i4>
      </vt:variant>
      <vt:variant>
        <vt:i4>0</vt:i4>
      </vt:variant>
      <vt:variant>
        <vt:i4>0</vt:i4>
      </vt:variant>
      <vt:variant>
        <vt:i4>5</vt:i4>
      </vt:variant>
      <vt:variant>
        <vt:lpwstr>https://about.unimelb.edu.au/__data/assets/pdf_file/0023/132629/Advancing-Melbourne.pdf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2025-12-01T05:29:00Z</cp:lastPrinted>
  <dcterms:created xsi:type="dcterms:W3CDTF">2025-11-23T22:55:00Z</dcterms:created>
  <dcterms:modified xsi:type="dcterms:W3CDTF">2025-12-17T04:41:00Z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