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4C691E8" w:rsidR="00107DD5" w:rsidRDefault="00221D8F" w:rsidP="002218BE">
      <w:pPr>
        <w:widowControl w:val="0"/>
      </w:pPr>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2218BE">
      <w:pPr>
        <w:pStyle w:val="Heading1"/>
        <w:keepNext w:val="0"/>
        <w:keepLines w:val="0"/>
        <w:widowControl w:val="0"/>
        <w:spacing w:before="480"/>
        <w:rPr>
          <w:sz w:val="22"/>
          <w:szCs w:val="22"/>
        </w:rPr>
      </w:pPr>
    </w:p>
    <w:tbl>
      <w:tblPr>
        <w:tblStyle w:val="TableGrid"/>
        <w:tblW w:w="5001" w:type="pct"/>
        <w:tblLook w:val="01E0" w:firstRow="1" w:lastRow="1" w:firstColumn="1" w:lastColumn="1" w:noHBand="0" w:noVBand="0"/>
      </w:tblPr>
      <w:tblGrid>
        <w:gridCol w:w="9018"/>
      </w:tblGrid>
      <w:tr w:rsidR="001B109C" w:rsidRPr="00E41388" w14:paraId="3BCD4E03" w14:textId="77777777" w:rsidTr="003D76C1">
        <w:trPr>
          <w:cantSplit/>
          <w:trHeight w:val="1231"/>
        </w:trPr>
        <w:tc>
          <w:tcPr>
            <w:tcW w:w="5000" w:type="pct"/>
            <w:tcBorders>
              <w:bottom w:val="single" w:sz="4" w:space="0" w:color="auto"/>
            </w:tcBorders>
          </w:tcPr>
          <w:p w14:paraId="2E3211D4" w14:textId="77777777" w:rsidR="003D76C1" w:rsidRDefault="001B109C" w:rsidP="003D76C1">
            <w:pPr>
              <w:pStyle w:val="Heading4"/>
              <w:keepNext w:val="0"/>
              <w:keepLines w:val="0"/>
              <w:widowControl w:val="0"/>
            </w:pPr>
            <w:r w:rsidRPr="00F34B1E">
              <w:t>202</w:t>
            </w:r>
            <w:r w:rsidR="00834034">
              <w:t>5</w:t>
            </w:r>
            <w:r w:rsidRPr="00F34B1E">
              <w:t xml:space="preserve"> Mission</w:t>
            </w:r>
            <w:r>
              <w:t>-</w:t>
            </w:r>
            <w:r w:rsidRPr="00F34B1E">
              <w:t xml:space="preserve">Based Compact Between the Commonwealth of Australia and </w:t>
            </w:r>
            <w:r w:rsidR="00A76B69">
              <w:t>The University of Adelaide</w:t>
            </w:r>
          </w:p>
          <w:p w14:paraId="26FC6577" w14:textId="659A9686" w:rsidR="003D76C1" w:rsidRPr="003D76C1" w:rsidRDefault="003D76C1" w:rsidP="003D76C1">
            <w:pPr>
              <w:widowControl w:val="0"/>
            </w:pPr>
          </w:p>
        </w:tc>
      </w:tr>
      <w:tr w:rsidR="001B109C" w:rsidRPr="00E41388" w14:paraId="2126955C" w14:textId="77777777" w:rsidTr="00E35741">
        <w:trPr>
          <w:cantSplit/>
        </w:trPr>
        <w:tc>
          <w:tcPr>
            <w:tcW w:w="5000" w:type="pct"/>
          </w:tcPr>
          <w:p w14:paraId="4E36A361" w14:textId="77777777" w:rsidR="001B109C" w:rsidRPr="00F30BFA" w:rsidRDefault="001B109C" w:rsidP="003D76C1">
            <w:pPr>
              <w:pStyle w:val="Heading4"/>
              <w:keepNext w:val="0"/>
              <w:keepLines w:val="0"/>
              <w:widowControl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003C6695">
        <w:trPr>
          <w:cantSplit/>
          <w:trHeight w:val="2159"/>
        </w:trPr>
        <w:tc>
          <w:tcPr>
            <w:tcW w:w="5000" w:type="pct"/>
            <w:tcBorders>
              <w:bottom w:val="single" w:sz="4" w:space="0" w:color="auto"/>
            </w:tcBorders>
          </w:tcPr>
          <w:p w14:paraId="603CAB15" w14:textId="4C9B7BA9" w:rsidR="001B109C" w:rsidRPr="00E169EE" w:rsidRDefault="001B109C" w:rsidP="003D76C1">
            <w:pPr>
              <w:pStyle w:val="NormalIndent"/>
              <w:widowControl w:val="0"/>
              <w:ind w:left="0"/>
              <w:rPr>
                <w:rFonts w:asciiTheme="minorHAnsi" w:hAnsiTheme="minorHAnsi" w:cstheme="minorHAnsi"/>
                <w:szCs w:val="22"/>
              </w:rPr>
            </w:pPr>
            <w:r w:rsidRPr="00E169EE">
              <w:rPr>
                <w:rFonts w:asciiTheme="minorHAnsi" w:hAnsiTheme="minorHAnsi" w:cstheme="minorHAnsi"/>
                <w:szCs w:val="22"/>
              </w:rPr>
              <w:t xml:space="preserve">This compact is an agreement between the Commonwealth and the University. </w:t>
            </w:r>
            <w:proofErr w:type="gramStart"/>
            <w:r w:rsidRPr="00E169EE">
              <w:rPr>
                <w:rFonts w:asciiTheme="minorHAnsi" w:hAnsiTheme="minorHAnsi" w:cstheme="minorHAnsi"/>
                <w:szCs w:val="22"/>
              </w:rPr>
              <w:t>Entering into</w:t>
            </w:r>
            <w:proofErr w:type="gramEnd"/>
            <w:r w:rsidRPr="00E169EE">
              <w:rPr>
                <w:rFonts w:asciiTheme="minorHAnsi" w:hAnsiTheme="minorHAnsi" w:cstheme="minorHAnsi"/>
                <w:szCs w:val="22"/>
              </w:rPr>
              <w:t xml:space="preserve"> a </w:t>
            </w:r>
            <w:r w:rsidR="001E3BF1">
              <w:rPr>
                <w:rFonts w:asciiTheme="minorHAnsi" w:hAnsiTheme="minorHAnsi" w:cstheme="minorHAnsi"/>
                <w:szCs w:val="22"/>
              </w:rPr>
              <w:t>C</w:t>
            </w:r>
            <w:r w:rsidRPr="00E169EE">
              <w:rPr>
                <w:rFonts w:asciiTheme="minorHAnsi" w:hAnsiTheme="minorHAnsi" w:cstheme="minorHAnsi"/>
                <w:szCs w:val="22"/>
              </w:rPr>
              <w:t xml:space="preserve">ompact is one of the quality and accountability requirements, which a higher education provider must meet under the </w:t>
            </w:r>
            <w:r w:rsidRPr="00E169EE">
              <w:rPr>
                <w:rStyle w:val="Emphasis"/>
                <w:rFonts w:asciiTheme="minorHAnsi" w:hAnsiTheme="minorHAnsi" w:cstheme="minorHAnsi"/>
                <w:szCs w:val="22"/>
              </w:rPr>
              <w:t>Higher Education Support Act</w:t>
            </w:r>
            <w:r w:rsidRPr="00E169EE">
              <w:rPr>
                <w:rFonts w:asciiTheme="minorHAnsi" w:hAnsiTheme="minorHAnsi" w:cstheme="minorHAnsi"/>
                <w:szCs w:val="22"/>
              </w:rPr>
              <w:t xml:space="preserve"> 2003 (HESA) as a condition of receiving a grant. Specifically, subsection 19-110(1) of HESA requires that Table</w:t>
            </w:r>
            <w:r>
              <w:rPr>
                <w:rFonts w:asciiTheme="minorHAnsi" w:hAnsiTheme="minorHAnsi" w:cstheme="minorHAnsi"/>
                <w:szCs w:val="22"/>
              </w:rPr>
              <w:t> </w:t>
            </w:r>
            <w:r w:rsidRPr="00E169EE">
              <w:rPr>
                <w:rFonts w:asciiTheme="minorHAnsi" w:hAnsiTheme="minorHAnsi" w:cstheme="minorHAnsi"/>
                <w:szCs w:val="22"/>
              </w:rPr>
              <w:t>A and Table B</w:t>
            </w:r>
            <w:r>
              <w:rPr>
                <w:rFonts w:asciiTheme="minorHAnsi" w:hAnsiTheme="minorHAnsi" w:cstheme="minorHAnsi"/>
                <w:szCs w:val="22"/>
              </w:rPr>
              <w:t> </w:t>
            </w:r>
            <w:r w:rsidRPr="00E169EE">
              <w:rPr>
                <w:rFonts w:asciiTheme="minorHAnsi" w:hAnsiTheme="minorHAnsi" w:cstheme="minorHAnsi"/>
                <w:szCs w:val="22"/>
              </w:rPr>
              <w:t xml:space="preserve">providers must, in respect of each year for which a grant is paid to the provider under HESA, </w:t>
            </w:r>
            <w:proofErr w:type="gramStart"/>
            <w:r w:rsidRPr="00E169EE">
              <w:rPr>
                <w:rFonts w:asciiTheme="minorHAnsi" w:hAnsiTheme="minorHAnsi" w:cstheme="minorHAnsi"/>
                <w:szCs w:val="22"/>
              </w:rPr>
              <w:t>enter into</w:t>
            </w:r>
            <w:proofErr w:type="gramEnd"/>
            <w:r w:rsidRPr="00E169EE">
              <w:rPr>
                <w:rFonts w:asciiTheme="minorHAnsi" w:hAnsiTheme="minorHAnsi" w:cstheme="minorHAnsi"/>
                <w:szCs w:val="22"/>
              </w:rPr>
              <w:t xml:space="preserve"> a </w:t>
            </w:r>
            <w:r w:rsidR="001E3BF1">
              <w:rPr>
                <w:rFonts w:asciiTheme="minorHAnsi" w:hAnsiTheme="minorHAnsi" w:cstheme="minorHAnsi"/>
                <w:szCs w:val="22"/>
              </w:rPr>
              <w:t>M</w:t>
            </w:r>
            <w:r w:rsidRPr="00E169EE">
              <w:rPr>
                <w:rFonts w:asciiTheme="minorHAnsi" w:hAnsiTheme="minorHAnsi" w:cstheme="minorHAnsi"/>
                <w:szCs w:val="22"/>
              </w:rPr>
              <w:t>ission</w:t>
            </w:r>
            <w:r>
              <w:rPr>
                <w:rFonts w:asciiTheme="minorHAnsi" w:hAnsiTheme="minorHAnsi" w:cstheme="minorHAnsi"/>
                <w:szCs w:val="22"/>
              </w:rPr>
              <w:noBreakHyphen/>
            </w:r>
            <w:r w:rsidR="001E3BF1">
              <w:rPr>
                <w:rFonts w:asciiTheme="minorHAnsi" w:hAnsiTheme="minorHAnsi" w:cstheme="minorHAnsi"/>
                <w:szCs w:val="22"/>
              </w:rPr>
              <w:t>B</w:t>
            </w:r>
            <w:r w:rsidRPr="00E169EE">
              <w:rPr>
                <w:rFonts w:asciiTheme="minorHAnsi" w:hAnsiTheme="minorHAnsi" w:cstheme="minorHAnsi"/>
                <w:szCs w:val="22"/>
              </w:rPr>
              <w:t xml:space="preserve">ased </w:t>
            </w:r>
            <w:r w:rsidR="001E3BF1">
              <w:rPr>
                <w:rFonts w:asciiTheme="minorHAnsi" w:hAnsiTheme="minorHAnsi" w:cstheme="minorHAnsi"/>
                <w:szCs w:val="22"/>
              </w:rPr>
              <w:t>C</w:t>
            </w:r>
            <w:r w:rsidRPr="00E169EE">
              <w:rPr>
                <w:rFonts w:asciiTheme="minorHAnsi" w:hAnsiTheme="minorHAnsi" w:cstheme="minorHAnsi"/>
                <w:szCs w:val="22"/>
              </w:rPr>
              <w:t>ompact with the Commonwealth for a period that includes that year.</w:t>
            </w:r>
          </w:p>
          <w:p w14:paraId="127C3B78" w14:textId="77777777" w:rsidR="001B109C" w:rsidRPr="00F34B1E" w:rsidRDefault="001B109C" w:rsidP="003D76C1">
            <w:pPr>
              <w:pStyle w:val="NormalIndent"/>
              <w:widowControl w:val="0"/>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00E35741">
        <w:trPr>
          <w:cantSplit/>
        </w:trPr>
        <w:tc>
          <w:tcPr>
            <w:tcW w:w="5000" w:type="pct"/>
          </w:tcPr>
          <w:p w14:paraId="43C124C8" w14:textId="55208677" w:rsidR="001B109C" w:rsidRPr="00E169EE" w:rsidRDefault="00F30BFA" w:rsidP="003D76C1">
            <w:pPr>
              <w:pStyle w:val="Heading4"/>
              <w:keepNext w:val="0"/>
              <w:keepLines w:val="0"/>
              <w:widowControl w:val="0"/>
              <w:spacing w:before="180" w:after="60"/>
            </w:pPr>
            <w:r w:rsidRPr="00F30BFA">
              <w:t>M</w:t>
            </w:r>
            <w:r w:rsidR="001B109C" w:rsidRPr="00F30BFA">
              <w:t xml:space="preserve">ission </w:t>
            </w:r>
            <w:r w:rsidR="0049333E">
              <w:t>and</w:t>
            </w:r>
            <w:r w:rsidR="001B109C" w:rsidRPr="00F30BFA">
              <w:t xml:space="preserve"> </w:t>
            </w:r>
            <w:r>
              <w:t>Strategic Planning</w:t>
            </w:r>
          </w:p>
        </w:tc>
      </w:tr>
      <w:tr w:rsidR="002218BE" w:rsidRPr="00E41388" w14:paraId="41E4333E" w14:textId="77777777" w:rsidTr="00242163">
        <w:trPr>
          <w:trHeight w:val="70"/>
        </w:trPr>
        <w:tc>
          <w:tcPr>
            <w:tcW w:w="5000" w:type="pct"/>
          </w:tcPr>
          <w:p w14:paraId="650746CC" w14:textId="36E2645F" w:rsidR="003D76C1" w:rsidRDefault="003D76C1" w:rsidP="003D76C1">
            <w:pPr>
              <w:pStyle w:val="NormalIndent"/>
              <w:widowControl w:val="0"/>
              <w:spacing w:after="0"/>
              <w:ind w:left="0"/>
              <w:rPr>
                <w:rFonts w:asciiTheme="minorHAnsi" w:hAnsiTheme="minorHAnsi" w:cstheme="minorHAnsi"/>
                <w:color w:val="000000" w:themeColor="text1"/>
                <w:szCs w:val="22"/>
              </w:rPr>
            </w:pPr>
            <w:r w:rsidRPr="003D76C1">
              <w:rPr>
                <w:rFonts w:asciiTheme="minorHAnsi" w:hAnsiTheme="minorHAnsi" w:cstheme="minorHAnsi"/>
                <w:color w:val="000000" w:themeColor="text1"/>
                <w:szCs w:val="22"/>
              </w:rPr>
              <w:t>The University of Adelaide (</w:t>
            </w:r>
            <w:proofErr w:type="spellStart"/>
            <w:r w:rsidRPr="003D76C1">
              <w:rPr>
                <w:rFonts w:asciiTheme="minorHAnsi" w:hAnsiTheme="minorHAnsi" w:cstheme="minorHAnsi"/>
                <w:color w:val="000000" w:themeColor="text1"/>
                <w:szCs w:val="22"/>
              </w:rPr>
              <w:t>UoA</w:t>
            </w:r>
            <w:proofErr w:type="spellEnd"/>
            <w:r w:rsidRPr="003D76C1">
              <w:rPr>
                <w:rFonts w:asciiTheme="minorHAnsi" w:hAnsiTheme="minorHAnsi" w:cstheme="minorHAnsi"/>
                <w:color w:val="000000" w:themeColor="text1"/>
                <w:szCs w:val="22"/>
              </w:rPr>
              <w:t xml:space="preserve">) is focused on its merger with the University of South Australia to form the new Adelaide University.  That notwithstanding, </w:t>
            </w:r>
            <w:proofErr w:type="spellStart"/>
            <w:r w:rsidRPr="003D76C1">
              <w:rPr>
                <w:rFonts w:asciiTheme="minorHAnsi" w:hAnsiTheme="minorHAnsi" w:cstheme="minorHAnsi"/>
                <w:color w:val="000000" w:themeColor="text1"/>
                <w:szCs w:val="22"/>
              </w:rPr>
              <w:t>UoA</w:t>
            </w:r>
            <w:proofErr w:type="spellEnd"/>
            <w:r w:rsidRPr="003D76C1">
              <w:rPr>
                <w:rFonts w:asciiTheme="minorHAnsi" w:hAnsiTheme="minorHAnsi" w:cstheme="minorHAnsi"/>
                <w:color w:val="000000" w:themeColor="text1"/>
                <w:szCs w:val="22"/>
              </w:rPr>
              <w:t xml:space="preserve"> </w:t>
            </w:r>
            <w:r w:rsidR="00182CA7">
              <w:rPr>
                <w:rFonts w:asciiTheme="minorHAnsi" w:hAnsiTheme="minorHAnsi" w:cstheme="minorHAnsi"/>
                <w:color w:val="000000" w:themeColor="text1"/>
                <w:szCs w:val="22"/>
              </w:rPr>
              <w:t xml:space="preserve">remains committed </w:t>
            </w:r>
            <w:r w:rsidRPr="003D76C1">
              <w:rPr>
                <w:rFonts w:asciiTheme="minorHAnsi" w:hAnsiTheme="minorHAnsi" w:cstheme="minorHAnsi"/>
                <w:color w:val="000000" w:themeColor="text1"/>
                <w:szCs w:val="22"/>
              </w:rPr>
              <w:t xml:space="preserve">to deliver highest performing University possible </w:t>
            </w:r>
            <w:r w:rsidR="00182CA7">
              <w:rPr>
                <w:rFonts w:asciiTheme="minorHAnsi" w:hAnsiTheme="minorHAnsi" w:cstheme="minorHAnsi"/>
                <w:color w:val="000000" w:themeColor="text1"/>
                <w:szCs w:val="22"/>
              </w:rPr>
              <w:t xml:space="preserve">into the merger.  This will be done </w:t>
            </w:r>
            <w:r w:rsidRPr="003D76C1">
              <w:rPr>
                <w:rFonts w:asciiTheme="minorHAnsi" w:hAnsiTheme="minorHAnsi" w:cstheme="minorHAnsi"/>
                <w:color w:val="000000" w:themeColor="text1"/>
                <w:szCs w:val="22"/>
              </w:rPr>
              <w:t xml:space="preserve">through the continued execution of the 2024-2025 </w:t>
            </w:r>
            <w:proofErr w:type="spellStart"/>
            <w:r w:rsidRPr="003D76C1">
              <w:rPr>
                <w:rFonts w:asciiTheme="minorHAnsi" w:hAnsiTheme="minorHAnsi" w:cstheme="minorHAnsi"/>
                <w:color w:val="000000" w:themeColor="text1"/>
                <w:szCs w:val="22"/>
              </w:rPr>
              <w:t>UoA</w:t>
            </w:r>
            <w:proofErr w:type="spellEnd"/>
            <w:r w:rsidRPr="003D76C1">
              <w:rPr>
                <w:rFonts w:asciiTheme="minorHAnsi" w:hAnsiTheme="minorHAnsi" w:cstheme="minorHAnsi"/>
                <w:color w:val="000000" w:themeColor="text1"/>
                <w:szCs w:val="22"/>
              </w:rPr>
              <w:t xml:space="preserve"> strategic plan.  As such this is a lightly updated version of our previous submission with additional content regarding the </w:t>
            </w:r>
            <w:proofErr w:type="spellStart"/>
            <w:r>
              <w:rPr>
                <w:rFonts w:asciiTheme="minorHAnsi" w:hAnsiTheme="minorHAnsi" w:cstheme="minorHAnsi"/>
                <w:color w:val="000000" w:themeColor="text1"/>
                <w:szCs w:val="22"/>
              </w:rPr>
              <w:t>UoA’s</w:t>
            </w:r>
            <w:proofErr w:type="spellEnd"/>
            <w:r w:rsidRPr="003D76C1">
              <w:rPr>
                <w:rFonts w:asciiTheme="minorHAnsi" w:hAnsiTheme="minorHAnsi" w:cstheme="minorHAnsi"/>
                <w:color w:val="000000" w:themeColor="text1"/>
                <w:szCs w:val="22"/>
              </w:rPr>
              <w:t xml:space="preserve"> efforts to strengthen research protection and security as per the department</w:t>
            </w:r>
            <w:r w:rsidR="00182CA7">
              <w:rPr>
                <w:rFonts w:asciiTheme="minorHAnsi" w:hAnsiTheme="minorHAnsi" w:cstheme="minorHAnsi"/>
                <w:color w:val="000000" w:themeColor="text1"/>
                <w:szCs w:val="22"/>
              </w:rPr>
              <w:t>’</w:t>
            </w:r>
            <w:r w:rsidRPr="003D76C1">
              <w:rPr>
                <w:rFonts w:asciiTheme="minorHAnsi" w:hAnsiTheme="minorHAnsi" w:cstheme="minorHAnsi"/>
                <w:color w:val="000000" w:themeColor="text1"/>
                <w:szCs w:val="22"/>
              </w:rPr>
              <w:t xml:space="preserve">s feedback </w:t>
            </w:r>
            <w:r w:rsidR="00182CA7">
              <w:rPr>
                <w:rFonts w:asciiTheme="minorHAnsi" w:hAnsiTheme="minorHAnsi" w:cstheme="minorHAnsi"/>
                <w:color w:val="000000" w:themeColor="text1"/>
                <w:szCs w:val="22"/>
              </w:rPr>
              <w:t>on the 2024 Compact</w:t>
            </w:r>
            <w:r w:rsidRPr="003D76C1">
              <w:rPr>
                <w:rFonts w:asciiTheme="minorHAnsi" w:hAnsiTheme="minorHAnsi" w:cstheme="minorHAnsi"/>
                <w:color w:val="000000" w:themeColor="text1"/>
                <w:szCs w:val="22"/>
              </w:rPr>
              <w:t>.</w:t>
            </w:r>
          </w:p>
          <w:p w14:paraId="6A8E9FAC" w14:textId="0A6E34DD" w:rsidR="002218BE" w:rsidRPr="00A76B69" w:rsidRDefault="002218BE" w:rsidP="003D76C1">
            <w:pPr>
              <w:pStyle w:val="NormalIndent"/>
              <w:widowControl w:val="0"/>
              <w:spacing w:after="0"/>
              <w:ind w:left="0"/>
              <w:rPr>
                <w:rFonts w:asciiTheme="minorHAnsi" w:hAnsiTheme="minorHAnsi" w:cstheme="minorHAnsi"/>
                <w:color w:val="000000" w:themeColor="text1"/>
                <w:szCs w:val="22"/>
              </w:rPr>
            </w:pPr>
            <w:proofErr w:type="spellStart"/>
            <w:r w:rsidRPr="00A76B69">
              <w:rPr>
                <w:rFonts w:asciiTheme="minorHAnsi" w:hAnsiTheme="minorHAnsi" w:cstheme="minorHAnsi"/>
                <w:color w:val="000000" w:themeColor="text1"/>
                <w:szCs w:val="22"/>
              </w:rPr>
              <w:t>UoA’s</w:t>
            </w:r>
            <w:proofErr w:type="spellEnd"/>
            <w:r w:rsidRPr="00A76B69">
              <w:rPr>
                <w:rFonts w:asciiTheme="minorHAnsi" w:hAnsiTheme="minorHAnsi" w:cstheme="minorHAnsi"/>
                <w:color w:val="000000" w:themeColor="text1"/>
                <w:szCs w:val="22"/>
              </w:rPr>
              <w:t xml:space="preserve"> vision is to be known as a social, cultural, and academic thought leader—an accessible, responsive, and responsible corporate citizen designing and building a better future for all. </w:t>
            </w:r>
            <w:proofErr w:type="spellStart"/>
            <w:r w:rsidRPr="00A76B69">
              <w:rPr>
                <w:rFonts w:asciiTheme="minorHAnsi" w:hAnsiTheme="minorHAnsi" w:cstheme="minorHAnsi"/>
                <w:color w:val="000000" w:themeColor="text1"/>
                <w:szCs w:val="22"/>
              </w:rPr>
              <w:t>UoA’s</w:t>
            </w:r>
            <w:proofErr w:type="spellEnd"/>
            <w:r w:rsidRPr="00A76B69">
              <w:rPr>
                <w:rFonts w:asciiTheme="minorHAnsi" w:hAnsiTheme="minorHAnsi" w:cstheme="minorHAnsi"/>
                <w:color w:val="000000" w:themeColor="text1"/>
                <w:szCs w:val="22"/>
              </w:rPr>
              <w:t xml:space="preserve"> purpose is to be a catalyst for innovation and knowledge creation; an engine of social advancement; and an active participant in the local, national, and global economies.</w:t>
            </w:r>
          </w:p>
          <w:p w14:paraId="58F0A8E7" w14:textId="77777777" w:rsidR="002218BE" w:rsidRDefault="002218BE" w:rsidP="003D76C1">
            <w:pPr>
              <w:pStyle w:val="NormalIndent"/>
              <w:widowControl w:val="0"/>
              <w:spacing w:after="0"/>
              <w:ind w:left="0"/>
              <w:rPr>
                <w:rFonts w:asciiTheme="minorHAnsi" w:hAnsiTheme="minorHAnsi" w:cstheme="minorHAnsi"/>
                <w:color w:val="000000" w:themeColor="text1"/>
                <w:szCs w:val="22"/>
              </w:rPr>
            </w:pPr>
            <w:r w:rsidRPr="00A76B69">
              <w:rPr>
                <w:rFonts w:asciiTheme="minorHAnsi" w:hAnsiTheme="minorHAnsi" w:cstheme="minorHAnsi"/>
                <w:color w:val="000000" w:themeColor="text1"/>
                <w:szCs w:val="22"/>
              </w:rPr>
              <w:t xml:space="preserve">The next step in </w:t>
            </w:r>
            <w:proofErr w:type="spellStart"/>
            <w:r w:rsidRPr="00A76B69">
              <w:rPr>
                <w:rFonts w:asciiTheme="minorHAnsi" w:hAnsiTheme="minorHAnsi" w:cstheme="minorHAnsi"/>
                <w:color w:val="000000" w:themeColor="text1"/>
                <w:szCs w:val="22"/>
              </w:rPr>
              <w:t>UoA’s</w:t>
            </w:r>
            <w:proofErr w:type="spellEnd"/>
            <w:r w:rsidRPr="00A76B69">
              <w:rPr>
                <w:rFonts w:asciiTheme="minorHAnsi" w:hAnsiTheme="minorHAnsi" w:cstheme="minorHAnsi"/>
                <w:color w:val="000000" w:themeColor="text1"/>
                <w:szCs w:val="22"/>
              </w:rPr>
              <w:t xml:space="preserve"> journey is the convergence of two universities, </w:t>
            </w:r>
            <w:proofErr w:type="spellStart"/>
            <w:r w:rsidRPr="00A76B69">
              <w:rPr>
                <w:rFonts w:asciiTheme="minorHAnsi" w:hAnsiTheme="minorHAnsi" w:cstheme="minorHAnsi"/>
                <w:color w:val="000000" w:themeColor="text1"/>
                <w:szCs w:val="22"/>
              </w:rPr>
              <w:t>UoA</w:t>
            </w:r>
            <w:proofErr w:type="spellEnd"/>
            <w:r w:rsidRPr="00A76B69">
              <w:rPr>
                <w:rFonts w:asciiTheme="minorHAnsi" w:hAnsiTheme="minorHAnsi" w:cstheme="minorHAnsi"/>
                <w:color w:val="000000" w:themeColor="text1"/>
                <w:szCs w:val="22"/>
              </w:rPr>
              <w:t xml:space="preserve"> and the University of South Australia, each with its own remarkable history of achievement, to create Adelaide University. Creating Adelaide University is an opportunity to advance </w:t>
            </w:r>
            <w:proofErr w:type="spellStart"/>
            <w:r w:rsidRPr="00A76B69">
              <w:rPr>
                <w:rFonts w:asciiTheme="minorHAnsi" w:hAnsiTheme="minorHAnsi" w:cstheme="minorHAnsi"/>
                <w:color w:val="000000" w:themeColor="text1"/>
                <w:szCs w:val="22"/>
              </w:rPr>
              <w:t>UoA’s</w:t>
            </w:r>
            <w:proofErr w:type="spellEnd"/>
            <w:r w:rsidRPr="00A76B69">
              <w:rPr>
                <w:rFonts w:asciiTheme="minorHAnsi" w:hAnsiTheme="minorHAnsi" w:cstheme="minorHAnsi"/>
                <w:color w:val="000000" w:themeColor="text1"/>
                <w:szCs w:val="22"/>
              </w:rPr>
              <w:t xml:space="preserve"> ambitions for tertiary education and innovation further and faster than what can be achieved on its own today. During these transition years, </w:t>
            </w:r>
            <w:proofErr w:type="spellStart"/>
            <w:r w:rsidRPr="00A76B69">
              <w:rPr>
                <w:rFonts w:asciiTheme="minorHAnsi" w:hAnsiTheme="minorHAnsi" w:cstheme="minorHAnsi"/>
                <w:color w:val="000000" w:themeColor="text1"/>
                <w:szCs w:val="22"/>
              </w:rPr>
              <w:t>UoA</w:t>
            </w:r>
            <w:proofErr w:type="spellEnd"/>
            <w:r w:rsidRPr="00A76B69">
              <w:rPr>
                <w:rFonts w:asciiTheme="minorHAnsi" w:hAnsiTheme="minorHAnsi" w:cstheme="minorHAnsi"/>
                <w:color w:val="000000" w:themeColor="text1"/>
                <w:szCs w:val="22"/>
              </w:rPr>
              <w:t xml:space="preserve"> will direct its energy to continuing to strengthen the institution for its students, staff, and community, while simultaneously supporting the transition to Adelaide University. </w:t>
            </w:r>
          </w:p>
          <w:p w14:paraId="238C8C59" w14:textId="4C286583" w:rsidR="00167872" w:rsidRPr="00A76B69" w:rsidRDefault="00167872" w:rsidP="003D76C1">
            <w:pPr>
              <w:pStyle w:val="NormalIndent"/>
              <w:widowControl w:val="0"/>
              <w:spacing w:after="0"/>
              <w:ind w:left="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The </w:t>
            </w:r>
            <w:proofErr w:type="spellStart"/>
            <w:r>
              <w:rPr>
                <w:rFonts w:asciiTheme="minorHAnsi" w:hAnsiTheme="minorHAnsi" w:cstheme="minorHAnsi"/>
                <w:color w:val="000000" w:themeColor="text1"/>
                <w:szCs w:val="22"/>
              </w:rPr>
              <w:t>UofA</w:t>
            </w:r>
            <w:proofErr w:type="spellEnd"/>
            <w:r>
              <w:rPr>
                <w:rFonts w:asciiTheme="minorHAnsi" w:hAnsiTheme="minorHAnsi" w:cstheme="minorHAnsi"/>
                <w:color w:val="000000" w:themeColor="text1"/>
                <w:szCs w:val="22"/>
              </w:rPr>
              <w:t xml:space="preserve"> Strategic </w:t>
            </w:r>
            <w:r w:rsidRPr="00A76B69">
              <w:rPr>
                <w:rFonts w:asciiTheme="minorHAnsi" w:hAnsiTheme="minorHAnsi" w:cstheme="minorHAnsi"/>
                <w:color w:val="000000" w:themeColor="text1"/>
                <w:szCs w:val="22"/>
              </w:rPr>
              <w:t xml:space="preserve">Plan 2024-2025 aims to ensure successful transition to and the establishment of Adelaide University with momentum for long-term success whilst ensuring that delivery of key outcomes in education and research </w:t>
            </w:r>
            <w:proofErr w:type="gramStart"/>
            <w:r w:rsidRPr="00A76B69">
              <w:rPr>
                <w:rFonts w:asciiTheme="minorHAnsi" w:hAnsiTheme="minorHAnsi" w:cstheme="minorHAnsi"/>
                <w:color w:val="000000" w:themeColor="text1"/>
                <w:szCs w:val="22"/>
              </w:rPr>
              <w:t>are</w:t>
            </w:r>
            <w:proofErr w:type="gramEnd"/>
            <w:r w:rsidRPr="00A76B69">
              <w:rPr>
                <w:rFonts w:asciiTheme="minorHAnsi" w:hAnsiTheme="minorHAnsi" w:cstheme="minorHAnsi"/>
                <w:color w:val="000000" w:themeColor="text1"/>
                <w:szCs w:val="22"/>
              </w:rPr>
              <w:t xml:space="preserve"> not compromised in the lead into 2026. This will be achieved through strategic objectives aimed at advancing </w:t>
            </w:r>
            <w:proofErr w:type="spellStart"/>
            <w:r w:rsidRPr="00A76B69">
              <w:rPr>
                <w:rFonts w:asciiTheme="minorHAnsi" w:hAnsiTheme="minorHAnsi" w:cstheme="minorHAnsi"/>
                <w:color w:val="000000" w:themeColor="text1"/>
                <w:szCs w:val="22"/>
              </w:rPr>
              <w:t>UoA’s</w:t>
            </w:r>
            <w:proofErr w:type="spellEnd"/>
            <w:r w:rsidRPr="00A76B69">
              <w:rPr>
                <w:rFonts w:asciiTheme="minorHAnsi" w:hAnsiTheme="minorHAnsi" w:cstheme="minorHAnsi"/>
                <w:color w:val="000000" w:themeColor="text1"/>
                <w:szCs w:val="22"/>
              </w:rPr>
              <w:t xml:space="preserve"> mission and addressing national and sector priorities. </w:t>
            </w:r>
          </w:p>
          <w:p w14:paraId="4C48A110" w14:textId="77777777" w:rsidR="00242163" w:rsidRDefault="00242163" w:rsidP="003D76C1">
            <w:pPr>
              <w:pStyle w:val="NormalIndent"/>
              <w:widowControl w:val="0"/>
              <w:spacing w:after="0"/>
              <w:ind w:left="0"/>
              <w:rPr>
                <w:rFonts w:asciiTheme="minorHAnsi" w:hAnsiTheme="minorHAnsi" w:cstheme="minorHAnsi"/>
                <w:color w:val="000000" w:themeColor="text1"/>
                <w:szCs w:val="22"/>
              </w:rPr>
            </w:pPr>
          </w:p>
          <w:p w14:paraId="61F0F16B" w14:textId="72E4BD8C" w:rsidR="00167872" w:rsidRPr="00A76B69" w:rsidRDefault="00167872" w:rsidP="003D76C1">
            <w:pPr>
              <w:pStyle w:val="NormalIndent"/>
              <w:widowControl w:val="0"/>
              <w:spacing w:after="0"/>
              <w:ind w:left="0"/>
              <w:rPr>
                <w:rFonts w:asciiTheme="minorHAnsi" w:hAnsiTheme="minorHAnsi" w:cstheme="minorHAnsi"/>
                <w:color w:val="000000" w:themeColor="text1"/>
                <w:szCs w:val="22"/>
              </w:rPr>
            </w:pPr>
            <w:r w:rsidRPr="00A76B69">
              <w:rPr>
                <w:rFonts w:asciiTheme="minorHAnsi" w:hAnsiTheme="minorHAnsi" w:cstheme="minorHAnsi"/>
                <w:color w:val="000000" w:themeColor="text1"/>
                <w:szCs w:val="22"/>
              </w:rPr>
              <w:lastRenderedPageBreak/>
              <w:t>Two foundation elements underpin the strategic plan:</w:t>
            </w:r>
          </w:p>
          <w:p w14:paraId="5A643AF7" w14:textId="77777777" w:rsidR="003D76C1" w:rsidRDefault="00167872" w:rsidP="003D76C1">
            <w:pPr>
              <w:pStyle w:val="NormalIndent"/>
              <w:widowControl w:val="0"/>
              <w:numPr>
                <w:ilvl w:val="0"/>
                <w:numId w:val="20"/>
              </w:numPr>
              <w:spacing w:before="0" w:after="0"/>
              <w:rPr>
                <w:rFonts w:asciiTheme="minorHAnsi" w:hAnsiTheme="minorHAnsi" w:cstheme="minorHAnsi"/>
                <w:color w:val="000000" w:themeColor="text1"/>
                <w:szCs w:val="22"/>
              </w:rPr>
            </w:pPr>
            <w:r w:rsidRPr="00A76B69">
              <w:rPr>
                <w:rFonts w:asciiTheme="minorHAnsi" w:hAnsiTheme="minorHAnsi" w:cstheme="minorHAnsi"/>
                <w:color w:val="000000" w:themeColor="text1"/>
                <w:szCs w:val="22"/>
              </w:rPr>
              <w:t>A strong culture that values diverse experiences</w:t>
            </w:r>
          </w:p>
          <w:p w14:paraId="04B06351" w14:textId="77777777" w:rsidR="00AB3A47" w:rsidRDefault="00167872" w:rsidP="003D76C1">
            <w:pPr>
              <w:pStyle w:val="NormalIndent"/>
              <w:widowControl w:val="0"/>
              <w:numPr>
                <w:ilvl w:val="0"/>
                <w:numId w:val="20"/>
              </w:numPr>
              <w:spacing w:before="0" w:after="0"/>
              <w:rPr>
                <w:rFonts w:asciiTheme="minorHAnsi" w:hAnsiTheme="minorHAnsi" w:cstheme="minorHAnsi"/>
                <w:color w:val="000000" w:themeColor="text1"/>
                <w:szCs w:val="22"/>
              </w:rPr>
            </w:pPr>
            <w:r w:rsidRPr="003D76C1">
              <w:rPr>
                <w:rFonts w:asciiTheme="minorHAnsi" w:hAnsiTheme="minorHAnsi" w:cstheme="minorHAnsi"/>
                <w:color w:val="000000" w:themeColor="text1"/>
                <w:szCs w:val="22"/>
              </w:rPr>
              <w:t xml:space="preserve">Financial sustainability that supports and delivers </w:t>
            </w:r>
            <w:proofErr w:type="spellStart"/>
            <w:r w:rsidRPr="003D76C1">
              <w:rPr>
                <w:rFonts w:asciiTheme="minorHAnsi" w:hAnsiTheme="minorHAnsi" w:cstheme="minorHAnsi"/>
                <w:color w:val="000000" w:themeColor="text1"/>
                <w:szCs w:val="22"/>
              </w:rPr>
              <w:t>UoA’s</w:t>
            </w:r>
            <w:proofErr w:type="spellEnd"/>
            <w:r w:rsidRPr="003D76C1">
              <w:rPr>
                <w:rFonts w:asciiTheme="minorHAnsi" w:hAnsiTheme="minorHAnsi" w:cstheme="minorHAnsi"/>
                <w:color w:val="000000" w:themeColor="text1"/>
                <w:szCs w:val="22"/>
              </w:rPr>
              <w:t xml:space="preserve"> goals</w:t>
            </w:r>
          </w:p>
          <w:p w14:paraId="71150B4C" w14:textId="77777777" w:rsidR="00242163" w:rsidRPr="00A76B69" w:rsidRDefault="00242163" w:rsidP="00242163">
            <w:pPr>
              <w:pStyle w:val="NormalIndent"/>
              <w:widowControl w:val="0"/>
              <w:spacing w:after="0"/>
              <w:ind w:left="0"/>
              <w:rPr>
                <w:rFonts w:asciiTheme="minorHAnsi" w:hAnsiTheme="minorHAnsi" w:cstheme="minorHAnsi"/>
                <w:color w:val="000000" w:themeColor="text1"/>
                <w:szCs w:val="22"/>
              </w:rPr>
            </w:pPr>
            <w:r w:rsidRPr="00A76B69">
              <w:rPr>
                <w:rFonts w:asciiTheme="minorHAnsi" w:hAnsiTheme="minorHAnsi" w:cstheme="minorHAnsi"/>
                <w:color w:val="000000" w:themeColor="text1"/>
                <w:szCs w:val="22"/>
              </w:rPr>
              <w:t xml:space="preserve">Enabling these elements will allow </w:t>
            </w:r>
            <w:proofErr w:type="spellStart"/>
            <w:r w:rsidRPr="00A76B69">
              <w:rPr>
                <w:rFonts w:asciiTheme="minorHAnsi" w:hAnsiTheme="minorHAnsi" w:cstheme="minorHAnsi"/>
                <w:color w:val="000000" w:themeColor="text1"/>
                <w:szCs w:val="22"/>
              </w:rPr>
              <w:t>UoA</w:t>
            </w:r>
            <w:proofErr w:type="spellEnd"/>
            <w:r w:rsidRPr="00A76B69">
              <w:rPr>
                <w:rFonts w:asciiTheme="minorHAnsi" w:hAnsiTheme="minorHAnsi" w:cstheme="minorHAnsi"/>
                <w:color w:val="000000" w:themeColor="text1"/>
                <w:szCs w:val="22"/>
              </w:rPr>
              <w:t xml:space="preserve"> to deliver on its ambitions through five pillars of excellence: </w:t>
            </w:r>
          </w:p>
          <w:p w14:paraId="4F5F67D5" w14:textId="77777777" w:rsidR="00242163" w:rsidRPr="00A76B69" w:rsidRDefault="00242163" w:rsidP="00242163">
            <w:pPr>
              <w:pStyle w:val="NormalIndent"/>
              <w:widowControl w:val="0"/>
              <w:numPr>
                <w:ilvl w:val="0"/>
                <w:numId w:val="23"/>
              </w:numPr>
              <w:spacing w:before="0" w:after="0"/>
              <w:rPr>
                <w:rFonts w:asciiTheme="minorHAnsi" w:hAnsiTheme="minorHAnsi" w:cstheme="minorHAnsi"/>
                <w:color w:val="000000" w:themeColor="text1"/>
                <w:szCs w:val="22"/>
              </w:rPr>
            </w:pPr>
            <w:r w:rsidRPr="00A76B69">
              <w:rPr>
                <w:rFonts w:asciiTheme="minorHAnsi" w:hAnsiTheme="minorHAnsi" w:cstheme="minorHAnsi"/>
                <w:color w:val="000000" w:themeColor="text1"/>
                <w:szCs w:val="22"/>
              </w:rPr>
              <w:t xml:space="preserve">Connected to the global world of ideas, creating a globally integrated and culturally diverse </w:t>
            </w:r>
            <w:proofErr w:type="gramStart"/>
            <w:r w:rsidRPr="00A76B69">
              <w:rPr>
                <w:rFonts w:asciiTheme="minorHAnsi" w:hAnsiTheme="minorHAnsi" w:cstheme="minorHAnsi"/>
                <w:color w:val="000000" w:themeColor="text1"/>
                <w:szCs w:val="22"/>
              </w:rPr>
              <w:t>community;</w:t>
            </w:r>
            <w:proofErr w:type="gramEnd"/>
          </w:p>
          <w:p w14:paraId="1A1F2EB9" w14:textId="77777777" w:rsidR="00242163" w:rsidRPr="00A76B69" w:rsidRDefault="00242163" w:rsidP="00242163">
            <w:pPr>
              <w:pStyle w:val="NormalIndent"/>
              <w:widowControl w:val="0"/>
              <w:numPr>
                <w:ilvl w:val="0"/>
                <w:numId w:val="23"/>
              </w:numPr>
              <w:spacing w:before="0" w:after="0"/>
              <w:rPr>
                <w:rFonts w:asciiTheme="minorHAnsi" w:hAnsiTheme="minorHAnsi" w:cstheme="minorHAnsi"/>
                <w:color w:val="000000" w:themeColor="text1"/>
                <w:szCs w:val="22"/>
              </w:rPr>
            </w:pPr>
            <w:r w:rsidRPr="00A76B69">
              <w:rPr>
                <w:rFonts w:asciiTheme="minorHAnsi" w:hAnsiTheme="minorHAnsi" w:cstheme="minorHAnsi"/>
                <w:color w:val="000000" w:themeColor="text1"/>
                <w:szCs w:val="22"/>
              </w:rPr>
              <w:t xml:space="preserve">A magnet for talent, attracting leading scholars, learners, partners, and </w:t>
            </w:r>
            <w:proofErr w:type="gramStart"/>
            <w:r w:rsidRPr="00A76B69">
              <w:rPr>
                <w:rFonts w:asciiTheme="minorHAnsi" w:hAnsiTheme="minorHAnsi" w:cstheme="minorHAnsi"/>
                <w:color w:val="000000" w:themeColor="text1"/>
                <w:szCs w:val="22"/>
              </w:rPr>
              <w:t>industries;</w:t>
            </w:r>
            <w:proofErr w:type="gramEnd"/>
            <w:r w:rsidRPr="00A76B69">
              <w:rPr>
                <w:rFonts w:asciiTheme="minorHAnsi" w:hAnsiTheme="minorHAnsi" w:cstheme="minorHAnsi"/>
                <w:color w:val="000000" w:themeColor="text1"/>
                <w:szCs w:val="22"/>
              </w:rPr>
              <w:t xml:space="preserve"> </w:t>
            </w:r>
          </w:p>
          <w:p w14:paraId="3950289A" w14:textId="77777777" w:rsidR="00242163" w:rsidRPr="00A76B69" w:rsidRDefault="00242163" w:rsidP="00242163">
            <w:pPr>
              <w:pStyle w:val="NormalIndent"/>
              <w:widowControl w:val="0"/>
              <w:numPr>
                <w:ilvl w:val="0"/>
                <w:numId w:val="23"/>
              </w:numPr>
              <w:spacing w:before="0" w:after="0"/>
              <w:rPr>
                <w:rFonts w:asciiTheme="minorHAnsi" w:hAnsiTheme="minorHAnsi" w:cstheme="minorHAnsi"/>
                <w:color w:val="000000" w:themeColor="text1"/>
                <w:szCs w:val="22"/>
              </w:rPr>
            </w:pPr>
            <w:r w:rsidRPr="00A76B69">
              <w:rPr>
                <w:rFonts w:asciiTheme="minorHAnsi" w:hAnsiTheme="minorHAnsi" w:cstheme="minorHAnsi"/>
                <w:color w:val="000000" w:themeColor="text1"/>
                <w:szCs w:val="22"/>
              </w:rPr>
              <w:t xml:space="preserve">Research that shapes the future, developing partnerships and expertise to make a significant positive difference to the </w:t>
            </w:r>
            <w:proofErr w:type="gramStart"/>
            <w:r w:rsidRPr="00A76B69">
              <w:rPr>
                <w:rFonts w:asciiTheme="minorHAnsi" w:hAnsiTheme="minorHAnsi" w:cstheme="minorHAnsi"/>
                <w:color w:val="000000" w:themeColor="text1"/>
                <w:szCs w:val="22"/>
              </w:rPr>
              <w:t>world;</w:t>
            </w:r>
            <w:proofErr w:type="gramEnd"/>
            <w:r w:rsidRPr="00A76B69">
              <w:rPr>
                <w:rFonts w:asciiTheme="minorHAnsi" w:hAnsiTheme="minorHAnsi" w:cstheme="minorHAnsi"/>
                <w:color w:val="000000" w:themeColor="text1"/>
                <w:szCs w:val="22"/>
              </w:rPr>
              <w:t xml:space="preserve"> </w:t>
            </w:r>
          </w:p>
          <w:p w14:paraId="53327B07" w14:textId="77777777" w:rsidR="00242163" w:rsidRPr="00A76B69" w:rsidRDefault="00242163" w:rsidP="00242163">
            <w:pPr>
              <w:pStyle w:val="NormalIndent"/>
              <w:widowControl w:val="0"/>
              <w:numPr>
                <w:ilvl w:val="0"/>
                <w:numId w:val="23"/>
              </w:numPr>
              <w:spacing w:before="0" w:after="0"/>
              <w:rPr>
                <w:rFonts w:asciiTheme="minorHAnsi" w:hAnsiTheme="minorHAnsi" w:cstheme="minorHAnsi"/>
                <w:color w:val="000000" w:themeColor="text1"/>
                <w:szCs w:val="22"/>
              </w:rPr>
            </w:pPr>
            <w:r w:rsidRPr="00A76B69">
              <w:rPr>
                <w:rFonts w:asciiTheme="minorHAnsi" w:hAnsiTheme="minorHAnsi" w:cstheme="minorHAnsi"/>
                <w:color w:val="000000" w:themeColor="text1"/>
                <w:szCs w:val="22"/>
              </w:rPr>
              <w:t>A 21st century education for a growing community of learners, creating an accessible, enriching and satisfying student experience; and</w:t>
            </w:r>
          </w:p>
          <w:p w14:paraId="52A6A8A3" w14:textId="77777777" w:rsidR="00242163" w:rsidRPr="00A76B69" w:rsidRDefault="00242163" w:rsidP="00242163">
            <w:pPr>
              <w:pStyle w:val="NormalIndent"/>
              <w:widowControl w:val="0"/>
              <w:numPr>
                <w:ilvl w:val="0"/>
                <w:numId w:val="23"/>
              </w:numPr>
              <w:spacing w:before="0" w:after="0"/>
              <w:rPr>
                <w:rFonts w:asciiTheme="minorHAnsi" w:hAnsiTheme="minorHAnsi" w:cstheme="minorHAnsi"/>
                <w:color w:val="000000" w:themeColor="text1"/>
                <w:szCs w:val="22"/>
              </w:rPr>
            </w:pPr>
            <w:r w:rsidRPr="00A76B69">
              <w:rPr>
                <w:rFonts w:asciiTheme="minorHAnsi" w:hAnsiTheme="minorHAnsi" w:cstheme="minorHAnsi"/>
                <w:color w:val="000000" w:themeColor="text1"/>
                <w:szCs w:val="22"/>
              </w:rPr>
              <w:t>The beating heart of Adelaide, expanding and enriching life in Adelaide.</w:t>
            </w:r>
          </w:p>
          <w:p w14:paraId="5EA06109" w14:textId="77777777" w:rsidR="00242163" w:rsidRPr="00A76B69" w:rsidRDefault="00242163" w:rsidP="00242163">
            <w:pPr>
              <w:pStyle w:val="NormalIndent"/>
              <w:widowControl w:val="0"/>
              <w:spacing w:after="0"/>
              <w:ind w:left="0"/>
              <w:rPr>
                <w:rFonts w:asciiTheme="minorHAnsi" w:hAnsiTheme="minorHAnsi" w:cstheme="minorHAnsi"/>
                <w:color w:val="000000" w:themeColor="text1"/>
                <w:szCs w:val="22"/>
              </w:rPr>
            </w:pPr>
            <w:r w:rsidRPr="00A76B69">
              <w:rPr>
                <w:rFonts w:asciiTheme="minorHAnsi" w:hAnsiTheme="minorHAnsi" w:cstheme="minorHAnsi"/>
                <w:color w:val="000000" w:themeColor="text1"/>
                <w:szCs w:val="22"/>
              </w:rPr>
              <w:t xml:space="preserve">For each pillar and foundational element, </w:t>
            </w:r>
            <w:proofErr w:type="spellStart"/>
            <w:r w:rsidRPr="00A76B69">
              <w:rPr>
                <w:rFonts w:asciiTheme="minorHAnsi" w:hAnsiTheme="minorHAnsi" w:cstheme="minorHAnsi"/>
                <w:color w:val="000000" w:themeColor="text1"/>
                <w:szCs w:val="22"/>
              </w:rPr>
              <w:t>UoA</w:t>
            </w:r>
            <w:proofErr w:type="spellEnd"/>
            <w:r w:rsidRPr="00A76B69">
              <w:rPr>
                <w:rFonts w:asciiTheme="minorHAnsi" w:hAnsiTheme="minorHAnsi" w:cstheme="minorHAnsi"/>
                <w:color w:val="000000" w:themeColor="text1"/>
                <w:szCs w:val="22"/>
              </w:rPr>
              <w:t xml:space="preserve"> has identified key metrics which indicate progress toward and achievement of </w:t>
            </w:r>
            <w:proofErr w:type="spellStart"/>
            <w:r w:rsidRPr="00A76B69">
              <w:rPr>
                <w:rFonts w:asciiTheme="minorHAnsi" w:hAnsiTheme="minorHAnsi" w:cstheme="minorHAnsi"/>
                <w:color w:val="000000" w:themeColor="text1"/>
                <w:szCs w:val="22"/>
              </w:rPr>
              <w:t>UoA’s</w:t>
            </w:r>
            <w:proofErr w:type="spellEnd"/>
            <w:r w:rsidRPr="00A76B69">
              <w:rPr>
                <w:rFonts w:asciiTheme="minorHAnsi" w:hAnsiTheme="minorHAnsi" w:cstheme="minorHAnsi"/>
                <w:color w:val="000000" w:themeColor="text1"/>
                <w:szCs w:val="22"/>
              </w:rPr>
              <w:t xml:space="preserve"> ambition. In addition, </w:t>
            </w:r>
            <w:proofErr w:type="spellStart"/>
            <w:r w:rsidRPr="00A76B69">
              <w:rPr>
                <w:rFonts w:asciiTheme="minorHAnsi" w:hAnsiTheme="minorHAnsi" w:cstheme="minorHAnsi"/>
                <w:color w:val="000000" w:themeColor="text1"/>
                <w:szCs w:val="22"/>
              </w:rPr>
              <w:t>UoA</w:t>
            </w:r>
            <w:proofErr w:type="spellEnd"/>
            <w:r w:rsidRPr="00A76B69">
              <w:rPr>
                <w:rFonts w:asciiTheme="minorHAnsi" w:hAnsiTheme="minorHAnsi" w:cstheme="minorHAnsi"/>
                <w:color w:val="000000" w:themeColor="text1"/>
                <w:szCs w:val="22"/>
              </w:rPr>
              <w:t xml:space="preserve"> has also identified a series of strategic initiatives it will undertake to implement the strategic plan in 2024 and 2025. A selection of initiatives which reflect </w:t>
            </w:r>
            <w:proofErr w:type="spellStart"/>
            <w:r w:rsidRPr="00A76B69">
              <w:rPr>
                <w:rFonts w:asciiTheme="minorHAnsi" w:hAnsiTheme="minorHAnsi" w:cstheme="minorHAnsi"/>
                <w:color w:val="000000" w:themeColor="text1"/>
                <w:szCs w:val="22"/>
              </w:rPr>
              <w:t>UoA’s</w:t>
            </w:r>
            <w:proofErr w:type="spellEnd"/>
            <w:r w:rsidRPr="00A76B69">
              <w:rPr>
                <w:rFonts w:asciiTheme="minorHAnsi" w:hAnsiTheme="minorHAnsi" w:cstheme="minorHAnsi"/>
                <w:color w:val="000000" w:themeColor="text1"/>
                <w:szCs w:val="22"/>
              </w:rPr>
              <w:t xml:space="preserve"> contributions to national and sector priorities in workforce and skill needs, student and staff safety, countering foreign interference, cyber and data security, and upholding academic freedom include:</w:t>
            </w:r>
          </w:p>
          <w:p w14:paraId="49B77EB8" w14:textId="77777777" w:rsidR="00242163" w:rsidRPr="00A76B69" w:rsidRDefault="00242163" w:rsidP="00242163">
            <w:pPr>
              <w:pStyle w:val="NormalIndent"/>
              <w:widowControl w:val="0"/>
              <w:numPr>
                <w:ilvl w:val="0"/>
                <w:numId w:val="23"/>
              </w:numPr>
              <w:spacing w:before="0" w:after="0"/>
              <w:rPr>
                <w:rFonts w:asciiTheme="minorHAnsi" w:hAnsiTheme="minorHAnsi" w:cstheme="minorHAnsi"/>
                <w:color w:val="000000" w:themeColor="text1"/>
                <w:szCs w:val="22"/>
              </w:rPr>
            </w:pPr>
            <w:r w:rsidRPr="00A76B69">
              <w:rPr>
                <w:rFonts w:asciiTheme="minorHAnsi" w:hAnsiTheme="minorHAnsi" w:cstheme="minorHAnsi"/>
                <w:color w:val="000000" w:themeColor="text1"/>
                <w:szCs w:val="22"/>
              </w:rPr>
              <w:t xml:space="preserve">Implementing an action plan that creates a diversity of experience and </w:t>
            </w:r>
            <w:proofErr w:type="gramStart"/>
            <w:r w:rsidRPr="00A76B69">
              <w:rPr>
                <w:rFonts w:asciiTheme="minorHAnsi" w:hAnsiTheme="minorHAnsi" w:cstheme="minorHAnsi"/>
                <w:color w:val="000000" w:themeColor="text1"/>
                <w:szCs w:val="22"/>
              </w:rPr>
              <w:t>perspective;</w:t>
            </w:r>
            <w:proofErr w:type="gramEnd"/>
          </w:p>
          <w:p w14:paraId="1F853AA1" w14:textId="77777777" w:rsidR="00242163" w:rsidRPr="00A76B69" w:rsidRDefault="00242163" w:rsidP="00242163">
            <w:pPr>
              <w:pStyle w:val="NormalIndent"/>
              <w:widowControl w:val="0"/>
              <w:numPr>
                <w:ilvl w:val="0"/>
                <w:numId w:val="23"/>
              </w:numPr>
              <w:spacing w:before="0" w:after="0"/>
              <w:rPr>
                <w:rFonts w:asciiTheme="minorHAnsi" w:hAnsiTheme="minorHAnsi" w:cstheme="minorHAnsi"/>
                <w:color w:val="000000" w:themeColor="text1"/>
                <w:szCs w:val="22"/>
              </w:rPr>
            </w:pPr>
            <w:r w:rsidRPr="00A76B69">
              <w:rPr>
                <w:rFonts w:asciiTheme="minorHAnsi" w:hAnsiTheme="minorHAnsi" w:cstheme="minorHAnsi"/>
                <w:color w:val="000000" w:themeColor="text1"/>
                <w:szCs w:val="22"/>
              </w:rPr>
              <w:t xml:space="preserve">Maintaining an agenda of events, programs and professional development programs that welcome global collaborators to </w:t>
            </w:r>
            <w:proofErr w:type="spellStart"/>
            <w:r w:rsidRPr="00A76B69">
              <w:rPr>
                <w:rFonts w:asciiTheme="minorHAnsi" w:hAnsiTheme="minorHAnsi" w:cstheme="minorHAnsi"/>
                <w:color w:val="000000" w:themeColor="text1"/>
                <w:szCs w:val="22"/>
              </w:rPr>
              <w:t>UoA</w:t>
            </w:r>
            <w:proofErr w:type="spellEnd"/>
            <w:r w:rsidRPr="00A76B69">
              <w:rPr>
                <w:rFonts w:asciiTheme="minorHAnsi" w:hAnsiTheme="minorHAnsi" w:cstheme="minorHAnsi"/>
                <w:color w:val="000000" w:themeColor="text1"/>
                <w:szCs w:val="22"/>
              </w:rPr>
              <w:t xml:space="preserve"> campuses, showcase cultural diversity and raise intercultural experience and </w:t>
            </w:r>
            <w:proofErr w:type="gramStart"/>
            <w:r w:rsidRPr="00A76B69">
              <w:rPr>
                <w:rFonts w:asciiTheme="minorHAnsi" w:hAnsiTheme="minorHAnsi" w:cstheme="minorHAnsi"/>
                <w:color w:val="000000" w:themeColor="text1"/>
                <w:szCs w:val="22"/>
              </w:rPr>
              <w:t>skills;</w:t>
            </w:r>
            <w:proofErr w:type="gramEnd"/>
          </w:p>
          <w:p w14:paraId="5526E789" w14:textId="77777777" w:rsidR="00242163" w:rsidRPr="00A76B69" w:rsidRDefault="00242163" w:rsidP="00242163">
            <w:pPr>
              <w:pStyle w:val="NormalIndent"/>
              <w:widowControl w:val="0"/>
              <w:numPr>
                <w:ilvl w:val="0"/>
                <w:numId w:val="23"/>
              </w:numPr>
              <w:spacing w:before="0" w:after="0"/>
              <w:rPr>
                <w:rFonts w:asciiTheme="minorHAnsi" w:hAnsiTheme="minorHAnsi" w:cstheme="minorHAnsi"/>
                <w:color w:val="000000" w:themeColor="text1"/>
                <w:szCs w:val="22"/>
              </w:rPr>
            </w:pPr>
            <w:r w:rsidRPr="00A76B69">
              <w:rPr>
                <w:rFonts w:asciiTheme="minorHAnsi" w:hAnsiTheme="minorHAnsi" w:cstheme="minorHAnsi"/>
                <w:color w:val="000000" w:themeColor="text1"/>
                <w:szCs w:val="22"/>
              </w:rPr>
              <w:t>Focusing on research in breakthrough technologies for new industries and sovereign capability (Digi+</w:t>
            </w:r>
            <w:proofErr w:type="gramStart"/>
            <w:r w:rsidRPr="00A76B69">
              <w:rPr>
                <w:rFonts w:asciiTheme="minorHAnsi" w:hAnsiTheme="minorHAnsi" w:cstheme="minorHAnsi"/>
                <w:color w:val="000000" w:themeColor="text1"/>
                <w:szCs w:val="22"/>
              </w:rPr>
              <w:t>);</w:t>
            </w:r>
            <w:proofErr w:type="gramEnd"/>
          </w:p>
          <w:p w14:paraId="508D63B0" w14:textId="77777777" w:rsidR="00242163" w:rsidRPr="00A76B69" w:rsidRDefault="00242163" w:rsidP="00242163">
            <w:pPr>
              <w:pStyle w:val="NormalIndent"/>
              <w:widowControl w:val="0"/>
              <w:numPr>
                <w:ilvl w:val="0"/>
                <w:numId w:val="23"/>
              </w:numPr>
              <w:spacing w:before="0" w:after="0"/>
              <w:rPr>
                <w:rFonts w:asciiTheme="minorHAnsi" w:hAnsiTheme="minorHAnsi" w:cstheme="minorHAnsi"/>
                <w:color w:val="000000" w:themeColor="text1"/>
                <w:szCs w:val="22"/>
              </w:rPr>
            </w:pPr>
            <w:r w:rsidRPr="00A76B69">
              <w:rPr>
                <w:rFonts w:asciiTheme="minorHAnsi" w:hAnsiTheme="minorHAnsi" w:cstheme="minorHAnsi"/>
                <w:color w:val="000000" w:themeColor="text1"/>
                <w:szCs w:val="22"/>
              </w:rPr>
              <w:t xml:space="preserve">Supporting flagship research projects in the Defence Trailblazer and pursuing opportunities from the AUKUS trilateral security </w:t>
            </w:r>
            <w:proofErr w:type="gramStart"/>
            <w:r w:rsidRPr="00A76B69">
              <w:rPr>
                <w:rFonts w:asciiTheme="minorHAnsi" w:hAnsiTheme="minorHAnsi" w:cstheme="minorHAnsi"/>
                <w:color w:val="000000" w:themeColor="text1"/>
                <w:szCs w:val="22"/>
              </w:rPr>
              <w:t>partnership;</w:t>
            </w:r>
            <w:proofErr w:type="gramEnd"/>
            <w:r w:rsidRPr="00A76B69">
              <w:rPr>
                <w:rFonts w:asciiTheme="minorHAnsi" w:hAnsiTheme="minorHAnsi" w:cstheme="minorHAnsi"/>
                <w:color w:val="000000" w:themeColor="text1"/>
                <w:szCs w:val="22"/>
              </w:rPr>
              <w:t xml:space="preserve"> </w:t>
            </w:r>
          </w:p>
          <w:p w14:paraId="5B362683" w14:textId="77777777" w:rsidR="00242163" w:rsidRPr="00A76B69" w:rsidRDefault="00242163" w:rsidP="00242163">
            <w:pPr>
              <w:pStyle w:val="NormalIndent"/>
              <w:widowControl w:val="0"/>
              <w:numPr>
                <w:ilvl w:val="0"/>
                <w:numId w:val="23"/>
              </w:numPr>
              <w:spacing w:before="0" w:after="0"/>
              <w:rPr>
                <w:rFonts w:asciiTheme="minorHAnsi" w:hAnsiTheme="minorHAnsi" w:cstheme="minorHAnsi"/>
                <w:color w:val="000000" w:themeColor="text1"/>
                <w:szCs w:val="22"/>
              </w:rPr>
            </w:pPr>
            <w:r w:rsidRPr="00A76B69">
              <w:rPr>
                <w:rFonts w:asciiTheme="minorHAnsi" w:hAnsiTheme="minorHAnsi" w:cstheme="minorHAnsi"/>
                <w:color w:val="000000" w:themeColor="text1"/>
                <w:szCs w:val="22"/>
              </w:rPr>
              <w:t xml:space="preserve">Developing a strategic global network that positions </w:t>
            </w:r>
            <w:proofErr w:type="spellStart"/>
            <w:r w:rsidRPr="00A76B69">
              <w:rPr>
                <w:rFonts w:asciiTheme="minorHAnsi" w:hAnsiTheme="minorHAnsi" w:cstheme="minorHAnsi"/>
                <w:color w:val="000000" w:themeColor="text1"/>
                <w:szCs w:val="22"/>
              </w:rPr>
              <w:t>UoA</w:t>
            </w:r>
            <w:proofErr w:type="spellEnd"/>
            <w:r w:rsidRPr="00A76B69">
              <w:rPr>
                <w:rFonts w:asciiTheme="minorHAnsi" w:hAnsiTheme="minorHAnsi" w:cstheme="minorHAnsi"/>
                <w:color w:val="000000" w:themeColor="text1"/>
                <w:szCs w:val="22"/>
              </w:rPr>
              <w:t xml:space="preserve"> as the partner of choice for global institutions, agencies, and industry, for new revenue generation, reputation enhancement and education, research and engagement activities; and</w:t>
            </w:r>
          </w:p>
          <w:p w14:paraId="477045AF" w14:textId="77777777" w:rsidR="00242163" w:rsidRPr="00A76B69" w:rsidRDefault="00242163" w:rsidP="00242163">
            <w:pPr>
              <w:pStyle w:val="NormalIndent"/>
              <w:widowControl w:val="0"/>
              <w:numPr>
                <w:ilvl w:val="0"/>
                <w:numId w:val="23"/>
              </w:numPr>
              <w:spacing w:before="0" w:after="0"/>
              <w:rPr>
                <w:rFonts w:asciiTheme="minorHAnsi" w:hAnsiTheme="minorHAnsi" w:cstheme="minorHAnsi"/>
                <w:color w:val="000000" w:themeColor="text1"/>
                <w:szCs w:val="22"/>
              </w:rPr>
            </w:pPr>
            <w:r w:rsidRPr="00A76B69">
              <w:rPr>
                <w:rFonts w:asciiTheme="minorHAnsi" w:hAnsiTheme="minorHAnsi" w:cstheme="minorHAnsi"/>
                <w:color w:val="000000" w:themeColor="text1"/>
                <w:szCs w:val="22"/>
              </w:rPr>
              <w:t>Stimulating collegiality and a sense of community through an integrated program of internal communications, to ensure staff are informed, heard, connected and valued.</w:t>
            </w:r>
          </w:p>
          <w:p w14:paraId="392E191A" w14:textId="77777777" w:rsidR="00242163" w:rsidRDefault="00242163" w:rsidP="00242163">
            <w:pPr>
              <w:pStyle w:val="NormalIndent"/>
              <w:widowControl w:val="0"/>
              <w:spacing w:after="0"/>
              <w:ind w:left="0"/>
              <w:rPr>
                <w:rFonts w:asciiTheme="minorHAnsi" w:hAnsiTheme="minorHAnsi" w:cstheme="minorHAnsi"/>
                <w:color w:val="000000" w:themeColor="text1"/>
                <w:szCs w:val="22"/>
              </w:rPr>
            </w:pPr>
            <w:r w:rsidRPr="00A76B69">
              <w:rPr>
                <w:rFonts w:asciiTheme="minorHAnsi" w:hAnsiTheme="minorHAnsi" w:cstheme="minorHAnsi"/>
                <w:color w:val="000000" w:themeColor="text1"/>
                <w:szCs w:val="22"/>
              </w:rPr>
              <w:t>A comprehensive list of strategic initiatives</w:t>
            </w:r>
            <w:r>
              <w:rPr>
                <w:rFonts w:asciiTheme="minorHAnsi" w:hAnsiTheme="minorHAnsi" w:cstheme="minorHAnsi"/>
                <w:color w:val="000000" w:themeColor="text1"/>
                <w:szCs w:val="22"/>
              </w:rPr>
              <w:t xml:space="preserve"> and KPIs</w:t>
            </w:r>
            <w:r w:rsidRPr="00A76B69">
              <w:rPr>
                <w:rFonts w:asciiTheme="minorHAnsi" w:hAnsiTheme="minorHAnsi" w:cstheme="minorHAnsi"/>
                <w:color w:val="000000" w:themeColor="text1"/>
                <w:szCs w:val="22"/>
              </w:rPr>
              <w:t xml:space="preserve"> can be found in the </w:t>
            </w:r>
            <w:proofErr w:type="spellStart"/>
            <w:r w:rsidRPr="00A76B69">
              <w:rPr>
                <w:rFonts w:asciiTheme="minorHAnsi" w:hAnsiTheme="minorHAnsi" w:cstheme="minorHAnsi"/>
                <w:color w:val="000000" w:themeColor="text1"/>
                <w:szCs w:val="22"/>
              </w:rPr>
              <w:t>UoA</w:t>
            </w:r>
            <w:proofErr w:type="spellEnd"/>
            <w:r w:rsidRPr="00A76B69">
              <w:rPr>
                <w:rFonts w:asciiTheme="minorHAnsi" w:hAnsiTheme="minorHAnsi" w:cstheme="minorHAnsi"/>
                <w:color w:val="000000" w:themeColor="text1"/>
                <w:szCs w:val="22"/>
              </w:rPr>
              <w:t xml:space="preserve"> Strategic Plan 2024-2025</w:t>
            </w:r>
            <w:r>
              <w:rPr>
                <w:rFonts w:asciiTheme="minorHAnsi" w:hAnsiTheme="minorHAnsi" w:cstheme="minorHAnsi"/>
                <w:color w:val="000000" w:themeColor="text1"/>
                <w:szCs w:val="22"/>
              </w:rPr>
              <w:t xml:space="preserve"> which will be available </w:t>
            </w:r>
            <w:hyperlink r:id="rId14" w:history="1">
              <w:r w:rsidRPr="000B2F71">
                <w:rPr>
                  <w:rStyle w:val="Hyperlink"/>
                  <w:rFonts w:asciiTheme="minorHAnsi" w:hAnsiTheme="minorHAnsi" w:cstheme="minorHAnsi"/>
                  <w:szCs w:val="22"/>
                </w:rPr>
                <w:t>here</w:t>
              </w:r>
            </w:hyperlink>
            <w:r>
              <w:rPr>
                <w:rFonts w:asciiTheme="minorHAnsi" w:hAnsiTheme="minorHAnsi" w:cstheme="minorHAnsi"/>
                <w:color w:val="000000" w:themeColor="text1"/>
                <w:szCs w:val="22"/>
              </w:rPr>
              <w:t>.</w:t>
            </w:r>
          </w:p>
          <w:p w14:paraId="3885BBB5" w14:textId="77777777" w:rsidR="00242163" w:rsidRDefault="00242163" w:rsidP="00242163">
            <w:pPr>
              <w:pStyle w:val="NormalIndent"/>
              <w:widowControl w:val="0"/>
              <w:spacing w:after="0"/>
              <w:ind w:left="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The University has well developed policies, practices and training around: </w:t>
            </w:r>
          </w:p>
          <w:p w14:paraId="7D7EF09B" w14:textId="77777777" w:rsidR="00242163" w:rsidRDefault="00242163" w:rsidP="00242163">
            <w:pPr>
              <w:pStyle w:val="NormalIndent"/>
              <w:widowControl w:val="0"/>
              <w:numPr>
                <w:ilvl w:val="0"/>
                <w:numId w:val="25"/>
              </w:numPr>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Freedom of Speech/Academic Freedom </w:t>
            </w:r>
            <w:hyperlink r:id="rId15" w:history="1">
              <w:r w:rsidRPr="00A76B69">
                <w:rPr>
                  <w:rStyle w:val="Hyperlink"/>
                  <w:rFonts w:asciiTheme="minorHAnsi" w:hAnsiTheme="minorHAnsi" w:cstheme="minorHAnsi"/>
                  <w:szCs w:val="22"/>
                </w:rPr>
                <w:t>here.</w:t>
              </w:r>
            </w:hyperlink>
          </w:p>
          <w:p w14:paraId="09E1730E" w14:textId="77777777" w:rsidR="00242163" w:rsidRDefault="00242163" w:rsidP="00242163">
            <w:pPr>
              <w:pStyle w:val="NormalIndent"/>
              <w:widowControl w:val="0"/>
              <w:numPr>
                <w:ilvl w:val="0"/>
                <w:numId w:val="25"/>
              </w:numPr>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Integrity and Accountability including Foreign Interference </w:t>
            </w:r>
            <w:hyperlink r:id="rId16" w:history="1">
              <w:r w:rsidRPr="002267FD">
                <w:rPr>
                  <w:rStyle w:val="Hyperlink"/>
                  <w:rFonts w:asciiTheme="minorHAnsi" w:hAnsiTheme="minorHAnsi" w:cstheme="minorHAnsi"/>
                  <w:szCs w:val="22"/>
                </w:rPr>
                <w:t>here.</w:t>
              </w:r>
            </w:hyperlink>
          </w:p>
          <w:p w14:paraId="2907A698" w14:textId="77777777" w:rsidR="00242163" w:rsidRDefault="00242163" w:rsidP="00242163">
            <w:pPr>
              <w:pStyle w:val="NormalIndent"/>
              <w:widowControl w:val="0"/>
              <w:spacing w:before="0" w:after="0"/>
              <w:ind w:left="0"/>
              <w:rPr>
                <w:rFonts w:asciiTheme="minorHAnsi" w:hAnsiTheme="minorHAnsi" w:cstheme="minorHAnsi"/>
                <w:color w:val="000000" w:themeColor="text1"/>
                <w:szCs w:val="22"/>
              </w:rPr>
            </w:pPr>
          </w:p>
          <w:p w14:paraId="258EEC23" w14:textId="77777777" w:rsidR="00242163" w:rsidRDefault="00242163" w:rsidP="00242163">
            <w:pPr>
              <w:pStyle w:val="NormalIndent"/>
              <w:widowControl w:val="0"/>
              <w:spacing w:before="0" w:after="0"/>
              <w:ind w:left="0"/>
            </w:pPr>
            <w:r>
              <w:rPr>
                <w:rFonts w:asciiTheme="minorHAnsi" w:hAnsiTheme="minorHAnsi" w:cstheme="minorHAnsi"/>
                <w:color w:val="000000" w:themeColor="text1"/>
                <w:szCs w:val="22"/>
              </w:rPr>
              <w:t xml:space="preserve">The University </w:t>
            </w:r>
            <w:r w:rsidRPr="000B2F71">
              <w:rPr>
                <w:rFonts w:asciiTheme="minorHAnsi" w:hAnsiTheme="minorHAnsi" w:cstheme="minorHAnsi"/>
                <w:color w:val="000000" w:themeColor="text1"/>
                <w:szCs w:val="22"/>
              </w:rPr>
              <w:t>is committed to strengthening our culture, and ensuring that our community is supported to work, study and volunteer in a safe and inclusive environment</w:t>
            </w:r>
            <w:r>
              <w:rPr>
                <w:rFonts w:asciiTheme="minorHAnsi" w:hAnsiTheme="minorHAnsi" w:cstheme="minorHAnsi"/>
                <w:color w:val="000000" w:themeColor="text1"/>
                <w:szCs w:val="22"/>
              </w:rPr>
              <w:t xml:space="preserve">.  More information about the Integrity Unit can be found </w:t>
            </w:r>
            <w:hyperlink r:id="rId17" w:history="1">
              <w:r w:rsidRPr="000B2F71">
                <w:rPr>
                  <w:rStyle w:val="Hyperlink"/>
                  <w:rFonts w:asciiTheme="minorHAnsi" w:hAnsiTheme="minorHAnsi" w:cstheme="minorHAnsi"/>
                  <w:szCs w:val="22"/>
                </w:rPr>
                <w:t>here.</w:t>
              </w:r>
            </w:hyperlink>
          </w:p>
          <w:p w14:paraId="608BDF00" w14:textId="77777777" w:rsidR="00242163" w:rsidRDefault="00242163" w:rsidP="00242163">
            <w:pPr>
              <w:pStyle w:val="NormalIndent"/>
              <w:widowControl w:val="0"/>
              <w:spacing w:before="0" w:after="0"/>
              <w:ind w:left="0"/>
              <w:rPr>
                <w:rFonts w:asciiTheme="minorHAnsi" w:hAnsiTheme="minorHAnsi" w:cstheme="minorHAnsi"/>
                <w:color w:val="000000" w:themeColor="text1"/>
                <w:szCs w:val="22"/>
              </w:rPr>
            </w:pPr>
          </w:p>
          <w:p w14:paraId="49327966" w14:textId="77777777" w:rsidR="00B36469" w:rsidRDefault="00B36469" w:rsidP="00242163">
            <w:pPr>
              <w:pStyle w:val="NormalIndent"/>
              <w:widowControl w:val="0"/>
              <w:spacing w:before="0" w:after="0"/>
              <w:ind w:left="0"/>
              <w:rPr>
                <w:rFonts w:asciiTheme="minorHAnsi" w:hAnsiTheme="minorHAnsi" w:cstheme="minorHAnsi"/>
                <w:color w:val="000000" w:themeColor="text1"/>
                <w:szCs w:val="22"/>
              </w:rPr>
            </w:pPr>
          </w:p>
          <w:p w14:paraId="24697DDE" w14:textId="77777777" w:rsidR="00B36469" w:rsidRDefault="00B36469" w:rsidP="00242163">
            <w:pPr>
              <w:pStyle w:val="NormalIndent"/>
              <w:widowControl w:val="0"/>
              <w:spacing w:before="0" w:after="0"/>
              <w:ind w:left="0"/>
              <w:rPr>
                <w:rFonts w:asciiTheme="minorHAnsi" w:hAnsiTheme="minorHAnsi" w:cstheme="minorHAnsi"/>
                <w:color w:val="000000" w:themeColor="text1"/>
                <w:szCs w:val="22"/>
              </w:rPr>
            </w:pPr>
          </w:p>
          <w:p w14:paraId="089F9B14" w14:textId="77777777" w:rsidR="00B36469" w:rsidRDefault="00B36469" w:rsidP="00242163">
            <w:pPr>
              <w:pStyle w:val="NormalIndent"/>
              <w:widowControl w:val="0"/>
              <w:spacing w:before="0" w:after="0"/>
              <w:ind w:left="0"/>
              <w:rPr>
                <w:rFonts w:asciiTheme="minorHAnsi" w:hAnsiTheme="minorHAnsi" w:cstheme="minorHAnsi"/>
                <w:color w:val="000000" w:themeColor="text1"/>
                <w:szCs w:val="22"/>
              </w:rPr>
            </w:pPr>
          </w:p>
          <w:p w14:paraId="01EC4003" w14:textId="77777777" w:rsidR="00B36469" w:rsidRDefault="00B36469" w:rsidP="00242163">
            <w:pPr>
              <w:pStyle w:val="NormalIndent"/>
              <w:widowControl w:val="0"/>
              <w:spacing w:before="0" w:after="0"/>
              <w:ind w:left="0"/>
              <w:rPr>
                <w:rFonts w:asciiTheme="minorHAnsi" w:hAnsiTheme="minorHAnsi" w:cstheme="minorHAnsi"/>
                <w:color w:val="000000" w:themeColor="text1"/>
                <w:szCs w:val="22"/>
              </w:rPr>
            </w:pPr>
          </w:p>
          <w:p w14:paraId="115F8DF0" w14:textId="77777777" w:rsidR="00B36469" w:rsidRDefault="00B36469" w:rsidP="00242163">
            <w:pPr>
              <w:pStyle w:val="NormalIndent"/>
              <w:widowControl w:val="0"/>
              <w:spacing w:before="0" w:after="0"/>
              <w:ind w:left="0"/>
              <w:rPr>
                <w:rFonts w:asciiTheme="minorHAnsi" w:hAnsiTheme="minorHAnsi" w:cstheme="minorHAnsi"/>
                <w:color w:val="000000" w:themeColor="text1"/>
                <w:szCs w:val="22"/>
              </w:rPr>
            </w:pPr>
          </w:p>
          <w:p w14:paraId="472406DF" w14:textId="77777777" w:rsidR="00F02276" w:rsidRDefault="00F02276" w:rsidP="00242163">
            <w:pPr>
              <w:pStyle w:val="NormalIndent"/>
              <w:widowControl w:val="0"/>
              <w:spacing w:before="0" w:after="0"/>
              <w:ind w:left="0"/>
              <w:rPr>
                <w:rFonts w:asciiTheme="minorHAnsi" w:hAnsiTheme="minorHAnsi" w:cstheme="minorHAnsi"/>
                <w:color w:val="000000" w:themeColor="text1"/>
                <w:szCs w:val="22"/>
              </w:rPr>
            </w:pPr>
          </w:p>
          <w:p w14:paraId="18C41033" w14:textId="77777777" w:rsidR="00B36469" w:rsidRDefault="00B36469" w:rsidP="00242163">
            <w:pPr>
              <w:pStyle w:val="NormalIndent"/>
              <w:widowControl w:val="0"/>
              <w:spacing w:before="0" w:after="0"/>
              <w:ind w:left="0"/>
              <w:rPr>
                <w:rFonts w:asciiTheme="minorHAnsi" w:hAnsiTheme="minorHAnsi" w:cstheme="minorHAnsi"/>
                <w:color w:val="000000" w:themeColor="text1"/>
                <w:szCs w:val="22"/>
              </w:rPr>
            </w:pPr>
          </w:p>
          <w:p w14:paraId="74F04DC3" w14:textId="161262C7" w:rsidR="00B36469" w:rsidRPr="00167872" w:rsidRDefault="00B36469" w:rsidP="00242163">
            <w:pPr>
              <w:pStyle w:val="NormalIndent"/>
              <w:widowControl w:val="0"/>
              <w:spacing w:before="0" w:after="0"/>
              <w:ind w:left="0"/>
              <w:rPr>
                <w:rFonts w:asciiTheme="minorHAnsi" w:hAnsiTheme="minorHAnsi" w:cstheme="minorHAnsi"/>
                <w:color w:val="000000" w:themeColor="text1"/>
                <w:szCs w:val="22"/>
              </w:rPr>
            </w:pPr>
          </w:p>
        </w:tc>
      </w:tr>
      <w:tr w:rsidR="001B109C" w:rsidRPr="00E41388" w14:paraId="0EA45E0C" w14:textId="77777777" w:rsidTr="00E35741">
        <w:trPr>
          <w:cantSplit/>
        </w:trPr>
        <w:tc>
          <w:tcPr>
            <w:tcW w:w="5000" w:type="pct"/>
          </w:tcPr>
          <w:p w14:paraId="767F59C9" w14:textId="6521BCE0" w:rsidR="001B109C" w:rsidRDefault="00462848" w:rsidP="003D76C1">
            <w:pPr>
              <w:pStyle w:val="Heading4"/>
              <w:keepNext w:val="0"/>
              <w:keepLines w:val="0"/>
              <w:widowControl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00E35741">
        <w:trPr>
          <w:cantSplit/>
        </w:trPr>
        <w:tc>
          <w:tcPr>
            <w:tcW w:w="5000" w:type="pct"/>
          </w:tcPr>
          <w:p w14:paraId="499BA7D2" w14:textId="77777777" w:rsidR="002014E0" w:rsidRPr="002014E0" w:rsidRDefault="002014E0" w:rsidP="003D76C1">
            <w:pPr>
              <w:pStyle w:val="NormalIndent"/>
              <w:widowControl w:val="0"/>
              <w:spacing w:after="0"/>
              <w:ind w:left="0"/>
              <w:rPr>
                <w:rFonts w:asciiTheme="minorHAnsi" w:hAnsiTheme="minorHAnsi" w:cstheme="minorHAnsi"/>
                <w:iCs/>
                <w:color w:val="000000" w:themeColor="text1"/>
                <w:szCs w:val="22"/>
              </w:rPr>
            </w:pPr>
            <w:bookmarkStart w:id="0" w:name="_Hlk150338733"/>
            <w:bookmarkStart w:id="1" w:name="_Hlk150338471"/>
            <w:proofErr w:type="spellStart"/>
            <w:r w:rsidRPr="002014E0">
              <w:rPr>
                <w:rFonts w:asciiTheme="minorHAnsi" w:hAnsiTheme="minorHAnsi" w:cstheme="minorHAnsi"/>
                <w:iCs/>
                <w:color w:val="000000" w:themeColor="text1"/>
                <w:szCs w:val="22"/>
              </w:rPr>
              <w:t>UoA</w:t>
            </w:r>
            <w:proofErr w:type="spellEnd"/>
            <w:r w:rsidRPr="002014E0">
              <w:rPr>
                <w:rFonts w:asciiTheme="minorHAnsi" w:hAnsiTheme="minorHAnsi" w:cstheme="minorHAnsi"/>
                <w:iCs/>
                <w:color w:val="000000" w:themeColor="text1"/>
                <w:szCs w:val="22"/>
              </w:rPr>
              <w:t xml:space="preserve"> has an ambition to increase access and opportunity for disadvantaged students by increasing enrolment and retention rates, narrowing achievement gaps, and enhancing overall academic success and wellbeing for underrepresented students. </w:t>
            </w:r>
            <w:proofErr w:type="spellStart"/>
            <w:r w:rsidRPr="002014E0">
              <w:rPr>
                <w:rFonts w:asciiTheme="minorHAnsi" w:hAnsiTheme="minorHAnsi" w:cstheme="minorHAnsi"/>
                <w:iCs/>
                <w:color w:val="000000" w:themeColor="text1"/>
                <w:szCs w:val="22"/>
              </w:rPr>
              <w:t>UoA</w:t>
            </w:r>
            <w:proofErr w:type="spellEnd"/>
            <w:r w:rsidRPr="002014E0">
              <w:rPr>
                <w:rFonts w:asciiTheme="minorHAnsi" w:hAnsiTheme="minorHAnsi" w:cstheme="minorHAnsi"/>
                <w:iCs/>
                <w:color w:val="000000" w:themeColor="text1"/>
                <w:szCs w:val="22"/>
              </w:rPr>
              <w:t xml:space="preserve"> will support this ambition by delivering programs and initiatives in meaningful partnership with public and private organisations to foster a diverse student cohort.</w:t>
            </w:r>
          </w:p>
          <w:p w14:paraId="5C29548C" w14:textId="77777777" w:rsidR="002014E0" w:rsidRPr="002014E0" w:rsidRDefault="002014E0" w:rsidP="003D76C1">
            <w:pPr>
              <w:pStyle w:val="NormalIndent"/>
              <w:widowControl w:val="0"/>
              <w:spacing w:after="0"/>
              <w:ind w:left="0"/>
              <w:rPr>
                <w:rFonts w:asciiTheme="minorHAnsi" w:hAnsiTheme="minorHAnsi" w:cstheme="minorHAnsi"/>
                <w:iCs/>
                <w:color w:val="000000" w:themeColor="text1"/>
                <w:szCs w:val="22"/>
              </w:rPr>
            </w:pPr>
            <w:proofErr w:type="spellStart"/>
            <w:r w:rsidRPr="002014E0">
              <w:rPr>
                <w:rFonts w:asciiTheme="minorHAnsi" w:hAnsiTheme="minorHAnsi" w:cstheme="minorHAnsi"/>
                <w:iCs/>
                <w:color w:val="000000" w:themeColor="text1"/>
                <w:szCs w:val="22"/>
              </w:rPr>
              <w:t>UoA</w:t>
            </w:r>
            <w:proofErr w:type="spellEnd"/>
            <w:r w:rsidRPr="002014E0">
              <w:rPr>
                <w:rFonts w:asciiTheme="minorHAnsi" w:hAnsiTheme="minorHAnsi" w:cstheme="minorHAnsi"/>
                <w:iCs/>
                <w:color w:val="000000" w:themeColor="text1"/>
                <w:szCs w:val="22"/>
              </w:rPr>
              <w:t xml:space="preserve"> will measure its progress through targets such as:</w:t>
            </w:r>
          </w:p>
          <w:p w14:paraId="389D6D87" w14:textId="214EEEF8" w:rsidR="002014E0" w:rsidRPr="002014E0" w:rsidRDefault="002014E0" w:rsidP="003D76C1">
            <w:pPr>
              <w:pStyle w:val="NormalIndent"/>
              <w:widowControl w:val="0"/>
              <w:numPr>
                <w:ilvl w:val="0"/>
                <w:numId w:val="28"/>
              </w:numPr>
              <w:spacing w:before="0" w:after="0"/>
              <w:rPr>
                <w:rFonts w:asciiTheme="minorHAnsi" w:hAnsiTheme="minorHAnsi" w:cstheme="minorHAnsi"/>
                <w:iCs/>
                <w:color w:val="000000" w:themeColor="text1"/>
                <w:szCs w:val="22"/>
              </w:rPr>
            </w:pPr>
            <w:r w:rsidRPr="002014E0">
              <w:rPr>
                <w:rFonts w:asciiTheme="minorHAnsi" w:hAnsiTheme="minorHAnsi" w:cstheme="minorHAnsi"/>
                <w:iCs/>
                <w:color w:val="000000" w:themeColor="text1"/>
                <w:szCs w:val="22"/>
              </w:rPr>
              <w:t xml:space="preserve">Increasing Indigenous employment rate to 80 by 2024 and 85 by </w:t>
            </w:r>
            <w:proofErr w:type="gramStart"/>
            <w:r w:rsidRPr="002014E0">
              <w:rPr>
                <w:rFonts w:asciiTheme="minorHAnsi" w:hAnsiTheme="minorHAnsi" w:cstheme="minorHAnsi"/>
                <w:iCs/>
                <w:color w:val="000000" w:themeColor="text1"/>
                <w:szCs w:val="22"/>
              </w:rPr>
              <w:t>2025;</w:t>
            </w:r>
            <w:proofErr w:type="gramEnd"/>
            <w:r w:rsidRPr="002014E0">
              <w:rPr>
                <w:rFonts w:asciiTheme="minorHAnsi" w:hAnsiTheme="minorHAnsi" w:cstheme="minorHAnsi"/>
                <w:iCs/>
                <w:color w:val="000000" w:themeColor="text1"/>
                <w:szCs w:val="22"/>
              </w:rPr>
              <w:t xml:space="preserve"> </w:t>
            </w:r>
          </w:p>
          <w:p w14:paraId="0A7FB8C0" w14:textId="6C325D15" w:rsidR="002014E0" w:rsidRPr="002014E0" w:rsidRDefault="002014E0" w:rsidP="003D76C1">
            <w:pPr>
              <w:pStyle w:val="NormalIndent"/>
              <w:widowControl w:val="0"/>
              <w:numPr>
                <w:ilvl w:val="0"/>
                <w:numId w:val="28"/>
              </w:numPr>
              <w:spacing w:before="0" w:after="0"/>
              <w:rPr>
                <w:rFonts w:asciiTheme="minorHAnsi" w:hAnsiTheme="minorHAnsi" w:cstheme="minorHAnsi"/>
                <w:iCs/>
                <w:color w:val="000000" w:themeColor="text1"/>
                <w:szCs w:val="22"/>
              </w:rPr>
            </w:pPr>
            <w:r w:rsidRPr="002014E0">
              <w:rPr>
                <w:rFonts w:asciiTheme="minorHAnsi" w:hAnsiTheme="minorHAnsi" w:cstheme="minorHAnsi"/>
                <w:iCs/>
                <w:color w:val="000000" w:themeColor="text1"/>
                <w:szCs w:val="22"/>
              </w:rPr>
              <w:t>Increasing the number of First Nations student completions to 65; and</w:t>
            </w:r>
          </w:p>
          <w:p w14:paraId="60DF5605" w14:textId="6329E949" w:rsidR="002014E0" w:rsidRPr="002014E0" w:rsidRDefault="002014E0" w:rsidP="003D76C1">
            <w:pPr>
              <w:pStyle w:val="NormalIndent"/>
              <w:widowControl w:val="0"/>
              <w:numPr>
                <w:ilvl w:val="0"/>
                <w:numId w:val="28"/>
              </w:numPr>
              <w:spacing w:before="0" w:after="0"/>
              <w:rPr>
                <w:rFonts w:asciiTheme="minorHAnsi" w:hAnsiTheme="minorHAnsi" w:cstheme="minorHAnsi"/>
                <w:iCs/>
                <w:color w:val="000000" w:themeColor="text1"/>
                <w:szCs w:val="22"/>
              </w:rPr>
            </w:pPr>
            <w:r w:rsidRPr="002014E0">
              <w:rPr>
                <w:rFonts w:asciiTheme="minorHAnsi" w:hAnsiTheme="minorHAnsi" w:cstheme="minorHAnsi"/>
                <w:iCs/>
                <w:color w:val="000000" w:themeColor="text1"/>
                <w:szCs w:val="22"/>
              </w:rPr>
              <w:t xml:space="preserve">Increasing 1% per annum in student satisfaction scores with overall experience, student support, learning resources and learner engagement. </w:t>
            </w:r>
          </w:p>
          <w:p w14:paraId="2FE12EC9" w14:textId="59E77CB2" w:rsidR="002014E0" w:rsidRPr="002014E0" w:rsidRDefault="002014E0" w:rsidP="003D76C1">
            <w:pPr>
              <w:pStyle w:val="NormalIndent"/>
              <w:widowControl w:val="0"/>
              <w:spacing w:after="0"/>
              <w:ind w:left="0"/>
              <w:rPr>
                <w:rFonts w:asciiTheme="minorHAnsi" w:hAnsiTheme="minorHAnsi" w:cstheme="minorHAnsi"/>
                <w:iCs/>
                <w:color w:val="000000" w:themeColor="text1"/>
                <w:szCs w:val="22"/>
              </w:rPr>
            </w:pPr>
            <w:r w:rsidRPr="002014E0">
              <w:rPr>
                <w:rFonts w:asciiTheme="minorHAnsi" w:hAnsiTheme="minorHAnsi" w:cstheme="minorHAnsi"/>
                <w:iCs/>
                <w:color w:val="000000" w:themeColor="text1"/>
                <w:szCs w:val="22"/>
              </w:rPr>
              <w:t xml:space="preserve">Environmental factors are foundational in improving student equity and access. Providing a welcoming environment with the feeling of belonging will enhance student experience and performance, increasing equity and access. </w:t>
            </w:r>
            <w:proofErr w:type="spellStart"/>
            <w:r w:rsidRPr="002014E0">
              <w:rPr>
                <w:rFonts w:asciiTheme="minorHAnsi" w:hAnsiTheme="minorHAnsi" w:cstheme="minorHAnsi"/>
                <w:iCs/>
                <w:color w:val="000000" w:themeColor="text1"/>
                <w:szCs w:val="22"/>
              </w:rPr>
              <w:t>UoA</w:t>
            </w:r>
            <w:proofErr w:type="spellEnd"/>
            <w:r w:rsidRPr="002014E0">
              <w:rPr>
                <w:rFonts w:asciiTheme="minorHAnsi" w:hAnsiTheme="minorHAnsi" w:cstheme="minorHAnsi"/>
                <w:iCs/>
                <w:color w:val="000000" w:themeColor="text1"/>
                <w:szCs w:val="22"/>
              </w:rPr>
              <w:t xml:space="preserve"> will continue to ensure it provides welcoming campuses through continuing its program of cultural and campus events to engage its communities. This will enhance student and community outreach and provide greater access and opportunity to under-represented groups. </w:t>
            </w:r>
            <w:proofErr w:type="spellStart"/>
            <w:r w:rsidRPr="002014E0">
              <w:rPr>
                <w:rFonts w:asciiTheme="minorHAnsi" w:hAnsiTheme="minorHAnsi" w:cstheme="minorHAnsi"/>
                <w:iCs/>
                <w:color w:val="000000" w:themeColor="text1"/>
                <w:szCs w:val="22"/>
              </w:rPr>
              <w:t>UoA</w:t>
            </w:r>
            <w:proofErr w:type="spellEnd"/>
            <w:r w:rsidRPr="002014E0">
              <w:rPr>
                <w:rFonts w:asciiTheme="minorHAnsi" w:hAnsiTheme="minorHAnsi" w:cstheme="minorHAnsi"/>
                <w:iCs/>
                <w:color w:val="000000" w:themeColor="text1"/>
                <w:szCs w:val="22"/>
              </w:rPr>
              <w:t xml:space="preserve"> will ensure its Adelaide campuses remain physically and intellectually available to the public, attracting visitors year-round; its North Terrace campus to be a vibrant hub in the city centre, just as Waite and Roseworthy will be in their communities; and ensure its current student and alumni bodies continue to have access to welcoming spaces.</w:t>
            </w:r>
          </w:p>
          <w:p w14:paraId="6CCCAC89" w14:textId="77777777" w:rsidR="002014E0" w:rsidRPr="002014E0" w:rsidRDefault="002014E0" w:rsidP="003D76C1">
            <w:pPr>
              <w:pStyle w:val="NormalIndent"/>
              <w:widowControl w:val="0"/>
              <w:spacing w:after="0"/>
              <w:ind w:left="0"/>
              <w:rPr>
                <w:rFonts w:asciiTheme="minorHAnsi" w:hAnsiTheme="minorHAnsi" w:cstheme="minorHAnsi"/>
                <w:iCs/>
                <w:color w:val="000000" w:themeColor="text1"/>
                <w:szCs w:val="22"/>
              </w:rPr>
            </w:pPr>
            <w:r w:rsidRPr="002014E0">
              <w:rPr>
                <w:rFonts w:asciiTheme="minorHAnsi" w:hAnsiTheme="minorHAnsi" w:cstheme="minorHAnsi"/>
                <w:iCs/>
                <w:color w:val="000000" w:themeColor="text1"/>
                <w:szCs w:val="22"/>
              </w:rPr>
              <w:t xml:space="preserve">Recognising the importance of supporting students from under-represented backgrounds, </w:t>
            </w:r>
            <w:proofErr w:type="spellStart"/>
            <w:r w:rsidRPr="002014E0">
              <w:rPr>
                <w:rFonts w:asciiTheme="minorHAnsi" w:hAnsiTheme="minorHAnsi" w:cstheme="minorHAnsi"/>
                <w:iCs/>
                <w:color w:val="000000" w:themeColor="text1"/>
                <w:szCs w:val="22"/>
              </w:rPr>
              <w:t>UoA</w:t>
            </w:r>
            <w:proofErr w:type="spellEnd"/>
            <w:r w:rsidRPr="002014E0">
              <w:rPr>
                <w:rFonts w:asciiTheme="minorHAnsi" w:hAnsiTheme="minorHAnsi" w:cstheme="minorHAnsi"/>
                <w:iCs/>
                <w:color w:val="000000" w:themeColor="text1"/>
                <w:szCs w:val="22"/>
              </w:rPr>
              <w:t xml:space="preserve"> will implement a range of initiatives that are designed to ensure access, opportunity, and success across the University, with focus on supporting First Nations students, students from low socio-economic backgrounds, rural and remote students, and students with disability. These initiatives include:</w:t>
            </w:r>
          </w:p>
          <w:p w14:paraId="0303E39B" w14:textId="54410F18" w:rsidR="002014E0" w:rsidRPr="002014E0" w:rsidRDefault="002014E0"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2014E0">
              <w:rPr>
                <w:rFonts w:asciiTheme="minorHAnsi" w:hAnsiTheme="minorHAnsi" w:cstheme="minorHAnsi"/>
                <w:iCs/>
                <w:color w:val="000000" w:themeColor="text1"/>
                <w:szCs w:val="22"/>
              </w:rPr>
              <w:t xml:space="preserve">Improving access and entry for students through scholarships and entry pathways for equity groups, new cohorts of learners and First Nations </w:t>
            </w:r>
            <w:proofErr w:type="gramStart"/>
            <w:r w:rsidRPr="002014E0">
              <w:rPr>
                <w:rFonts w:asciiTheme="minorHAnsi" w:hAnsiTheme="minorHAnsi" w:cstheme="minorHAnsi"/>
                <w:iCs/>
                <w:color w:val="000000" w:themeColor="text1"/>
                <w:szCs w:val="22"/>
              </w:rPr>
              <w:t>students;</w:t>
            </w:r>
            <w:proofErr w:type="gramEnd"/>
          </w:p>
          <w:p w14:paraId="473F7113" w14:textId="5EECE9E7" w:rsidR="002014E0" w:rsidRPr="002014E0" w:rsidRDefault="002014E0"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2014E0">
              <w:rPr>
                <w:rFonts w:asciiTheme="minorHAnsi" w:hAnsiTheme="minorHAnsi" w:cstheme="minorHAnsi"/>
                <w:iCs/>
                <w:color w:val="000000" w:themeColor="text1"/>
                <w:szCs w:val="22"/>
              </w:rPr>
              <w:t xml:space="preserve">Implementing our First Nations Strategy that seeks to transform the First Nations experience for all students and </w:t>
            </w:r>
            <w:proofErr w:type="gramStart"/>
            <w:r w:rsidRPr="002014E0">
              <w:rPr>
                <w:rFonts w:asciiTheme="minorHAnsi" w:hAnsiTheme="minorHAnsi" w:cstheme="minorHAnsi"/>
                <w:iCs/>
                <w:color w:val="000000" w:themeColor="text1"/>
                <w:szCs w:val="22"/>
              </w:rPr>
              <w:t>staff;</w:t>
            </w:r>
            <w:proofErr w:type="gramEnd"/>
          </w:p>
          <w:p w14:paraId="67E1AF7B" w14:textId="41D6291F" w:rsidR="002014E0" w:rsidRPr="002014E0" w:rsidRDefault="002014E0"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2014E0">
              <w:rPr>
                <w:rFonts w:asciiTheme="minorHAnsi" w:hAnsiTheme="minorHAnsi" w:cstheme="minorHAnsi"/>
                <w:iCs/>
                <w:color w:val="000000" w:themeColor="text1"/>
                <w:szCs w:val="22"/>
              </w:rPr>
              <w:t xml:space="preserve">Supporting mentorship programs, peer assisted study sessions to help students understand and apply key </w:t>
            </w:r>
            <w:proofErr w:type="gramStart"/>
            <w:r w:rsidRPr="002014E0">
              <w:rPr>
                <w:rFonts w:asciiTheme="minorHAnsi" w:hAnsiTheme="minorHAnsi" w:cstheme="minorHAnsi"/>
                <w:iCs/>
                <w:color w:val="000000" w:themeColor="text1"/>
                <w:szCs w:val="22"/>
              </w:rPr>
              <w:t>concepts;</w:t>
            </w:r>
            <w:proofErr w:type="gramEnd"/>
            <w:r w:rsidRPr="002014E0">
              <w:rPr>
                <w:rFonts w:asciiTheme="minorHAnsi" w:hAnsiTheme="minorHAnsi" w:cstheme="minorHAnsi"/>
                <w:iCs/>
                <w:color w:val="000000" w:themeColor="text1"/>
                <w:szCs w:val="22"/>
              </w:rPr>
              <w:t xml:space="preserve"> </w:t>
            </w:r>
          </w:p>
          <w:p w14:paraId="581600C3" w14:textId="4FF45ACF" w:rsidR="002014E0" w:rsidRPr="002014E0" w:rsidRDefault="002014E0"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2014E0">
              <w:rPr>
                <w:rFonts w:asciiTheme="minorHAnsi" w:hAnsiTheme="minorHAnsi" w:cstheme="minorHAnsi"/>
                <w:iCs/>
                <w:color w:val="000000" w:themeColor="text1"/>
                <w:szCs w:val="22"/>
              </w:rPr>
              <w:t>Supporting the Writing Centre to help students in their writing through in person and online via one-on-one consultations; and</w:t>
            </w:r>
          </w:p>
          <w:p w14:paraId="5F281513" w14:textId="6C4C9B27" w:rsidR="002014E0" w:rsidRPr="002014E0" w:rsidRDefault="002014E0"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2014E0">
              <w:rPr>
                <w:rFonts w:asciiTheme="minorHAnsi" w:hAnsiTheme="minorHAnsi" w:cstheme="minorHAnsi"/>
                <w:iCs/>
                <w:color w:val="000000" w:themeColor="text1"/>
                <w:szCs w:val="22"/>
              </w:rPr>
              <w:t xml:space="preserve">Providing health support such as disability support for personalised advice and assistance to students with </w:t>
            </w:r>
            <w:proofErr w:type="gramStart"/>
            <w:r w:rsidRPr="002014E0">
              <w:rPr>
                <w:rFonts w:asciiTheme="minorHAnsi" w:hAnsiTheme="minorHAnsi" w:cstheme="minorHAnsi"/>
                <w:iCs/>
                <w:color w:val="000000" w:themeColor="text1"/>
                <w:szCs w:val="22"/>
              </w:rPr>
              <w:t>disabilities, and</w:t>
            </w:r>
            <w:proofErr w:type="gramEnd"/>
            <w:r w:rsidRPr="002014E0">
              <w:rPr>
                <w:rFonts w:asciiTheme="minorHAnsi" w:hAnsiTheme="minorHAnsi" w:cstheme="minorHAnsi"/>
                <w:iCs/>
                <w:color w:val="000000" w:themeColor="text1"/>
                <w:szCs w:val="22"/>
              </w:rPr>
              <w:t xml:space="preserve"> working with students to identify relevant reasonable adjustments.</w:t>
            </w:r>
          </w:p>
          <w:p w14:paraId="57DFFCD9" w14:textId="67FAA4F0" w:rsidR="001B109C" w:rsidRDefault="002014E0" w:rsidP="003D76C1">
            <w:pPr>
              <w:pStyle w:val="NormalIndent"/>
              <w:widowControl w:val="0"/>
              <w:spacing w:after="0"/>
              <w:ind w:left="0"/>
              <w:rPr>
                <w:rFonts w:asciiTheme="minorHAnsi" w:hAnsiTheme="minorHAnsi" w:cstheme="minorHAnsi"/>
                <w:iCs/>
                <w:color w:val="000000" w:themeColor="text1"/>
                <w:szCs w:val="22"/>
              </w:rPr>
            </w:pPr>
            <w:bookmarkStart w:id="2" w:name="_Hlk158374398"/>
            <w:r w:rsidRPr="002014E0">
              <w:rPr>
                <w:rFonts w:asciiTheme="minorHAnsi" w:hAnsiTheme="minorHAnsi" w:cstheme="minorHAnsi"/>
                <w:iCs/>
                <w:color w:val="000000" w:themeColor="text1"/>
                <w:szCs w:val="22"/>
              </w:rPr>
              <w:t>In addition</w:t>
            </w:r>
            <w:r>
              <w:rPr>
                <w:rFonts w:asciiTheme="minorHAnsi" w:hAnsiTheme="minorHAnsi" w:cstheme="minorHAnsi"/>
                <w:iCs/>
                <w:color w:val="000000" w:themeColor="text1"/>
                <w:szCs w:val="22"/>
              </w:rPr>
              <w:t xml:space="preserve"> to these core strategic and operational investment</w:t>
            </w:r>
            <w:r w:rsidRPr="002014E0">
              <w:rPr>
                <w:rFonts w:asciiTheme="minorHAnsi" w:hAnsiTheme="minorHAnsi" w:cstheme="minorHAnsi"/>
                <w:iCs/>
                <w:color w:val="000000" w:themeColor="text1"/>
                <w:szCs w:val="22"/>
              </w:rPr>
              <w:t xml:space="preserve"> </w:t>
            </w:r>
            <w:proofErr w:type="spellStart"/>
            <w:r w:rsidRPr="002014E0">
              <w:rPr>
                <w:rFonts w:asciiTheme="minorHAnsi" w:hAnsiTheme="minorHAnsi" w:cstheme="minorHAnsi"/>
                <w:iCs/>
                <w:color w:val="000000" w:themeColor="text1"/>
                <w:szCs w:val="22"/>
              </w:rPr>
              <w:t>UoA</w:t>
            </w:r>
            <w:proofErr w:type="spellEnd"/>
            <w:r w:rsidRPr="002014E0">
              <w:rPr>
                <w:rFonts w:asciiTheme="minorHAnsi" w:hAnsiTheme="minorHAnsi" w:cstheme="minorHAnsi"/>
                <w:iCs/>
                <w:color w:val="000000" w:themeColor="text1"/>
                <w:szCs w:val="22"/>
              </w:rPr>
              <w:t xml:space="preserve"> </w:t>
            </w:r>
            <w:r>
              <w:rPr>
                <w:rFonts w:asciiTheme="minorHAnsi" w:hAnsiTheme="minorHAnsi" w:cstheme="minorHAnsi"/>
                <w:iCs/>
                <w:color w:val="000000" w:themeColor="text1"/>
                <w:szCs w:val="22"/>
              </w:rPr>
              <w:t xml:space="preserve">welcomes the opportunity to reinforce allocations with </w:t>
            </w:r>
            <w:r w:rsidRPr="002014E0">
              <w:rPr>
                <w:rFonts w:asciiTheme="minorHAnsi" w:hAnsiTheme="minorHAnsi" w:cstheme="minorHAnsi"/>
                <w:iCs/>
                <w:color w:val="000000" w:themeColor="text1"/>
                <w:szCs w:val="22"/>
              </w:rPr>
              <w:t>funding from the Higher Education Continuity Grant</w:t>
            </w:r>
            <w:r>
              <w:rPr>
                <w:rFonts w:asciiTheme="minorHAnsi" w:hAnsiTheme="minorHAnsi" w:cstheme="minorHAnsi"/>
                <w:iCs/>
                <w:color w:val="000000" w:themeColor="text1"/>
                <w:szCs w:val="22"/>
              </w:rPr>
              <w:t xml:space="preserve"> (HECG).  Current projections show like</w:t>
            </w:r>
            <w:r w:rsidR="00B84E33">
              <w:rPr>
                <w:rFonts w:asciiTheme="minorHAnsi" w:hAnsiTheme="minorHAnsi" w:cstheme="minorHAnsi"/>
                <w:iCs/>
                <w:color w:val="000000" w:themeColor="text1"/>
                <w:szCs w:val="22"/>
              </w:rPr>
              <w:t>ly</w:t>
            </w:r>
            <w:r>
              <w:rPr>
                <w:rFonts w:asciiTheme="minorHAnsi" w:hAnsiTheme="minorHAnsi" w:cstheme="minorHAnsi"/>
                <w:iCs/>
                <w:color w:val="000000" w:themeColor="text1"/>
                <w:szCs w:val="22"/>
              </w:rPr>
              <w:t xml:space="preserve"> HECG in the order or $1-2m.</w:t>
            </w:r>
            <w:r w:rsidR="00B84E33">
              <w:rPr>
                <w:rFonts w:asciiTheme="minorHAnsi" w:hAnsiTheme="minorHAnsi" w:cstheme="minorHAnsi"/>
                <w:iCs/>
                <w:color w:val="000000" w:themeColor="text1"/>
                <w:szCs w:val="22"/>
              </w:rPr>
              <w:t xml:space="preserve">  Detailed planning is underway, but it is likely that this amount will be invested in outreach activities and</w:t>
            </w:r>
            <w:r w:rsidRPr="002014E0">
              <w:rPr>
                <w:rFonts w:asciiTheme="minorHAnsi" w:hAnsiTheme="minorHAnsi" w:cstheme="minorHAnsi"/>
                <w:iCs/>
                <w:color w:val="000000" w:themeColor="text1"/>
                <w:szCs w:val="22"/>
              </w:rPr>
              <w:t xml:space="preserve"> scholarships. </w:t>
            </w:r>
            <w:r w:rsidR="00B84E33">
              <w:rPr>
                <w:rFonts w:asciiTheme="minorHAnsi" w:hAnsiTheme="minorHAnsi" w:cstheme="minorHAnsi"/>
                <w:iCs/>
                <w:color w:val="000000" w:themeColor="text1"/>
                <w:szCs w:val="22"/>
              </w:rPr>
              <w:t xml:space="preserve"> Given the horizon for expending the grant extends beyond the opening of the new Adelaide University these investments will need to be coordinated with the University of South Australia. </w:t>
            </w:r>
            <w:r w:rsidRPr="002014E0">
              <w:rPr>
                <w:rFonts w:asciiTheme="minorHAnsi" w:hAnsiTheme="minorHAnsi" w:cstheme="minorHAnsi"/>
                <w:iCs/>
                <w:color w:val="000000" w:themeColor="text1"/>
                <w:szCs w:val="22"/>
              </w:rPr>
              <w:t xml:space="preserve">Details </w:t>
            </w:r>
            <w:r w:rsidR="00B84E33">
              <w:rPr>
                <w:rFonts w:asciiTheme="minorHAnsi" w:hAnsiTheme="minorHAnsi" w:cstheme="minorHAnsi"/>
                <w:iCs/>
                <w:color w:val="000000" w:themeColor="text1"/>
                <w:szCs w:val="22"/>
              </w:rPr>
              <w:t>will be</w:t>
            </w:r>
            <w:r w:rsidRPr="002014E0">
              <w:rPr>
                <w:rFonts w:asciiTheme="minorHAnsi" w:hAnsiTheme="minorHAnsi" w:cstheme="minorHAnsi"/>
                <w:iCs/>
                <w:color w:val="000000" w:themeColor="text1"/>
                <w:szCs w:val="22"/>
              </w:rPr>
              <w:t xml:space="preserve"> provided in </w:t>
            </w:r>
            <w:r w:rsidR="00B84E33">
              <w:rPr>
                <w:rFonts w:asciiTheme="minorHAnsi" w:hAnsiTheme="minorHAnsi" w:cstheme="minorHAnsi"/>
                <w:iCs/>
                <w:color w:val="000000" w:themeColor="text1"/>
                <w:szCs w:val="22"/>
              </w:rPr>
              <w:t xml:space="preserve">the </w:t>
            </w:r>
            <w:r w:rsidRPr="002014E0">
              <w:rPr>
                <w:rFonts w:asciiTheme="minorHAnsi" w:hAnsiTheme="minorHAnsi" w:cstheme="minorHAnsi"/>
                <w:iCs/>
                <w:color w:val="000000" w:themeColor="text1"/>
                <w:szCs w:val="22"/>
              </w:rPr>
              <w:t>Equity Plan</w:t>
            </w:r>
            <w:bookmarkEnd w:id="0"/>
            <w:bookmarkEnd w:id="1"/>
            <w:r w:rsidR="00B84E33">
              <w:rPr>
                <w:rFonts w:asciiTheme="minorHAnsi" w:hAnsiTheme="minorHAnsi" w:cstheme="minorHAnsi"/>
                <w:iCs/>
                <w:color w:val="000000" w:themeColor="text1"/>
                <w:szCs w:val="22"/>
              </w:rPr>
              <w:t>.</w:t>
            </w:r>
          </w:p>
          <w:bookmarkEnd w:id="2"/>
          <w:p w14:paraId="2DBB63BA" w14:textId="77777777" w:rsidR="00B84E33" w:rsidRDefault="00B84E33" w:rsidP="003D76C1">
            <w:pPr>
              <w:pStyle w:val="NormalIndent"/>
              <w:widowControl w:val="0"/>
              <w:spacing w:after="0"/>
              <w:ind w:left="0"/>
            </w:pPr>
          </w:p>
          <w:p w14:paraId="44120B80" w14:textId="77777777" w:rsidR="00F02276" w:rsidRDefault="00F02276" w:rsidP="003D76C1">
            <w:pPr>
              <w:pStyle w:val="NormalIndent"/>
              <w:widowControl w:val="0"/>
              <w:spacing w:after="0"/>
              <w:ind w:left="0"/>
            </w:pPr>
          </w:p>
          <w:p w14:paraId="22B87A46" w14:textId="355CB9FB" w:rsidR="002218BE" w:rsidRDefault="002218BE" w:rsidP="003D76C1">
            <w:pPr>
              <w:pStyle w:val="NormalIndent"/>
              <w:widowControl w:val="0"/>
              <w:spacing w:after="0"/>
              <w:ind w:left="0"/>
            </w:pPr>
          </w:p>
        </w:tc>
      </w:tr>
      <w:tr w:rsidR="001B109C" w:rsidRPr="00E41388" w14:paraId="39ADE404" w14:textId="77777777" w:rsidTr="00E35741">
        <w:trPr>
          <w:cantSplit/>
        </w:trPr>
        <w:tc>
          <w:tcPr>
            <w:tcW w:w="5000" w:type="pct"/>
          </w:tcPr>
          <w:p w14:paraId="5E8BF11E" w14:textId="0E120B78" w:rsidR="001B109C" w:rsidRPr="002A58A5" w:rsidRDefault="001B109C" w:rsidP="003D76C1">
            <w:pPr>
              <w:pStyle w:val="Heading4"/>
              <w:keepNext w:val="0"/>
              <w:keepLines w:val="0"/>
              <w:widowControl w:val="0"/>
              <w:spacing w:before="18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2218BE" w:rsidRPr="00E41388" w14:paraId="031496A9" w14:textId="77777777" w:rsidTr="00E35741">
        <w:trPr>
          <w:cantSplit/>
        </w:trPr>
        <w:tc>
          <w:tcPr>
            <w:tcW w:w="5000" w:type="pct"/>
          </w:tcPr>
          <w:p w14:paraId="0F29705C" w14:textId="77777777" w:rsidR="002218BE" w:rsidRPr="003A4F47" w:rsidRDefault="002218BE" w:rsidP="003D76C1">
            <w:pPr>
              <w:pStyle w:val="NormalIndent"/>
              <w:widowControl w:val="0"/>
              <w:spacing w:after="0"/>
              <w:ind w:left="0"/>
              <w:rPr>
                <w:rFonts w:asciiTheme="minorHAnsi" w:hAnsiTheme="minorHAnsi" w:cstheme="minorHAnsi"/>
                <w:iCs/>
                <w:color w:val="000000" w:themeColor="text1"/>
                <w:szCs w:val="22"/>
              </w:rPr>
            </w:pPr>
            <w:proofErr w:type="spellStart"/>
            <w:r w:rsidRPr="003A4F47">
              <w:rPr>
                <w:rFonts w:asciiTheme="minorHAnsi" w:hAnsiTheme="minorHAnsi" w:cstheme="minorHAnsi"/>
                <w:iCs/>
                <w:color w:val="000000" w:themeColor="text1"/>
                <w:szCs w:val="22"/>
              </w:rPr>
              <w:t>UoA</w:t>
            </w:r>
            <w:proofErr w:type="spellEnd"/>
            <w:r w:rsidRPr="003A4F47">
              <w:rPr>
                <w:rFonts w:asciiTheme="minorHAnsi" w:hAnsiTheme="minorHAnsi" w:cstheme="minorHAnsi"/>
                <w:iCs/>
                <w:color w:val="000000" w:themeColor="text1"/>
                <w:szCs w:val="22"/>
              </w:rPr>
              <w:t xml:space="preserve"> will support its ambition to provide excellent learning experiences across campus, online and blended delivery modes and meet student expectations by building staff capability to design and deliver a contemporary curriculum. </w:t>
            </w:r>
            <w:proofErr w:type="spellStart"/>
            <w:r w:rsidRPr="003A4F47">
              <w:rPr>
                <w:rFonts w:asciiTheme="minorHAnsi" w:hAnsiTheme="minorHAnsi" w:cstheme="minorHAnsi"/>
                <w:iCs/>
                <w:color w:val="000000" w:themeColor="text1"/>
                <w:szCs w:val="22"/>
              </w:rPr>
              <w:t>UoA’s</w:t>
            </w:r>
            <w:proofErr w:type="spellEnd"/>
            <w:r w:rsidRPr="003A4F47">
              <w:rPr>
                <w:rFonts w:asciiTheme="minorHAnsi" w:hAnsiTheme="minorHAnsi" w:cstheme="minorHAnsi"/>
                <w:iCs/>
                <w:color w:val="000000" w:themeColor="text1"/>
                <w:szCs w:val="22"/>
              </w:rPr>
              <w:t xml:space="preserve"> curriculum will remain relevant by adjusting to respond to emerging opportunities, technological and policy changes, and evolving accreditation requirements. This will prepare students for future workforce success and enabling lifelong learning.</w:t>
            </w:r>
          </w:p>
          <w:p w14:paraId="43C83763" w14:textId="77777777" w:rsidR="002218BE" w:rsidRPr="003A4F47" w:rsidRDefault="002218BE" w:rsidP="003D76C1">
            <w:pPr>
              <w:pStyle w:val="NormalIndent"/>
              <w:widowControl w:val="0"/>
              <w:spacing w:after="0"/>
              <w:ind w:left="0"/>
              <w:rPr>
                <w:rFonts w:asciiTheme="minorHAnsi" w:hAnsiTheme="minorHAnsi" w:cstheme="minorHAnsi"/>
                <w:iCs/>
                <w:color w:val="000000" w:themeColor="text1"/>
                <w:szCs w:val="22"/>
              </w:rPr>
            </w:pPr>
            <w:proofErr w:type="spellStart"/>
            <w:r w:rsidRPr="003A4F47">
              <w:rPr>
                <w:rFonts w:asciiTheme="minorHAnsi" w:hAnsiTheme="minorHAnsi" w:cstheme="minorHAnsi"/>
                <w:iCs/>
                <w:color w:val="000000" w:themeColor="text1"/>
                <w:szCs w:val="22"/>
              </w:rPr>
              <w:t>UoA</w:t>
            </w:r>
            <w:proofErr w:type="spellEnd"/>
            <w:r w:rsidRPr="003A4F47">
              <w:rPr>
                <w:rFonts w:asciiTheme="minorHAnsi" w:hAnsiTheme="minorHAnsi" w:cstheme="minorHAnsi"/>
                <w:iCs/>
                <w:color w:val="000000" w:themeColor="text1"/>
                <w:szCs w:val="22"/>
              </w:rPr>
              <w:t xml:space="preserve"> will measure its progress through targets such as:</w:t>
            </w:r>
          </w:p>
          <w:p w14:paraId="7301B31E" w14:textId="77777777" w:rsidR="002218BE" w:rsidRPr="003A4F47" w:rsidRDefault="002218BE"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3A4F47">
              <w:rPr>
                <w:rFonts w:asciiTheme="minorHAnsi" w:hAnsiTheme="minorHAnsi" w:cstheme="minorHAnsi"/>
                <w:iCs/>
                <w:color w:val="000000" w:themeColor="text1"/>
                <w:szCs w:val="22"/>
              </w:rPr>
              <w:t xml:space="preserve">Achieving an overall employment rate (domestic </w:t>
            </w:r>
            <w:proofErr w:type="gramStart"/>
            <w:r w:rsidRPr="003A4F47">
              <w:rPr>
                <w:rFonts w:asciiTheme="minorHAnsi" w:hAnsiTheme="minorHAnsi" w:cstheme="minorHAnsi"/>
                <w:iCs/>
                <w:color w:val="000000" w:themeColor="text1"/>
                <w:szCs w:val="22"/>
              </w:rPr>
              <w:t>3 year</w:t>
            </w:r>
            <w:proofErr w:type="gramEnd"/>
            <w:r w:rsidRPr="003A4F47">
              <w:rPr>
                <w:rFonts w:asciiTheme="minorHAnsi" w:hAnsiTheme="minorHAnsi" w:cstheme="minorHAnsi"/>
                <w:iCs/>
                <w:color w:val="000000" w:themeColor="text1"/>
                <w:szCs w:val="22"/>
              </w:rPr>
              <w:t xml:space="preserve"> aggregate) above the SA </w:t>
            </w:r>
            <w:proofErr w:type="gramStart"/>
            <w:r w:rsidRPr="003A4F47">
              <w:rPr>
                <w:rFonts w:asciiTheme="minorHAnsi" w:hAnsiTheme="minorHAnsi" w:cstheme="minorHAnsi"/>
                <w:iCs/>
                <w:color w:val="000000" w:themeColor="text1"/>
                <w:szCs w:val="22"/>
              </w:rPr>
              <w:t>average;</w:t>
            </w:r>
            <w:proofErr w:type="gramEnd"/>
          </w:p>
          <w:p w14:paraId="23418428" w14:textId="77777777" w:rsidR="002218BE" w:rsidRPr="003A4F47" w:rsidRDefault="002218BE"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3A4F47">
              <w:rPr>
                <w:rFonts w:asciiTheme="minorHAnsi" w:hAnsiTheme="minorHAnsi" w:cstheme="minorHAnsi"/>
                <w:iCs/>
                <w:color w:val="000000" w:themeColor="text1"/>
                <w:szCs w:val="22"/>
              </w:rPr>
              <w:t xml:space="preserve">Increasing the number of commencing international coursework students to 2,832 by 2024 and 2,911 by </w:t>
            </w:r>
            <w:proofErr w:type="gramStart"/>
            <w:r w:rsidRPr="003A4F47">
              <w:rPr>
                <w:rFonts w:asciiTheme="minorHAnsi" w:hAnsiTheme="minorHAnsi" w:cstheme="minorHAnsi"/>
                <w:iCs/>
                <w:color w:val="000000" w:themeColor="text1"/>
                <w:szCs w:val="22"/>
              </w:rPr>
              <w:t>2025;</w:t>
            </w:r>
            <w:proofErr w:type="gramEnd"/>
          </w:p>
          <w:p w14:paraId="2377A88E" w14:textId="77777777" w:rsidR="002218BE" w:rsidRPr="003A4F47" w:rsidRDefault="002218BE"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3A4F47">
              <w:rPr>
                <w:rFonts w:asciiTheme="minorHAnsi" w:hAnsiTheme="minorHAnsi" w:cstheme="minorHAnsi"/>
                <w:iCs/>
                <w:color w:val="000000" w:themeColor="text1"/>
                <w:szCs w:val="22"/>
              </w:rPr>
              <w:t xml:space="preserve">Increasing 1% per annum in student satisfaction scores with overall experience, student support, learning resources and learner engagement; and </w:t>
            </w:r>
          </w:p>
          <w:p w14:paraId="408A2800" w14:textId="77777777" w:rsidR="002218BE" w:rsidRPr="003A4F47" w:rsidRDefault="002218BE"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3A4F47">
              <w:rPr>
                <w:rFonts w:asciiTheme="minorHAnsi" w:hAnsiTheme="minorHAnsi" w:cstheme="minorHAnsi"/>
                <w:iCs/>
                <w:color w:val="000000" w:themeColor="text1"/>
                <w:szCs w:val="22"/>
              </w:rPr>
              <w:t xml:space="preserve">Improving international ranking performance across priority ranking schemes by one position. </w:t>
            </w:r>
          </w:p>
          <w:p w14:paraId="0F2D6EBB" w14:textId="77777777" w:rsidR="002218BE" w:rsidRPr="003A4F47" w:rsidRDefault="002218BE" w:rsidP="003D76C1">
            <w:pPr>
              <w:pStyle w:val="NormalIndent"/>
              <w:widowControl w:val="0"/>
              <w:spacing w:after="0"/>
              <w:ind w:left="0"/>
              <w:rPr>
                <w:rFonts w:asciiTheme="minorHAnsi" w:hAnsiTheme="minorHAnsi" w:cstheme="minorHAnsi"/>
                <w:iCs/>
                <w:color w:val="000000" w:themeColor="text1"/>
                <w:szCs w:val="22"/>
              </w:rPr>
            </w:pPr>
            <w:r w:rsidRPr="003A4F47">
              <w:rPr>
                <w:rFonts w:asciiTheme="minorHAnsi" w:hAnsiTheme="minorHAnsi" w:cstheme="minorHAnsi"/>
                <w:iCs/>
                <w:color w:val="000000" w:themeColor="text1"/>
                <w:szCs w:val="22"/>
              </w:rPr>
              <w:t xml:space="preserve">As </w:t>
            </w:r>
            <w:proofErr w:type="spellStart"/>
            <w:r w:rsidRPr="003A4F47">
              <w:rPr>
                <w:rFonts w:asciiTheme="minorHAnsi" w:hAnsiTheme="minorHAnsi" w:cstheme="minorHAnsi"/>
                <w:iCs/>
                <w:color w:val="000000" w:themeColor="text1"/>
                <w:szCs w:val="22"/>
              </w:rPr>
              <w:t>UoA</w:t>
            </w:r>
            <w:proofErr w:type="spellEnd"/>
            <w:r w:rsidRPr="003A4F47">
              <w:rPr>
                <w:rFonts w:asciiTheme="minorHAnsi" w:hAnsiTheme="minorHAnsi" w:cstheme="minorHAnsi"/>
                <w:iCs/>
                <w:color w:val="000000" w:themeColor="text1"/>
                <w:szCs w:val="22"/>
              </w:rPr>
              <w:t xml:space="preserve"> aims to grow and increase the diversity of its international student cohort, </w:t>
            </w:r>
            <w:proofErr w:type="spellStart"/>
            <w:r w:rsidRPr="003A4F47">
              <w:rPr>
                <w:rFonts w:asciiTheme="minorHAnsi" w:hAnsiTheme="minorHAnsi" w:cstheme="minorHAnsi"/>
                <w:iCs/>
                <w:color w:val="000000" w:themeColor="text1"/>
                <w:szCs w:val="22"/>
              </w:rPr>
              <w:t>UoA</w:t>
            </w:r>
            <w:proofErr w:type="spellEnd"/>
            <w:r w:rsidRPr="003A4F47">
              <w:rPr>
                <w:rFonts w:asciiTheme="minorHAnsi" w:hAnsiTheme="minorHAnsi" w:cstheme="minorHAnsi"/>
                <w:iCs/>
                <w:color w:val="000000" w:themeColor="text1"/>
                <w:szCs w:val="22"/>
              </w:rPr>
              <w:t xml:space="preserve"> will implement initiatives that support these students through:</w:t>
            </w:r>
          </w:p>
          <w:p w14:paraId="5CFDB088" w14:textId="77777777" w:rsidR="002218BE" w:rsidRPr="003A4F47" w:rsidRDefault="002218BE"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3A4F47">
              <w:rPr>
                <w:rFonts w:asciiTheme="minorHAnsi" w:hAnsiTheme="minorHAnsi" w:cstheme="minorHAnsi"/>
                <w:iCs/>
                <w:color w:val="000000" w:themeColor="text1"/>
                <w:szCs w:val="22"/>
              </w:rPr>
              <w:t xml:space="preserve">Enhancing student recruitment for growth and diversity, through international student recruitment operations with a focus on expanding current and developing new partnerships for recruitment of students in </w:t>
            </w:r>
            <w:proofErr w:type="gramStart"/>
            <w:r w:rsidRPr="003A4F47">
              <w:rPr>
                <w:rFonts w:asciiTheme="minorHAnsi" w:hAnsiTheme="minorHAnsi" w:cstheme="minorHAnsi"/>
                <w:iCs/>
                <w:color w:val="000000" w:themeColor="text1"/>
                <w:szCs w:val="22"/>
              </w:rPr>
              <w:t>cohorts;</w:t>
            </w:r>
            <w:proofErr w:type="gramEnd"/>
            <w:r w:rsidRPr="003A4F47">
              <w:rPr>
                <w:rFonts w:asciiTheme="minorHAnsi" w:hAnsiTheme="minorHAnsi" w:cstheme="minorHAnsi"/>
                <w:iCs/>
                <w:color w:val="000000" w:themeColor="text1"/>
                <w:szCs w:val="22"/>
              </w:rPr>
              <w:t xml:space="preserve"> </w:t>
            </w:r>
          </w:p>
          <w:p w14:paraId="0B6A3EE1" w14:textId="77777777" w:rsidR="002218BE" w:rsidRPr="003A4F47" w:rsidRDefault="002218BE"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3A4F47">
              <w:rPr>
                <w:rFonts w:asciiTheme="minorHAnsi" w:hAnsiTheme="minorHAnsi" w:cstheme="minorHAnsi"/>
                <w:iCs/>
                <w:color w:val="000000" w:themeColor="text1"/>
                <w:szCs w:val="22"/>
              </w:rPr>
              <w:t>Supporting staff and students to thrive amongst diversity, by continuing academic, language, induction, intercultural engagement, and career support for international students to contribute to a more successful and thriving international student cohort.</w:t>
            </w:r>
          </w:p>
          <w:p w14:paraId="05FAFFAE" w14:textId="77777777" w:rsidR="002218BE" w:rsidRPr="003A4F47" w:rsidRDefault="002218BE" w:rsidP="003D76C1">
            <w:pPr>
              <w:pStyle w:val="NormalIndent"/>
              <w:widowControl w:val="0"/>
              <w:spacing w:after="0"/>
              <w:ind w:left="0"/>
              <w:rPr>
                <w:rFonts w:asciiTheme="minorHAnsi" w:hAnsiTheme="minorHAnsi" w:cstheme="minorHAnsi"/>
                <w:iCs/>
                <w:color w:val="000000" w:themeColor="text1"/>
                <w:szCs w:val="22"/>
              </w:rPr>
            </w:pPr>
            <w:proofErr w:type="spellStart"/>
            <w:r w:rsidRPr="003A4F47">
              <w:rPr>
                <w:rFonts w:asciiTheme="minorHAnsi" w:hAnsiTheme="minorHAnsi" w:cstheme="minorHAnsi"/>
                <w:iCs/>
                <w:color w:val="000000" w:themeColor="text1"/>
                <w:szCs w:val="22"/>
              </w:rPr>
              <w:t>UoA</w:t>
            </w:r>
            <w:proofErr w:type="spellEnd"/>
            <w:r w:rsidRPr="003A4F47">
              <w:rPr>
                <w:rFonts w:asciiTheme="minorHAnsi" w:hAnsiTheme="minorHAnsi" w:cstheme="minorHAnsi"/>
                <w:iCs/>
                <w:color w:val="000000" w:themeColor="text1"/>
                <w:szCs w:val="22"/>
              </w:rPr>
              <w:t xml:space="preserve"> will enhance staff capability, responsiveness to change, and industry relevance, focused on enhancing skills, career readiness and post-graduation outcomes. Through monitoring emerging opportunities, technological and policy changes, and evolving accreditation requirements, this will ensure </w:t>
            </w:r>
            <w:proofErr w:type="spellStart"/>
            <w:r w:rsidRPr="003A4F47">
              <w:rPr>
                <w:rFonts w:asciiTheme="minorHAnsi" w:hAnsiTheme="minorHAnsi" w:cstheme="minorHAnsi"/>
                <w:iCs/>
                <w:color w:val="000000" w:themeColor="text1"/>
                <w:szCs w:val="22"/>
              </w:rPr>
              <w:t>UoA’s</w:t>
            </w:r>
            <w:proofErr w:type="spellEnd"/>
            <w:r w:rsidRPr="003A4F47">
              <w:rPr>
                <w:rFonts w:asciiTheme="minorHAnsi" w:hAnsiTheme="minorHAnsi" w:cstheme="minorHAnsi"/>
                <w:iCs/>
                <w:color w:val="000000" w:themeColor="text1"/>
                <w:szCs w:val="22"/>
              </w:rPr>
              <w:t xml:space="preserve"> curriculum remains relevant and better prepares its students for success in the labour market and improves employability. </w:t>
            </w:r>
            <w:proofErr w:type="spellStart"/>
            <w:r w:rsidRPr="003A4F47">
              <w:rPr>
                <w:rFonts w:asciiTheme="minorHAnsi" w:hAnsiTheme="minorHAnsi" w:cstheme="minorHAnsi"/>
                <w:iCs/>
                <w:color w:val="000000" w:themeColor="text1"/>
                <w:szCs w:val="22"/>
              </w:rPr>
              <w:t>UoA</w:t>
            </w:r>
            <w:proofErr w:type="spellEnd"/>
            <w:r w:rsidRPr="003A4F47">
              <w:rPr>
                <w:rFonts w:asciiTheme="minorHAnsi" w:hAnsiTheme="minorHAnsi" w:cstheme="minorHAnsi"/>
                <w:iCs/>
                <w:color w:val="000000" w:themeColor="text1"/>
                <w:szCs w:val="22"/>
              </w:rPr>
              <w:t xml:space="preserve"> has identified a series of initiatives to support this ambition. These initiatives have been selected to reflect ambition on curriculum, program structure, student experience and support. These include:</w:t>
            </w:r>
          </w:p>
          <w:p w14:paraId="092F63B2" w14:textId="77777777" w:rsidR="002218BE" w:rsidRPr="003A4F47" w:rsidRDefault="002218BE"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3A4F47">
              <w:rPr>
                <w:rFonts w:asciiTheme="minorHAnsi" w:hAnsiTheme="minorHAnsi" w:cstheme="minorHAnsi"/>
                <w:iCs/>
                <w:color w:val="000000" w:themeColor="text1"/>
                <w:szCs w:val="22"/>
              </w:rPr>
              <w:t xml:space="preserve">Developing a learning ambition and roadmap to enhance and transform learning and teaching in a digital </w:t>
            </w:r>
            <w:proofErr w:type="gramStart"/>
            <w:r w:rsidRPr="003A4F47">
              <w:rPr>
                <w:rFonts w:asciiTheme="minorHAnsi" w:hAnsiTheme="minorHAnsi" w:cstheme="minorHAnsi"/>
                <w:iCs/>
                <w:color w:val="000000" w:themeColor="text1"/>
                <w:szCs w:val="22"/>
              </w:rPr>
              <w:t>world;</w:t>
            </w:r>
            <w:proofErr w:type="gramEnd"/>
            <w:r w:rsidRPr="003A4F47">
              <w:rPr>
                <w:rFonts w:asciiTheme="minorHAnsi" w:hAnsiTheme="minorHAnsi" w:cstheme="minorHAnsi"/>
                <w:iCs/>
                <w:color w:val="000000" w:themeColor="text1"/>
                <w:szCs w:val="22"/>
              </w:rPr>
              <w:t xml:space="preserve"> </w:t>
            </w:r>
          </w:p>
          <w:p w14:paraId="7A1060F4" w14:textId="77777777" w:rsidR="002218BE" w:rsidRPr="003A4F47" w:rsidRDefault="002218BE"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3A4F47">
              <w:rPr>
                <w:rFonts w:asciiTheme="minorHAnsi" w:hAnsiTheme="minorHAnsi" w:cstheme="minorHAnsi"/>
                <w:iCs/>
                <w:color w:val="000000" w:themeColor="text1"/>
                <w:szCs w:val="22"/>
              </w:rPr>
              <w:t xml:space="preserve">Developing a strong education foundation through enhancements to internships and employability programs, the PACE program, micro credential courses, education transition team, academic integrity program, and transition to in-house online </w:t>
            </w:r>
            <w:proofErr w:type="gramStart"/>
            <w:r w:rsidRPr="003A4F47">
              <w:rPr>
                <w:rFonts w:asciiTheme="minorHAnsi" w:hAnsiTheme="minorHAnsi" w:cstheme="minorHAnsi"/>
                <w:iCs/>
                <w:color w:val="000000" w:themeColor="text1"/>
                <w:szCs w:val="22"/>
              </w:rPr>
              <w:t>delivery;</w:t>
            </w:r>
            <w:proofErr w:type="gramEnd"/>
          </w:p>
          <w:p w14:paraId="616460CE" w14:textId="77777777" w:rsidR="002218BE" w:rsidRPr="003A4F47" w:rsidRDefault="002218BE"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3A4F47">
              <w:rPr>
                <w:rFonts w:asciiTheme="minorHAnsi" w:hAnsiTheme="minorHAnsi" w:cstheme="minorHAnsi"/>
                <w:iCs/>
                <w:color w:val="000000" w:themeColor="text1"/>
                <w:szCs w:val="22"/>
              </w:rPr>
              <w:t xml:space="preserve">Transitioning to an in-house online program delivery by establishing in-house capabilities to meet opportunities in the evolving digital higher education </w:t>
            </w:r>
            <w:proofErr w:type="gramStart"/>
            <w:r w:rsidRPr="003A4F47">
              <w:rPr>
                <w:rFonts w:asciiTheme="minorHAnsi" w:hAnsiTheme="minorHAnsi" w:cstheme="minorHAnsi"/>
                <w:iCs/>
                <w:color w:val="000000" w:themeColor="text1"/>
                <w:szCs w:val="22"/>
              </w:rPr>
              <w:t>landscape;</w:t>
            </w:r>
            <w:proofErr w:type="gramEnd"/>
            <w:r w:rsidRPr="003A4F47">
              <w:rPr>
                <w:rFonts w:asciiTheme="minorHAnsi" w:hAnsiTheme="minorHAnsi" w:cstheme="minorHAnsi"/>
                <w:iCs/>
                <w:color w:val="000000" w:themeColor="text1"/>
                <w:szCs w:val="22"/>
              </w:rPr>
              <w:t xml:space="preserve"> </w:t>
            </w:r>
          </w:p>
          <w:p w14:paraId="62E2BBE4" w14:textId="77777777" w:rsidR="002218BE" w:rsidRPr="003A4F47" w:rsidRDefault="002218BE"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3A4F47">
              <w:rPr>
                <w:rFonts w:asciiTheme="minorHAnsi" w:hAnsiTheme="minorHAnsi" w:cstheme="minorHAnsi"/>
                <w:iCs/>
                <w:color w:val="000000" w:themeColor="text1"/>
                <w:szCs w:val="22"/>
              </w:rPr>
              <w:t xml:space="preserve">Providing timely support and assistance to address the needs of struggling students, including targeted interventions such as counselling </w:t>
            </w:r>
            <w:proofErr w:type="gramStart"/>
            <w:r w:rsidRPr="003A4F47">
              <w:rPr>
                <w:rFonts w:asciiTheme="minorHAnsi" w:hAnsiTheme="minorHAnsi" w:cstheme="minorHAnsi"/>
                <w:iCs/>
                <w:color w:val="000000" w:themeColor="text1"/>
                <w:szCs w:val="22"/>
              </w:rPr>
              <w:t>services;</w:t>
            </w:r>
            <w:proofErr w:type="gramEnd"/>
          </w:p>
          <w:p w14:paraId="2F4EF9BD" w14:textId="77777777" w:rsidR="002218BE" w:rsidRPr="003A4F47" w:rsidRDefault="002218BE"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3A4F47">
              <w:rPr>
                <w:rFonts w:asciiTheme="minorHAnsi" w:hAnsiTheme="minorHAnsi" w:cstheme="minorHAnsi"/>
                <w:iCs/>
                <w:color w:val="000000" w:themeColor="text1"/>
                <w:szCs w:val="22"/>
              </w:rPr>
              <w:t>Implementing high-quality academic and pastoral support by enabling student success in the context of growth, diversity, and inclusion, including support for international students; student success initiatives; and a focus on student mental health and wellbeing.</w:t>
            </w:r>
          </w:p>
          <w:p w14:paraId="03CF8E52" w14:textId="77777777" w:rsidR="002218BE" w:rsidRDefault="002218BE"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3A4F47">
              <w:rPr>
                <w:rFonts w:asciiTheme="minorHAnsi" w:hAnsiTheme="minorHAnsi" w:cstheme="minorHAnsi"/>
                <w:iCs/>
                <w:color w:val="000000" w:themeColor="text1"/>
                <w:szCs w:val="22"/>
              </w:rPr>
              <w:t xml:space="preserve">Implementing the student mental health and wellbeing </w:t>
            </w:r>
            <w:proofErr w:type="gramStart"/>
            <w:r w:rsidRPr="003A4F47">
              <w:rPr>
                <w:rFonts w:asciiTheme="minorHAnsi" w:hAnsiTheme="minorHAnsi" w:cstheme="minorHAnsi"/>
                <w:iCs/>
                <w:color w:val="000000" w:themeColor="text1"/>
                <w:szCs w:val="22"/>
              </w:rPr>
              <w:t>framework;</w:t>
            </w:r>
            <w:proofErr w:type="gramEnd"/>
          </w:p>
          <w:p w14:paraId="6EB938D8" w14:textId="77777777" w:rsidR="002218BE" w:rsidRDefault="002218BE"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3D75D5">
              <w:rPr>
                <w:rFonts w:asciiTheme="minorHAnsi" w:hAnsiTheme="minorHAnsi" w:cstheme="minorHAnsi"/>
                <w:iCs/>
                <w:color w:val="000000" w:themeColor="text1"/>
                <w:szCs w:val="22"/>
              </w:rPr>
              <w:t xml:space="preserve">Providing continued services to support students through </w:t>
            </w:r>
            <w:proofErr w:type="gramStart"/>
            <w:r w:rsidRPr="003D75D5">
              <w:rPr>
                <w:rFonts w:asciiTheme="minorHAnsi" w:hAnsiTheme="minorHAnsi" w:cstheme="minorHAnsi"/>
                <w:iCs/>
                <w:color w:val="000000" w:themeColor="text1"/>
                <w:szCs w:val="22"/>
              </w:rPr>
              <w:t>drop in</w:t>
            </w:r>
            <w:proofErr w:type="gramEnd"/>
            <w:r w:rsidRPr="003D75D5">
              <w:rPr>
                <w:rFonts w:asciiTheme="minorHAnsi" w:hAnsiTheme="minorHAnsi" w:cstheme="minorHAnsi"/>
                <w:iCs/>
                <w:color w:val="000000" w:themeColor="text1"/>
                <w:szCs w:val="22"/>
              </w:rPr>
              <w:t xml:space="preserve"> centres and mentoring programs, and services such as </w:t>
            </w:r>
            <w:proofErr w:type="spellStart"/>
            <w:r w:rsidRPr="003D75D5">
              <w:rPr>
                <w:rFonts w:asciiTheme="minorHAnsi" w:hAnsiTheme="minorHAnsi" w:cstheme="minorHAnsi"/>
                <w:iCs/>
                <w:color w:val="000000" w:themeColor="text1"/>
                <w:szCs w:val="22"/>
              </w:rPr>
              <w:t>Studiosity</w:t>
            </w:r>
            <w:proofErr w:type="spellEnd"/>
            <w:r w:rsidRPr="003D75D5">
              <w:rPr>
                <w:rFonts w:asciiTheme="minorHAnsi" w:hAnsiTheme="minorHAnsi" w:cstheme="minorHAnsi"/>
                <w:iCs/>
                <w:color w:val="000000" w:themeColor="text1"/>
                <w:szCs w:val="22"/>
              </w:rPr>
              <w:t xml:space="preserve"> for afterhours online study help.</w:t>
            </w:r>
          </w:p>
          <w:p w14:paraId="20EEC552" w14:textId="4DC6D608" w:rsidR="00F65D3D" w:rsidRPr="002218BE" w:rsidRDefault="00F65D3D" w:rsidP="00F65D3D">
            <w:pPr>
              <w:pStyle w:val="NormalIndent"/>
              <w:widowControl w:val="0"/>
              <w:spacing w:before="0" w:after="0"/>
              <w:ind w:left="1080"/>
              <w:rPr>
                <w:rFonts w:asciiTheme="minorHAnsi" w:hAnsiTheme="minorHAnsi" w:cstheme="minorHAnsi"/>
                <w:iCs/>
                <w:color w:val="000000" w:themeColor="text1"/>
                <w:szCs w:val="22"/>
              </w:rPr>
            </w:pPr>
          </w:p>
        </w:tc>
      </w:tr>
      <w:tr w:rsidR="001B109C" w:rsidRPr="00E41388" w14:paraId="3701A312" w14:textId="77777777" w:rsidTr="00E35741">
        <w:trPr>
          <w:cantSplit/>
          <w:trHeight w:val="977"/>
        </w:trPr>
        <w:tc>
          <w:tcPr>
            <w:tcW w:w="5000" w:type="pct"/>
            <w:tcBorders>
              <w:bottom w:val="single" w:sz="4" w:space="0" w:color="auto"/>
            </w:tcBorders>
          </w:tcPr>
          <w:p w14:paraId="5866B4A1" w14:textId="77777777" w:rsidR="003D75D5" w:rsidRDefault="003D75D5" w:rsidP="003D76C1">
            <w:pPr>
              <w:pStyle w:val="NormalIndent"/>
              <w:widowControl w:val="0"/>
              <w:spacing w:before="0" w:after="0"/>
              <w:ind w:left="0"/>
              <w:rPr>
                <w:rFonts w:asciiTheme="minorHAnsi" w:hAnsiTheme="minorHAnsi" w:cstheme="minorHAnsi"/>
                <w:iCs/>
                <w:color w:val="000000" w:themeColor="text1"/>
                <w:szCs w:val="22"/>
              </w:rPr>
            </w:pPr>
          </w:p>
          <w:p w14:paraId="74D1FDC7" w14:textId="57C96438" w:rsidR="00E35741" w:rsidRPr="007E3E37" w:rsidRDefault="003D75D5" w:rsidP="003D76C1">
            <w:pPr>
              <w:pStyle w:val="NormalIndent"/>
              <w:widowControl w:val="0"/>
              <w:spacing w:before="0" w:after="0"/>
              <w:ind w:left="0"/>
              <w:rPr>
                <w:rFonts w:asciiTheme="minorHAnsi" w:hAnsiTheme="minorHAnsi" w:cstheme="minorHAnsi"/>
                <w:i/>
                <w:color w:val="FF0000"/>
                <w:szCs w:val="22"/>
              </w:rPr>
            </w:pPr>
            <w:r>
              <w:rPr>
                <w:rFonts w:asciiTheme="minorHAnsi" w:hAnsiTheme="minorHAnsi" w:cstheme="minorHAnsi"/>
                <w:iCs/>
                <w:color w:val="000000" w:themeColor="text1"/>
                <w:szCs w:val="22"/>
              </w:rPr>
              <w:t xml:space="preserve">In addition the University has well developed policy and procedures to proactively identify and support students at risk of poor performance further information can be found </w:t>
            </w:r>
            <w:hyperlink r:id="rId18" w:history="1">
              <w:r w:rsidRPr="003D75D5">
                <w:rPr>
                  <w:rStyle w:val="Hyperlink"/>
                  <w:rFonts w:asciiTheme="minorHAnsi" w:hAnsiTheme="minorHAnsi" w:cstheme="minorHAnsi"/>
                  <w:iCs/>
                  <w:szCs w:val="22"/>
                </w:rPr>
                <w:t>here.</w:t>
              </w:r>
            </w:hyperlink>
          </w:p>
        </w:tc>
      </w:tr>
      <w:tr w:rsidR="001B109C" w:rsidRPr="00E41388" w14:paraId="3EB68E1B" w14:textId="77777777" w:rsidTr="00E35741">
        <w:trPr>
          <w:cantSplit/>
        </w:trPr>
        <w:tc>
          <w:tcPr>
            <w:tcW w:w="5000" w:type="pct"/>
          </w:tcPr>
          <w:p w14:paraId="54D9B30B" w14:textId="09B691CB" w:rsidR="001B109C" w:rsidRPr="00E169EE" w:rsidRDefault="001B109C" w:rsidP="003D76C1">
            <w:pPr>
              <w:pStyle w:val="Heading4"/>
              <w:keepNext w:val="0"/>
              <w:keepLines w:val="0"/>
              <w:widowControl w:val="0"/>
              <w:spacing w:before="180" w:after="60"/>
            </w:pPr>
            <w:r>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00E35741">
        <w:trPr>
          <w:cantSplit/>
        </w:trPr>
        <w:tc>
          <w:tcPr>
            <w:tcW w:w="5000" w:type="pct"/>
          </w:tcPr>
          <w:p w14:paraId="6E71A7E5" w14:textId="77777777" w:rsidR="003D75D5" w:rsidRPr="003D75D5" w:rsidRDefault="003D75D5" w:rsidP="003D76C1">
            <w:pPr>
              <w:pStyle w:val="NormalIndent"/>
              <w:widowControl w:val="0"/>
              <w:spacing w:after="0"/>
              <w:ind w:left="0"/>
              <w:rPr>
                <w:rFonts w:asciiTheme="minorHAnsi" w:hAnsiTheme="minorHAnsi" w:cstheme="minorHAnsi"/>
                <w:iCs/>
                <w:color w:val="000000" w:themeColor="text1"/>
              </w:rPr>
            </w:pPr>
            <w:proofErr w:type="spellStart"/>
            <w:r w:rsidRPr="003D75D5">
              <w:rPr>
                <w:rFonts w:asciiTheme="minorHAnsi" w:hAnsiTheme="minorHAnsi" w:cstheme="minorHAnsi"/>
                <w:iCs/>
                <w:color w:val="000000" w:themeColor="text1"/>
              </w:rPr>
              <w:t>UoA</w:t>
            </w:r>
            <w:proofErr w:type="spellEnd"/>
            <w:r w:rsidRPr="003D75D5">
              <w:rPr>
                <w:rFonts w:asciiTheme="minorHAnsi" w:hAnsiTheme="minorHAnsi" w:cstheme="minorHAnsi"/>
                <w:iCs/>
                <w:color w:val="000000" w:themeColor="text1"/>
              </w:rPr>
              <w:t xml:space="preserve"> is dedicated to strengthening research excellence and leveraging its expertise, scale and industry partnerships to make a significant, positive difference to the world. </w:t>
            </w:r>
            <w:proofErr w:type="spellStart"/>
            <w:r w:rsidRPr="003D75D5">
              <w:rPr>
                <w:rFonts w:asciiTheme="minorHAnsi" w:hAnsiTheme="minorHAnsi" w:cstheme="minorHAnsi"/>
                <w:iCs/>
                <w:color w:val="000000" w:themeColor="text1"/>
              </w:rPr>
              <w:t>UoA</w:t>
            </w:r>
            <w:proofErr w:type="spellEnd"/>
            <w:r w:rsidRPr="003D75D5">
              <w:rPr>
                <w:rFonts w:asciiTheme="minorHAnsi" w:hAnsiTheme="minorHAnsi" w:cstheme="minorHAnsi"/>
                <w:iCs/>
                <w:color w:val="000000" w:themeColor="text1"/>
              </w:rPr>
              <w:t xml:space="preserve"> will continue to develop its engagement, business development and commercialisation capabilities in concert with the transition program and further align research to economic and social priorities to play a stronger role in the creation of new technologies, businesses, and sovereign capability.</w:t>
            </w:r>
          </w:p>
          <w:p w14:paraId="1942E0D3" w14:textId="77777777" w:rsidR="003D75D5" w:rsidRPr="003D75D5" w:rsidRDefault="003D75D5" w:rsidP="003D76C1">
            <w:pPr>
              <w:pStyle w:val="NormalIndent"/>
              <w:widowControl w:val="0"/>
              <w:spacing w:after="0"/>
              <w:ind w:left="0"/>
              <w:rPr>
                <w:rFonts w:asciiTheme="minorHAnsi" w:hAnsiTheme="minorHAnsi" w:cstheme="minorHAnsi"/>
                <w:iCs/>
                <w:color w:val="000000" w:themeColor="text1"/>
              </w:rPr>
            </w:pPr>
            <w:proofErr w:type="spellStart"/>
            <w:r w:rsidRPr="003D75D5">
              <w:rPr>
                <w:rFonts w:asciiTheme="minorHAnsi" w:hAnsiTheme="minorHAnsi" w:cstheme="minorHAnsi"/>
                <w:iCs/>
                <w:color w:val="000000" w:themeColor="text1"/>
              </w:rPr>
              <w:t>UoA’s</w:t>
            </w:r>
            <w:proofErr w:type="spellEnd"/>
            <w:r w:rsidRPr="003D75D5">
              <w:rPr>
                <w:rFonts w:asciiTheme="minorHAnsi" w:hAnsiTheme="minorHAnsi" w:cstheme="minorHAnsi"/>
                <w:iCs/>
                <w:color w:val="000000" w:themeColor="text1"/>
              </w:rPr>
              <w:t xml:space="preserve"> ‘foci and magnets for excellence’ (FAME) research areas are cross-disciplinary and revolve around four ‘grand </w:t>
            </w:r>
            <w:proofErr w:type="gramStart"/>
            <w:r w:rsidRPr="003D75D5">
              <w:rPr>
                <w:rFonts w:asciiTheme="minorHAnsi" w:hAnsiTheme="minorHAnsi" w:cstheme="minorHAnsi"/>
                <w:iCs/>
                <w:color w:val="000000" w:themeColor="text1"/>
              </w:rPr>
              <w:t>opportunities’</w:t>
            </w:r>
            <w:proofErr w:type="gramEnd"/>
            <w:r w:rsidRPr="003D75D5">
              <w:rPr>
                <w:rFonts w:asciiTheme="minorHAnsi" w:hAnsiTheme="minorHAnsi" w:cstheme="minorHAnsi"/>
                <w:iCs/>
                <w:color w:val="000000" w:themeColor="text1"/>
              </w:rPr>
              <w:t xml:space="preserve">: </w:t>
            </w:r>
          </w:p>
          <w:p w14:paraId="35B7B008" w14:textId="53300EAD" w:rsidR="003D75D5" w:rsidRPr="003D75D5" w:rsidRDefault="003D75D5" w:rsidP="003D76C1">
            <w:pPr>
              <w:pStyle w:val="NormalIndent"/>
              <w:widowControl w:val="0"/>
              <w:numPr>
                <w:ilvl w:val="0"/>
                <w:numId w:val="29"/>
              </w:numPr>
              <w:spacing w:before="0" w:after="0"/>
              <w:rPr>
                <w:rFonts w:asciiTheme="minorHAnsi" w:hAnsiTheme="minorHAnsi" w:cstheme="minorHAnsi"/>
                <w:iCs/>
                <w:color w:val="000000" w:themeColor="text1"/>
              </w:rPr>
            </w:pPr>
            <w:r w:rsidRPr="003D75D5">
              <w:rPr>
                <w:rFonts w:asciiTheme="minorHAnsi" w:hAnsiTheme="minorHAnsi" w:cstheme="minorHAnsi"/>
                <w:iCs/>
                <w:color w:val="000000" w:themeColor="text1"/>
              </w:rPr>
              <w:t xml:space="preserve">Sustainability with a focus on energy and </w:t>
            </w:r>
            <w:proofErr w:type="gramStart"/>
            <w:r w:rsidRPr="003D75D5">
              <w:rPr>
                <w:rFonts w:asciiTheme="minorHAnsi" w:hAnsiTheme="minorHAnsi" w:cstheme="minorHAnsi"/>
                <w:iCs/>
                <w:color w:val="000000" w:themeColor="text1"/>
              </w:rPr>
              <w:t>environment;</w:t>
            </w:r>
            <w:proofErr w:type="gramEnd"/>
            <w:r w:rsidRPr="003D75D5">
              <w:rPr>
                <w:rFonts w:asciiTheme="minorHAnsi" w:hAnsiTheme="minorHAnsi" w:cstheme="minorHAnsi"/>
                <w:iCs/>
                <w:color w:val="000000" w:themeColor="text1"/>
              </w:rPr>
              <w:t xml:space="preserve"> </w:t>
            </w:r>
          </w:p>
          <w:p w14:paraId="62E8F148" w14:textId="75AFDB43" w:rsidR="003D75D5" w:rsidRPr="003D75D5" w:rsidRDefault="003D75D5" w:rsidP="003D76C1">
            <w:pPr>
              <w:pStyle w:val="NormalIndent"/>
              <w:widowControl w:val="0"/>
              <w:numPr>
                <w:ilvl w:val="0"/>
                <w:numId w:val="29"/>
              </w:numPr>
              <w:spacing w:before="0" w:after="0"/>
              <w:rPr>
                <w:rFonts w:asciiTheme="minorHAnsi" w:hAnsiTheme="minorHAnsi" w:cstheme="minorHAnsi"/>
                <w:iCs/>
                <w:color w:val="000000" w:themeColor="text1"/>
              </w:rPr>
            </w:pPr>
            <w:r w:rsidRPr="003D75D5">
              <w:rPr>
                <w:rFonts w:asciiTheme="minorHAnsi" w:hAnsiTheme="minorHAnsi" w:cstheme="minorHAnsi"/>
                <w:iCs/>
                <w:color w:val="000000" w:themeColor="text1"/>
              </w:rPr>
              <w:t xml:space="preserve">Agrifood and wine with a focus on ensuring economic value-add and food </w:t>
            </w:r>
            <w:proofErr w:type="gramStart"/>
            <w:r w:rsidRPr="003D75D5">
              <w:rPr>
                <w:rFonts w:asciiTheme="minorHAnsi" w:hAnsiTheme="minorHAnsi" w:cstheme="minorHAnsi"/>
                <w:iCs/>
                <w:color w:val="000000" w:themeColor="text1"/>
              </w:rPr>
              <w:t>security;</w:t>
            </w:r>
            <w:proofErr w:type="gramEnd"/>
            <w:r w:rsidRPr="003D75D5">
              <w:rPr>
                <w:rFonts w:asciiTheme="minorHAnsi" w:hAnsiTheme="minorHAnsi" w:cstheme="minorHAnsi"/>
                <w:iCs/>
                <w:color w:val="000000" w:themeColor="text1"/>
              </w:rPr>
              <w:t xml:space="preserve"> </w:t>
            </w:r>
          </w:p>
          <w:p w14:paraId="1D7D30D9" w14:textId="767B8010" w:rsidR="003D75D5" w:rsidRPr="003D75D5" w:rsidRDefault="003D75D5" w:rsidP="003D76C1">
            <w:pPr>
              <w:pStyle w:val="NormalIndent"/>
              <w:widowControl w:val="0"/>
              <w:numPr>
                <w:ilvl w:val="0"/>
                <w:numId w:val="29"/>
              </w:numPr>
              <w:spacing w:before="0" w:after="0"/>
              <w:rPr>
                <w:rFonts w:asciiTheme="minorHAnsi" w:hAnsiTheme="minorHAnsi" w:cstheme="minorHAnsi"/>
                <w:iCs/>
                <w:color w:val="000000" w:themeColor="text1"/>
              </w:rPr>
            </w:pPr>
            <w:r w:rsidRPr="003D75D5">
              <w:rPr>
                <w:rFonts w:asciiTheme="minorHAnsi" w:hAnsiTheme="minorHAnsi" w:cstheme="minorHAnsi"/>
                <w:iCs/>
                <w:color w:val="000000" w:themeColor="text1"/>
              </w:rPr>
              <w:t xml:space="preserve">Healthy societies integrating health with Indigenous and societal wellbeing; and </w:t>
            </w:r>
          </w:p>
          <w:p w14:paraId="66C7B891" w14:textId="7AECE736" w:rsidR="003D75D5" w:rsidRPr="003D75D5" w:rsidRDefault="003D75D5" w:rsidP="003D76C1">
            <w:pPr>
              <w:pStyle w:val="NormalIndent"/>
              <w:widowControl w:val="0"/>
              <w:numPr>
                <w:ilvl w:val="0"/>
                <w:numId w:val="29"/>
              </w:numPr>
              <w:spacing w:before="0" w:after="0"/>
              <w:rPr>
                <w:rFonts w:asciiTheme="minorHAnsi" w:hAnsiTheme="minorHAnsi" w:cstheme="minorHAnsi"/>
                <w:iCs/>
                <w:color w:val="000000" w:themeColor="text1"/>
              </w:rPr>
            </w:pPr>
            <w:r w:rsidRPr="003D75D5">
              <w:rPr>
                <w:rFonts w:asciiTheme="minorHAnsi" w:hAnsiTheme="minorHAnsi" w:cstheme="minorHAnsi"/>
                <w:iCs/>
                <w:color w:val="000000" w:themeColor="text1"/>
              </w:rPr>
              <w:t>Digi+ with a focus on breakthrough technologies for new industries and sovereign capability.</w:t>
            </w:r>
          </w:p>
          <w:p w14:paraId="1700744F" w14:textId="77777777" w:rsidR="003D75D5" w:rsidRPr="003D75D5" w:rsidRDefault="003D75D5" w:rsidP="003D76C1">
            <w:pPr>
              <w:pStyle w:val="NormalIndent"/>
              <w:widowControl w:val="0"/>
              <w:spacing w:after="0"/>
              <w:ind w:left="0"/>
              <w:rPr>
                <w:rFonts w:asciiTheme="minorHAnsi" w:hAnsiTheme="minorHAnsi" w:cstheme="minorHAnsi"/>
                <w:iCs/>
                <w:color w:val="000000" w:themeColor="text1"/>
              </w:rPr>
            </w:pPr>
            <w:proofErr w:type="spellStart"/>
            <w:r w:rsidRPr="003D75D5">
              <w:rPr>
                <w:rFonts w:asciiTheme="minorHAnsi" w:hAnsiTheme="minorHAnsi" w:cstheme="minorHAnsi"/>
                <w:iCs/>
                <w:color w:val="000000" w:themeColor="text1"/>
              </w:rPr>
              <w:t>UoA</w:t>
            </w:r>
            <w:proofErr w:type="spellEnd"/>
            <w:r w:rsidRPr="003D75D5">
              <w:rPr>
                <w:rFonts w:asciiTheme="minorHAnsi" w:hAnsiTheme="minorHAnsi" w:cstheme="minorHAnsi"/>
                <w:iCs/>
                <w:color w:val="000000" w:themeColor="text1"/>
              </w:rPr>
              <w:t xml:space="preserve"> will measure its progress through targets to increase:</w:t>
            </w:r>
          </w:p>
          <w:p w14:paraId="077AC82E" w14:textId="1B9453D6" w:rsidR="003D75D5" w:rsidRPr="003D75D5" w:rsidRDefault="003D75D5" w:rsidP="003D76C1">
            <w:pPr>
              <w:pStyle w:val="NormalIndent"/>
              <w:widowControl w:val="0"/>
              <w:numPr>
                <w:ilvl w:val="0"/>
                <w:numId w:val="29"/>
              </w:numPr>
              <w:spacing w:before="0" w:after="0"/>
              <w:rPr>
                <w:rFonts w:asciiTheme="minorHAnsi" w:hAnsiTheme="minorHAnsi" w:cstheme="minorHAnsi"/>
                <w:iCs/>
                <w:color w:val="000000" w:themeColor="text1"/>
              </w:rPr>
            </w:pPr>
            <w:r w:rsidRPr="003D75D5">
              <w:rPr>
                <w:rFonts w:asciiTheme="minorHAnsi" w:hAnsiTheme="minorHAnsi" w:cstheme="minorHAnsi"/>
                <w:iCs/>
                <w:color w:val="000000" w:themeColor="text1"/>
              </w:rPr>
              <w:t xml:space="preserve">HERDC income to $275 million by </w:t>
            </w:r>
            <w:proofErr w:type="gramStart"/>
            <w:r w:rsidRPr="003D75D5">
              <w:rPr>
                <w:rFonts w:asciiTheme="minorHAnsi" w:hAnsiTheme="minorHAnsi" w:cstheme="minorHAnsi"/>
                <w:iCs/>
                <w:color w:val="000000" w:themeColor="text1"/>
              </w:rPr>
              <w:t>202</w:t>
            </w:r>
            <w:r w:rsidR="00242163">
              <w:rPr>
                <w:rFonts w:asciiTheme="minorHAnsi" w:hAnsiTheme="minorHAnsi" w:cstheme="minorHAnsi"/>
                <w:iCs/>
                <w:color w:val="000000" w:themeColor="text1"/>
              </w:rPr>
              <w:t>5</w:t>
            </w:r>
            <w:r w:rsidRPr="003D75D5">
              <w:rPr>
                <w:rFonts w:asciiTheme="minorHAnsi" w:hAnsiTheme="minorHAnsi" w:cstheme="minorHAnsi"/>
                <w:iCs/>
                <w:color w:val="000000" w:themeColor="text1"/>
              </w:rPr>
              <w:t>;</w:t>
            </w:r>
            <w:proofErr w:type="gramEnd"/>
          </w:p>
          <w:p w14:paraId="0C5E3926" w14:textId="2B08244C" w:rsidR="003D75D5" w:rsidRPr="003D75D5" w:rsidRDefault="003D75D5" w:rsidP="003D76C1">
            <w:pPr>
              <w:pStyle w:val="NormalIndent"/>
              <w:widowControl w:val="0"/>
              <w:numPr>
                <w:ilvl w:val="0"/>
                <w:numId w:val="29"/>
              </w:numPr>
              <w:spacing w:before="0" w:after="0"/>
              <w:rPr>
                <w:rFonts w:asciiTheme="minorHAnsi" w:hAnsiTheme="minorHAnsi" w:cstheme="minorHAnsi"/>
                <w:iCs/>
                <w:color w:val="000000" w:themeColor="text1"/>
              </w:rPr>
            </w:pPr>
            <w:r w:rsidRPr="003D75D5">
              <w:rPr>
                <w:rFonts w:asciiTheme="minorHAnsi" w:hAnsiTheme="minorHAnsi" w:cstheme="minorHAnsi"/>
                <w:iCs/>
                <w:color w:val="000000" w:themeColor="text1"/>
              </w:rPr>
              <w:t xml:space="preserve">the number of highly cited researchers to 24 by 2025, and </w:t>
            </w:r>
          </w:p>
          <w:p w14:paraId="15C30F45" w14:textId="726535B9" w:rsidR="003D75D5" w:rsidRPr="003D75D5" w:rsidRDefault="003D75D5" w:rsidP="003D76C1">
            <w:pPr>
              <w:pStyle w:val="NormalIndent"/>
              <w:widowControl w:val="0"/>
              <w:numPr>
                <w:ilvl w:val="0"/>
                <w:numId w:val="29"/>
              </w:numPr>
              <w:spacing w:before="0" w:after="0"/>
              <w:rPr>
                <w:rFonts w:asciiTheme="minorHAnsi" w:hAnsiTheme="minorHAnsi" w:cstheme="minorHAnsi"/>
                <w:iCs/>
                <w:color w:val="000000" w:themeColor="text1"/>
              </w:rPr>
            </w:pPr>
            <w:r w:rsidRPr="003D75D5">
              <w:rPr>
                <w:rFonts w:asciiTheme="minorHAnsi" w:hAnsiTheme="minorHAnsi" w:cstheme="minorHAnsi"/>
                <w:iCs/>
                <w:color w:val="000000" w:themeColor="text1"/>
              </w:rPr>
              <w:t xml:space="preserve">the number of HDR commencements to 600 by 2025. </w:t>
            </w:r>
          </w:p>
          <w:p w14:paraId="772D80D6" w14:textId="77777777" w:rsidR="003D75D5" w:rsidRPr="003D75D5" w:rsidRDefault="003D75D5" w:rsidP="003D76C1">
            <w:pPr>
              <w:pStyle w:val="NormalIndent"/>
              <w:widowControl w:val="0"/>
              <w:spacing w:after="0"/>
              <w:ind w:left="0"/>
              <w:rPr>
                <w:rFonts w:asciiTheme="minorHAnsi" w:hAnsiTheme="minorHAnsi" w:cstheme="minorHAnsi"/>
                <w:iCs/>
                <w:color w:val="000000" w:themeColor="text1"/>
              </w:rPr>
            </w:pPr>
            <w:proofErr w:type="spellStart"/>
            <w:r w:rsidRPr="003D75D5">
              <w:rPr>
                <w:rFonts w:asciiTheme="minorHAnsi" w:hAnsiTheme="minorHAnsi" w:cstheme="minorHAnsi"/>
                <w:iCs/>
                <w:color w:val="000000" w:themeColor="text1"/>
              </w:rPr>
              <w:t>UoA</w:t>
            </w:r>
            <w:proofErr w:type="spellEnd"/>
            <w:r w:rsidRPr="003D75D5">
              <w:rPr>
                <w:rFonts w:asciiTheme="minorHAnsi" w:hAnsiTheme="minorHAnsi" w:cstheme="minorHAnsi"/>
                <w:iCs/>
                <w:color w:val="000000" w:themeColor="text1"/>
              </w:rPr>
              <w:t xml:space="preserve"> can improve research outcomes and contribute to knowledge creation and societal impact through strategically aligning research priorities, training, and innovation activities.  </w:t>
            </w:r>
          </w:p>
          <w:p w14:paraId="27B4897B" w14:textId="77777777" w:rsidR="003D75D5" w:rsidRPr="003D75D5" w:rsidRDefault="003D75D5" w:rsidP="003D76C1">
            <w:pPr>
              <w:pStyle w:val="NormalIndent"/>
              <w:widowControl w:val="0"/>
              <w:spacing w:after="0"/>
              <w:ind w:left="0"/>
              <w:rPr>
                <w:rFonts w:asciiTheme="minorHAnsi" w:hAnsiTheme="minorHAnsi" w:cstheme="minorHAnsi"/>
                <w:iCs/>
                <w:color w:val="000000" w:themeColor="text1"/>
              </w:rPr>
            </w:pPr>
            <w:proofErr w:type="spellStart"/>
            <w:r w:rsidRPr="003D75D5">
              <w:rPr>
                <w:rFonts w:asciiTheme="minorHAnsi" w:hAnsiTheme="minorHAnsi" w:cstheme="minorHAnsi"/>
                <w:iCs/>
                <w:color w:val="000000" w:themeColor="text1"/>
              </w:rPr>
              <w:t>UoA</w:t>
            </w:r>
            <w:proofErr w:type="spellEnd"/>
            <w:r w:rsidRPr="003D75D5">
              <w:rPr>
                <w:rFonts w:asciiTheme="minorHAnsi" w:hAnsiTheme="minorHAnsi" w:cstheme="minorHAnsi"/>
                <w:iCs/>
                <w:color w:val="000000" w:themeColor="text1"/>
              </w:rPr>
              <w:t xml:space="preserve"> will integrate discovery to translation of commercial outcomes through strategic partnerships, collaboration, and targeted funding initiatives. The University will maintain and steward strategic partnerships through business development and continue to work alongside industry peers, HDR students, and future research users, creating environments that advance its research priorities in FAME areas and enable collaboration and post-graduate student internships.</w:t>
            </w:r>
          </w:p>
          <w:p w14:paraId="540AF159" w14:textId="77777777" w:rsidR="003D75D5" w:rsidRPr="005E4DBF" w:rsidRDefault="003D75D5" w:rsidP="003D76C1">
            <w:pPr>
              <w:pStyle w:val="NormalIndent"/>
              <w:widowControl w:val="0"/>
              <w:spacing w:after="0"/>
              <w:ind w:left="0"/>
              <w:rPr>
                <w:rFonts w:asciiTheme="minorHAnsi" w:hAnsiTheme="minorHAnsi" w:cstheme="minorHAnsi"/>
                <w:iCs/>
                <w:color w:val="000000" w:themeColor="text1"/>
              </w:rPr>
            </w:pPr>
            <w:r w:rsidRPr="003D75D5">
              <w:rPr>
                <w:rFonts w:asciiTheme="minorHAnsi" w:hAnsiTheme="minorHAnsi" w:cstheme="minorHAnsi"/>
                <w:iCs/>
                <w:color w:val="000000" w:themeColor="text1"/>
              </w:rPr>
              <w:t xml:space="preserve">In parallel, research training is a priority focus for </w:t>
            </w:r>
            <w:proofErr w:type="spellStart"/>
            <w:r w:rsidRPr="003D75D5">
              <w:rPr>
                <w:rFonts w:asciiTheme="minorHAnsi" w:hAnsiTheme="minorHAnsi" w:cstheme="minorHAnsi"/>
                <w:iCs/>
                <w:color w:val="000000" w:themeColor="text1"/>
              </w:rPr>
              <w:t>UoA</w:t>
            </w:r>
            <w:proofErr w:type="spellEnd"/>
            <w:r w:rsidRPr="003D75D5">
              <w:rPr>
                <w:rFonts w:asciiTheme="minorHAnsi" w:hAnsiTheme="minorHAnsi" w:cstheme="minorHAnsi"/>
                <w:iCs/>
                <w:color w:val="000000" w:themeColor="text1"/>
              </w:rPr>
              <w:t xml:space="preserve">, as the University recognises the importance of developing the skills and capabilities of its students and early career researchers. </w:t>
            </w:r>
            <w:proofErr w:type="spellStart"/>
            <w:r w:rsidRPr="005E4DBF">
              <w:rPr>
                <w:rFonts w:asciiTheme="minorHAnsi" w:hAnsiTheme="minorHAnsi" w:cstheme="minorHAnsi"/>
                <w:iCs/>
                <w:color w:val="000000" w:themeColor="text1"/>
              </w:rPr>
              <w:t>UoA</w:t>
            </w:r>
            <w:proofErr w:type="spellEnd"/>
            <w:r w:rsidRPr="005E4DBF">
              <w:rPr>
                <w:rFonts w:asciiTheme="minorHAnsi" w:hAnsiTheme="minorHAnsi" w:cstheme="minorHAnsi"/>
                <w:iCs/>
                <w:color w:val="000000" w:themeColor="text1"/>
              </w:rPr>
              <w:t xml:space="preserve"> will support this through initiatives such as:</w:t>
            </w:r>
          </w:p>
          <w:p w14:paraId="2C3A11F0" w14:textId="77777777" w:rsidR="005E4DBF" w:rsidRPr="005E4DBF" w:rsidRDefault="003D75D5" w:rsidP="003D76C1">
            <w:pPr>
              <w:pStyle w:val="NormalIndent"/>
              <w:widowControl w:val="0"/>
              <w:numPr>
                <w:ilvl w:val="0"/>
                <w:numId w:val="29"/>
              </w:numPr>
              <w:spacing w:after="0"/>
              <w:rPr>
                <w:rFonts w:asciiTheme="minorHAnsi" w:hAnsiTheme="minorHAnsi" w:cstheme="minorHAnsi"/>
                <w:i/>
                <w:color w:val="000000" w:themeColor="text1"/>
                <w:szCs w:val="22"/>
              </w:rPr>
            </w:pPr>
            <w:r w:rsidRPr="005E4DBF">
              <w:rPr>
                <w:rFonts w:asciiTheme="minorHAnsi" w:hAnsiTheme="minorHAnsi" w:cstheme="minorHAnsi"/>
                <w:iCs/>
                <w:color w:val="000000" w:themeColor="text1"/>
              </w:rPr>
              <w:t xml:space="preserve">Supporting the HDR pathway, to implement activities outlined in the </w:t>
            </w:r>
            <w:hyperlink r:id="rId19" w:history="1">
              <w:r w:rsidRPr="005E4DBF">
                <w:rPr>
                  <w:rStyle w:val="Hyperlink"/>
                  <w:rFonts w:asciiTheme="minorHAnsi" w:hAnsiTheme="minorHAnsi" w:cstheme="minorHAnsi"/>
                  <w:iCs/>
                  <w:color w:val="000000" w:themeColor="text1"/>
                </w:rPr>
                <w:t xml:space="preserve">Higher Degree by Research </w:t>
              </w:r>
              <w:r w:rsidR="005E4DBF" w:rsidRPr="005E4DBF">
                <w:rPr>
                  <w:rStyle w:val="Hyperlink"/>
                  <w:rFonts w:asciiTheme="minorHAnsi" w:hAnsiTheme="minorHAnsi" w:cstheme="minorHAnsi"/>
                  <w:iCs/>
                  <w:color w:val="000000" w:themeColor="text1"/>
                </w:rPr>
                <w:t>S</w:t>
              </w:r>
              <w:r w:rsidRPr="005E4DBF">
                <w:rPr>
                  <w:rStyle w:val="Hyperlink"/>
                  <w:rFonts w:asciiTheme="minorHAnsi" w:hAnsiTheme="minorHAnsi" w:cstheme="minorHAnsi"/>
                  <w:iCs/>
                  <w:color w:val="000000" w:themeColor="text1"/>
                </w:rPr>
                <w:t>trategy</w:t>
              </w:r>
            </w:hyperlink>
            <w:r w:rsidRPr="005E4DBF">
              <w:rPr>
                <w:rFonts w:asciiTheme="minorHAnsi" w:hAnsiTheme="minorHAnsi" w:cstheme="minorHAnsi"/>
                <w:iCs/>
                <w:color w:val="000000" w:themeColor="text1"/>
              </w:rPr>
              <w:t xml:space="preserve"> around the pillars of Research and Innovation Future Makers, Experience Excellence, and Future-making Community, to inspire, develop, and enable the researchers and innovators of the future; and</w:t>
            </w:r>
          </w:p>
          <w:p w14:paraId="6F972F30" w14:textId="77777777" w:rsidR="001B109C" w:rsidRPr="00AB3A47" w:rsidRDefault="003D75D5" w:rsidP="003D76C1">
            <w:pPr>
              <w:pStyle w:val="NormalIndent"/>
              <w:widowControl w:val="0"/>
              <w:numPr>
                <w:ilvl w:val="0"/>
                <w:numId w:val="29"/>
              </w:numPr>
              <w:spacing w:after="0"/>
              <w:rPr>
                <w:rFonts w:asciiTheme="minorHAnsi" w:hAnsiTheme="minorHAnsi" w:cstheme="minorHAnsi"/>
                <w:i/>
                <w:szCs w:val="22"/>
              </w:rPr>
            </w:pPr>
            <w:r w:rsidRPr="005E4DBF">
              <w:rPr>
                <w:rFonts w:asciiTheme="minorHAnsi" w:hAnsiTheme="minorHAnsi" w:cstheme="minorHAnsi"/>
                <w:iCs/>
                <w:color w:val="000000" w:themeColor="text1"/>
              </w:rPr>
              <w:t>Co-investing in research to maintain the University’s capacity, including contributions to access national infrastructur</w:t>
            </w:r>
            <w:r w:rsidRPr="00AB3A47">
              <w:rPr>
                <w:rFonts w:asciiTheme="minorHAnsi" w:hAnsiTheme="minorHAnsi" w:cstheme="minorHAnsi"/>
                <w:iCs/>
              </w:rPr>
              <w:t>e.</w:t>
            </w:r>
          </w:p>
          <w:p w14:paraId="74185257" w14:textId="30A1F75B" w:rsidR="002218BE" w:rsidRDefault="00AF7D48" w:rsidP="00AF7D48">
            <w:pPr>
              <w:pStyle w:val="NormalIndent"/>
              <w:widowControl w:val="0"/>
              <w:spacing w:after="0"/>
              <w:ind w:left="0"/>
              <w:rPr>
                <w:rFonts w:asciiTheme="minorHAnsi" w:hAnsiTheme="minorHAnsi" w:cstheme="minorHAnsi"/>
                <w:iCs/>
                <w:szCs w:val="22"/>
              </w:rPr>
            </w:pPr>
            <w:r w:rsidRPr="00AF7D48">
              <w:rPr>
                <w:rFonts w:asciiTheme="minorHAnsi" w:hAnsiTheme="minorHAnsi" w:cstheme="minorHAnsi"/>
                <w:iCs/>
                <w:szCs w:val="22"/>
              </w:rPr>
              <w:t xml:space="preserve">As Australia’s most Defence-engaged university, the </w:t>
            </w:r>
            <w:proofErr w:type="spellStart"/>
            <w:r w:rsidRPr="00AF7D48">
              <w:rPr>
                <w:rFonts w:asciiTheme="minorHAnsi" w:hAnsiTheme="minorHAnsi" w:cstheme="minorHAnsi"/>
                <w:iCs/>
                <w:szCs w:val="22"/>
              </w:rPr>
              <w:t>U</w:t>
            </w:r>
            <w:r>
              <w:rPr>
                <w:rFonts w:asciiTheme="minorHAnsi" w:hAnsiTheme="minorHAnsi" w:cstheme="minorHAnsi"/>
                <w:iCs/>
                <w:szCs w:val="22"/>
              </w:rPr>
              <w:t>oA</w:t>
            </w:r>
            <w:proofErr w:type="spellEnd"/>
            <w:r w:rsidRPr="00AF7D48">
              <w:rPr>
                <w:rFonts w:asciiTheme="minorHAnsi" w:hAnsiTheme="minorHAnsi" w:cstheme="minorHAnsi"/>
                <w:iCs/>
                <w:szCs w:val="22"/>
              </w:rPr>
              <w:t xml:space="preserve"> is proactive in safeguarding its autonomy and reputation in a global context. In recent years, the Australian Government has recommended that the Australian higher education sector apply additional vigilance to all international engagements and all research involving critical technologies, citing an unprecedented scale of foreign interference they believe is intended to harm Australia’s national interests. This vigilance is applied to all University-related activities where the activities involve </w:t>
            </w:r>
            <w:r w:rsidRPr="00F65D3D">
              <w:rPr>
                <w:rFonts w:asciiTheme="minorHAnsi" w:hAnsiTheme="minorHAnsi" w:cstheme="minorHAnsi"/>
                <w:iCs/>
                <w:szCs w:val="22"/>
              </w:rPr>
              <w:t>critical technologies</w:t>
            </w:r>
            <w:r w:rsidRPr="00AF7D48">
              <w:rPr>
                <w:rFonts w:asciiTheme="minorHAnsi" w:hAnsiTheme="minorHAnsi" w:cstheme="minorHAnsi"/>
                <w:iCs/>
                <w:szCs w:val="22"/>
              </w:rPr>
              <w:t xml:space="preserve"> and/or engagements with foreign entities.</w:t>
            </w:r>
          </w:p>
          <w:p w14:paraId="2A653B98" w14:textId="77777777" w:rsidR="009D36DD" w:rsidRDefault="009D36DD" w:rsidP="00AF7D48">
            <w:pPr>
              <w:pStyle w:val="NormalIndent"/>
              <w:widowControl w:val="0"/>
              <w:spacing w:after="0"/>
              <w:ind w:left="0"/>
              <w:rPr>
                <w:rFonts w:asciiTheme="minorHAnsi" w:hAnsiTheme="minorHAnsi" w:cstheme="minorHAnsi"/>
                <w:iCs/>
                <w:szCs w:val="22"/>
              </w:rPr>
            </w:pPr>
          </w:p>
          <w:p w14:paraId="40DA31C2" w14:textId="24A667CF" w:rsidR="00AF7D48" w:rsidRPr="00AF7D48" w:rsidRDefault="00AF7D48" w:rsidP="00AF7D48">
            <w:pPr>
              <w:pStyle w:val="NormalIndent"/>
              <w:widowControl w:val="0"/>
              <w:spacing w:after="0"/>
              <w:ind w:left="0"/>
              <w:rPr>
                <w:rFonts w:asciiTheme="minorHAnsi" w:hAnsiTheme="minorHAnsi" w:cstheme="minorHAnsi"/>
                <w:iCs/>
                <w:szCs w:val="22"/>
              </w:rPr>
            </w:pPr>
          </w:p>
        </w:tc>
      </w:tr>
      <w:tr w:rsidR="001B109C" w:rsidRPr="00E41388" w14:paraId="23C06863" w14:textId="77777777" w:rsidTr="00E35741">
        <w:trPr>
          <w:cantSplit/>
        </w:trPr>
        <w:tc>
          <w:tcPr>
            <w:tcW w:w="5000" w:type="pct"/>
          </w:tcPr>
          <w:p w14:paraId="451DCFF9" w14:textId="3BDD3562" w:rsidR="001B109C" w:rsidRPr="00E169EE" w:rsidRDefault="00F30BFA" w:rsidP="003D76C1">
            <w:pPr>
              <w:pStyle w:val="Heading4"/>
              <w:keepNext w:val="0"/>
              <w:keepLines w:val="0"/>
              <w:widowControl w:val="0"/>
              <w:spacing w:before="18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00E35741">
        <w:trPr>
          <w:cantSplit/>
          <w:trHeight w:val="1033"/>
        </w:trPr>
        <w:tc>
          <w:tcPr>
            <w:tcW w:w="5000" w:type="pct"/>
          </w:tcPr>
          <w:p w14:paraId="72C787B6" w14:textId="356536A5" w:rsidR="005E4DBF" w:rsidRPr="005E4DBF" w:rsidRDefault="005E4DBF" w:rsidP="003D76C1">
            <w:pPr>
              <w:pStyle w:val="NormalIndent"/>
              <w:widowControl w:val="0"/>
              <w:spacing w:after="0"/>
              <w:ind w:left="0"/>
              <w:rPr>
                <w:rFonts w:asciiTheme="minorHAnsi" w:hAnsiTheme="minorHAnsi" w:cstheme="minorHAnsi"/>
                <w:iCs/>
                <w:color w:val="000000" w:themeColor="text1"/>
                <w:szCs w:val="22"/>
              </w:rPr>
            </w:pPr>
            <w:proofErr w:type="spellStart"/>
            <w:r w:rsidRPr="005E4DBF">
              <w:rPr>
                <w:rFonts w:asciiTheme="minorHAnsi" w:hAnsiTheme="minorHAnsi" w:cstheme="minorHAnsi"/>
                <w:iCs/>
                <w:color w:val="000000" w:themeColor="text1"/>
                <w:szCs w:val="22"/>
              </w:rPr>
              <w:t>UoA</w:t>
            </w:r>
            <w:proofErr w:type="spellEnd"/>
            <w:r w:rsidRPr="005E4DBF">
              <w:rPr>
                <w:rFonts w:asciiTheme="minorHAnsi" w:hAnsiTheme="minorHAnsi" w:cstheme="minorHAnsi"/>
                <w:iCs/>
                <w:color w:val="000000" w:themeColor="text1"/>
                <w:szCs w:val="22"/>
              </w:rPr>
              <w:t xml:space="preserve"> will support its ambition to connect South Australia to the world and the world to South Australia, by building a globally integrated and culturally diverse community. </w:t>
            </w:r>
            <w:proofErr w:type="spellStart"/>
            <w:r w:rsidRPr="005E4DBF">
              <w:rPr>
                <w:rFonts w:asciiTheme="minorHAnsi" w:hAnsiTheme="minorHAnsi" w:cstheme="minorHAnsi"/>
                <w:iCs/>
                <w:color w:val="000000" w:themeColor="text1"/>
                <w:szCs w:val="22"/>
              </w:rPr>
              <w:t>UoA</w:t>
            </w:r>
            <w:proofErr w:type="spellEnd"/>
            <w:r w:rsidRPr="005E4DBF">
              <w:rPr>
                <w:rFonts w:asciiTheme="minorHAnsi" w:hAnsiTheme="minorHAnsi" w:cstheme="minorHAnsi"/>
                <w:iCs/>
                <w:color w:val="000000" w:themeColor="text1"/>
                <w:szCs w:val="22"/>
              </w:rPr>
              <w:t xml:space="preserve"> will</w:t>
            </w:r>
            <w:r>
              <w:rPr>
                <w:rFonts w:asciiTheme="minorHAnsi" w:hAnsiTheme="minorHAnsi" w:cstheme="minorHAnsi"/>
                <w:iCs/>
                <w:color w:val="000000" w:themeColor="text1"/>
                <w:szCs w:val="22"/>
              </w:rPr>
              <w:t>:</w:t>
            </w:r>
          </w:p>
          <w:p w14:paraId="6BAE5284" w14:textId="4D23F85B" w:rsidR="005E4DBF" w:rsidRPr="005E4DBF" w:rsidRDefault="005E4DBF"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5E4DBF">
              <w:rPr>
                <w:rFonts w:asciiTheme="minorHAnsi" w:hAnsiTheme="minorHAnsi" w:cstheme="minorHAnsi"/>
                <w:iCs/>
                <w:color w:val="000000" w:themeColor="text1"/>
                <w:szCs w:val="22"/>
              </w:rPr>
              <w:t xml:space="preserve">Engage with industry through its strong partnerships with public and private organisations, to establish and strengthen long-term relationships across sectors and geographies with partners that can advance </w:t>
            </w:r>
            <w:proofErr w:type="spellStart"/>
            <w:r w:rsidRPr="005E4DBF">
              <w:rPr>
                <w:rFonts w:asciiTheme="minorHAnsi" w:hAnsiTheme="minorHAnsi" w:cstheme="minorHAnsi"/>
                <w:iCs/>
                <w:color w:val="000000" w:themeColor="text1"/>
                <w:szCs w:val="22"/>
              </w:rPr>
              <w:t>UoA’s</w:t>
            </w:r>
            <w:proofErr w:type="spellEnd"/>
            <w:r w:rsidRPr="005E4DBF">
              <w:rPr>
                <w:rFonts w:asciiTheme="minorHAnsi" w:hAnsiTheme="minorHAnsi" w:cstheme="minorHAnsi"/>
                <w:iCs/>
                <w:color w:val="000000" w:themeColor="text1"/>
                <w:szCs w:val="22"/>
              </w:rPr>
              <w:t xml:space="preserve"> priorities in research, commercialisation, and education</w:t>
            </w:r>
          </w:p>
          <w:p w14:paraId="19A08678" w14:textId="77FBA4A1" w:rsidR="005E4DBF" w:rsidRPr="005E4DBF" w:rsidRDefault="005E4DBF"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5E4DBF">
              <w:rPr>
                <w:rFonts w:asciiTheme="minorHAnsi" w:hAnsiTheme="minorHAnsi" w:cstheme="minorHAnsi"/>
                <w:iCs/>
                <w:color w:val="000000" w:themeColor="text1"/>
                <w:szCs w:val="22"/>
              </w:rPr>
              <w:t>Engage with industry on research investments, where University researchers will work alongside industry peers, HDR students, and future research users, creating environments that advance research priorities in FAME areas</w:t>
            </w:r>
          </w:p>
          <w:p w14:paraId="3E536E74" w14:textId="0BE7B212" w:rsidR="005E4DBF" w:rsidRPr="005E4DBF" w:rsidRDefault="005E4DBF"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5E4DBF">
              <w:rPr>
                <w:rFonts w:asciiTheme="minorHAnsi" w:hAnsiTheme="minorHAnsi" w:cstheme="minorHAnsi"/>
                <w:iCs/>
                <w:color w:val="000000" w:themeColor="text1"/>
                <w:szCs w:val="22"/>
              </w:rPr>
              <w:t>Attract high-quality HDR students working in priority areas</w:t>
            </w:r>
          </w:p>
          <w:p w14:paraId="21C12F36" w14:textId="52A72080" w:rsidR="005E4DBF" w:rsidRPr="005E4DBF" w:rsidRDefault="005E4DBF"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5E4DBF">
              <w:rPr>
                <w:rFonts w:asciiTheme="minorHAnsi" w:hAnsiTheme="minorHAnsi" w:cstheme="minorHAnsi"/>
                <w:iCs/>
                <w:color w:val="000000" w:themeColor="text1"/>
                <w:szCs w:val="22"/>
              </w:rPr>
              <w:t xml:space="preserve">Focus on building a university city.  </w:t>
            </w:r>
          </w:p>
          <w:p w14:paraId="0B3CE0A5" w14:textId="77777777" w:rsidR="005E4DBF" w:rsidRPr="005E4DBF" w:rsidRDefault="005E4DBF" w:rsidP="003D76C1">
            <w:pPr>
              <w:pStyle w:val="NormalIndent"/>
              <w:widowControl w:val="0"/>
              <w:spacing w:after="0"/>
              <w:ind w:left="0"/>
              <w:rPr>
                <w:rFonts w:asciiTheme="minorHAnsi" w:hAnsiTheme="minorHAnsi" w:cstheme="minorHAnsi"/>
                <w:iCs/>
                <w:color w:val="000000" w:themeColor="text1"/>
                <w:szCs w:val="22"/>
              </w:rPr>
            </w:pPr>
            <w:proofErr w:type="spellStart"/>
            <w:r w:rsidRPr="005E4DBF">
              <w:rPr>
                <w:rFonts w:asciiTheme="minorHAnsi" w:hAnsiTheme="minorHAnsi" w:cstheme="minorHAnsi"/>
                <w:iCs/>
                <w:color w:val="000000" w:themeColor="text1"/>
                <w:szCs w:val="22"/>
              </w:rPr>
              <w:t>UoA</w:t>
            </w:r>
            <w:proofErr w:type="spellEnd"/>
            <w:r w:rsidRPr="005E4DBF">
              <w:rPr>
                <w:rFonts w:asciiTheme="minorHAnsi" w:hAnsiTheme="minorHAnsi" w:cstheme="minorHAnsi"/>
                <w:iCs/>
                <w:color w:val="000000" w:themeColor="text1"/>
                <w:szCs w:val="22"/>
              </w:rPr>
              <w:t xml:space="preserve"> will measure its progress through targets such as:</w:t>
            </w:r>
          </w:p>
          <w:p w14:paraId="3982CBFF" w14:textId="22D2C487" w:rsidR="005E4DBF" w:rsidRPr="005E4DBF" w:rsidRDefault="005E4DBF"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5E4DBF">
              <w:rPr>
                <w:rFonts w:asciiTheme="minorHAnsi" w:hAnsiTheme="minorHAnsi" w:cstheme="minorHAnsi"/>
                <w:iCs/>
                <w:color w:val="000000" w:themeColor="text1"/>
                <w:szCs w:val="22"/>
              </w:rPr>
              <w:t xml:space="preserve">Finalising six aspirational partnerships within Global Partnership Development Framework (GPDF); and </w:t>
            </w:r>
          </w:p>
          <w:p w14:paraId="69D8B5FF" w14:textId="11CEB6D0" w:rsidR="005E4DBF" w:rsidRPr="005E4DBF" w:rsidRDefault="005E4DBF"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5E4DBF">
              <w:rPr>
                <w:rFonts w:asciiTheme="minorHAnsi" w:hAnsiTheme="minorHAnsi" w:cstheme="minorHAnsi"/>
                <w:iCs/>
                <w:color w:val="000000" w:themeColor="text1"/>
                <w:szCs w:val="22"/>
              </w:rPr>
              <w:t>Achieving philanthropic revenue of $</w:t>
            </w:r>
            <w:r w:rsidR="00F03C00">
              <w:rPr>
                <w:rFonts w:asciiTheme="minorHAnsi" w:hAnsiTheme="minorHAnsi" w:cstheme="minorHAnsi"/>
                <w:iCs/>
                <w:color w:val="000000" w:themeColor="text1"/>
                <w:szCs w:val="22"/>
              </w:rPr>
              <w:t>25</w:t>
            </w:r>
            <w:r w:rsidRPr="005E4DBF">
              <w:rPr>
                <w:rFonts w:asciiTheme="minorHAnsi" w:hAnsiTheme="minorHAnsi" w:cstheme="minorHAnsi"/>
                <w:iCs/>
                <w:color w:val="000000" w:themeColor="text1"/>
                <w:szCs w:val="22"/>
              </w:rPr>
              <w:t xml:space="preserve">m </w:t>
            </w:r>
            <w:r w:rsidR="00F03C00">
              <w:rPr>
                <w:rFonts w:asciiTheme="minorHAnsi" w:hAnsiTheme="minorHAnsi" w:cstheme="minorHAnsi"/>
                <w:iCs/>
                <w:color w:val="000000" w:themeColor="text1"/>
                <w:szCs w:val="22"/>
              </w:rPr>
              <w:t>in</w:t>
            </w:r>
            <w:r w:rsidRPr="005E4DBF">
              <w:rPr>
                <w:rFonts w:asciiTheme="minorHAnsi" w:hAnsiTheme="minorHAnsi" w:cstheme="minorHAnsi"/>
                <w:iCs/>
                <w:color w:val="000000" w:themeColor="text1"/>
                <w:szCs w:val="22"/>
              </w:rPr>
              <w:t xml:space="preserve"> 202</w:t>
            </w:r>
            <w:r w:rsidR="00F03C00">
              <w:rPr>
                <w:rFonts w:asciiTheme="minorHAnsi" w:hAnsiTheme="minorHAnsi" w:cstheme="minorHAnsi"/>
                <w:iCs/>
                <w:color w:val="000000" w:themeColor="text1"/>
                <w:szCs w:val="22"/>
              </w:rPr>
              <w:t>5</w:t>
            </w:r>
            <w:r w:rsidRPr="005E4DBF">
              <w:rPr>
                <w:rFonts w:asciiTheme="minorHAnsi" w:hAnsiTheme="minorHAnsi" w:cstheme="minorHAnsi"/>
                <w:iCs/>
                <w:color w:val="000000" w:themeColor="text1"/>
                <w:szCs w:val="22"/>
              </w:rPr>
              <w:t>.</w:t>
            </w:r>
          </w:p>
          <w:p w14:paraId="39CAF8F7" w14:textId="77777777" w:rsidR="005E4DBF" w:rsidRPr="005E4DBF" w:rsidRDefault="005E4DBF" w:rsidP="003D76C1">
            <w:pPr>
              <w:pStyle w:val="NormalIndent"/>
              <w:widowControl w:val="0"/>
              <w:spacing w:after="0"/>
              <w:ind w:left="0"/>
              <w:rPr>
                <w:rFonts w:asciiTheme="minorHAnsi" w:hAnsiTheme="minorHAnsi" w:cstheme="minorHAnsi"/>
                <w:iCs/>
                <w:color w:val="000000" w:themeColor="text1"/>
                <w:szCs w:val="22"/>
              </w:rPr>
            </w:pPr>
            <w:r w:rsidRPr="005E4DBF">
              <w:rPr>
                <w:rFonts w:asciiTheme="minorHAnsi" w:hAnsiTheme="minorHAnsi" w:cstheme="minorHAnsi"/>
                <w:iCs/>
                <w:color w:val="000000" w:themeColor="text1"/>
                <w:szCs w:val="22"/>
              </w:rPr>
              <w:t xml:space="preserve">Recognising the importance of industry engagement, </w:t>
            </w:r>
            <w:proofErr w:type="spellStart"/>
            <w:r w:rsidRPr="005E4DBF">
              <w:rPr>
                <w:rFonts w:asciiTheme="minorHAnsi" w:hAnsiTheme="minorHAnsi" w:cstheme="minorHAnsi"/>
                <w:iCs/>
                <w:color w:val="000000" w:themeColor="text1"/>
                <w:szCs w:val="22"/>
              </w:rPr>
              <w:t>UoA</w:t>
            </w:r>
            <w:proofErr w:type="spellEnd"/>
            <w:r w:rsidRPr="005E4DBF">
              <w:rPr>
                <w:rFonts w:asciiTheme="minorHAnsi" w:hAnsiTheme="minorHAnsi" w:cstheme="minorHAnsi"/>
                <w:iCs/>
                <w:color w:val="000000" w:themeColor="text1"/>
                <w:szCs w:val="22"/>
              </w:rPr>
              <w:t xml:space="preserve"> will implement a range of initiatives that are designed to engage with industry to position the University as the partner of choice for global institutions, agencies, and industry. These include:</w:t>
            </w:r>
          </w:p>
          <w:p w14:paraId="3ABDE2D7" w14:textId="2091D651" w:rsidR="005E4DBF" w:rsidRPr="005E4DBF" w:rsidRDefault="005E4DBF"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5E4DBF">
              <w:rPr>
                <w:rFonts w:asciiTheme="minorHAnsi" w:hAnsiTheme="minorHAnsi" w:cstheme="minorHAnsi"/>
                <w:iCs/>
                <w:color w:val="000000" w:themeColor="text1"/>
                <w:szCs w:val="22"/>
              </w:rPr>
              <w:t xml:space="preserve">Implementing a strategic global network strategy to position the University as the partner of choice for global institutions, agencies, and industry, for new revenue generation, reputation enhancement and education, research and engagement </w:t>
            </w:r>
            <w:proofErr w:type="gramStart"/>
            <w:r w:rsidRPr="005E4DBF">
              <w:rPr>
                <w:rFonts w:asciiTheme="minorHAnsi" w:hAnsiTheme="minorHAnsi" w:cstheme="minorHAnsi"/>
                <w:iCs/>
                <w:color w:val="000000" w:themeColor="text1"/>
                <w:szCs w:val="22"/>
              </w:rPr>
              <w:t>activities;</w:t>
            </w:r>
            <w:proofErr w:type="gramEnd"/>
            <w:r w:rsidRPr="005E4DBF">
              <w:rPr>
                <w:rFonts w:asciiTheme="minorHAnsi" w:hAnsiTheme="minorHAnsi" w:cstheme="minorHAnsi"/>
                <w:iCs/>
                <w:color w:val="000000" w:themeColor="text1"/>
                <w:szCs w:val="22"/>
              </w:rPr>
              <w:t xml:space="preserve"> </w:t>
            </w:r>
          </w:p>
          <w:p w14:paraId="21B4140B" w14:textId="15D7AD7B" w:rsidR="005E4DBF" w:rsidRPr="005E4DBF" w:rsidRDefault="005E4DBF"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5E4DBF">
              <w:rPr>
                <w:rFonts w:asciiTheme="minorHAnsi" w:hAnsiTheme="minorHAnsi" w:cstheme="minorHAnsi"/>
                <w:iCs/>
                <w:color w:val="000000" w:themeColor="text1"/>
                <w:szCs w:val="22"/>
              </w:rPr>
              <w:t xml:space="preserve">Continuing a program of cultural and campus events across all three campuses to engage with communities in the social and intellectual fabric of South </w:t>
            </w:r>
            <w:proofErr w:type="gramStart"/>
            <w:r w:rsidRPr="005E4DBF">
              <w:rPr>
                <w:rFonts w:asciiTheme="minorHAnsi" w:hAnsiTheme="minorHAnsi" w:cstheme="minorHAnsi"/>
                <w:iCs/>
                <w:color w:val="000000" w:themeColor="text1"/>
                <w:szCs w:val="22"/>
              </w:rPr>
              <w:t>Australia;</w:t>
            </w:r>
            <w:proofErr w:type="gramEnd"/>
          </w:p>
          <w:p w14:paraId="1471BDD8" w14:textId="0E27092D" w:rsidR="005E4DBF" w:rsidRPr="005E4DBF" w:rsidRDefault="005E4DBF" w:rsidP="003D76C1">
            <w:pPr>
              <w:pStyle w:val="NormalIndent"/>
              <w:widowControl w:val="0"/>
              <w:numPr>
                <w:ilvl w:val="0"/>
                <w:numId w:val="29"/>
              </w:numPr>
              <w:spacing w:before="0" w:after="0"/>
              <w:rPr>
                <w:rFonts w:asciiTheme="minorHAnsi" w:hAnsiTheme="minorHAnsi" w:cstheme="minorHAnsi"/>
                <w:iCs/>
                <w:color w:val="000000" w:themeColor="text1"/>
                <w:szCs w:val="22"/>
              </w:rPr>
            </w:pPr>
            <w:r w:rsidRPr="005E4DBF">
              <w:rPr>
                <w:rFonts w:asciiTheme="minorHAnsi" w:hAnsiTheme="minorHAnsi" w:cstheme="minorHAnsi"/>
                <w:iCs/>
                <w:color w:val="000000" w:themeColor="text1"/>
                <w:szCs w:val="22"/>
              </w:rPr>
              <w:t>Maintaining a centrally coordinated approach to attract and bring an increased number of collaborating industry partners on campus, to share infrastructure, social spaces and collaborative opportunities; and</w:t>
            </w:r>
          </w:p>
          <w:p w14:paraId="6465FC91" w14:textId="6A8CC4C2" w:rsidR="001B109C" w:rsidRPr="005E4DBF" w:rsidRDefault="005E4DBF" w:rsidP="003D76C1">
            <w:pPr>
              <w:pStyle w:val="NormalIndent"/>
              <w:widowControl w:val="0"/>
              <w:numPr>
                <w:ilvl w:val="0"/>
                <w:numId w:val="38"/>
              </w:numPr>
              <w:spacing w:before="0" w:after="0"/>
              <w:rPr>
                <w:rFonts w:asciiTheme="minorHAnsi" w:hAnsiTheme="minorHAnsi" w:cstheme="minorHAnsi"/>
                <w:iCs/>
                <w:color w:val="000000" w:themeColor="text1"/>
                <w:szCs w:val="22"/>
              </w:rPr>
            </w:pPr>
            <w:r w:rsidRPr="005E4DBF">
              <w:rPr>
                <w:rFonts w:asciiTheme="minorHAnsi" w:hAnsiTheme="minorHAnsi" w:cstheme="minorHAnsi"/>
                <w:iCs/>
                <w:color w:val="000000" w:themeColor="text1"/>
                <w:szCs w:val="22"/>
              </w:rPr>
              <w:t>•</w:t>
            </w:r>
            <w:r w:rsidRPr="005E4DBF">
              <w:rPr>
                <w:rFonts w:asciiTheme="minorHAnsi" w:hAnsiTheme="minorHAnsi" w:cstheme="minorHAnsi"/>
                <w:iCs/>
                <w:color w:val="000000" w:themeColor="text1"/>
                <w:szCs w:val="22"/>
              </w:rPr>
              <w:tab/>
              <w:t xml:space="preserve">Responding to opportunities to co-locate with the government and defence partners on Lot Fourteen to enhance </w:t>
            </w:r>
            <w:proofErr w:type="spellStart"/>
            <w:r w:rsidRPr="005E4DBF">
              <w:rPr>
                <w:rFonts w:asciiTheme="minorHAnsi" w:hAnsiTheme="minorHAnsi" w:cstheme="minorHAnsi"/>
                <w:iCs/>
                <w:color w:val="000000" w:themeColor="text1"/>
                <w:szCs w:val="22"/>
              </w:rPr>
              <w:t>UoA’s</w:t>
            </w:r>
            <w:proofErr w:type="spellEnd"/>
            <w:r w:rsidRPr="005E4DBF">
              <w:rPr>
                <w:rFonts w:asciiTheme="minorHAnsi" w:hAnsiTheme="minorHAnsi" w:cstheme="minorHAnsi"/>
                <w:iCs/>
                <w:color w:val="000000" w:themeColor="text1"/>
                <w:szCs w:val="22"/>
              </w:rPr>
              <w:t xml:space="preserve"> credentials in information capability within world-class research spaces.</w:t>
            </w:r>
          </w:p>
        </w:tc>
      </w:tr>
    </w:tbl>
    <w:p w14:paraId="3BBBBA25" w14:textId="77777777" w:rsidR="001B109C" w:rsidRDefault="001B109C" w:rsidP="002218BE">
      <w:pPr>
        <w:widowControl w:val="0"/>
        <w:spacing w:after="0"/>
        <w:rPr>
          <w:rFonts w:ascii="Times New Roman" w:hAnsi="Times New Roman" w:cs="Times New Roman"/>
          <w:b/>
          <w:bCs/>
          <w:sz w:val="24"/>
          <w:szCs w:val="24"/>
        </w:rPr>
      </w:pPr>
    </w:p>
    <w:p w14:paraId="2BE0E0F4" w14:textId="77777777" w:rsidR="001B109C" w:rsidRDefault="001B109C" w:rsidP="002218BE">
      <w:pPr>
        <w:widowControl w:val="0"/>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2218BE">
      <w:pPr>
        <w:widowControl w:val="0"/>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00962F05">
        <w:tc>
          <w:tcPr>
            <w:tcW w:w="4508" w:type="dxa"/>
          </w:tcPr>
          <w:p w14:paraId="68C798FC" w14:textId="77777777" w:rsidR="001B109C" w:rsidRPr="00E169EE" w:rsidRDefault="001B109C" w:rsidP="002218BE">
            <w:pPr>
              <w:widowControl w:val="0"/>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4C44F3A8" w14:textId="77777777" w:rsidR="001B109C" w:rsidRPr="00E169EE" w:rsidRDefault="001B109C" w:rsidP="002218BE">
            <w:pPr>
              <w:widowControl w:val="0"/>
              <w:spacing w:before="275" w:line="210" w:lineRule="exact"/>
              <w:textAlignment w:val="baseline"/>
              <w:rPr>
                <w:rFonts w:eastAsia="Calibri" w:cstheme="minorHAnsi"/>
                <w:color w:val="000000"/>
                <w:spacing w:val="-4"/>
                <w:sz w:val="24"/>
                <w:szCs w:val="24"/>
              </w:rPr>
            </w:pPr>
            <w:r w:rsidRPr="00E169EE">
              <w:rPr>
                <w:rFonts w:eastAsia="Calibri" w:cstheme="minorHAnsi"/>
                <w:color w:val="000000"/>
                <w:spacing w:val="-4"/>
                <w:sz w:val="24"/>
                <w:szCs w:val="24"/>
              </w:rPr>
              <w:t>THE COMMONWEALTH OF AUSTRALIA</w:t>
            </w:r>
          </w:p>
          <w:p w14:paraId="0C445464" w14:textId="77777777" w:rsidR="001B109C" w:rsidRPr="00E169EE" w:rsidRDefault="001B109C" w:rsidP="002218BE">
            <w:pPr>
              <w:widowControl w:val="0"/>
              <w:spacing w:before="275" w:line="210" w:lineRule="exact"/>
              <w:textAlignment w:val="baseline"/>
              <w:rPr>
                <w:rFonts w:eastAsia="Calibri" w:cstheme="minorHAnsi"/>
                <w:color w:val="000000"/>
                <w:spacing w:val="-4"/>
                <w:sz w:val="24"/>
                <w:szCs w:val="24"/>
              </w:rPr>
            </w:pPr>
            <w:r w:rsidRPr="00E169EE">
              <w:rPr>
                <w:rFonts w:eastAsia="Calibri" w:cstheme="minorHAnsi"/>
                <w:color w:val="000000"/>
                <w:spacing w:val="-4"/>
                <w:sz w:val="24"/>
                <w:szCs w:val="24"/>
              </w:rPr>
              <w:t>by</w:t>
            </w:r>
          </w:p>
        </w:tc>
        <w:tc>
          <w:tcPr>
            <w:tcW w:w="4508" w:type="dxa"/>
          </w:tcPr>
          <w:p w14:paraId="34664A6F" w14:textId="77777777" w:rsidR="001B109C" w:rsidRPr="00E169EE" w:rsidRDefault="001B109C" w:rsidP="002218BE">
            <w:pPr>
              <w:widowControl w:val="0"/>
              <w:rPr>
                <w:rFonts w:cstheme="minorHAnsi"/>
                <w:sz w:val="24"/>
                <w:szCs w:val="24"/>
              </w:rPr>
            </w:pPr>
            <w:r w:rsidRPr="00E169EE">
              <w:rPr>
                <w:rFonts w:cstheme="minorHAnsi"/>
                <w:sz w:val="24"/>
                <w:szCs w:val="24"/>
              </w:rPr>
              <w:t>In the presence of:</w:t>
            </w:r>
          </w:p>
        </w:tc>
      </w:tr>
      <w:tr w:rsidR="001B109C" w:rsidRPr="00E169EE" w14:paraId="186905E2" w14:textId="77777777" w:rsidTr="00962F05">
        <w:tc>
          <w:tcPr>
            <w:tcW w:w="4508" w:type="dxa"/>
          </w:tcPr>
          <w:p w14:paraId="32153A99" w14:textId="6B63AF9D" w:rsidR="001B109C" w:rsidRPr="00E169EE" w:rsidRDefault="000F3B2E" w:rsidP="002218BE">
            <w:pPr>
              <w:widowControl w:val="0"/>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69EE" w:rsidRDefault="001B109C" w:rsidP="002218BE">
            <w:pPr>
              <w:widowControl w:val="0"/>
              <w:rPr>
                <w:rFonts w:cstheme="minorHAnsi"/>
              </w:rPr>
            </w:pPr>
            <w:r w:rsidRPr="00E169EE">
              <w:rPr>
                <w:rFonts w:cstheme="minorHAnsi"/>
              </w:rPr>
              <w:t>Full name (please print)</w:t>
            </w:r>
          </w:p>
        </w:tc>
        <w:tc>
          <w:tcPr>
            <w:tcW w:w="4508" w:type="dxa"/>
          </w:tcPr>
          <w:p w14:paraId="091A8D51" w14:textId="5D2D441E" w:rsidR="001B109C" w:rsidRPr="00E169EE" w:rsidRDefault="00D94BB9" w:rsidP="002218BE">
            <w:pPr>
              <w:widowControl w:val="0"/>
              <w:pBdr>
                <w:bottom w:val="single" w:sz="12" w:space="1" w:color="auto"/>
              </w:pBdr>
              <w:rPr>
                <w:rFonts w:cstheme="minorHAnsi"/>
                <w:b/>
                <w:bCs/>
              </w:rPr>
            </w:pPr>
            <w:r>
              <w:rPr>
                <w:rFonts w:cstheme="minorHAnsi"/>
                <w:b/>
                <w:bCs/>
              </w:rPr>
              <w:t>Rachel Searl</w:t>
            </w:r>
          </w:p>
          <w:p w14:paraId="5AAC2089" w14:textId="77777777" w:rsidR="001B109C" w:rsidRPr="00E169EE" w:rsidRDefault="001B109C" w:rsidP="002218BE">
            <w:pPr>
              <w:widowControl w:val="0"/>
              <w:rPr>
                <w:rFonts w:cstheme="minorHAnsi"/>
              </w:rPr>
            </w:pPr>
            <w:r>
              <w:rPr>
                <w:rFonts w:cstheme="minorHAnsi"/>
              </w:rPr>
              <w:t>W</w:t>
            </w:r>
            <w:r w:rsidRPr="00E169EE">
              <w:rPr>
                <w:rFonts w:cstheme="minorHAnsi"/>
              </w:rPr>
              <w:t>itness (please print)</w:t>
            </w:r>
          </w:p>
        </w:tc>
      </w:tr>
      <w:tr w:rsidR="001B109C" w:rsidRPr="00E169EE" w14:paraId="6D0DB948" w14:textId="77777777" w:rsidTr="00962F05">
        <w:tc>
          <w:tcPr>
            <w:tcW w:w="4508" w:type="dxa"/>
          </w:tcPr>
          <w:p w14:paraId="101367FA" w14:textId="12DD5307" w:rsidR="001B109C" w:rsidRPr="00E169EE" w:rsidRDefault="009A664C" w:rsidP="002218BE">
            <w:pPr>
              <w:widowControl w:val="0"/>
              <w:pBdr>
                <w:bottom w:val="single" w:sz="12" w:space="1" w:color="auto"/>
              </w:pBdr>
              <w:rPr>
                <w:rFonts w:cstheme="minorHAnsi"/>
                <w:b/>
                <w:bCs/>
              </w:rPr>
            </w:pPr>
            <w:r w:rsidRPr="00DC5CCA">
              <w:rPr>
                <w:b/>
                <w:bCs/>
              </w:rPr>
              <w:t>First Assistant Secretary</w:t>
            </w:r>
          </w:p>
          <w:p w14:paraId="53889020" w14:textId="77777777" w:rsidR="001B109C" w:rsidRPr="00E169EE" w:rsidRDefault="001B109C" w:rsidP="002218BE">
            <w:pPr>
              <w:widowControl w:val="0"/>
              <w:rPr>
                <w:rFonts w:cstheme="minorHAnsi"/>
              </w:rPr>
            </w:pPr>
            <w:r w:rsidRPr="00E169EE">
              <w:rPr>
                <w:rFonts w:cstheme="minorHAnsi"/>
              </w:rPr>
              <w:t>Position</w:t>
            </w:r>
          </w:p>
          <w:p w14:paraId="390DFF35" w14:textId="77777777" w:rsidR="001B109C" w:rsidRPr="00E169EE" w:rsidRDefault="001B109C" w:rsidP="002218BE">
            <w:pPr>
              <w:widowControl w:val="0"/>
              <w:rPr>
                <w:rFonts w:cstheme="minorHAnsi"/>
              </w:rPr>
            </w:pPr>
            <w:r w:rsidRPr="00E169EE">
              <w:rPr>
                <w:rFonts w:cstheme="minorHAnsi"/>
              </w:rPr>
              <w:t>of the Department of Education</w:t>
            </w:r>
          </w:p>
        </w:tc>
        <w:tc>
          <w:tcPr>
            <w:tcW w:w="4508" w:type="dxa"/>
          </w:tcPr>
          <w:p w14:paraId="69045716" w14:textId="446D12B4" w:rsidR="001B109C" w:rsidRPr="00E169EE" w:rsidRDefault="001746BA" w:rsidP="002218BE">
            <w:pPr>
              <w:widowControl w:val="0"/>
              <w:pBdr>
                <w:bottom w:val="single" w:sz="12" w:space="1" w:color="auto"/>
              </w:pBdr>
              <w:rPr>
                <w:rFonts w:cstheme="minorHAnsi"/>
                <w:b/>
                <w:bCs/>
              </w:rPr>
            </w:pPr>
            <w:r w:rsidRPr="00E91A60">
              <w:rPr>
                <w:b/>
                <w:bCs/>
              </w:rPr>
              <w:t>Executive Officer</w:t>
            </w:r>
          </w:p>
          <w:p w14:paraId="668DE817" w14:textId="77777777" w:rsidR="001B109C" w:rsidRPr="00E169EE" w:rsidRDefault="001B109C" w:rsidP="002218BE">
            <w:pPr>
              <w:widowControl w:val="0"/>
              <w:rPr>
                <w:rFonts w:cstheme="minorHAnsi"/>
              </w:rPr>
            </w:pPr>
            <w:r w:rsidRPr="00E169EE">
              <w:rPr>
                <w:rFonts w:cstheme="minorHAnsi"/>
              </w:rPr>
              <w:t>Position</w:t>
            </w:r>
            <w:r>
              <w:rPr>
                <w:rFonts w:cstheme="minorHAnsi"/>
              </w:rPr>
              <w:t xml:space="preserve"> or profession of witness (please print)</w:t>
            </w:r>
          </w:p>
        </w:tc>
      </w:tr>
      <w:tr w:rsidR="001B109C" w:rsidRPr="00E169EE" w14:paraId="38C68E43" w14:textId="77777777" w:rsidTr="00962F05">
        <w:tc>
          <w:tcPr>
            <w:tcW w:w="4508" w:type="dxa"/>
          </w:tcPr>
          <w:p w14:paraId="4289F3D2" w14:textId="77777777" w:rsidR="001B109C" w:rsidRPr="00E169EE" w:rsidRDefault="001B109C" w:rsidP="002218BE">
            <w:pPr>
              <w:widowControl w:val="0"/>
              <w:pBdr>
                <w:bottom w:val="single" w:sz="12" w:space="1" w:color="auto"/>
              </w:pBdr>
              <w:rPr>
                <w:rFonts w:cstheme="minorHAnsi"/>
                <w:b/>
                <w:bCs/>
              </w:rPr>
            </w:pPr>
          </w:p>
          <w:p w14:paraId="415B9216" w14:textId="77777777" w:rsidR="001B109C" w:rsidRPr="00E169EE" w:rsidRDefault="001B109C" w:rsidP="002218BE">
            <w:pPr>
              <w:widowControl w:val="0"/>
              <w:rPr>
                <w:rFonts w:cstheme="minorHAnsi"/>
              </w:rPr>
            </w:pPr>
            <w:r w:rsidRPr="00E169EE">
              <w:rPr>
                <w:rFonts w:cstheme="minorHAnsi"/>
              </w:rPr>
              <w:t>Signature</w:t>
            </w:r>
          </w:p>
        </w:tc>
        <w:tc>
          <w:tcPr>
            <w:tcW w:w="4508" w:type="dxa"/>
          </w:tcPr>
          <w:p w14:paraId="710024D0" w14:textId="77777777" w:rsidR="001B109C" w:rsidRPr="00E169EE" w:rsidRDefault="001B109C" w:rsidP="002218BE">
            <w:pPr>
              <w:widowControl w:val="0"/>
              <w:pBdr>
                <w:bottom w:val="single" w:sz="12" w:space="1" w:color="auto"/>
              </w:pBdr>
              <w:rPr>
                <w:rFonts w:cstheme="minorHAnsi"/>
                <w:b/>
                <w:bCs/>
              </w:rPr>
            </w:pPr>
          </w:p>
          <w:p w14:paraId="2D914310" w14:textId="77777777" w:rsidR="001B109C" w:rsidRPr="00E169EE" w:rsidRDefault="001B109C" w:rsidP="002218BE">
            <w:pPr>
              <w:widowControl w:val="0"/>
              <w:rPr>
                <w:rFonts w:cstheme="minorHAnsi"/>
              </w:rPr>
            </w:pPr>
            <w:r w:rsidRPr="00E169EE">
              <w:rPr>
                <w:rFonts w:cstheme="minorHAnsi"/>
              </w:rPr>
              <w:t>Signature</w:t>
            </w:r>
          </w:p>
        </w:tc>
      </w:tr>
      <w:tr w:rsidR="001B109C" w:rsidRPr="00E169EE" w14:paraId="4B1444B6" w14:textId="77777777" w:rsidTr="00962F05">
        <w:tc>
          <w:tcPr>
            <w:tcW w:w="4508" w:type="dxa"/>
          </w:tcPr>
          <w:p w14:paraId="344C64D3" w14:textId="32ADF15F" w:rsidR="001B109C" w:rsidRPr="00935652" w:rsidRDefault="001B109C" w:rsidP="00935652">
            <w:pPr>
              <w:pBdr>
                <w:bottom w:val="single" w:sz="12" w:space="1" w:color="auto"/>
              </w:pBdr>
              <w:rPr>
                <w:rFonts w:cstheme="minorHAnsi"/>
              </w:rPr>
            </w:pPr>
            <w:r w:rsidRPr="00E169EE">
              <w:rPr>
                <w:rFonts w:cstheme="minorHAnsi"/>
                <w:b/>
                <w:bCs/>
              </w:rPr>
              <w:softHyphen/>
            </w:r>
            <w:r w:rsidR="00935652">
              <w:rPr>
                <w:rFonts w:cstheme="minorHAnsi"/>
              </w:rPr>
              <w:t>01/12/2025</w:t>
            </w:r>
          </w:p>
          <w:p w14:paraId="71C4CD3D" w14:textId="77777777" w:rsidR="001B109C" w:rsidRPr="00E169EE" w:rsidRDefault="001B109C" w:rsidP="002218BE">
            <w:pPr>
              <w:widowControl w:val="0"/>
              <w:rPr>
                <w:rFonts w:cstheme="minorHAnsi"/>
              </w:rPr>
            </w:pPr>
            <w:r w:rsidRPr="00E169EE">
              <w:rPr>
                <w:rFonts w:cstheme="minorHAnsi"/>
              </w:rPr>
              <w:t>Date</w:t>
            </w:r>
          </w:p>
        </w:tc>
        <w:tc>
          <w:tcPr>
            <w:tcW w:w="4508" w:type="dxa"/>
          </w:tcPr>
          <w:p w14:paraId="26028E27" w14:textId="77777777" w:rsidR="001B109C" w:rsidRPr="00E169EE" w:rsidRDefault="001B109C" w:rsidP="002218BE">
            <w:pPr>
              <w:widowControl w:val="0"/>
              <w:rPr>
                <w:rFonts w:cstheme="minorHAnsi"/>
                <w:b/>
                <w:bCs/>
              </w:rPr>
            </w:pPr>
          </w:p>
        </w:tc>
      </w:tr>
      <w:tr w:rsidR="001B109C" w:rsidRPr="00E169EE" w14:paraId="45CC96F9" w14:textId="77777777" w:rsidTr="00962F05">
        <w:tc>
          <w:tcPr>
            <w:tcW w:w="4508" w:type="dxa"/>
          </w:tcPr>
          <w:p w14:paraId="639CCC16" w14:textId="77777777" w:rsidR="001B109C" w:rsidRDefault="001B109C" w:rsidP="002218BE">
            <w:pPr>
              <w:widowControl w:val="0"/>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2C706768" w:rsidR="001B109C" w:rsidRPr="00E169EE" w:rsidRDefault="003D76C1" w:rsidP="002218BE">
            <w:pPr>
              <w:widowControl w:val="0"/>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The University of Adelaide</w:t>
            </w:r>
          </w:p>
          <w:p w14:paraId="065C6AB9" w14:textId="77777777" w:rsidR="001B109C" w:rsidRPr="00E169EE" w:rsidRDefault="001B109C" w:rsidP="002218BE">
            <w:pPr>
              <w:widowControl w:val="0"/>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E169EE" w:rsidRDefault="001B109C" w:rsidP="002218BE">
            <w:pPr>
              <w:widowControl w:val="0"/>
              <w:rPr>
                <w:rFonts w:cstheme="minorHAnsi"/>
              </w:rPr>
            </w:pPr>
            <w:r w:rsidRPr="00E169EE">
              <w:rPr>
                <w:rFonts w:cstheme="minorHAnsi"/>
                <w:sz w:val="24"/>
                <w:szCs w:val="24"/>
              </w:rPr>
              <w:t>In the presence of:</w:t>
            </w:r>
          </w:p>
        </w:tc>
      </w:tr>
      <w:tr w:rsidR="001B109C" w:rsidRPr="00E169EE" w14:paraId="5AAB6D63" w14:textId="77777777" w:rsidTr="00962F05">
        <w:tc>
          <w:tcPr>
            <w:tcW w:w="4508" w:type="dxa"/>
          </w:tcPr>
          <w:p w14:paraId="54C8A9A5" w14:textId="35D853B1" w:rsidR="001B109C" w:rsidRPr="00E169EE" w:rsidRDefault="003F22D9" w:rsidP="002218BE">
            <w:pPr>
              <w:widowControl w:val="0"/>
              <w:pBdr>
                <w:bottom w:val="single" w:sz="12" w:space="1" w:color="auto"/>
              </w:pBdr>
              <w:rPr>
                <w:rFonts w:cstheme="minorHAnsi"/>
                <w:b/>
                <w:bCs/>
              </w:rPr>
            </w:pPr>
            <w:r>
              <w:rPr>
                <w:rFonts w:cstheme="minorHAnsi"/>
                <w:b/>
                <w:bCs/>
              </w:rPr>
              <w:t>Professor Peter Høj AC</w:t>
            </w:r>
          </w:p>
          <w:p w14:paraId="3120FAF4" w14:textId="77777777" w:rsidR="001B109C" w:rsidRPr="00E169EE" w:rsidRDefault="001B109C" w:rsidP="002218BE">
            <w:pPr>
              <w:widowControl w:val="0"/>
              <w:rPr>
                <w:rFonts w:cstheme="minorHAnsi"/>
              </w:rPr>
            </w:pPr>
            <w:r w:rsidRPr="00E169EE">
              <w:rPr>
                <w:rFonts w:cstheme="minorHAnsi"/>
              </w:rPr>
              <w:t>Full name (please print)</w:t>
            </w:r>
          </w:p>
        </w:tc>
        <w:tc>
          <w:tcPr>
            <w:tcW w:w="4508" w:type="dxa"/>
          </w:tcPr>
          <w:p w14:paraId="59483E94" w14:textId="6DC2E681" w:rsidR="001B109C" w:rsidRPr="00E169EE" w:rsidRDefault="003F22D9" w:rsidP="002218BE">
            <w:pPr>
              <w:widowControl w:val="0"/>
              <w:pBdr>
                <w:bottom w:val="single" w:sz="12" w:space="1" w:color="auto"/>
              </w:pBdr>
              <w:rPr>
                <w:rFonts w:cstheme="minorHAnsi"/>
                <w:b/>
                <w:bCs/>
              </w:rPr>
            </w:pPr>
            <w:r>
              <w:rPr>
                <w:rFonts w:cstheme="minorHAnsi"/>
                <w:b/>
                <w:bCs/>
              </w:rPr>
              <w:t>Ms Jillian Miller</w:t>
            </w:r>
          </w:p>
          <w:p w14:paraId="439588BC" w14:textId="77777777" w:rsidR="001B109C" w:rsidRPr="00E169EE" w:rsidRDefault="001B109C" w:rsidP="002218BE">
            <w:pPr>
              <w:widowControl w:val="0"/>
              <w:rPr>
                <w:rFonts w:cstheme="minorHAnsi"/>
              </w:rPr>
            </w:pPr>
            <w:r>
              <w:rPr>
                <w:rFonts w:cstheme="minorHAnsi"/>
              </w:rPr>
              <w:t>W</w:t>
            </w:r>
            <w:r w:rsidRPr="00E169EE">
              <w:rPr>
                <w:rFonts w:cstheme="minorHAnsi"/>
              </w:rPr>
              <w:t>itness (please print)</w:t>
            </w:r>
          </w:p>
        </w:tc>
      </w:tr>
      <w:tr w:rsidR="001B109C" w:rsidRPr="00E169EE" w14:paraId="20B90866" w14:textId="77777777" w:rsidTr="00962F05">
        <w:tc>
          <w:tcPr>
            <w:tcW w:w="4508" w:type="dxa"/>
          </w:tcPr>
          <w:p w14:paraId="7D9047AD" w14:textId="53062418" w:rsidR="001B109C" w:rsidRPr="00E169EE" w:rsidRDefault="003F22D9" w:rsidP="002218BE">
            <w:pPr>
              <w:widowControl w:val="0"/>
              <w:pBdr>
                <w:bottom w:val="single" w:sz="12" w:space="1" w:color="auto"/>
              </w:pBdr>
              <w:spacing w:after="0"/>
              <w:rPr>
                <w:rFonts w:cstheme="minorHAnsi"/>
                <w:b/>
                <w:bCs/>
              </w:rPr>
            </w:pPr>
            <w:r>
              <w:rPr>
                <w:rFonts w:cstheme="minorHAnsi"/>
                <w:b/>
                <w:bCs/>
              </w:rPr>
              <w:t>Vice-Chancellor and President</w:t>
            </w:r>
          </w:p>
          <w:p w14:paraId="231ABA73" w14:textId="51371463" w:rsidR="001B109C" w:rsidRPr="00E169EE" w:rsidRDefault="001B109C" w:rsidP="002218BE">
            <w:pPr>
              <w:widowControl w:val="0"/>
              <w:spacing w:after="0"/>
              <w:rPr>
                <w:rFonts w:cstheme="minorHAnsi"/>
              </w:rPr>
            </w:pPr>
            <w:r w:rsidRPr="00E169EE">
              <w:rPr>
                <w:rFonts w:cstheme="minorHAnsi"/>
              </w:rPr>
              <w:t>Position</w:t>
            </w:r>
          </w:p>
          <w:p w14:paraId="536F9855" w14:textId="607D4AC3" w:rsidR="001B109C" w:rsidRPr="00E169EE" w:rsidRDefault="001B109C" w:rsidP="002218BE">
            <w:pPr>
              <w:widowControl w:val="0"/>
              <w:spacing w:after="0"/>
              <w:rPr>
                <w:rFonts w:cstheme="minorHAnsi"/>
              </w:rPr>
            </w:pPr>
          </w:p>
        </w:tc>
        <w:tc>
          <w:tcPr>
            <w:tcW w:w="4508" w:type="dxa"/>
          </w:tcPr>
          <w:p w14:paraId="7B33C473" w14:textId="3E5D23E6" w:rsidR="001B109C" w:rsidRPr="009638CA" w:rsidRDefault="003F22D9" w:rsidP="002218BE">
            <w:pPr>
              <w:widowControl w:val="0"/>
              <w:pBdr>
                <w:bottom w:val="single" w:sz="12" w:space="1" w:color="auto"/>
              </w:pBdr>
              <w:spacing w:after="0"/>
              <w:rPr>
                <w:rFonts w:cstheme="minorHAnsi"/>
                <w:b/>
                <w:bCs/>
              </w:rPr>
            </w:pPr>
            <w:r w:rsidRPr="009638CA">
              <w:rPr>
                <w:rFonts w:cstheme="minorHAnsi"/>
                <w:b/>
                <w:bCs/>
              </w:rPr>
              <w:t>Director: Office of the Vice-Chancellor</w:t>
            </w:r>
          </w:p>
          <w:p w14:paraId="0C046C3D" w14:textId="41AA1486" w:rsidR="003F22D9" w:rsidRPr="003F22D9" w:rsidRDefault="001B109C" w:rsidP="003F22D9">
            <w:pPr>
              <w:widowControl w:val="0"/>
              <w:spacing w:after="0"/>
              <w:rPr>
                <w:rFonts w:cstheme="minorHAnsi"/>
              </w:rPr>
            </w:pPr>
            <w:r w:rsidRPr="003F22D9">
              <w:rPr>
                <w:rFonts w:cstheme="minorHAnsi"/>
              </w:rPr>
              <w:t>Position or profession of witness (please print)</w:t>
            </w:r>
          </w:p>
        </w:tc>
      </w:tr>
      <w:tr w:rsidR="001B109C" w:rsidRPr="00E169EE" w14:paraId="51440CFB" w14:textId="77777777" w:rsidTr="00962F05">
        <w:trPr>
          <w:trHeight w:val="80"/>
        </w:trPr>
        <w:tc>
          <w:tcPr>
            <w:tcW w:w="4508" w:type="dxa"/>
          </w:tcPr>
          <w:p w14:paraId="7583F948" w14:textId="77777777" w:rsidR="001B109C" w:rsidRPr="00E169EE" w:rsidRDefault="001B109C" w:rsidP="002218BE">
            <w:pPr>
              <w:widowControl w:val="0"/>
              <w:pBdr>
                <w:bottom w:val="single" w:sz="12" w:space="1" w:color="auto"/>
              </w:pBdr>
              <w:spacing w:after="0"/>
              <w:rPr>
                <w:rFonts w:cstheme="minorHAnsi"/>
                <w:b/>
                <w:bCs/>
              </w:rPr>
            </w:pPr>
          </w:p>
          <w:p w14:paraId="62FF4341" w14:textId="77777777" w:rsidR="001B109C" w:rsidRPr="00E169EE" w:rsidRDefault="001B109C" w:rsidP="002218BE">
            <w:pPr>
              <w:widowControl w:val="0"/>
              <w:spacing w:after="0"/>
              <w:rPr>
                <w:rFonts w:cstheme="minorHAnsi"/>
              </w:rPr>
            </w:pPr>
            <w:r w:rsidRPr="00E169EE">
              <w:rPr>
                <w:rFonts w:cstheme="minorHAnsi"/>
              </w:rPr>
              <w:t>Signature</w:t>
            </w:r>
          </w:p>
        </w:tc>
        <w:tc>
          <w:tcPr>
            <w:tcW w:w="4508" w:type="dxa"/>
          </w:tcPr>
          <w:p w14:paraId="75C3F771" w14:textId="12B87756" w:rsidR="001B109C" w:rsidRPr="00E169EE" w:rsidRDefault="001B109C" w:rsidP="002218BE">
            <w:pPr>
              <w:widowControl w:val="0"/>
              <w:pBdr>
                <w:bottom w:val="single" w:sz="12" w:space="1" w:color="auto"/>
              </w:pBdr>
              <w:spacing w:after="0"/>
              <w:rPr>
                <w:rFonts w:cstheme="minorHAnsi"/>
                <w:b/>
                <w:bCs/>
              </w:rPr>
            </w:pPr>
          </w:p>
          <w:p w14:paraId="79F89A4A" w14:textId="198C3D08" w:rsidR="001B109C" w:rsidRPr="00E169EE" w:rsidRDefault="001B109C" w:rsidP="002218BE">
            <w:pPr>
              <w:widowControl w:val="0"/>
              <w:spacing w:after="0"/>
              <w:rPr>
                <w:rFonts w:cstheme="minorHAnsi"/>
              </w:rPr>
            </w:pPr>
            <w:r w:rsidRPr="00E169EE">
              <w:rPr>
                <w:rFonts w:cstheme="minorHAnsi"/>
              </w:rPr>
              <w:t>Signature</w:t>
            </w:r>
          </w:p>
        </w:tc>
      </w:tr>
    </w:tbl>
    <w:p w14:paraId="3AB2DC04" w14:textId="77777777" w:rsidR="001B109C" w:rsidRPr="00285733" w:rsidRDefault="001B109C" w:rsidP="002218BE">
      <w:pPr>
        <w:widowControl w:val="0"/>
      </w:pPr>
    </w:p>
    <w:p w14:paraId="7F0711AD" w14:textId="2B0C0AC6" w:rsidR="001B109C" w:rsidRPr="001B109C" w:rsidRDefault="001B109C" w:rsidP="002218BE">
      <w:pPr>
        <w:pStyle w:val="NormalIndent"/>
        <w:widowControl w:val="0"/>
        <w:spacing w:line="240" w:lineRule="auto"/>
        <w:ind w:left="0"/>
        <w:rPr>
          <w:rFonts w:asciiTheme="minorHAnsi" w:hAnsiTheme="minorHAnsi" w:cstheme="minorHAnsi"/>
          <w:szCs w:val="22"/>
        </w:rPr>
      </w:pPr>
    </w:p>
    <w:sectPr w:rsidR="001B109C" w:rsidRPr="001B109C" w:rsidSect="00D86284">
      <w:footerReference w:type="default" r:id="rId20"/>
      <w:footerReference w:type="first" r:id="rId21"/>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BB37" w14:textId="77777777" w:rsidR="000A6228" w:rsidRDefault="000A6228" w:rsidP="000A6228">
      <w:pPr>
        <w:spacing w:after="0" w:line="240" w:lineRule="auto"/>
      </w:pPr>
      <w:r>
        <w:separator/>
      </w:r>
    </w:p>
  </w:endnote>
  <w:endnote w:type="continuationSeparator" w:id="0">
    <w:p w14:paraId="7F61F27E" w14:textId="77777777" w:rsidR="000A6228" w:rsidRDefault="000A622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F0A6" w14:textId="77777777" w:rsidR="000A6228" w:rsidRDefault="000A6228" w:rsidP="000A6228">
      <w:pPr>
        <w:spacing w:after="0" w:line="240" w:lineRule="auto"/>
      </w:pPr>
      <w:r>
        <w:separator/>
      </w:r>
    </w:p>
  </w:footnote>
  <w:footnote w:type="continuationSeparator" w:id="0">
    <w:p w14:paraId="151B57CD" w14:textId="77777777" w:rsidR="000A6228" w:rsidRDefault="000A6228"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C50D24"/>
    <w:multiLevelType w:val="hybridMultilevel"/>
    <w:tmpl w:val="B4A01200"/>
    <w:lvl w:ilvl="0" w:tplc="1BACF73A">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E881B59"/>
    <w:multiLevelType w:val="hybridMultilevel"/>
    <w:tmpl w:val="B6427500"/>
    <w:lvl w:ilvl="0" w:tplc="1BACF73A">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1C22FF"/>
    <w:multiLevelType w:val="hybridMultilevel"/>
    <w:tmpl w:val="8DCEBD1C"/>
    <w:lvl w:ilvl="0" w:tplc="1BACF73A">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8C1034"/>
    <w:multiLevelType w:val="hybridMultilevel"/>
    <w:tmpl w:val="21FAB772"/>
    <w:lvl w:ilvl="0" w:tplc="180AA3E4">
      <w:start w:val="2"/>
      <w:numFmt w:val="bullet"/>
      <w:lvlText w:val="•"/>
      <w:lvlJc w:val="left"/>
      <w:pPr>
        <w:ind w:left="1080" w:hanging="720"/>
      </w:pPr>
      <w:rPr>
        <w:rFonts w:ascii="Calibri" w:eastAsia="Times New Roman" w:hAnsi="Calibri" w:cs="Calibr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D63FF6"/>
    <w:multiLevelType w:val="hybridMultilevel"/>
    <w:tmpl w:val="210047DC"/>
    <w:lvl w:ilvl="0" w:tplc="1BACF73A">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B106FA2"/>
    <w:multiLevelType w:val="hybridMultilevel"/>
    <w:tmpl w:val="F93ACE98"/>
    <w:lvl w:ilvl="0" w:tplc="1BACF73A">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4F458B"/>
    <w:multiLevelType w:val="hybridMultilevel"/>
    <w:tmpl w:val="4DCCEDF8"/>
    <w:lvl w:ilvl="0" w:tplc="180AA3E4">
      <w:start w:val="2"/>
      <w:numFmt w:val="bullet"/>
      <w:lvlText w:val="•"/>
      <w:lvlJc w:val="left"/>
      <w:pPr>
        <w:ind w:left="1080" w:hanging="720"/>
      </w:pPr>
      <w:rPr>
        <w:rFonts w:ascii="Calibri" w:eastAsia="Times New Roman" w:hAnsi="Calibri" w:cs="Calibr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334FD5"/>
    <w:multiLevelType w:val="hybridMultilevel"/>
    <w:tmpl w:val="C476624E"/>
    <w:lvl w:ilvl="0" w:tplc="1BACF73A">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9B57A3"/>
    <w:multiLevelType w:val="hybridMultilevel"/>
    <w:tmpl w:val="981042AC"/>
    <w:lvl w:ilvl="0" w:tplc="180AA3E4">
      <w:start w:val="2"/>
      <w:numFmt w:val="bullet"/>
      <w:lvlText w:val="•"/>
      <w:lvlJc w:val="left"/>
      <w:pPr>
        <w:ind w:left="1080" w:hanging="720"/>
      </w:pPr>
      <w:rPr>
        <w:rFonts w:ascii="Calibri" w:eastAsia="Times New Roman" w:hAnsi="Calibri" w:cs="Calibr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5215E4"/>
    <w:multiLevelType w:val="hybridMultilevel"/>
    <w:tmpl w:val="11184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0FA449A"/>
    <w:multiLevelType w:val="hybridMultilevel"/>
    <w:tmpl w:val="21B44760"/>
    <w:lvl w:ilvl="0" w:tplc="1BACF73A">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D4D2EA9"/>
    <w:multiLevelType w:val="hybridMultilevel"/>
    <w:tmpl w:val="74D82828"/>
    <w:lvl w:ilvl="0" w:tplc="1BACF73A">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C30CFA"/>
    <w:multiLevelType w:val="hybridMultilevel"/>
    <w:tmpl w:val="0050434A"/>
    <w:lvl w:ilvl="0" w:tplc="1BACF73A">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D96002"/>
    <w:multiLevelType w:val="hybridMultilevel"/>
    <w:tmpl w:val="FFAACE7E"/>
    <w:lvl w:ilvl="0" w:tplc="1BACF73A">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752F5852"/>
    <w:multiLevelType w:val="hybridMultilevel"/>
    <w:tmpl w:val="08FE5378"/>
    <w:lvl w:ilvl="0" w:tplc="1BACF73A">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DD5501"/>
    <w:multiLevelType w:val="hybridMultilevel"/>
    <w:tmpl w:val="8C422D2C"/>
    <w:lvl w:ilvl="0" w:tplc="1BACF73A">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E54AD4"/>
    <w:multiLevelType w:val="hybridMultilevel"/>
    <w:tmpl w:val="F1EC9674"/>
    <w:lvl w:ilvl="0" w:tplc="180AA3E4">
      <w:start w:val="2"/>
      <w:numFmt w:val="bullet"/>
      <w:lvlText w:val="•"/>
      <w:lvlJc w:val="left"/>
      <w:pPr>
        <w:ind w:left="1080" w:hanging="720"/>
      </w:pPr>
      <w:rPr>
        <w:rFonts w:ascii="Calibri" w:eastAsia="Times New Roman" w:hAnsi="Calibri" w:cs="Calibr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CB4C86"/>
    <w:multiLevelType w:val="hybridMultilevel"/>
    <w:tmpl w:val="B06E16F0"/>
    <w:lvl w:ilvl="0" w:tplc="0368002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AB2C8A"/>
    <w:multiLevelType w:val="hybridMultilevel"/>
    <w:tmpl w:val="B7163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9560429">
    <w:abstractNumId w:val="16"/>
  </w:num>
  <w:num w:numId="2" w16cid:durableId="1141925489">
    <w:abstractNumId w:val="5"/>
  </w:num>
  <w:num w:numId="3" w16cid:durableId="1430395506">
    <w:abstractNumId w:val="4"/>
  </w:num>
  <w:num w:numId="4" w16cid:durableId="1762024761">
    <w:abstractNumId w:val="3"/>
  </w:num>
  <w:num w:numId="5" w16cid:durableId="861433996">
    <w:abstractNumId w:val="22"/>
  </w:num>
  <w:num w:numId="6" w16cid:durableId="120733662">
    <w:abstractNumId w:val="2"/>
  </w:num>
  <w:num w:numId="7" w16cid:durableId="2022584168">
    <w:abstractNumId w:val="1"/>
  </w:num>
  <w:num w:numId="8" w16cid:durableId="534267804">
    <w:abstractNumId w:val="0"/>
  </w:num>
  <w:num w:numId="9" w16cid:durableId="1265042610">
    <w:abstractNumId w:val="21"/>
  </w:num>
  <w:num w:numId="10" w16cid:durableId="1943879001">
    <w:abstractNumId w:val="8"/>
  </w:num>
  <w:num w:numId="11" w16cid:durableId="419833051">
    <w:abstractNumId w:val="30"/>
  </w:num>
  <w:num w:numId="12" w16cid:durableId="1758015391">
    <w:abstractNumId w:val="15"/>
  </w:num>
  <w:num w:numId="13" w16cid:durableId="1395660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31"/>
  </w:num>
  <w:num w:numId="17" w16cid:durableId="1022434231">
    <w:abstractNumId w:val="24"/>
  </w:num>
  <w:num w:numId="18" w16cid:durableId="618417265">
    <w:abstractNumId w:val="9"/>
  </w:num>
  <w:num w:numId="19" w16cid:durableId="271010807">
    <w:abstractNumId w:val="26"/>
  </w:num>
  <w:num w:numId="20" w16cid:durableId="1068379471">
    <w:abstractNumId w:val="36"/>
  </w:num>
  <w:num w:numId="21" w16cid:durableId="1575166904">
    <w:abstractNumId w:val="35"/>
  </w:num>
  <w:num w:numId="22" w16cid:durableId="604461846">
    <w:abstractNumId w:val="23"/>
  </w:num>
  <w:num w:numId="23" w16cid:durableId="1040520206">
    <w:abstractNumId w:val="28"/>
  </w:num>
  <w:num w:numId="24" w16cid:durableId="1366953233">
    <w:abstractNumId w:val="29"/>
  </w:num>
  <w:num w:numId="25" w16cid:durableId="1921058499">
    <w:abstractNumId w:val="17"/>
  </w:num>
  <w:num w:numId="26" w16cid:durableId="1311060168">
    <w:abstractNumId w:val="19"/>
  </w:num>
  <w:num w:numId="27" w16cid:durableId="226038603">
    <w:abstractNumId w:val="25"/>
  </w:num>
  <w:num w:numId="28" w16cid:durableId="1349985647">
    <w:abstractNumId w:val="27"/>
  </w:num>
  <w:num w:numId="29" w16cid:durableId="1537082861">
    <w:abstractNumId w:val="13"/>
  </w:num>
  <w:num w:numId="30" w16cid:durableId="1965960805">
    <w:abstractNumId w:val="7"/>
  </w:num>
  <w:num w:numId="31" w16cid:durableId="1807772695">
    <w:abstractNumId w:val="33"/>
  </w:num>
  <w:num w:numId="32" w16cid:durableId="593166792">
    <w:abstractNumId w:val="32"/>
  </w:num>
  <w:num w:numId="33" w16cid:durableId="296372899">
    <w:abstractNumId w:val="11"/>
  </w:num>
  <w:num w:numId="34" w16cid:durableId="1204442254">
    <w:abstractNumId w:val="14"/>
  </w:num>
  <w:num w:numId="35" w16cid:durableId="1401172731">
    <w:abstractNumId w:val="12"/>
  </w:num>
  <w:num w:numId="36" w16cid:durableId="1624847547">
    <w:abstractNumId w:val="18"/>
  </w:num>
  <w:num w:numId="37" w16cid:durableId="460727364">
    <w:abstractNumId w:val="34"/>
  </w:num>
  <w:num w:numId="38" w16cid:durableId="13761536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156D"/>
    <w:rsid w:val="000B2F71"/>
    <w:rsid w:val="000B5D40"/>
    <w:rsid w:val="000B7EC6"/>
    <w:rsid w:val="000F3B2E"/>
    <w:rsid w:val="00107D87"/>
    <w:rsid w:val="00107DD5"/>
    <w:rsid w:val="0012343A"/>
    <w:rsid w:val="00133B8D"/>
    <w:rsid w:val="0013611E"/>
    <w:rsid w:val="001425BC"/>
    <w:rsid w:val="001515BF"/>
    <w:rsid w:val="0015549C"/>
    <w:rsid w:val="00167872"/>
    <w:rsid w:val="0017134D"/>
    <w:rsid w:val="001746BA"/>
    <w:rsid w:val="00182CA7"/>
    <w:rsid w:val="00196CDA"/>
    <w:rsid w:val="001B109C"/>
    <w:rsid w:val="001C1523"/>
    <w:rsid w:val="001E3BF1"/>
    <w:rsid w:val="002014E0"/>
    <w:rsid w:val="002218BE"/>
    <w:rsid w:val="00221D8F"/>
    <w:rsid w:val="002267FD"/>
    <w:rsid w:val="002272DB"/>
    <w:rsid w:val="00235752"/>
    <w:rsid w:val="00242163"/>
    <w:rsid w:val="00276047"/>
    <w:rsid w:val="0029618B"/>
    <w:rsid w:val="002A4458"/>
    <w:rsid w:val="002D589A"/>
    <w:rsid w:val="002E491A"/>
    <w:rsid w:val="00361AF6"/>
    <w:rsid w:val="003A4F47"/>
    <w:rsid w:val="003C6695"/>
    <w:rsid w:val="003D75D5"/>
    <w:rsid w:val="003D76C1"/>
    <w:rsid w:val="003F22D9"/>
    <w:rsid w:val="0040155D"/>
    <w:rsid w:val="0041713E"/>
    <w:rsid w:val="00421D3F"/>
    <w:rsid w:val="00423785"/>
    <w:rsid w:val="00452D26"/>
    <w:rsid w:val="00462848"/>
    <w:rsid w:val="0049333E"/>
    <w:rsid w:val="004A06CD"/>
    <w:rsid w:val="004A4B6F"/>
    <w:rsid w:val="004A4CF9"/>
    <w:rsid w:val="004D2965"/>
    <w:rsid w:val="004D2D9D"/>
    <w:rsid w:val="004E6C1C"/>
    <w:rsid w:val="005133CC"/>
    <w:rsid w:val="00547FB7"/>
    <w:rsid w:val="00591F57"/>
    <w:rsid w:val="005A75C9"/>
    <w:rsid w:val="005B187D"/>
    <w:rsid w:val="005E4DBF"/>
    <w:rsid w:val="005F35D6"/>
    <w:rsid w:val="006205A1"/>
    <w:rsid w:val="006232DC"/>
    <w:rsid w:val="0063094F"/>
    <w:rsid w:val="00677606"/>
    <w:rsid w:val="006C1BBB"/>
    <w:rsid w:val="006D67F3"/>
    <w:rsid w:val="006F1FFF"/>
    <w:rsid w:val="006F2406"/>
    <w:rsid w:val="006F6D10"/>
    <w:rsid w:val="00712B94"/>
    <w:rsid w:val="007B2CA1"/>
    <w:rsid w:val="007D0ABC"/>
    <w:rsid w:val="008042F5"/>
    <w:rsid w:val="00834034"/>
    <w:rsid w:val="00886959"/>
    <w:rsid w:val="00893A34"/>
    <w:rsid w:val="008A36E1"/>
    <w:rsid w:val="008A37A7"/>
    <w:rsid w:val="008A7AB4"/>
    <w:rsid w:val="008B0736"/>
    <w:rsid w:val="00907EBF"/>
    <w:rsid w:val="00913D0F"/>
    <w:rsid w:val="00935652"/>
    <w:rsid w:val="00950B06"/>
    <w:rsid w:val="009638CA"/>
    <w:rsid w:val="00970069"/>
    <w:rsid w:val="009721EB"/>
    <w:rsid w:val="009A664C"/>
    <w:rsid w:val="009B706E"/>
    <w:rsid w:val="009C423A"/>
    <w:rsid w:val="009D36DD"/>
    <w:rsid w:val="009E79ED"/>
    <w:rsid w:val="00A07596"/>
    <w:rsid w:val="00A17A08"/>
    <w:rsid w:val="00A2355E"/>
    <w:rsid w:val="00A60673"/>
    <w:rsid w:val="00A76B69"/>
    <w:rsid w:val="00AB3A47"/>
    <w:rsid w:val="00AC1872"/>
    <w:rsid w:val="00AC21EE"/>
    <w:rsid w:val="00AD631F"/>
    <w:rsid w:val="00AE21FF"/>
    <w:rsid w:val="00AF1F18"/>
    <w:rsid w:val="00AF7D48"/>
    <w:rsid w:val="00B04FA8"/>
    <w:rsid w:val="00B0726E"/>
    <w:rsid w:val="00B17A53"/>
    <w:rsid w:val="00B219D1"/>
    <w:rsid w:val="00B36469"/>
    <w:rsid w:val="00B72125"/>
    <w:rsid w:val="00B81FA4"/>
    <w:rsid w:val="00B84E33"/>
    <w:rsid w:val="00B8794C"/>
    <w:rsid w:val="00B95EF4"/>
    <w:rsid w:val="00BB5EED"/>
    <w:rsid w:val="00BB6509"/>
    <w:rsid w:val="00BC248C"/>
    <w:rsid w:val="00C01EC0"/>
    <w:rsid w:val="00C244EE"/>
    <w:rsid w:val="00C72224"/>
    <w:rsid w:val="00C75706"/>
    <w:rsid w:val="00CA4815"/>
    <w:rsid w:val="00CF6562"/>
    <w:rsid w:val="00D23ABC"/>
    <w:rsid w:val="00D5688A"/>
    <w:rsid w:val="00D7558A"/>
    <w:rsid w:val="00D86284"/>
    <w:rsid w:val="00D94BB9"/>
    <w:rsid w:val="00DC5980"/>
    <w:rsid w:val="00DD2B46"/>
    <w:rsid w:val="00E06ED6"/>
    <w:rsid w:val="00E0752E"/>
    <w:rsid w:val="00E35741"/>
    <w:rsid w:val="00E529E5"/>
    <w:rsid w:val="00EB4C2F"/>
    <w:rsid w:val="00ED0DDF"/>
    <w:rsid w:val="00F02276"/>
    <w:rsid w:val="00F03C00"/>
    <w:rsid w:val="00F1000D"/>
    <w:rsid w:val="00F266BE"/>
    <w:rsid w:val="00F30BFA"/>
    <w:rsid w:val="00F311A4"/>
    <w:rsid w:val="00F65D3D"/>
    <w:rsid w:val="00F82C2C"/>
    <w:rsid w:val="00F85913"/>
    <w:rsid w:val="00FC2B31"/>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382439BE-0947-4D0E-9C29-81C0E49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adelaide.edu.au/policies/5003/?dsn=policy.document;field=data;id=9546;m=view"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delaide.edu.au/integrity-unit/" TargetMode="External"/><Relationship Id="rId2" Type="http://schemas.openxmlformats.org/officeDocument/2006/relationships/customXml" Target="../customXml/item2.xml"/><Relationship Id="rId16" Type="http://schemas.openxmlformats.org/officeDocument/2006/relationships/hyperlink" Target="https://www.adelaide.edu.au/legalandrisk/integrity-and-accountabil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delaide.edu.au/policies/462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delaide.edu.au/research/ua/media/2159/2023-hdr-strateg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elaide.edu.au/vco/strategic-pla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23090-9B46-49F7-9FD3-FE6A252D4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D8D836FB-0FEA-4EB6-8C1F-B6512B7A70B1}">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6e75ac5a-1f9e-40aa-9df5-998dd543a947"/>
    <ds:schemaRef ds:uri="fea52c8c-9806-4a1c-8ca9-6928160f6c09"/>
  </ds:schemaRefs>
</ds:datastoreItem>
</file>

<file path=customXml/itemProps4.xml><?xml version="1.0" encoding="utf-8"?>
<ds:datastoreItem xmlns:ds="http://schemas.openxmlformats.org/officeDocument/2006/customXml" ds:itemID="{E49897B7-12DD-4008-B018-50A4547F3B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2562</Words>
  <Characters>15759</Characters>
  <Application>Microsoft Office Word</Application>
  <DocSecurity>0</DocSecurity>
  <Lines>300</Lines>
  <Paragraphs>125</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11</cp:revision>
  <cp:lastPrinted>2025-12-01T05:28:00Z</cp:lastPrinted>
  <dcterms:created xsi:type="dcterms:W3CDTF">2025-11-23T22:55:00Z</dcterms:created>
  <dcterms:modified xsi:type="dcterms:W3CDTF">2025-12-17T04:48:00Z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