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6FC6577" w14:textId="42563497" w:rsidR="001B109C" w:rsidRPr="00A0475B" w:rsidRDefault="001B109C" w:rsidP="00A0475B">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A0475B">
              <w:t>Swinburne University of Technology</w:t>
            </w: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C5B062B" w14:textId="77777777" w:rsidR="001B109C" w:rsidRDefault="001B109C" w:rsidP="00E027D2">
            <w:pPr>
              <w:pStyle w:val="NormalIndent"/>
              <w:spacing w:before="0" w:line="240" w:lineRule="auto"/>
              <w:ind w:left="0"/>
              <w:rPr>
                <w:rFonts w:asciiTheme="minorHAnsi" w:hAnsiTheme="minorHAnsi" w:cstheme="minorHAnsi"/>
                <w:szCs w:val="22"/>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p w14:paraId="127C3B78" w14:textId="77777777" w:rsidR="007926D2" w:rsidRPr="007926D2" w:rsidRDefault="007926D2" w:rsidP="00191806">
            <w:pPr>
              <w:spacing w:after="160" w:line="278" w:lineRule="auto"/>
              <w:rPr>
                <w:lang w:eastAsia="en-AU"/>
              </w:rPr>
            </w:pPr>
          </w:p>
        </w:tc>
      </w:tr>
      <w:tr w:rsidR="001B109C" w:rsidRPr="00E41388" w14:paraId="63ACD26A" w14:textId="77777777" w:rsidTr="6DCF43EC">
        <w:trPr>
          <w:cantSplit/>
        </w:trPr>
        <w:tc>
          <w:tcPr>
            <w:tcW w:w="5000" w:type="pct"/>
          </w:tcPr>
          <w:p w14:paraId="43C124C8" w14:textId="55208677" w:rsidR="001B109C" w:rsidRPr="00E169EE"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6DCF43EC">
        <w:trPr>
          <w:cantSplit/>
          <w:trHeight w:val="1123"/>
        </w:trPr>
        <w:tc>
          <w:tcPr>
            <w:tcW w:w="5000" w:type="pct"/>
            <w:tcBorders>
              <w:bottom w:val="single" w:sz="4" w:space="0" w:color="auto"/>
            </w:tcBorders>
          </w:tcPr>
          <w:p w14:paraId="01BD57AE" w14:textId="4274AC66" w:rsidR="007926D2" w:rsidRPr="00687C1A" w:rsidRDefault="007926D2" w:rsidP="007926D2">
            <w:pPr>
              <w:pStyle w:val="NormalIndent"/>
              <w:spacing w:before="0" w:after="0"/>
              <w:ind w:left="0"/>
              <w:rPr>
                <w:rFonts w:asciiTheme="minorHAnsi" w:hAnsiTheme="minorHAnsi" w:cstheme="minorHAnsi"/>
                <w:sz w:val="20"/>
                <w:szCs w:val="20"/>
              </w:rPr>
            </w:pPr>
            <w:bookmarkStart w:id="0" w:name="_Hlk210912044"/>
            <w:r w:rsidRPr="00687C1A">
              <w:rPr>
                <w:rFonts w:asciiTheme="minorHAnsi" w:hAnsiTheme="minorHAnsi" w:cstheme="minorHAnsi"/>
                <w:sz w:val="20"/>
                <w:szCs w:val="20"/>
              </w:rPr>
              <w:t>At Swinburne University of Technology, we bring people and technology together for a better world. Our purpose is to create tomorrow’s technology and</w:t>
            </w:r>
            <w:r>
              <w:rPr>
                <w:rFonts w:asciiTheme="minorHAnsi" w:hAnsiTheme="minorHAnsi" w:cstheme="minorHAnsi"/>
                <w:sz w:val="20"/>
                <w:szCs w:val="20"/>
              </w:rPr>
              <w:t xml:space="preserve"> to develop and nurture</w:t>
            </w:r>
            <w:r w:rsidRPr="00687C1A">
              <w:rPr>
                <w:rFonts w:asciiTheme="minorHAnsi" w:hAnsiTheme="minorHAnsi" w:cstheme="minorHAnsi"/>
                <w:sz w:val="20"/>
                <w:szCs w:val="20"/>
              </w:rPr>
              <w:t xml:space="preserve"> the human capital and talent required </w:t>
            </w:r>
            <w:r>
              <w:rPr>
                <w:rFonts w:asciiTheme="minorHAnsi" w:hAnsiTheme="minorHAnsi" w:cstheme="minorHAnsi"/>
                <w:sz w:val="20"/>
                <w:szCs w:val="20"/>
              </w:rPr>
              <w:t>to thrive in a</w:t>
            </w:r>
            <w:r w:rsidRPr="00687C1A">
              <w:rPr>
                <w:rFonts w:asciiTheme="minorHAnsi" w:hAnsiTheme="minorHAnsi" w:cstheme="minorHAnsi"/>
                <w:sz w:val="20"/>
                <w:szCs w:val="20"/>
              </w:rPr>
              <w:t xml:space="preserve"> tech-rich future.</w:t>
            </w:r>
            <w:bookmarkEnd w:id="0"/>
            <w:r w:rsidRPr="00687C1A">
              <w:rPr>
                <w:rFonts w:asciiTheme="minorHAnsi" w:hAnsiTheme="minorHAnsi" w:cstheme="minorHAnsi"/>
                <w:sz w:val="20"/>
                <w:szCs w:val="20"/>
              </w:rPr>
              <w:t xml:space="preserve"> Our</w:t>
            </w:r>
            <w:hyperlink r:id="rId14" w:history="1">
              <w:r w:rsidRPr="008C62CC">
                <w:rPr>
                  <w:rStyle w:val="Hyperlink"/>
                  <w:rFonts w:asciiTheme="minorHAnsi" w:hAnsiTheme="minorHAnsi" w:cstheme="minorHAnsi"/>
                  <w:sz w:val="20"/>
                  <w:szCs w:val="20"/>
                </w:rPr>
                <w:t xml:space="preserve"> </w:t>
              </w:r>
              <w:r w:rsidRPr="008C62CC">
                <w:rPr>
                  <w:rStyle w:val="Hyperlink"/>
                  <w:rFonts w:cstheme="minorHAnsi"/>
                  <w:sz w:val="20"/>
                  <w:szCs w:val="20"/>
                </w:rPr>
                <w:t>Ad Astra_2030 Strategy</w:t>
              </w:r>
            </w:hyperlink>
            <w:r>
              <w:rPr>
                <w:rFonts w:asciiTheme="minorHAnsi" w:hAnsiTheme="minorHAnsi" w:cstheme="minorHAnsi"/>
                <w:sz w:val="20"/>
                <w:szCs w:val="20"/>
              </w:rPr>
              <w:t xml:space="preserve"> </w:t>
            </w:r>
            <w:r w:rsidRPr="00687C1A">
              <w:rPr>
                <w:rFonts w:asciiTheme="minorHAnsi" w:hAnsiTheme="minorHAnsi" w:cstheme="minorHAnsi"/>
                <w:sz w:val="20"/>
                <w:szCs w:val="20"/>
              </w:rPr>
              <w:t xml:space="preserve">is comprised of four key </w:t>
            </w:r>
            <w:r>
              <w:rPr>
                <w:rFonts w:asciiTheme="minorHAnsi" w:hAnsiTheme="minorHAnsi" w:cstheme="minorHAnsi"/>
                <w:sz w:val="20"/>
                <w:szCs w:val="20"/>
              </w:rPr>
              <w:t>Quantum Leaps</w:t>
            </w:r>
            <w:r w:rsidRPr="00687C1A">
              <w:rPr>
                <w:rFonts w:asciiTheme="minorHAnsi" w:hAnsiTheme="minorHAnsi" w:cstheme="minorHAnsi"/>
                <w:sz w:val="20"/>
                <w:szCs w:val="20"/>
              </w:rPr>
              <w:t xml:space="preserve">, they are:  </w:t>
            </w:r>
          </w:p>
          <w:bookmarkStart w:id="1" w:name="_Hlk209534741"/>
          <w:p w14:paraId="0246F8E3" w14:textId="741D97A5" w:rsidR="005D5BFC" w:rsidRPr="00B811BC" w:rsidRDefault="008C62CC" w:rsidP="00B811BC">
            <w:pPr>
              <w:pStyle w:val="NormalIndent"/>
              <w:ind w:left="720"/>
              <w:rPr>
                <w:rFonts w:cstheme="minorHAnsi"/>
                <w:b/>
                <w:bCs/>
                <w:i/>
                <w:iCs/>
                <w:color w:val="7030A0"/>
                <w:sz w:val="20"/>
                <w:szCs w:val="20"/>
              </w:rPr>
            </w:pPr>
            <w:r>
              <w:rPr>
                <w:rFonts w:cstheme="minorHAnsi"/>
                <w:b/>
                <w:bCs/>
                <w:i/>
                <w:iCs/>
                <w:color w:val="7030A0"/>
                <w:sz w:val="20"/>
                <w:szCs w:val="20"/>
              </w:rPr>
              <w:fldChar w:fldCharType="begin"/>
            </w:r>
            <w:r>
              <w:rPr>
                <w:rFonts w:cstheme="minorHAnsi"/>
                <w:b/>
                <w:bCs/>
                <w:i/>
                <w:iCs/>
                <w:color w:val="7030A0"/>
                <w:sz w:val="20"/>
                <w:szCs w:val="20"/>
              </w:rPr>
              <w:instrText>HYPERLINK "https://www.swinburne.edu.au/adastra/tailored-and-innovative-pathways-to-success-for-all/"</w:instrText>
            </w:r>
            <w:r>
              <w:rPr>
                <w:rFonts w:cstheme="minorHAnsi"/>
                <w:b/>
                <w:bCs/>
                <w:i/>
                <w:iCs/>
                <w:color w:val="7030A0"/>
                <w:sz w:val="20"/>
                <w:szCs w:val="20"/>
              </w:rPr>
            </w:r>
            <w:r>
              <w:rPr>
                <w:rFonts w:cstheme="minorHAnsi"/>
                <w:b/>
                <w:bCs/>
                <w:i/>
                <w:iCs/>
                <w:color w:val="7030A0"/>
                <w:sz w:val="20"/>
                <w:szCs w:val="20"/>
              </w:rPr>
              <w:fldChar w:fldCharType="separate"/>
            </w:r>
            <w:r w:rsidR="005D5BFC" w:rsidRPr="008C62CC">
              <w:rPr>
                <w:rStyle w:val="Hyperlink"/>
                <w:rFonts w:cstheme="minorHAnsi"/>
                <w:b/>
                <w:bCs/>
                <w:i/>
                <w:iCs/>
                <w:sz w:val="20"/>
                <w:szCs w:val="20"/>
              </w:rPr>
              <w:t>Quantum Leap 1: Tailored and innovative pathways to success</w:t>
            </w:r>
            <w:r>
              <w:rPr>
                <w:rFonts w:cstheme="minorHAnsi"/>
                <w:b/>
                <w:bCs/>
                <w:i/>
                <w:iCs/>
                <w:color w:val="7030A0"/>
                <w:sz w:val="20"/>
                <w:szCs w:val="20"/>
              </w:rPr>
              <w:fldChar w:fldCharType="end"/>
            </w:r>
          </w:p>
          <w:p w14:paraId="77C6CE4A" w14:textId="26145127" w:rsidR="005D5BFC" w:rsidRPr="00B811BC" w:rsidRDefault="005D5BFC" w:rsidP="00B811BC">
            <w:pPr>
              <w:pStyle w:val="NormalIndent"/>
              <w:ind w:left="720"/>
              <w:rPr>
                <w:rFonts w:cstheme="minorHAnsi"/>
                <w:b/>
                <w:bCs/>
                <w:i/>
                <w:iCs/>
                <w:color w:val="7030A0"/>
                <w:sz w:val="20"/>
                <w:szCs w:val="20"/>
              </w:rPr>
            </w:pPr>
            <w:hyperlink r:id="rId15" w:history="1">
              <w:r w:rsidRPr="008C62CC">
                <w:rPr>
                  <w:rStyle w:val="Hyperlink"/>
                  <w:rFonts w:cstheme="minorHAnsi"/>
                  <w:b/>
                  <w:bCs/>
                  <w:i/>
                  <w:iCs/>
                  <w:sz w:val="20"/>
                  <w:szCs w:val="20"/>
                </w:rPr>
                <w:t>Quantum Leap 2: Leading and leveraging technology for purpose</w:t>
              </w:r>
            </w:hyperlink>
          </w:p>
          <w:p w14:paraId="20E4E513" w14:textId="69F1BB97" w:rsidR="005D5BFC" w:rsidRPr="00B811BC" w:rsidRDefault="005D5BFC" w:rsidP="00B811BC">
            <w:pPr>
              <w:pStyle w:val="NormalIndent"/>
              <w:ind w:left="720"/>
              <w:rPr>
                <w:rFonts w:cstheme="minorHAnsi"/>
                <w:b/>
                <w:bCs/>
                <w:i/>
                <w:iCs/>
                <w:color w:val="7030A0"/>
                <w:sz w:val="20"/>
                <w:szCs w:val="20"/>
              </w:rPr>
            </w:pPr>
            <w:hyperlink r:id="rId16" w:history="1">
              <w:r w:rsidRPr="008C62CC">
                <w:rPr>
                  <w:rStyle w:val="Hyperlink"/>
                  <w:rFonts w:cstheme="minorHAnsi"/>
                  <w:b/>
                  <w:bCs/>
                  <w:i/>
                  <w:iCs/>
                  <w:sz w:val="20"/>
                  <w:szCs w:val="20"/>
                </w:rPr>
                <w:t>Quantum Leap 3: Co-creating industries of the future</w:t>
              </w:r>
            </w:hyperlink>
          </w:p>
          <w:p w14:paraId="0834BB95" w14:textId="5CE40D71" w:rsidR="005D5BFC" w:rsidRPr="00B811BC" w:rsidRDefault="005D5BFC" w:rsidP="00B811BC">
            <w:pPr>
              <w:pStyle w:val="NormalIndent"/>
              <w:ind w:left="720"/>
              <w:rPr>
                <w:rFonts w:cstheme="minorHAnsi"/>
                <w:b/>
                <w:bCs/>
                <w:i/>
                <w:iCs/>
                <w:color w:val="7030A0"/>
                <w:sz w:val="20"/>
                <w:szCs w:val="20"/>
              </w:rPr>
            </w:pPr>
            <w:hyperlink r:id="rId17" w:history="1">
              <w:r w:rsidRPr="008C62CC">
                <w:rPr>
                  <w:rStyle w:val="Hyperlink"/>
                  <w:rFonts w:cstheme="minorHAnsi"/>
                  <w:b/>
                  <w:bCs/>
                  <w:i/>
                  <w:iCs/>
                  <w:sz w:val="20"/>
                  <w:szCs w:val="20"/>
                </w:rPr>
                <w:t>Quantum Leap 4: The world is our campus</w:t>
              </w:r>
            </w:hyperlink>
          </w:p>
          <w:p w14:paraId="316A939F" w14:textId="00714683" w:rsidR="00B71D5E" w:rsidRDefault="005D5BFC" w:rsidP="00B71D5E">
            <w:pPr>
              <w:pStyle w:val="NormalIndent"/>
              <w:spacing w:before="0" w:after="0"/>
              <w:ind w:left="0"/>
              <w:rPr>
                <w:rFonts w:cstheme="minorHAnsi"/>
                <w:sz w:val="20"/>
                <w:szCs w:val="20"/>
              </w:rPr>
            </w:pPr>
            <w:r w:rsidRPr="00B811BC">
              <w:rPr>
                <w:rFonts w:cstheme="minorHAnsi"/>
                <w:sz w:val="20"/>
                <w:szCs w:val="20"/>
              </w:rPr>
              <w:t xml:space="preserve">Our Quantum Leaps are comprehensively aligned with the Universities Accord. They echo </w:t>
            </w:r>
            <w:r>
              <w:rPr>
                <w:rFonts w:asciiTheme="minorHAnsi" w:hAnsiTheme="minorHAnsi" w:cstheme="minorHAnsi"/>
                <w:sz w:val="20"/>
                <w:szCs w:val="20"/>
              </w:rPr>
              <w:t xml:space="preserve">the Government’s </w:t>
            </w:r>
            <w:r w:rsidRPr="00B811BC">
              <w:rPr>
                <w:rFonts w:cstheme="minorHAnsi"/>
                <w:sz w:val="20"/>
                <w:szCs w:val="20"/>
              </w:rPr>
              <w:t>commitment to providing an equitable and inclusive system of education to meet Australia’s future skills needs by enabling higher participation rates in tertiary education through the provision of qualifications that are seamlessly modular and stackable</w:t>
            </w:r>
            <w:r w:rsidR="00C274E1">
              <w:rPr>
                <w:rFonts w:cstheme="minorHAnsi"/>
                <w:sz w:val="20"/>
                <w:szCs w:val="20"/>
              </w:rPr>
              <w:t xml:space="preserve">. We will provide a tech-infused curricula and credentials </w:t>
            </w:r>
            <w:r w:rsidR="00E32A41">
              <w:rPr>
                <w:rFonts w:cstheme="minorHAnsi"/>
                <w:sz w:val="20"/>
                <w:szCs w:val="20"/>
              </w:rPr>
              <w:t xml:space="preserve">designed to </w:t>
            </w:r>
            <w:r w:rsidR="000304B5">
              <w:rPr>
                <w:rFonts w:cstheme="minorHAnsi"/>
                <w:sz w:val="20"/>
                <w:szCs w:val="20"/>
              </w:rPr>
              <w:t>meet existing and emerging industry needs.</w:t>
            </w:r>
            <w:r w:rsidR="00B71D5E">
              <w:rPr>
                <w:rFonts w:cstheme="minorHAnsi"/>
                <w:sz w:val="20"/>
                <w:szCs w:val="20"/>
              </w:rPr>
              <w:t xml:space="preserve"> </w:t>
            </w:r>
          </w:p>
          <w:p w14:paraId="66D522F8" w14:textId="77777777" w:rsidR="003441E4" w:rsidRDefault="003441E4" w:rsidP="003441E4">
            <w:pPr>
              <w:pStyle w:val="NormalIndent"/>
              <w:spacing w:before="0" w:after="0"/>
              <w:ind w:left="0"/>
              <w:rPr>
                <w:rFonts w:cstheme="minorHAnsi"/>
                <w:sz w:val="20"/>
                <w:szCs w:val="20"/>
              </w:rPr>
            </w:pPr>
          </w:p>
          <w:p w14:paraId="6662BE65" w14:textId="77777777" w:rsidR="0022486D" w:rsidRDefault="00AF78E1" w:rsidP="00F44E53">
            <w:pPr>
              <w:pStyle w:val="NormalIndent"/>
              <w:spacing w:before="0" w:after="0"/>
              <w:ind w:left="0"/>
              <w:rPr>
                <w:rFonts w:asciiTheme="minorHAnsi" w:hAnsiTheme="minorHAnsi" w:cstheme="minorHAnsi"/>
                <w:sz w:val="20"/>
                <w:szCs w:val="20"/>
              </w:rPr>
            </w:pPr>
            <w:r>
              <w:rPr>
                <w:rFonts w:cstheme="minorHAnsi"/>
                <w:sz w:val="20"/>
                <w:szCs w:val="20"/>
              </w:rPr>
              <w:t>Ad Astra_2030</w:t>
            </w:r>
            <w:r w:rsidR="003441E4">
              <w:rPr>
                <w:rFonts w:cstheme="minorHAnsi"/>
                <w:sz w:val="20"/>
                <w:szCs w:val="20"/>
              </w:rPr>
              <w:t>, which builds on Horizon 2025</w:t>
            </w:r>
            <w:r>
              <w:rPr>
                <w:rFonts w:cstheme="minorHAnsi"/>
                <w:sz w:val="20"/>
                <w:szCs w:val="20"/>
              </w:rPr>
              <w:t xml:space="preserve"> is being delivered wi</w:t>
            </w:r>
            <w:r w:rsidR="00F44E53">
              <w:rPr>
                <w:rFonts w:asciiTheme="minorHAnsi" w:hAnsiTheme="minorHAnsi" w:cstheme="minorHAnsi"/>
                <w:sz w:val="20"/>
                <w:szCs w:val="20"/>
              </w:rPr>
              <w:t xml:space="preserve">th a particular focus in </w:t>
            </w:r>
            <w:r w:rsidR="003441E4">
              <w:rPr>
                <w:rFonts w:asciiTheme="minorHAnsi" w:hAnsiTheme="minorHAnsi" w:cstheme="minorHAnsi"/>
                <w:sz w:val="20"/>
                <w:szCs w:val="20"/>
              </w:rPr>
              <w:t>2025-</w:t>
            </w:r>
            <w:r w:rsidR="00F44E53">
              <w:rPr>
                <w:rFonts w:asciiTheme="minorHAnsi" w:hAnsiTheme="minorHAnsi" w:cstheme="minorHAnsi"/>
                <w:sz w:val="20"/>
                <w:szCs w:val="20"/>
              </w:rPr>
              <w:t>2026 on Our Learner Experience and Our Digital Capabilities</w:t>
            </w:r>
            <w:r w:rsidR="003441E4">
              <w:rPr>
                <w:rFonts w:asciiTheme="minorHAnsi" w:hAnsiTheme="minorHAnsi" w:cstheme="minorHAnsi"/>
                <w:sz w:val="20"/>
                <w:szCs w:val="20"/>
              </w:rPr>
              <w:t xml:space="preserve">. </w:t>
            </w:r>
            <w:r w:rsidR="00876F8F">
              <w:rPr>
                <w:rFonts w:asciiTheme="minorHAnsi" w:hAnsiTheme="minorHAnsi" w:cstheme="minorHAnsi"/>
                <w:sz w:val="20"/>
                <w:szCs w:val="20"/>
              </w:rPr>
              <w:t xml:space="preserve">We will assess our progress </w:t>
            </w:r>
            <w:r w:rsidR="006D6749">
              <w:rPr>
                <w:rFonts w:asciiTheme="minorHAnsi" w:hAnsiTheme="minorHAnsi" w:cstheme="minorHAnsi"/>
                <w:sz w:val="20"/>
                <w:szCs w:val="20"/>
              </w:rPr>
              <w:t>using</w:t>
            </w:r>
            <w:r w:rsidR="00CB5F58">
              <w:rPr>
                <w:rFonts w:asciiTheme="minorHAnsi" w:hAnsiTheme="minorHAnsi" w:cstheme="minorHAnsi"/>
                <w:sz w:val="20"/>
                <w:szCs w:val="20"/>
              </w:rPr>
              <w:t xml:space="preserve"> </w:t>
            </w:r>
            <w:r w:rsidR="002509D9">
              <w:rPr>
                <w:rFonts w:asciiTheme="minorHAnsi" w:hAnsiTheme="minorHAnsi" w:cstheme="minorHAnsi"/>
                <w:sz w:val="20"/>
                <w:szCs w:val="20"/>
              </w:rPr>
              <w:t>natio</w:t>
            </w:r>
            <w:r w:rsidR="009673F2">
              <w:rPr>
                <w:rFonts w:asciiTheme="minorHAnsi" w:hAnsiTheme="minorHAnsi" w:cstheme="minorHAnsi"/>
                <w:sz w:val="20"/>
                <w:szCs w:val="20"/>
              </w:rPr>
              <w:t>nal and international</w:t>
            </w:r>
            <w:r w:rsidR="006B4B9E">
              <w:rPr>
                <w:rFonts w:asciiTheme="minorHAnsi" w:hAnsiTheme="minorHAnsi" w:cstheme="minorHAnsi"/>
                <w:sz w:val="20"/>
                <w:szCs w:val="20"/>
              </w:rPr>
              <w:t xml:space="preserve"> benchmarked measures, such as the </w:t>
            </w:r>
            <w:r w:rsidR="00412B39">
              <w:rPr>
                <w:rFonts w:asciiTheme="minorHAnsi" w:hAnsiTheme="minorHAnsi" w:cstheme="minorHAnsi"/>
                <w:sz w:val="20"/>
                <w:szCs w:val="20"/>
              </w:rPr>
              <w:t>Q</w:t>
            </w:r>
            <w:r w:rsidR="00CB5F58">
              <w:rPr>
                <w:rFonts w:asciiTheme="minorHAnsi" w:hAnsiTheme="minorHAnsi" w:cstheme="minorHAnsi"/>
                <w:sz w:val="20"/>
                <w:szCs w:val="20"/>
              </w:rPr>
              <w:t xml:space="preserve">uality </w:t>
            </w:r>
            <w:r w:rsidR="00412B39">
              <w:rPr>
                <w:rFonts w:asciiTheme="minorHAnsi" w:hAnsiTheme="minorHAnsi" w:cstheme="minorHAnsi"/>
                <w:sz w:val="20"/>
                <w:szCs w:val="20"/>
              </w:rPr>
              <w:t>I</w:t>
            </w:r>
            <w:r w:rsidR="00CB5F58">
              <w:rPr>
                <w:rFonts w:asciiTheme="minorHAnsi" w:hAnsiTheme="minorHAnsi" w:cstheme="minorHAnsi"/>
                <w:sz w:val="20"/>
                <w:szCs w:val="20"/>
              </w:rPr>
              <w:t xml:space="preserve">ndicators for </w:t>
            </w:r>
            <w:r w:rsidR="00412B39">
              <w:rPr>
                <w:rFonts w:asciiTheme="minorHAnsi" w:hAnsiTheme="minorHAnsi" w:cstheme="minorHAnsi"/>
                <w:sz w:val="20"/>
                <w:szCs w:val="20"/>
              </w:rPr>
              <w:t>L</w:t>
            </w:r>
            <w:r w:rsidR="00CB5F58">
              <w:rPr>
                <w:rFonts w:asciiTheme="minorHAnsi" w:hAnsiTheme="minorHAnsi" w:cstheme="minorHAnsi"/>
                <w:sz w:val="20"/>
                <w:szCs w:val="20"/>
              </w:rPr>
              <w:t xml:space="preserve">earning and </w:t>
            </w:r>
            <w:r w:rsidR="00412B39">
              <w:rPr>
                <w:rFonts w:asciiTheme="minorHAnsi" w:hAnsiTheme="minorHAnsi" w:cstheme="minorHAnsi"/>
                <w:sz w:val="20"/>
                <w:szCs w:val="20"/>
              </w:rPr>
              <w:t>T</w:t>
            </w:r>
            <w:r w:rsidR="00CB5F58">
              <w:rPr>
                <w:rFonts w:asciiTheme="minorHAnsi" w:hAnsiTheme="minorHAnsi" w:cstheme="minorHAnsi"/>
                <w:sz w:val="20"/>
                <w:szCs w:val="20"/>
              </w:rPr>
              <w:t>eaching</w:t>
            </w:r>
            <w:r w:rsidR="00412B39">
              <w:rPr>
                <w:rFonts w:asciiTheme="minorHAnsi" w:hAnsiTheme="minorHAnsi" w:cstheme="minorHAnsi"/>
                <w:sz w:val="20"/>
                <w:szCs w:val="20"/>
              </w:rPr>
              <w:t xml:space="preserve"> Student Experience Survey</w:t>
            </w:r>
            <w:r w:rsidR="009673F2">
              <w:rPr>
                <w:rFonts w:asciiTheme="minorHAnsi" w:hAnsiTheme="minorHAnsi" w:cstheme="minorHAnsi"/>
                <w:sz w:val="20"/>
                <w:szCs w:val="20"/>
              </w:rPr>
              <w:t>,</w:t>
            </w:r>
            <w:r w:rsidR="00F05F53">
              <w:rPr>
                <w:rFonts w:asciiTheme="minorHAnsi" w:hAnsiTheme="minorHAnsi" w:cstheme="minorHAnsi"/>
                <w:sz w:val="20"/>
                <w:szCs w:val="20"/>
              </w:rPr>
              <w:t xml:space="preserve"> Graduate Outcomes S</w:t>
            </w:r>
            <w:r w:rsidR="00B55530">
              <w:rPr>
                <w:rFonts w:asciiTheme="minorHAnsi" w:hAnsiTheme="minorHAnsi" w:cstheme="minorHAnsi"/>
                <w:sz w:val="20"/>
                <w:szCs w:val="20"/>
              </w:rPr>
              <w:t>u</w:t>
            </w:r>
            <w:r w:rsidR="00F05F53">
              <w:rPr>
                <w:rFonts w:asciiTheme="minorHAnsi" w:hAnsiTheme="minorHAnsi" w:cstheme="minorHAnsi"/>
                <w:sz w:val="20"/>
                <w:szCs w:val="20"/>
              </w:rPr>
              <w:t>rvey</w:t>
            </w:r>
            <w:r w:rsidR="00B55530">
              <w:rPr>
                <w:rFonts w:asciiTheme="minorHAnsi" w:hAnsiTheme="minorHAnsi" w:cstheme="minorHAnsi"/>
                <w:sz w:val="20"/>
                <w:szCs w:val="20"/>
              </w:rPr>
              <w:t xml:space="preserve"> and Employer Satisfaction Survey,</w:t>
            </w:r>
            <w:r w:rsidR="00412B39">
              <w:rPr>
                <w:rFonts w:asciiTheme="minorHAnsi" w:hAnsiTheme="minorHAnsi" w:cstheme="minorHAnsi"/>
                <w:sz w:val="20"/>
                <w:szCs w:val="20"/>
              </w:rPr>
              <w:t xml:space="preserve"> the</w:t>
            </w:r>
            <w:r w:rsidR="009673F2">
              <w:rPr>
                <w:rFonts w:asciiTheme="minorHAnsi" w:hAnsiTheme="minorHAnsi" w:cstheme="minorHAnsi"/>
                <w:sz w:val="20"/>
                <w:szCs w:val="20"/>
              </w:rPr>
              <w:t xml:space="preserve"> </w:t>
            </w:r>
            <w:r w:rsidR="00412B39">
              <w:rPr>
                <w:rFonts w:asciiTheme="minorHAnsi" w:hAnsiTheme="minorHAnsi" w:cstheme="minorHAnsi"/>
                <w:sz w:val="20"/>
                <w:szCs w:val="20"/>
              </w:rPr>
              <w:t>N</w:t>
            </w:r>
            <w:r w:rsidR="002965CD">
              <w:rPr>
                <w:rFonts w:asciiTheme="minorHAnsi" w:hAnsiTheme="minorHAnsi" w:cstheme="minorHAnsi"/>
                <w:sz w:val="20"/>
                <w:szCs w:val="20"/>
              </w:rPr>
              <w:t xml:space="preserve">ational </w:t>
            </w:r>
            <w:r w:rsidR="00412B39">
              <w:rPr>
                <w:rFonts w:asciiTheme="minorHAnsi" w:hAnsiTheme="minorHAnsi" w:cstheme="minorHAnsi"/>
                <w:sz w:val="20"/>
                <w:szCs w:val="20"/>
              </w:rPr>
              <w:t>C</w:t>
            </w:r>
            <w:r w:rsidR="002965CD">
              <w:rPr>
                <w:rFonts w:asciiTheme="minorHAnsi" w:hAnsiTheme="minorHAnsi" w:cstheme="minorHAnsi"/>
                <w:sz w:val="20"/>
                <w:szCs w:val="20"/>
              </w:rPr>
              <w:t xml:space="preserve">entre for Vocational Education and Research Student Outcomes </w:t>
            </w:r>
            <w:r w:rsidR="00412B39">
              <w:rPr>
                <w:rFonts w:asciiTheme="minorHAnsi" w:hAnsiTheme="minorHAnsi" w:cstheme="minorHAnsi"/>
                <w:sz w:val="20"/>
                <w:szCs w:val="20"/>
              </w:rPr>
              <w:t>Survey,</w:t>
            </w:r>
            <w:r w:rsidR="00126854">
              <w:rPr>
                <w:rFonts w:asciiTheme="minorHAnsi" w:hAnsiTheme="minorHAnsi" w:cstheme="minorHAnsi"/>
                <w:sz w:val="20"/>
                <w:szCs w:val="20"/>
              </w:rPr>
              <w:t xml:space="preserve"> the Department of </w:t>
            </w:r>
            <w:r w:rsidR="0022486D">
              <w:rPr>
                <w:rFonts w:asciiTheme="minorHAnsi" w:hAnsiTheme="minorHAnsi" w:cstheme="minorHAnsi"/>
                <w:sz w:val="20"/>
                <w:szCs w:val="20"/>
              </w:rPr>
              <w:t>Education’s</w:t>
            </w:r>
            <w:r w:rsidR="00126854">
              <w:rPr>
                <w:rFonts w:asciiTheme="minorHAnsi" w:hAnsiTheme="minorHAnsi" w:cstheme="minorHAnsi"/>
                <w:sz w:val="20"/>
                <w:szCs w:val="20"/>
              </w:rPr>
              <w:t xml:space="preserve"> </w:t>
            </w:r>
            <w:r w:rsidR="00AF7BEC">
              <w:rPr>
                <w:rFonts w:asciiTheme="minorHAnsi" w:hAnsiTheme="minorHAnsi" w:cstheme="minorHAnsi"/>
                <w:sz w:val="20"/>
                <w:szCs w:val="20"/>
              </w:rPr>
              <w:t>Higher Education Statistics Collection,</w:t>
            </w:r>
            <w:r w:rsidR="00412B39">
              <w:rPr>
                <w:rFonts w:asciiTheme="minorHAnsi" w:hAnsiTheme="minorHAnsi" w:cstheme="minorHAnsi"/>
                <w:sz w:val="20"/>
                <w:szCs w:val="20"/>
              </w:rPr>
              <w:t xml:space="preserve"> </w:t>
            </w:r>
            <w:r w:rsidR="00484690">
              <w:rPr>
                <w:rFonts w:asciiTheme="minorHAnsi" w:hAnsiTheme="minorHAnsi" w:cstheme="minorHAnsi"/>
                <w:sz w:val="20"/>
                <w:szCs w:val="20"/>
              </w:rPr>
              <w:t>the Times Higher Education</w:t>
            </w:r>
            <w:r w:rsidR="00E43F9F">
              <w:rPr>
                <w:rFonts w:asciiTheme="minorHAnsi" w:hAnsiTheme="minorHAnsi" w:cstheme="minorHAnsi"/>
                <w:sz w:val="20"/>
                <w:szCs w:val="20"/>
              </w:rPr>
              <w:t xml:space="preserve"> Word University Rankings, the Academic Ranking of World Universities</w:t>
            </w:r>
            <w:r w:rsidR="0022486D">
              <w:rPr>
                <w:rFonts w:asciiTheme="minorHAnsi" w:hAnsiTheme="minorHAnsi" w:cstheme="minorHAnsi"/>
                <w:sz w:val="20"/>
                <w:szCs w:val="20"/>
              </w:rPr>
              <w:t>.</w:t>
            </w:r>
          </w:p>
          <w:p w14:paraId="0D27AB6C" w14:textId="77777777" w:rsidR="0022486D" w:rsidRDefault="0022486D" w:rsidP="00F44E53">
            <w:pPr>
              <w:pStyle w:val="NormalIndent"/>
              <w:spacing w:before="0" w:after="0"/>
              <w:ind w:left="0"/>
              <w:rPr>
                <w:rFonts w:asciiTheme="minorHAnsi" w:hAnsiTheme="minorHAnsi" w:cstheme="minorHAnsi"/>
                <w:sz w:val="20"/>
                <w:szCs w:val="20"/>
              </w:rPr>
            </w:pPr>
          </w:p>
          <w:p w14:paraId="0625D960" w14:textId="692F2613" w:rsidR="0058183A" w:rsidRDefault="00EF5924" w:rsidP="00F44E53">
            <w:pPr>
              <w:pStyle w:val="NormalIndent"/>
              <w:spacing w:before="0" w:after="0"/>
              <w:ind w:left="0"/>
              <w:rPr>
                <w:sz w:val="20"/>
              </w:rPr>
            </w:pPr>
            <w:r>
              <w:rPr>
                <w:rFonts w:asciiTheme="minorHAnsi" w:hAnsiTheme="minorHAnsi" w:cstheme="minorHAnsi"/>
                <w:sz w:val="20"/>
                <w:szCs w:val="20"/>
              </w:rPr>
              <w:t>A</w:t>
            </w:r>
            <w:r w:rsidRPr="00EF5924">
              <w:rPr>
                <w:rFonts w:asciiTheme="minorHAnsi" w:hAnsiTheme="minorHAnsi" w:cstheme="minorHAnsi"/>
                <w:sz w:val="20"/>
                <w:szCs w:val="20"/>
              </w:rPr>
              <w:t xml:space="preserve">s a public sector entity, we must maintain our social licence to operate. </w:t>
            </w:r>
            <w:r>
              <w:rPr>
                <w:rFonts w:asciiTheme="minorHAnsi" w:hAnsiTheme="minorHAnsi" w:cstheme="minorHAnsi"/>
                <w:sz w:val="20"/>
                <w:szCs w:val="20"/>
              </w:rPr>
              <w:t xml:space="preserve">We are committed to </w:t>
            </w:r>
            <w:r w:rsidR="00DB73E5">
              <w:rPr>
                <w:rFonts w:asciiTheme="minorHAnsi" w:hAnsiTheme="minorHAnsi" w:cstheme="minorHAnsi"/>
                <w:sz w:val="20"/>
                <w:szCs w:val="20"/>
              </w:rPr>
              <w:t>provid</w:t>
            </w:r>
            <w:r w:rsidR="00D0607E">
              <w:rPr>
                <w:rFonts w:asciiTheme="minorHAnsi" w:hAnsiTheme="minorHAnsi" w:cstheme="minorHAnsi"/>
                <w:sz w:val="20"/>
                <w:szCs w:val="20"/>
              </w:rPr>
              <w:t>ing</w:t>
            </w:r>
            <w:r w:rsidR="00DB73E5">
              <w:rPr>
                <w:rFonts w:asciiTheme="minorHAnsi" w:hAnsiTheme="minorHAnsi" w:cstheme="minorHAnsi"/>
                <w:sz w:val="20"/>
                <w:szCs w:val="20"/>
              </w:rPr>
              <w:t xml:space="preserve"> a safe</w:t>
            </w:r>
            <w:r w:rsidR="00D0607E">
              <w:rPr>
                <w:rFonts w:asciiTheme="minorHAnsi" w:hAnsiTheme="minorHAnsi" w:cstheme="minorHAnsi"/>
                <w:sz w:val="20"/>
                <w:szCs w:val="20"/>
              </w:rPr>
              <w:t xml:space="preserve"> and inclusive environment where </w:t>
            </w:r>
            <w:r>
              <w:rPr>
                <w:rFonts w:asciiTheme="minorHAnsi" w:hAnsiTheme="minorHAnsi" w:cstheme="minorHAnsi"/>
                <w:sz w:val="20"/>
                <w:szCs w:val="20"/>
              </w:rPr>
              <w:t>freedom of speech and academic freedom</w:t>
            </w:r>
            <w:r w:rsidR="00D0607E">
              <w:rPr>
                <w:rFonts w:asciiTheme="minorHAnsi" w:hAnsiTheme="minorHAnsi" w:cstheme="minorHAnsi"/>
                <w:sz w:val="20"/>
                <w:szCs w:val="20"/>
              </w:rPr>
              <w:t xml:space="preserve"> are respectfully upheld.</w:t>
            </w:r>
            <w:r w:rsidR="00ED2E98">
              <w:rPr>
                <w:rFonts w:asciiTheme="minorHAnsi" w:hAnsiTheme="minorHAnsi" w:cstheme="minorHAnsi"/>
                <w:sz w:val="20"/>
                <w:szCs w:val="20"/>
              </w:rPr>
              <w:t xml:space="preserve"> Our</w:t>
            </w:r>
            <w:r w:rsidR="00D0607E">
              <w:rPr>
                <w:rFonts w:asciiTheme="minorHAnsi" w:hAnsiTheme="minorHAnsi" w:cstheme="minorHAnsi"/>
                <w:sz w:val="20"/>
                <w:szCs w:val="20"/>
              </w:rPr>
              <w:t xml:space="preserve"> </w:t>
            </w:r>
            <w:hyperlink r:id="rId18" w:history="1">
              <w:r w:rsidR="00D81F97" w:rsidRPr="00D81F97">
                <w:rPr>
                  <w:rStyle w:val="Hyperlink"/>
                  <w:rFonts w:asciiTheme="minorHAnsi" w:hAnsiTheme="minorHAnsi" w:cstheme="minorHAnsi"/>
                  <w:sz w:val="20"/>
                  <w:szCs w:val="20"/>
                </w:rPr>
                <w:t>People, Culture and Integrity Policy</w:t>
              </w:r>
            </w:hyperlink>
            <w:r w:rsidR="004D15DC">
              <w:rPr>
                <w:rFonts w:asciiTheme="minorHAnsi" w:hAnsiTheme="minorHAnsi" w:cstheme="minorHAnsi"/>
                <w:sz w:val="20"/>
                <w:szCs w:val="20"/>
              </w:rPr>
              <w:t xml:space="preserve"> sets clear expectations and accountability f</w:t>
            </w:r>
            <w:r w:rsidR="00CD7A39">
              <w:rPr>
                <w:rFonts w:asciiTheme="minorHAnsi" w:hAnsiTheme="minorHAnsi" w:cstheme="minorHAnsi"/>
                <w:sz w:val="20"/>
                <w:szCs w:val="20"/>
              </w:rPr>
              <w:t>o</w:t>
            </w:r>
            <w:r w:rsidR="004D15DC">
              <w:rPr>
                <w:rFonts w:asciiTheme="minorHAnsi" w:hAnsiTheme="minorHAnsi" w:cstheme="minorHAnsi"/>
                <w:sz w:val="20"/>
                <w:szCs w:val="20"/>
              </w:rPr>
              <w:t>r responsible working, acceptable behaviours and sustainable practices</w:t>
            </w:r>
            <w:r w:rsidR="00811A7E">
              <w:rPr>
                <w:rFonts w:asciiTheme="minorHAnsi" w:hAnsiTheme="minorHAnsi" w:cstheme="minorHAnsi"/>
                <w:sz w:val="20"/>
                <w:szCs w:val="20"/>
              </w:rPr>
              <w:t>,</w:t>
            </w:r>
            <w:r w:rsidR="00507C1B">
              <w:rPr>
                <w:rFonts w:asciiTheme="minorHAnsi" w:hAnsiTheme="minorHAnsi" w:cstheme="minorHAnsi"/>
                <w:sz w:val="20"/>
                <w:szCs w:val="20"/>
              </w:rPr>
              <w:t xml:space="preserve"> supported by </w:t>
            </w:r>
            <w:r w:rsidR="0060452E">
              <w:rPr>
                <w:rFonts w:asciiTheme="minorHAnsi" w:hAnsiTheme="minorHAnsi" w:cstheme="minorHAnsi"/>
                <w:sz w:val="20"/>
                <w:szCs w:val="20"/>
              </w:rPr>
              <w:t xml:space="preserve">guidelines and </w:t>
            </w:r>
            <w:r w:rsidR="00507C1B">
              <w:rPr>
                <w:rFonts w:asciiTheme="minorHAnsi" w:hAnsiTheme="minorHAnsi" w:cstheme="minorHAnsi"/>
                <w:sz w:val="20"/>
                <w:szCs w:val="20"/>
              </w:rPr>
              <w:t>procedures such as</w:t>
            </w:r>
            <w:r w:rsidR="00734309">
              <w:rPr>
                <w:rFonts w:asciiTheme="minorHAnsi" w:hAnsiTheme="minorHAnsi" w:cstheme="minorHAnsi"/>
                <w:sz w:val="20"/>
                <w:szCs w:val="20"/>
              </w:rPr>
              <w:t xml:space="preserve"> </w:t>
            </w:r>
            <w:hyperlink r:id="rId19" w:history="1">
              <w:r w:rsidR="009960A4" w:rsidRPr="009960A4">
                <w:rPr>
                  <w:rStyle w:val="Hyperlink"/>
                  <w:rFonts w:asciiTheme="minorHAnsi" w:hAnsiTheme="minorHAnsi" w:cstheme="minorHAnsi"/>
                  <w:sz w:val="20"/>
                  <w:szCs w:val="20"/>
                </w:rPr>
                <w:t>Artificial Intelligence</w:t>
              </w:r>
            </w:hyperlink>
            <w:r w:rsidR="00D9394A">
              <w:rPr>
                <w:rFonts w:asciiTheme="minorHAnsi" w:hAnsiTheme="minorHAnsi" w:cstheme="minorHAnsi"/>
                <w:sz w:val="20"/>
                <w:szCs w:val="20"/>
              </w:rPr>
              <w:t>,</w:t>
            </w:r>
            <w:r w:rsidR="0058183A">
              <w:rPr>
                <w:rFonts w:asciiTheme="minorHAnsi" w:hAnsiTheme="minorHAnsi" w:cstheme="minorHAnsi"/>
                <w:sz w:val="20"/>
                <w:szCs w:val="20"/>
              </w:rPr>
              <w:t xml:space="preserve"> </w:t>
            </w:r>
            <w:r w:rsidR="003109C1">
              <w:rPr>
                <w:rFonts w:asciiTheme="minorHAnsi" w:hAnsiTheme="minorHAnsi" w:cstheme="minorHAnsi"/>
                <w:sz w:val="20"/>
                <w:szCs w:val="20"/>
              </w:rPr>
              <w:t>t</w:t>
            </w:r>
            <w:r w:rsidR="003109C1">
              <w:rPr>
                <w:rFonts w:cstheme="minorHAnsi"/>
                <w:sz w:val="20"/>
                <w:szCs w:val="20"/>
              </w:rPr>
              <w:t xml:space="preserve">he </w:t>
            </w:r>
            <w:hyperlink r:id="rId20" w:history="1">
              <w:r w:rsidR="00734309">
                <w:rPr>
                  <w:rStyle w:val="Hyperlink"/>
                  <w:rFonts w:asciiTheme="minorHAnsi" w:hAnsiTheme="minorHAnsi" w:cstheme="minorHAnsi"/>
                  <w:sz w:val="20"/>
                  <w:szCs w:val="20"/>
                </w:rPr>
                <w:t>a</w:t>
              </w:r>
              <w:r w:rsidR="003109C1">
                <w:rPr>
                  <w:rStyle w:val="Hyperlink"/>
                  <w:sz w:val="20"/>
                </w:rPr>
                <w:t>c</w:t>
              </w:r>
              <w:r w:rsidR="0058183A" w:rsidRPr="0058183A">
                <w:rPr>
                  <w:rStyle w:val="Hyperlink"/>
                  <w:rFonts w:asciiTheme="minorHAnsi" w:hAnsiTheme="minorHAnsi" w:cstheme="minorHAnsi"/>
                  <w:sz w:val="20"/>
                  <w:szCs w:val="20"/>
                </w:rPr>
                <w:t>ceptable use of IT</w:t>
              </w:r>
            </w:hyperlink>
            <w:r w:rsidR="00734309">
              <w:rPr>
                <w:rFonts w:asciiTheme="minorHAnsi" w:hAnsiTheme="minorHAnsi" w:cstheme="minorHAnsi"/>
                <w:sz w:val="20"/>
                <w:szCs w:val="20"/>
              </w:rPr>
              <w:t xml:space="preserve">, </w:t>
            </w:r>
            <w:hyperlink r:id="rId21" w:history="1">
              <w:r w:rsidR="00734309" w:rsidRPr="00734309">
                <w:rPr>
                  <w:rStyle w:val="Hyperlink"/>
                  <w:rFonts w:asciiTheme="minorHAnsi" w:hAnsiTheme="minorHAnsi" w:cstheme="minorHAnsi"/>
                  <w:sz w:val="20"/>
                  <w:szCs w:val="20"/>
                </w:rPr>
                <w:t>privacy</w:t>
              </w:r>
            </w:hyperlink>
            <w:r w:rsidR="00184AD1">
              <w:rPr>
                <w:rFonts w:asciiTheme="minorHAnsi" w:hAnsiTheme="minorHAnsi" w:cstheme="minorHAnsi"/>
                <w:sz w:val="20"/>
                <w:szCs w:val="20"/>
              </w:rPr>
              <w:t xml:space="preserve">, </w:t>
            </w:r>
            <w:hyperlink r:id="rId22" w:history="1">
              <w:r w:rsidR="00D9394A">
                <w:rPr>
                  <w:rStyle w:val="Hyperlink"/>
                  <w:rFonts w:asciiTheme="minorHAnsi" w:hAnsiTheme="minorHAnsi" w:cstheme="minorHAnsi"/>
                  <w:sz w:val="20"/>
                  <w:szCs w:val="20"/>
                </w:rPr>
                <w:t>c</w:t>
              </w:r>
              <w:r w:rsidR="00D9394A">
                <w:rPr>
                  <w:rStyle w:val="Hyperlink"/>
                  <w:sz w:val="20"/>
                </w:rPr>
                <w:t>o</w:t>
              </w:r>
              <w:r w:rsidR="00E70098" w:rsidRPr="00E70098">
                <w:rPr>
                  <w:rStyle w:val="Hyperlink"/>
                  <w:rFonts w:asciiTheme="minorHAnsi" w:hAnsiTheme="minorHAnsi" w:cstheme="minorHAnsi"/>
                  <w:sz w:val="20"/>
                  <w:szCs w:val="20"/>
                </w:rPr>
                <w:t>mplaints management</w:t>
              </w:r>
            </w:hyperlink>
            <w:r w:rsidR="00E70098">
              <w:rPr>
                <w:rFonts w:asciiTheme="minorHAnsi" w:hAnsiTheme="minorHAnsi" w:cstheme="minorHAnsi"/>
                <w:sz w:val="20"/>
                <w:szCs w:val="20"/>
              </w:rPr>
              <w:t xml:space="preserve">, </w:t>
            </w:r>
            <w:hyperlink r:id="rId23" w:history="1">
              <w:r w:rsidR="00184AD1" w:rsidRPr="00184AD1">
                <w:rPr>
                  <w:rStyle w:val="Hyperlink"/>
                  <w:rFonts w:asciiTheme="minorHAnsi" w:hAnsiTheme="minorHAnsi" w:cstheme="minorHAnsi"/>
                  <w:sz w:val="20"/>
                  <w:szCs w:val="20"/>
                </w:rPr>
                <w:t>improper conduct and whistleblowing</w:t>
              </w:r>
            </w:hyperlink>
            <w:r w:rsidR="00915A55">
              <w:rPr>
                <w:rFonts w:asciiTheme="minorHAnsi" w:hAnsiTheme="minorHAnsi" w:cstheme="minorHAnsi"/>
                <w:sz w:val="20"/>
                <w:szCs w:val="20"/>
              </w:rPr>
              <w:t xml:space="preserve"> </w:t>
            </w:r>
            <w:r w:rsidR="00D82496">
              <w:rPr>
                <w:rFonts w:asciiTheme="minorHAnsi" w:hAnsiTheme="minorHAnsi" w:cstheme="minorHAnsi"/>
                <w:sz w:val="20"/>
                <w:szCs w:val="20"/>
              </w:rPr>
              <w:t xml:space="preserve">and the </w:t>
            </w:r>
            <w:hyperlink r:id="rId24" w:history="1">
              <w:r w:rsidR="00D82496" w:rsidRPr="00774470">
                <w:rPr>
                  <w:rStyle w:val="Hyperlink"/>
                  <w:rFonts w:asciiTheme="minorHAnsi" w:hAnsiTheme="minorHAnsi" w:cstheme="minorHAnsi"/>
                  <w:sz w:val="20"/>
                  <w:szCs w:val="20"/>
                </w:rPr>
                <w:t>prevention of, and response to sexual harm</w:t>
              </w:r>
              <w:r w:rsidR="008C62CC">
                <w:rPr>
                  <w:rStyle w:val="Hyperlink"/>
                  <w:rFonts w:asciiTheme="minorHAnsi" w:hAnsiTheme="minorHAnsi" w:cstheme="minorHAnsi"/>
                  <w:sz w:val="20"/>
                  <w:szCs w:val="20"/>
                </w:rPr>
                <w:t>.</w:t>
              </w:r>
              <w:r w:rsidR="00F84527" w:rsidRPr="00774470">
                <w:rPr>
                  <w:rStyle w:val="Hyperlink"/>
                  <w:sz w:val="20"/>
                </w:rPr>
                <w:t xml:space="preserve"> </w:t>
              </w:r>
            </w:hyperlink>
          </w:p>
          <w:p w14:paraId="4B7EA8D3" w14:textId="77777777" w:rsidR="00933D2E" w:rsidRDefault="00933D2E" w:rsidP="00F44E53">
            <w:pPr>
              <w:pStyle w:val="NormalIndent"/>
              <w:spacing w:before="0" w:after="0"/>
              <w:ind w:left="0"/>
              <w:rPr>
                <w:sz w:val="20"/>
              </w:rPr>
            </w:pPr>
          </w:p>
          <w:p w14:paraId="3A32C8AC" w14:textId="5C0D9F65" w:rsidR="00FB24F5" w:rsidRDefault="00933D2E" w:rsidP="00F44E53">
            <w:pPr>
              <w:pStyle w:val="NormalIndent"/>
              <w:spacing w:before="0" w:after="0"/>
              <w:ind w:left="0"/>
              <w:rPr>
                <w:rFonts w:asciiTheme="minorHAnsi" w:hAnsiTheme="minorHAnsi" w:cstheme="minorHAnsi"/>
                <w:sz w:val="20"/>
                <w:szCs w:val="20"/>
              </w:rPr>
            </w:pPr>
            <w:r>
              <w:rPr>
                <w:sz w:val="20"/>
              </w:rPr>
              <w:t xml:space="preserve">We also recognise that </w:t>
            </w:r>
            <w:bookmarkStart w:id="2" w:name="_Hlk210912083"/>
            <w:r>
              <w:rPr>
                <w:sz w:val="20"/>
              </w:rPr>
              <w:t>a</w:t>
            </w:r>
            <w:r w:rsidR="00EF5924" w:rsidRPr="00EF5924">
              <w:rPr>
                <w:rFonts w:asciiTheme="minorHAnsi" w:hAnsiTheme="minorHAnsi" w:cstheme="minorHAnsi"/>
                <w:sz w:val="20"/>
                <w:szCs w:val="20"/>
              </w:rPr>
              <w:t xml:space="preserve">s a STEM University, we have a responsibility to apply our </w:t>
            </w:r>
            <w:r w:rsidR="003A539D" w:rsidRPr="00EF5924">
              <w:rPr>
                <w:rFonts w:asciiTheme="minorHAnsi" w:hAnsiTheme="minorHAnsi" w:cstheme="minorHAnsi"/>
                <w:sz w:val="20"/>
                <w:szCs w:val="20"/>
              </w:rPr>
              <w:t>expert</w:t>
            </w:r>
            <w:r w:rsidR="003A539D">
              <w:rPr>
                <w:rFonts w:asciiTheme="minorHAnsi" w:hAnsiTheme="minorHAnsi" w:cstheme="minorHAnsi"/>
                <w:sz w:val="20"/>
                <w:szCs w:val="20"/>
              </w:rPr>
              <w:t>i</w:t>
            </w:r>
            <w:r w:rsidR="003A539D" w:rsidRPr="00EF5924">
              <w:rPr>
                <w:rFonts w:asciiTheme="minorHAnsi" w:hAnsiTheme="minorHAnsi" w:cstheme="minorHAnsi"/>
                <w:sz w:val="20"/>
                <w:szCs w:val="20"/>
              </w:rPr>
              <w:t>se</w:t>
            </w:r>
            <w:r w:rsidR="00EF5924" w:rsidRPr="00EF5924">
              <w:rPr>
                <w:rFonts w:asciiTheme="minorHAnsi" w:hAnsiTheme="minorHAnsi" w:cstheme="minorHAnsi"/>
                <w:sz w:val="20"/>
                <w:szCs w:val="20"/>
              </w:rPr>
              <w:t xml:space="preserve"> and champion the responsible uptake of technology. Closing the digital gap and ensuring that education opportunities for under-represented groups translate into success in a digital, tech-rich future</w:t>
            </w:r>
            <w:bookmarkEnd w:id="2"/>
            <w:r w:rsidR="00025739">
              <w:rPr>
                <w:rFonts w:asciiTheme="minorHAnsi" w:hAnsiTheme="minorHAnsi" w:cstheme="minorHAnsi"/>
                <w:sz w:val="20"/>
                <w:szCs w:val="20"/>
              </w:rPr>
              <w:t>.</w:t>
            </w:r>
            <w:r w:rsidR="00224F7E">
              <w:rPr>
                <w:rFonts w:asciiTheme="minorHAnsi" w:hAnsiTheme="minorHAnsi" w:cstheme="minorHAnsi"/>
                <w:sz w:val="20"/>
                <w:szCs w:val="20"/>
              </w:rPr>
              <w:t xml:space="preserve"> T</w:t>
            </w:r>
            <w:r w:rsidR="000B1165">
              <w:rPr>
                <w:rFonts w:asciiTheme="minorHAnsi" w:hAnsiTheme="minorHAnsi" w:cstheme="minorHAnsi"/>
                <w:sz w:val="20"/>
                <w:szCs w:val="20"/>
              </w:rPr>
              <w:t>his is being enabled through our intersection appr</w:t>
            </w:r>
            <w:r w:rsidR="00CD76AE">
              <w:rPr>
                <w:rFonts w:asciiTheme="minorHAnsi" w:hAnsiTheme="minorHAnsi" w:cstheme="minorHAnsi"/>
                <w:sz w:val="20"/>
                <w:szCs w:val="20"/>
              </w:rPr>
              <w:t xml:space="preserve">oach to </w:t>
            </w:r>
            <w:hyperlink r:id="rId25" w:history="1">
              <w:r w:rsidR="0095037D" w:rsidRPr="0095037D">
                <w:rPr>
                  <w:rStyle w:val="Hyperlink"/>
                  <w:rFonts w:asciiTheme="minorHAnsi" w:hAnsiTheme="minorHAnsi" w:cstheme="minorHAnsi"/>
                  <w:sz w:val="20"/>
                  <w:szCs w:val="20"/>
                </w:rPr>
                <w:t>diversity and inclusion</w:t>
              </w:r>
            </w:hyperlink>
            <w:hyperlink r:id="rId26" w:history="1">
              <w:r w:rsidR="0095037D">
                <w:rPr>
                  <w:rStyle w:val="Hyperlink"/>
                  <w:rFonts w:asciiTheme="minorHAnsi" w:hAnsiTheme="minorHAnsi" w:cstheme="minorHAnsi"/>
                  <w:sz w:val="20"/>
                  <w:szCs w:val="20"/>
                </w:rPr>
                <w:t>.</w:t>
              </w:r>
            </w:hyperlink>
            <w:r w:rsidR="00CD76AE">
              <w:rPr>
                <w:rFonts w:asciiTheme="minorHAnsi" w:hAnsiTheme="minorHAnsi" w:cstheme="minorHAnsi"/>
                <w:sz w:val="20"/>
                <w:szCs w:val="20"/>
              </w:rPr>
              <w:t xml:space="preserve"> Current initiatives include our </w:t>
            </w:r>
            <w:hyperlink r:id="rId27" w:history="1">
              <w:r w:rsidR="00224F7E" w:rsidRPr="00224F7E">
                <w:rPr>
                  <w:rStyle w:val="Hyperlink"/>
                  <w:rFonts w:asciiTheme="minorHAnsi" w:hAnsiTheme="minorHAnsi" w:cstheme="minorHAnsi"/>
                  <w:sz w:val="20"/>
                  <w:szCs w:val="20"/>
                </w:rPr>
                <w:t>2025-2028 Disabled Equity Action Plan</w:t>
              </w:r>
              <w:r w:rsidR="00523D7A">
                <w:rPr>
                  <w:rStyle w:val="Hyperlink"/>
                  <w:rFonts w:asciiTheme="minorHAnsi" w:hAnsiTheme="minorHAnsi" w:cstheme="minorHAnsi"/>
                  <w:sz w:val="20"/>
                  <w:szCs w:val="20"/>
                </w:rPr>
                <w:t>,</w:t>
              </w:r>
            </w:hyperlink>
            <w:r w:rsidR="00523D7A">
              <w:rPr>
                <w:rFonts w:asciiTheme="minorHAnsi" w:hAnsiTheme="minorHAnsi" w:cstheme="minorHAnsi"/>
                <w:sz w:val="20"/>
                <w:szCs w:val="20"/>
              </w:rPr>
              <w:t xml:space="preserve"> </w:t>
            </w:r>
            <w:hyperlink r:id="rId28" w:history="1">
              <w:r w:rsidR="00523D7A">
                <w:rPr>
                  <w:rStyle w:val="Hyperlink"/>
                  <w:rFonts w:asciiTheme="minorHAnsi" w:hAnsiTheme="minorHAnsi" w:cstheme="minorHAnsi"/>
                  <w:sz w:val="20"/>
                  <w:szCs w:val="20"/>
                </w:rPr>
                <w:t>S</w:t>
              </w:r>
              <w:r w:rsidR="002D340A">
                <w:rPr>
                  <w:rStyle w:val="Hyperlink"/>
                  <w:sz w:val="20"/>
                </w:rPr>
                <w:t>c</w:t>
              </w:r>
              <w:r w:rsidR="00285E3F" w:rsidRPr="00523D7A">
                <w:rPr>
                  <w:rStyle w:val="Hyperlink"/>
                  <w:rFonts w:asciiTheme="minorHAnsi" w:hAnsiTheme="minorHAnsi" w:cstheme="minorHAnsi"/>
                  <w:sz w:val="20"/>
                  <w:szCs w:val="20"/>
                </w:rPr>
                <w:t>ience in Australia Gender Equity</w:t>
              </w:r>
            </w:hyperlink>
            <w:r w:rsidR="00285E3F">
              <w:rPr>
                <w:rFonts w:asciiTheme="minorHAnsi" w:hAnsiTheme="minorHAnsi" w:cstheme="minorHAnsi"/>
                <w:sz w:val="20"/>
                <w:szCs w:val="20"/>
              </w:rPr>
              <w:t xml:space="preserve">, </w:t>
            </w:r>
            <w:hyperlink r:id="rId29" w:history="1">
              <w:r w:rsidR="0070757C" w:rsidRPr="0070757C">
                <w:rPr>
                  <w:rStyle w:val="Hyperlink"/>
                  <w:rFonts w:asciiTheme="minorHAnsi" w:hAnsiTheme="minorHAnsi" w:cstheme="minorHAnsi"/>
                  <w:sz w:val="20"/>
                  <w:szCs w:val="20"/>
                </w:rPr>
                <w:t>Charter to Cultural Diversity</w:t>
              </w:r>
            </w:hyperlink>
            <w:r w:rsidR="0070757C">
              <w:rPr>
                <w:rFonts w:asciiTheme="minorHAnsi" w:hAnsiTheme="minorHAnsi" w:cstheme="minorHAnsi"/>
                <w:sz w:val="20"/>
                <w:szCs w:val="20"/>
              </w:rPr>
              <w:t xml:space="preserve"> </w:t>
            </w:r>
            <w:r w:rsidR="000072CA">
              <w:rPr>
                <w:rFonts w:asciiTheme="minorHAnsi" w:hAnsiTheme="minorHAnsi" w:cstheme="minorHAnsi"/>
                <w:sz w:val="20"/>
                <w:szCs w:val="20"/>
              </w:rPr>
              <w:t xml:space="preserve">and </w:t>
            </w:r>
            <w:r w:rsidR="000072CA" w:rsidRPr="00B811BC">
              <w:rPr>
                <w:sz w:val="20"/>
                <w:szCs w:val="20"/>
              </w:rPr>
              <w:t xml:space="preserve">our </w:t>
            </w:r>
            <w:hyperlink r:id="rId30" w:history="1">
              <w:proofErr w:type="spellStart"/>
              <w:r w:rsidR="000072CA" w:rsidRPr="00B811BC">
                <w:rPr>
                  <w:rStyle w:val="Hyperlink"/>
                  <w:sz w:val="20"/>
                  <w:szCs w:val="20"/>
                </w:rPr>
                <w:t>Moondani</w:t>
              </w:r>
              <w:proofErr w:type="spellEnd"/>
              <w:r w:rsidR="000072CA" w:rsidRPr="00B811BC">
                <w:rPr>
                  <w:rStyle w:val="Hyperlink"/>
                  <w:sz w:val="20"/>
                  <w:szCs w:val="20"/>
                </w:rPr>
                <w:t xml:space="preserve"> </w:t>
              </w:r>
              <w:proofErr w:type="spellStart"/>
              <w:r w:rsidR="000072CA" w:rsidRPr="00B811BC">
                <w:rPr>
                  <w:rStyle w:val="Hyperlink"/>
                  <w:sz w:val="20"/>
                  <w:szCs w:val="20"/>
                </w:rPr>
                <w:t>Toombadool</w:t>
              </w:r>
              <w:proofErr w:type="spellEnd"/>
              <w:r w:rsidR="000072CA" w:rsidRPr="00B811BC">
                <w:rPr>
                  <w:rStyle w:val="Hyperlink"/>
                  <w:sz w:val="20"/>
                  <w:szCs w:val="20"/>
                </w:rPr>
                <w:t xml:space="preserve"> Centre</w:t>
              </w:r>
            </w:hyperlink>
            <w:r w:rsidR="00C4009B">
              <w:rPr>
                <w:sz w:val="20"/>
              </w:rPr>
              <w:t>.</w:t>
            </w:r>
            <w:r w:rsidR="000072CA">
              <w:t xml:space="preserve"> </w:t>
            </w:r>
          </w:p>
          <w:p w14:paraId="2C91A87B" w14:textId="5993F900" w:rsidR="001B109C" w:rsidRPr="00806B80" w:rsidRDefault="00177CD5" w:rsidP="00806B80">
            <w:pPr>
              <w:pStyle w:val="NormalIndent"/>
              <w:spacing w:before="0" w:after="0"/>
              <w:ind w:left="0"/>
              <w:rPr>
                <w:rFonts w:asciiTheme="minorHAnsi" w:hAnsiTheme="minorHAnsi" w:cstheme="minorHAnsi"/>
                <w:sz w:val="20"/>
                <w:szCs w:val="20"/>
              </w:rPr>
            </w:pPr>
            <w:r>
              <w:rPr>
                <w:rFonts w:asciiTheme="minorHAnsi" w:hAnsiTheme="minorHAnsi" w:cstheme="minorHAnsi"/>
                <w:sz w:val="20"/>
                <w:szCs w:val="20"/>
              </w:rPr>
              <w:t xml:space="preserve"> </w:t>
            </w:r>
            <w:bookmarkEnd w:id="1"/>
          </w:p>
        </w:tc>
      </w:tr>
      <w:tr w:rsidR="001B109C" w:rsidRPr="00E41388" w14:paraId="0EA45E0C" w14:textId="77777777" w:rsidTr="6DCF43EC">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6DCF43EC">
        <w:trPr>
          <w:cantSplit/>
        </w:trPr>
        <w:tc>
          <w:tcPr>
            <w:tcW w:w="5000" w:type="pct"/>
          </w:tcPr>
          <w:p w14:paraId="3C56EE08" w14:textId="1DA13276" w:rsidR="007926D2" w:rsidRPr="00B811BC" w:rsidRDefault="00C74A72" w:rsidP="007926D2">
            <w:pPr>
              <w:spacing w:line="259" w:lineRule="auto"/>
              <w:rPr>
                <w:sz w:val="20"/>
                <w:szCs w:val="20"/>
              </w:rPr>
            </w:pPr>
            <w:bookmarkStart w:id="3" w:name="_Hlk150338733"/>
            <w:bookmarkStart w:id="4" w:name="_Hlk150338471"/>
            <w:r w:rsidRPr="00C74A72">
              <w:rPr>
                <w:sz w:val="20"/>
                <w:szCs w:val="20"/>
              </w:rPr>
              <w:t xml:space="preserve">Swinburne </w:t>
            </w:r>
            <w:r w:rsidR="0097724C">
              <w:rPr>
                <w:sz w:val="20"/>
                <w:szCs w:val="20"/>
              </w:rPr>
              <w:t xml:space="preserve">aspires </w:t>
            </w:r>
            <w:r w:rsidRPr="00C74A72">
              <w:rPr>
                <w:sz w:val="20"/>
                <w:szCs w:val="20"/>
              </w:rPr>
              <w:t>to being the most inclusive and diverse university in Australia. To achieve this our learner profile will need to exceed We will measure our progress towards this by benchmarking ourselves against other Australian Universities, as well as through comparing our learner profile with the representation of priority groups (low SES, Indigenous and regional and remote backgrounds and learners with a disability etc) as a proportion of Vict</w:t>
            </w:r>
            <w:r>
              <w:rPr>
                <w:sz w:val="20"/>
                <w:szCs w:val="20"/>
              </w:rPr>
              <w:t>o</w:t>
            </w:r>
            <w:r w:rsidRPr="00C74A72">
              <w:rPr>
                <w:sz w:val="20"/>
                <w:szCs w:val="20"/>
              </w:rPr>
              <w:t xml:space="preserve">ria and Australia’s total population (as measured by the Australian Bureau of Statistics). Our focus on these priority groups is reflected in key policy documents, including our </w:t>
            </w:r>
            <w:r w:rsidR="00D15EC6">
              <w:rPr>
                <w:sz w:val="20"/>
                <w:szCs w:val="20"/>
              </w:rPr>
              <w:t xml:space="preserve"> </w:t>
            </w:r>
            <w:hyperlink r:id="rId31" w:history="1">
              <w:r w:rsidR="007926D2" w:rsidRPr="00687C1A">
                <w:rPr>
                  <w:rStyle w:val="Hyperlink"/>
                  <w:rFonts w:ascii="Calibri" w:eastAsia="Calibri" w:hAnsi="Calibri" w:cs="Calibri"/>
                  <w:sz w:val="20"/>
                  <w:szCs w:val="20"/>
                </w:rPr>
                <w:t>Diversity and Inclusion Strategy and Framework</w:t>
              </w:r>
            </w:hyperlink>
            <w:r w:rsidR="007926D2" w:rsidRPr="00687C1A">
              <w:rPr>
                <w:rFonts w:ascii="Calibri" w:eastAsia="Calibri" w:hAnsi="Calibri" w:cs="Calibri"/>
                <w:color w:val="212121"/>
                <w:sz w:val="20"/>
                <w:szCs w:val="20"/>
              </w:rPr>
              <w:t xml:space="preserve">. </w:t>
            </w:r>
          </w:p>
          <w:p w14:paraId="6DF67781" w14:textId="296FC2E6" w:rsidR="007926D2" w:rsidRPr="00687C1A" w:rsidRDefault="007926D2" w:rsidP="00B811BC">
            <w:pPr>
              <w:rPr>
                <w:sz w:val="20"/>
                <w:szCs w:val="20"/>
              </w:rPr>
            </w:pPr>
            <w:r w:rsidRPr="00687C1A">
              <w:rPr>
                <w:rFonts w:ascii="Calibri" w:eastAsia="Calibri" w:hAnsi="Calibri" w:cs="Calibri"/>
                <w:color w:val="212121"/>
                <w:sz w:val="20"/>
                <w:szCs w:val="20"/>
              </w:rPr>
              <w:t xml:space="preserve">To </w:t>
            </w:r>
            <w:r w:rsidRPr="00687C1A">
              <w:rPr>
                <w:sz w:val="20"/>
                <w:szCs w:val="20"/>
              </w:rPr>
              <w:t xml:space="preserve">support an accessible, inclusive and diverse study and work environment where everyone can reach their full potential, Swinburne has six guiding pillars for action, they are: </w:t>
            </w:r>
            <w:r w:rsidR="00E5330D" w:rsidRPr="00E5330D">
              <w:rPr>
                <w:sz w:val="20"/>
                <w:szCs w:val="20"/>
              </w:rPr>
              <w:t>Aboriginal and Torres Strait Islander matters</w:t>
            </w:r>
            <w:r w:rsidR="00E5330D">
              <w:rPr>
                <w:sz w:val="20"/>
                <w:szCs w:val="20"/>
              </w:rPr>
              <w:t xml:space="preserve">, </w:t>
            </w:r>
            <w:r w:rsidR="00E5330D" w:rsidRPr="00E5330D">
              <w:rPr>
                <w:sz w:val="20"/>
                <w:szCs w:val="20"/>
              </w:rPr>
              <w:t>Accessibility and disability</w:t>
            </w:r>
            <w:r w:rsidR="00E5330D">
              <w:rPr>
                <w:sz w:val="20"/>
                <w:szCs w:val="20"/>
              </w:rPr>
              <w:t xml:space="preserve">, </w:t>
            </w:r>
            <w:r w:rsidR="00E5330D" w:rsidRPr="00E5330D">
              <w:rPr>
                <w:sz w:val="20"/>
                <w:szCs w:val="20"/>
              </w:rPr>
              <w:t>Cultural and faith diversit</w:t>
            </w:r>
            <w:r w:rsidR="00E5330D">
              <w:rPr>
                <w:sz w:val="20"/>
                <w:szCs w:val="20"/>
              </w:rPr>
              <w:t xml:space="preserve">y, </w:t>
            </w:r>
            <w:r w:rsidR="00E5330D" w:rsidRPr="00E5330D">
              <w:rPr>
                <w:sz w:val="20"/>
                <w:szCs w:val="20"/>
              </w:rPr>
              <w:t>Diverse genders, sexes, and sexualities</w:t>
            </w:r>
            <w:r w:rsidR="00E5330D">
              <w:rPr>
                <w:sz w:val="20"/>
                <w:szCs w:val="20"/>
              </w:rPr>
              <w:t xml:space="preserve">, </w:t>
            </w:r>
            <w:r w:rsidR="00E5330D" w:rsidRPr="00E5330D">
              <w:rPr>
                <w:sz w:val="20"/>
                <w:szCs w:val="20"/>
              </w:rPr>
              <w:t>Gender equity</w:t>
            </w:r>
            <w:r w:rsidR="00E5330D">
              <w:rPr>
                <w:sz w:val="20"/>
                <w:szCs w:val="20"/>
              </w:rPr>
              <w:t xml:space="preserve"> and </w:t>
            </w:r>
            <w:r w:rsidR="00E5330D" w:rsidRPr="00E5330D">
              <w:rPr>
                <w:sz w:val="20"/>
                <w:szCs w:val="20"/>
              </w:rPr>
              <w:t>Intergeneration: youth and ageing</w:t>
            </w:r>
            <w:r w:rsidR="001B3632">
              <w:rPr>
                <w:sz w:val="20"/>
                <w:szCs w:val="20"/>
              </w:rPr>
              <w:t>.</w:t>
            </w:r>
          </w:p>
          <w:p w14:paraId="23537E76" w14:textId="1E89ECDC" w:rsidR="007926D2" w:rsidRPr="00687C1A" w:rsidRDefault="007926D2" w:rsidP="007926D2">
            <w:pPr>
              <w:rPr>
                <w:rFonts w:ascii="Calibri" w:eastAsia="Calibri" w:hAnsi="Calibri" w:cs="Calibri"/>
                <w:color w:val="212121"/>
                <w:sz w:val="20"/>
                <w:szCs w:val="20"/>
              </w:rPr>
            </w:pPr>
            <w:r w:rsidRPr="00687C1A">
              <w:rPr>
                <w:rFonts w:ascii="Calibri" w:eastAsia="Calibri" w:hAnsi="Calibri" w:cs="Calibri"/>
                <w:color w:val="212121"/>
                <w:sz w:val="20"/>
                <w:szCs w:val="20"/>
              </w:rPr>
              <w:t xml:space="preserve">To support the success and retention of equity students, Swinburne has a range of </w:t>
            </w:r>
            <w:hyperlink r:id="rId32" w:history="1">
              <w:r w:rsidRPr="00D24FF3">
                <w:rPr>
                  <w:rStyle w:val="Hyperlink"/>
                  <w:rFonts w:ascii="Calibri" w:eastAsia="Calibri" w:hAnsi="Calibri" w:cs="Calibri"/>
                  <w:sz w:val="20"/>
                  <w:szCs w:val="20"/>
                </w:rPr>
                <w:t>scholarships, bursaries and grants</w:t>
              </w:r>
            </w:hyperlink>
            <w:r w:rsidRPr="00687C1A">
              <w:rPr>
                <w:rFonts w:ascii="Calibri" w:eastAsia="Calibri" w:hAnsi="Calibri" w:cs="Calibri"/>
                <w:color w:val="212121"/>
                <w:sz w:val="20"/>
                <w:szCs w:val="20"/>
              </w:rPr>
              <w:t xml:space="preserve"> in place, for example: Access Scholarship for First year Undergraduates (who have relocated from remote or regional areas); Access Scholarship for Students who are Care Leavers from Australian State of Foster Care; Indigenous Relocation Scholarship etc. A component of our HEPPP funding is also allocated to providing Study and Living Grants to equity students to enable them to meet basic living and study costs.</w:t>
            </w:r>
          </w:p>
          <w:p w14:paraId="5AD902EA" w14:textId="77777777" w:rsidR="007926D2" w:rsidRPr="00687C1A" w:rsidRDefault="007926D2" w:rsidP="007926D2">
            <w:pPr>
              <w:spacing w:line="259" w:lineRule="auto"/>
              <w:rPr>
                <w:sz w:val="20"/>
                <w:szCs w:val="20"/>
              </w:rPr>
            </w:pPr>
            <w:r w:rsidRPr="00687C1A">
              <w:rPr>
                <w:sz w:val="20"/>
                <w:szCs w:val="20"/>
              </w:rPr>
              <w:t xml:space="preserve">Swinburne provides special consideration under all four categories of the Special Entry Access Scheme (SEAS), and success is monitored and evidenced via regular key performance indicator reporting on applications and conversion rates from target groups, including low-SES, regional and remote, Aboriginal and Torres Strait Islander, and women studying STEM subjects. </w:t>
            </w:r>
          </w:p>
          <w:p w14:paraId="22B87A46" w14:textId="515BA9CA" w:rsidR="00360F5D" w:rsidRPr="00806B80" w:rsidRDefault="007926D2" w:rsidP="007926D2">
            <w:pPr>
              <w:jc w:val="both"/>
              <w:rPr>
                <w:rFonts w:ascii="Calibri" w:eastAsia="Calibri" w:hAnsi="Calibri" w:cs="Calibri"/>
                <w:color w:val="212121"/>
                <w:sz w:val="20"/>
                <w:szCs w:val="20"/>
              </w:rPr>
            </w:pPr>
            <w:r w:rsidRPr="00687C1A">
              <w:rPr>
                <w:rFonts w:ascii="Calibri" w:eastAsia="Calibri" w:hAnsi="Calibri" w:cs="Calibri"/>
                <w:color w:val="212121"/>
                <w:sz w:val="20"/>
                <w:szCs w:val="20"/>
              </w:rPr>
              <w:t>Success of equity initiatives is measured through regular comparison against university and sectoral benchmarks</w:t>
            </w:r>
            <w:r w:rsidR="00BC215D">
              <w:rPr>
                <w:rFonts w:ascii="Calibri" w:eastAsia="Calibri" w:hAnsi="Calibri" w:cs="Calibri"/>
                <w:color w:val="212121"/>
                <w:sz w:val="20"/>
                <w:szCs w:val="20"/>
              </w:rPr>
              <w:t xml:space="preserve"> to measure access to education i.e. the proportion of our learner cohort that </w:t>
            </w:r>
            <w:r w:rsidR="005B511D">
              <w:rPr>
                <w:rFonts w:ascii="Calibri" w:eastAsia="Calibri" w:hAnsi="Calibri" w:cs="Calibri"/>
                <w:color w:val="212121"/>
                <w:sz w:val="20"/>
                <w:szCs w:val="20"/>
              </w:rPr>
              <w:t xml:space="preserve">live in </w:t>
            </w:r>
            <w:r w:rsidR="000D1203">
              <w:rPr>
                <w:rFonts w:ascii="Calibri" w:eastAsia="Calibri" w:hAnsi="Calibri" w:cs="Calibri"/>
                <w:color w:val="212121"/>
                <w:sz w:val="20"/>
                <w:szCs w:val="20"/>
              </w:rPr>
              <w:t>regional and remote</w:t>
            </w:r>
            <w:r w:rsidR="005B511D">
              <w:rPr>
                <w:rFonts w:ascii="Calibri" w:eastAsia="Calibri" w:hAnsi="Calibri" w:cs="Calibri"/>
                <w:color w:val="212121"/>
                <w:sz w:val="20"/>
                <w:szCs w:val="20"/>
              </w:rPr>
              <w:t xml:space="preserve"> Australia, are low SES, have </w:t>
            </w:r>
            <w:r w:rsidR="00DD3DE5">
              <w:rPr>
                <w:rFonts w:ascii="Calibri" w:eastAsia="Calibri" w:hAnsi="Calibri" w:cs="Calibri"/>
                <w:color w:val="212121"/>
                <w:sz w:val="20"/>
                <w:szCs w:val="20"/>
              </w:rPr>
              <w:t>declared a disability,</w:t>
            </w:r>
            <w:r w:rsidR="000D1203">
              <w:rPr>
                <w:rFonts w:ascii="Calibri" w:eastAsia="Calibri" w:hAnsi="Calibri" w:cs="Calibri"/>
                <w:color w:val="212121"/>
                <w:sz w:val="20"/>
                <w:szCs w:val="20"/>
              </w:rPr>
              <w:t xml:space="preserve"> </w:t>
            </w:r>
            <w:r w:rsidR="00BC215D">
              <w:rPr>
                <w:rFonts w:ascii="Calibri" w:eastAsia="Calibri" w:hAnsi="Calibri" w:cs="Calibri"/>
                <w:color w:val="212121"/>
                <w:sz w:val="20"/>
                <w:szCs w:val="20"/>
              </w:rPr>
              <w:t>identif</w:t>
            </w:r>
            <w:r w:rsidR="00DD3DE5">
              <w:rPr>
                <w:rFonts w:ascii="Calibri" w:eastAsia="Calibri" w:hAnsi="Calibri" w:cs="Calibri"/>
                <w:color w:val="212121"/>
                <w:sz w:val="20"/>
                <w:szCs w:val="20"/>
              </w:rPr>
              <w:t>y</w:t>
            </w:r>
            <w:r w:rsidR="00BC215D">
              <w:rPr>
                <w:rFonts w:ascii="Calibri" w:eastAsia="Calibri" w:hAnsi="Calibri" w:cs="Calibri"/>
                <w:color w:val="212121"/>
                <w:sz w:val="20"/>
                <w:szCs w:val="20"/>
              </w:rPr>
              <w:t xml:space="preserve"> as </w:t>
            </w:r>
            <w:r w:rsidR="00DD3DE5">
              <w:rPr>
                <w:rFonts w:ascii="Calibri" w:eastAsia="Calibri" w:hAnsi="Calibri" w:cs="Calibri"/>
                <w:color w:val="212121"/>
                <w:sz w:val="20"/>
                <w:szCs w:val="20"/>
              </w:rPr>
              <w:t>I</w:t>
            </w:r>
            <w:r w:rsidR="00BC215D">
              <w:rPr>
                <w:rFonts w:ascii="Calibri" w:eastAsia="Calibri" w:hAnsi="Calibri" w:cs="Calibri"/>
                <w:color w:val="212121"/>
                <w:sz w:val="20"/>
                <w:szCs w:val="20"/>
              </w:rPr>
              <w:t xml:space="preserve">ndigenous and </w:t>
            </w:r>
            <w:r w:rsidR="00DD3DE5">
              <w:rPr>
                <w:rFonts w:ascii="Calibri" w:eastAsia="Calibri" w:hAnsi="Calibri" w:cs="Calibri"/>
                <w:color w:val="212121"/>
                <w:sz w:val="20"/>
                <w:szCs w:val="20"/>
              </w:rPr>
              <w:t>Torres S</w:t>
            </w:r>
            <w:r w:rsidR="00BC215D">
              <w:rPr>
                <w:rFonts w:ascii="Calibri" w:eastAsia="Calibri" w:hAnsi="Calibri" w:cs="Calibri"/>
                <w:color w:val="212121"/>
                <w:sz w:val="20"/>
                <w:szCs w:val="20"/>
              </w:rPr>
              <w:t xml:space="preserve">trait </w:t>
            </w:r>
            <w:r w:rsidR="00DD3DE5">
              <w:rPr>
                <w:rFonts w:ascii="Calibri" w:eastAsia="Calibri" w:hAnsi="Calibri" w:cs="Calibri"/>
                <w:color w:val="212121"/>
                <w:sz w:val="20"/>
                <w:szCs w:val="20"/>
              </w:rPr>
              <w:t>I</w:t>
            </w:r>
            <w:r w:rsidR="000D1203">
              <w:rPr>
                <w:rFonts w:ascii="Calibri" w:eastAsia="Calibri" w:hAnsi="Calibri" w:cs="Calibri"/>
                <w:color w:val="212121"/>
                <w:sz w:val="20"/>
                <w:szCs w:val="20"/>
              </w:rPr>
              <w:t>slander</w:t>
            </w:r>
            <w:r w:rsidR="00DD3DE5">
              <w:rPr>
                <w:rFonts w:ascii="Calibri" w:eastAsia="Calibri" w:hAnsi="Calibri" w:cs="Calibri"/>
                <w:color w:val="212121"/>
                <w:sz w:val="20"/>
                <w:szCs w:val="20"/>
              </w:rPr>
              <w:t xml:space="preserve"> etc, as well as monitoring th</w:t>
            </w:r>
            <w:r w:rsidR="002E35B3">
              <w:rPr>
                <w:rFonts w:ascii="Calibri" w:eastAsia="Calibri" w:hAnsi="Calibri" w:cs="Calibri"/>
                <w:color w:val="212121"/>
                <w:sz w:val="20"/>
                <w:szCs w:val="20"/>
              </w:rPr>
              <w:t>eir successful outcomes</w:t>
            </w:r>
            <w:r w:rsidR="00C02CA4">
              <w:rPr>
                <w:rFonts w:ascii="Calibri" w:eastAsia="Calibri" w:hAnsi="Calibri" w:cs="Calibri"/>
                <w:color w:val="212121"/>
                <w:sz w:val="20"/>
                <w:szCs w:val="20"/>
              </w:rPr>
              <w:t xml:space="preserve"> </w:t>
            </w:r>
            <w:r w:rsidR="002E35B3">
              <w:rPr>
                <w:rFonts w:ascii="Calibri" w:eastAsia="Calibri" w:hAnsi="Calibri" w:cs="Calibri"/>
                <w:color w:val="212121"/>
                <w:sz w:val="20"/>
                <w:szCs w:val="20"/>
              </w:rPr>
              <w:t>through</w:t>
            </w:r>
            <w:r w:rsidR="000D1203">
              <w:rPr>
                <w:rFonts w:ascii="Calibri" w:eastAsia="Calibri" w:hAnsi="Calibri" w:cs="Calibri"/>
                <w:color w:val="212121"/>
                <w:sz w:val="20"/>
                <w:szCs w:val="20"/>
              </w:rPr>
              <w:t xml:space="preserve"> </w:t>
            </w:r>
            <w:r w:rsidRPr="00687C1A">
              <w:rPr>
                <w:rFonts w:ascii="Calibri" w:eastAsia="Calibri" w:hAnsi="Calibri" w:cs="Calibri"/>
                <w:color w:val="212121"/>
                <w:sz w:val="20"/>
                <w:szCs w:val="20"/>
              </w:rPr>
              <w:t>unit and course enrolment and</w:t>
            </w:r>
            <w:r w:rsidRPr="00687C1A">
              <w:rPr>
                <w:rFonts w:ascii="Calibri" w:eastAsia="Calibri" w:hAnsi="Calibri" w:cs="Calibri"/>
                <w:b/>
                <w:bCs/>
                <w:color w:val="212121"/>
                <w:sz w:val="20"/>
                <w:szCs w:val="20"/>
              </w:rPr>
              <w:t xml:space="preserve"> </w:t>
            </w:r>
            <w:r w:rsidRPr="00687C1A">
              <w:rPr>
                <w:rFonts w:ascii="Calibri" w:eastAsia="Calibri" w:hAnsi="Calibri" w:cs="Calibri"/>
                <w:color w:val="212121"/>
                <w:sz w:val="20"/>
                <w:szCs w:val="20"/>
              </w:rPr>
              <w:t>completion rates</w:t>
            </w:r>
            <w:r w:rsidR="002E35B3">
              <w:rPr>
                <w:rFonts w:ascii="Calibri" w:eastAsia="Calibri" w:hAnsi="Calibri" w:cs="Calibri"/>
                <w:color w:val="212121"/>
                <w:sz w:val="20"/>
                <w:szCs w:val="20"/>
              </w:rPr>
              <w:t>.</w:t>
            </w:r>
            <w:bookmarkEnd w:id="3"/>
            <w:bookmarkEnd w:id="4"/>
            <w:r w:rsidR="00377AB9">
              <w:rPr>
                <w:rFonts w:ascii="Calibri" w:eastAsia="Calibri" w:hAnsi="Calibri" w:cs="Calibri"/>
                <w:color w:val="212121"/>
                <w:sz w:val="20"/>
                <w:szCs w:val="20"/>
              </w:rPr>
              <w:t xml:space="preserve"> </w:t>
            </w:r>
            <w:r w:rsidR="00F378CB">
              <w:rPr>
                <w:rFonts w:ascii="Calibri" w:eastAsia="Calibri" w:hAnsi="Calibri" w:cs="Calibri"/>
                <w:color w:val="212121"/>
                <w:sz w:val="20"/>
                <w:szCs w:val="20"/>
              </w:rPr>
              <w:t xml:space="preserve">Both measures (enrolment and completion) are tracked to </w:t>
            </w:r>
            <w:r w:rsidR="00887D41">
              <w:rPr>
                <w:rFonts w:ascii="Calibri" w:eastAsia="Calibri" w:hAnsi="Calibri" w:cs="Calibri"/>
                <w:color w:val="212121"/>
                <w:sz w:val="20"/>
                <w:szCs w:val="20"/>
              </w:rPr>
              <w:t>monitor</w:t>
            </w:r>
            <w:r w:rsidR="00F378CB">
              <w:rPr>
                <w:rFonts w:ascii="Calibri" w:eastAsia="Calibri" w:hAnsi="Calibri" w:cs="Calibri"/>
                <w:color w:val="212121"/>
                <w:sz w:val="20"/>
                <w:szCs w:val="20"/>
              </w:rPr>
              <w:t xml:space="preserve"> that</w:t>
            </w:r>
            <w:r w:rsidR="001F31D7">
              <w:rPr>
                <w:rFonts w:ascii="Calibri" w:eastAsia="Calibri" w:hAnsi="Calibri" w:cs="Calibri"/>
                <w:color w:val="212121"/>
                <w:sz w:val="20"/>
                <w:szCs w:val="20"/>
              </w:rPr>
              <w:t xml:space="preserve"> we have the right personalised pathways to success</w:t>
            </w:r>
            <w:r w:rsidR="00887D41">
              <w:rPr>
                <w:rFonts w:ascii="Calibri" w:eastAsia="Calibri" w:hAnsi="Calibri" w:cs="Calibri"/>
                <w:color w:val="212121"/>
                <w:sz w:val="20"/>
                <w:szCs w:val="20"/>
              </w:rPr>
              <w:t xml:space="preserve"> to ensure that increased participation delivers the right outcomes </w:t>
            </w:r>
            <w:r w:rsidR="008F5FCA">
              <w:rPr>
                <w:rFonts w:ascii="Calibri" w:eastAsia="Calibri" w:hAnsi="Calibri" w:cs="Calibri"/>
                <w:color w:val="212121"/>
                <w:sz w:val="20"/>
                <w:szCs w:val="20"/>
              </w:rPr>
              <w:t>f</w:t>
            </w:r>
            <w:r w:rsidR="00887D41">
              <w:rPr>
                <w:rFonts w:ascii="Calibri" w:eastAsia="Calibri" w:hAnsi="Calibri" w:cs="Calibri"/>
                <w:color w:val="212121"/>
                <w:sz w:val="20"/>
                <w:szCs w:val="20"/>
              </w:rPr>
              <w:t>or</w:t>
            </w:r>
            <w:r w:rsidR="008F5FCA">
              <w:rPr>
                <w:rFonts w:ascii="Calibri" w:eastAsia="Calibri" w:hAnsi="Calibri" w:cs="Calibri"/>
                <w:color w:val="212121"/>
                <w:sz w:val="20"/>
                <w:szCs w:val="20"/>
              </w:rPr>
              <w:t xml:space="preserve"> each</w:t>
            </w:r>
            <w:r w:rsidR="00887D41">
              <w:rPr>
                <w:rFonts w:ascii="Calibri" w:eastAsia="Calibri" w:hAnsi="Calibri" w:cs="Calibri"/>
                <w:color w:val="212121"/>
                <w:sz w:val="20"/>
                <w:szCs w:val="20"/>
              </w:rPr>
              <w:t xml:space="preserve"> </w:t>
            </w:r>
            <w:r w:rsidR="008F5FCA">
              <w:rPr>
                <w:rFonts w:ascii="Calibri" w:eastAsia="Calibri" w:hAnsi="Calibri" w:cs="Calibri"/>
                <w:color w:val="212121"/>
                <w:sz w:val="20"/>
                <w:szCs w:val="20"/>
              </w:rPr>
              <w:t xml:space="preserve">of </w:t>
            </w:r>
            <w:r w:rsidR="00887D41">
              <w:rPr>
                <w:rFonts w:ascii="Calibri" w:eastAsia="Calibri" w:hAnsi="Calibri" w:cs="Calibri"/>
                <w:color w:val="212121"/>
                <w:sz w:val="20"/>
                <w:szCs w:val="20"/>
              </w:rPr>
              <w:t>these priority groups.</w:t>
            </w:r>
          </w:p>
        </w:tc>
      </w:tr>
      <w:tr w:rsidR="001B109C" w:rsidRPr="00E41388" w14:paraId="39ADE404" w14:textId="77777777" w:rsidTr="6DCF43EC">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6DCF43EC">
        <w:trPr>
          <w:cantSplit/>
          <w:trHeight w:val="977"/>
        </w:trPr>
        <w:tc>
          <w:tcPr>
            <w:tcW w:w="5000" w:type="pct"/>
            <w:tcBorders>
              <w:bottom w:val="single" w:sz="4" w:space="0" w:color="auto"/>
            </w:tcBorders>
          </w:tcPr>
          <w:p w14:paraId="2B583732" w14:textId="320B0334" w:rsidR="00236DC1" w:rsidRDefault="007505B2" w:rsidP="007926D2">
            <w:pPr>
              <w:pStyle w:val="NormalIndent"/>
              <w:spacing w:before="0" w:after="0"/>
              <w:ind w:left="0"/>
              <w:rPr>
                <w:rFonts w:asciiTheme="minorHAnsi" w:hAnsiTheme="minorHAnsi" w:cstheme="minorHAnsi"/>
                <w:sz w:val="20"/>
                <w:szCs w:val="20"/>
              </w:rPr>
            </w:pPr>
            <w:r>
              <w:rPr>
                <w:rFonts w:asciiTheme="minorHAnsi" w:hAnsiTheme="minorHAnsi" w:cstheme="minorHAnsi"/>
                <w:sz w:val="20"/>
                <w:szCs w:val="20"/>
              </w:rPr>
              <w:t xml:space="preserve">In </w:t>
            </w:r>
            <w:r w:rsidR="002644BC">
              <w:rPr>
                <w:rFonts w:asciiTheme="minorHAnsi" w:hAnsiTheme="minorHAnsi" w:cstheme="minorHAnsi"/>
                <w:sz w:val="20"/>
                <w:szCs w:val="20"/>
              </w:rPr>
              <w:t>2025-2026 Swinburne wil</w:t>
            </w:r>
            <w:r w:rsidR="002C6754">
              <w:rPr>
                <w:rFonts w:asciiTheme="minorHAnsi" w:hAnsiTheme="minorHAnsi" w:cstheme="minorHAnsi"/>
                <w:sz w:val="20"/>
                <w:szCs w:val="20"/>
              </w:rPr>
              <w:t xml:space="preserve">l deliver significant uplift in the learner experience and teaching quality. This is being delivered through two key programs of work: The first-year refresh </w:t>
            </w:r>
            <w:r w:rsidR="00236DC1">
              <w:rPr>
                <w:rFonts w:asciiTheme="minorHAnsi" w:hAnsiTheme="minorHAnsi" w:cstheme="minorHAnsi"/>
                <w:sz w:val="20"/>
                <w:szCs w:val="20"/>
              </w:rPr>
              <w:t>and Student Retention Analytics</w:t>
            </w:r>
            <w:r w:rsidR="001E65F6">
              <w:rPr>
                <w:rFonts w:asciiTheme="minorHAnsi" w:hAnsiTheme="minorHAnsi" w:cstheme="minorHAnsi"/>
                <w:sz w:val="20"/>
                <w:szCs w:val="20"/>
              </w:rPr>
              <w:t>.</w:t>
            </w:r>
          </w:p>
          <w:p w14:paraId="0DA1F40E" w14:textId="77777777" w:rsidR="009C64FE" w:rsidRDefault="009C64FE" w:rsidP="007926D2">
            <w:pPr>
              <w:pStyle w:val="NormalIndent"/>
              <w:spacing w:before="0" w:after="0"/>
              <w:ind w:left="0"/>
              <w:rPr>
                <w:rFonts w:asciiTheme="minorHAnsi" w:hAnsiTheme="minorHAnsi" w:cstheme="minorHAnsi"/>
                <w:sz w:val="20"/>
                <w:szCs w:val="20"/>
              </w:rPr>
            </w:pPr>
          </w:p>
          <w:p w14:paraId="031F3D5C" w14:textId="36F36315" w:rsidR="00CA775E" w:rsidRPr="00CA775E" w:rsidRDefault="009C64FE" w:rsidP="00B811BC">
            <w:pPr>
              <w:pStyle w:val="NormalIndent"/>
              <w:spacing w:after="0"/>
              <w:ind w:left="0"/>
              <w:rPr>
                <w:rFonts w:cstheme="minorBidi"/>
                <w:sz w:val="20"/>
                <w:szCs w:val="20"/>
              </w:rPr>
            </w:pPr>
            <w:r w:rsidRPr="3C3E2BB9">
              <w:rPr>
                <w:rFonts w:asciiTheme="minorHAnsi" w:hAnsiTheme="minorHAnsi" w:cstheme="minorBidi"/>
                <w:sz w:val="20"/>
                <w:szCs w:val="20"/>
              </w:rPr>
              <w:t xml:space="preserve">The </w:t>
            </w:r>
            <w:r w:rsidR="00FC1AB0" w:rsidRPr="3C3E2BB9">
              <w:rPr>
                <w:rFonts w:asciiTheme="minorHAnsi" w:hAnsiTheme="minorHAnsi" w:cstheme="minorBidi"/>
                <w:sz w:val="20"/>
                <w:szCs w:val="20"/>
              </w:rPr>
              <w:t>f</w:t>
            </w:r>
            <w:r w:rsidR="002714F5" w:rsidRPr="3C3E2BB9">
              <w:rPr>
                <w:rFonts w:asciiTheme="minorHAnsi" w:hAnsiTheme="minorHAnsi" w:cstheme="minorBidi"/>
                <w:sz w:val="20"/>
                <w:szCs w:val="20"/>
              </w:rPr>
              <w:t>irst-year</w:t>
            </w:r>
            <w:r w:rsidRPr="3C3E2BB9">
              <w:rPr>
                <w:rFonts w:asciiTheme="minorHAnsi" w:hAnsiTheme="minorHAnsi" w:cstheme="minorBidi"/>
                <w:sz w:val="20"/>
                <w:szCs w:val="20"/>
              </w:rPr>
              <w:t xml:space="preserve"> refresh </w:t>
            </w:r>
            <w:r w:rsidR="002714F5" w:rsidRPr="3C3E2BB9">
              <w:rPr>
                <w:rFonts w:asciiTheme="minorHAnsi" w:hAnsiTheme="minorHAnsi" w:cstheme="minorBidi"/>
                <w:sz w:val="20"/>
                <w:szCs w:val="20"/>
              </w:rPr>
              <w:t xml:space="preserve">builds on work undertaken </w:t>
            </w:r>
            <w:r w:rsidR="00C04FF1" w:rsidRPr="3C3E2BB9">
              <w:rPr>
                <w:rFonts w:asciiTheme="minorHAnsi" w:hAnsiTheme="minorHAnsi" w:cstheme="minorBidi"/>
                <w:sz w:val="20"/>
                <w:szCs w:val="20"/>
              </w:rPr>
              <w:t>between</w:t>
            </w:r>
            <w:r w:rsidR="00E31A7B" w:rsidRPr="3C3E2BB9">
              <w:rPr>
                <w:rFonts w:asciiTheme="minorHAnsi" w:hAnsiTheme="minorHAnsi" w:cstheme="minorBidi"/>
                <w:sz w:val="20"/>
                <w:szCs w:val="20"/>
              </w:rPr>
              <w:t xml:space="preserve"> March 2024 </w:t>
            </w:r>
            <w:r w:rsidR="00C04FF1" w:rsidRPr="3C3E2BB9">
              <w:rPr>
                <w:rFonts w:asciiTheme="minorHAnsi" w:hAnsiTheme="minorHAnsi" w:cstheme="minorBidi"/>
                <w:sz w:val="20"/>
                <w:szCs w:val="20"/>
              </w:rPr>
              <w:t>and</w:t>
            </w:r>
            <w:r w:rsidR="00E31A7B" w:rsidRPr="3C3E2BB9">
              <w:rPr>
                <w:rFonts w:asciiTheme="minorHAnsi" w:hAnsiTheme="minorHAnsi" w:cstheme="minorBidi"/>
                <w:sz w:val="20"/>
                <w:szCs w:val="20"/>
              </w:rPr>
              <w:t xml:space="preserve"> February 2025</w:t>
            </w:r>
            <w:r w:rsidR="002714F5" w:rsidRPr="3C3E2BB9">
              <w:rPr>
                <w:rFonts w:asciiTheme="minorHAnsi" w:hAnsiTheme="minorHAnsi" w:cstheme="minorBidi"/>
                <w:sz w:val="20"/>
                <w:szCs w:val="20"/>
              </w:rPr>
              <w:t xml:space="preserve"> to </w:t>
            </w:r>
            <w:r w:rsidR="00C04FF1" w:rsidRPr="3C3E2BB9">
              <w:rPr>
                <w:rFonts w:asciiTheme="minorHAnsi" w:hAnsiTheme="minorHAnsi" w:cstheme="minorBidi"/>
                <w:sz w:val="20"/>
                <w:szCs w:val="20"/>
              </w:rPr>
              <w:t>enhance</w:t>
            </w:r>
            <w:r w:rsidR="006B4795" w:rsidRPr="3C3E2BB9">
              <w:rPr>
                <w:rFonts w:asciiTheme="minorHAnsi" w:hAnsiTheme="minorHAnsi" w:cstheme="minorBidi"/>
                <w:sz w:val="20"/>
                <w:szCs w:val="20"/>
              </w:rPr>
              <w:t xml:space="preserve"> 71 </w:t>
            </w:r>
            <w:proofErr w:type="gramStart"/>
            <w:r w:rsidR="006B4795" w:rsidRPr="3C3E2BB9">
              <w:rPr>
                <w:rFonts w:asciiTheme="minorHAnsi" w:hAnsiTheme="minorHAnsi" w:cstheme="minorBidi"/>
                <w:sz w:val="20"/>
                <w:szCs w:val="20"/>
              </w:rPr>
              <w:t>first-year</w:t>
            </w:r>
            <w:proofErr w:type="gramEnd"/>
            <w:r w:rsidR="006B4795" w:rsidRPr="3C3E2BB9">
              <w:rPr>
                <w:rFonts w:asciiTheme="minorHAnsi" w:hAnsiTheme="minorHAnsi" w:cstheme="minorBidi"/>
                <w:sz w:val="20"/>
                <w:szCs w:val="20"/>
              </w:rPr>
              <w:t xml:space="preserve"> high-fail and low-retention units</w:t>
            </w:r>
            <w:r w:rsidR="00801A07" w:rsidRPr="3C3E2BB9">
              <w:rPr>
                <w:rFonts w:asciiTheme="minorHAnsi" w:hAnsiTheme="minorHAnsi" w:cstheme="minorBidi"/>
                <w:sz w:val="20"/>
                <w:szCs w:val="20"/>
              </w:rPr>
              <w:t xml:space="preserve"> guided by a blended learning template</w:t>
            </w:r>
            <w:r w:rsidR="00ED50A0" w:rsidRPr="3C3E2BB9">
              <w:rPr>
                <w:rFonts w:asciiTheme="minorHAnsi" w:hAnsiTheme="minorHAnsi" w:cstheme="minorBidi"/>
                <w:sz w:val="20"/>
                <w:szCs w:val="20"/>
              </w:rPr>
              <w:t xml:space="preserve"> </w:t>
            </w:r>
            <w:r w:rsidR="002C3CA0" w:rsidRPr="3C3E2BB9">
              <w:rPr>
                <w:rFonts w:asciiTheme="minorHAnsi" w:hAnsiTheme="minorHAnsi" w:cstheme="minorBidi"/>
                <w:sz w:val="20"/>
                <w:szCs w:val="20"/>
              </w:rPr>
              <w:t xml:space="preserve">and now extends this approach </w:t>
            </w:r>
            <w:r w:rsidR="000440BF" w:rsidRPr="3C3E2BB9">
              <w:rPr>
                <w:rFonts w:asciiTheme="minorHAnsi" w:hAnsiTheme="minorHAnsi" w:cstheme="minorBidi"/>
                <w:sz w:val="20"/>
                <w:szCs w:val="20"/>
              </w:rPr>
              <w:t>to</w:t>
            </w:r>
            <w:r w:rsidR="004D6BDF" w:rsidRPr="3C3E2BB9">
              <w:rPr>
                <w:rFonts w:asciiTheme="minorHAnsi" w:hAnsiTheme="minorHAnsi" w:cstheme="minorBidi"/>
                <w:sz w:val="20"/>
                <w:szCs w:val="20"/>
              </w:rPr>
              <w:t xml:space="preserve"> </w:t>
            </w:r>
            <w:r w:rsidR="004D4F02" w:rsidRPr="3C3E2BB9">
              <w:rPr>
                <w:rFonts w:asciiTheme="minorHAnsi" w:hAnsiTheme="minorHAnsi" w:cstheme="minorBidi"/>
                <w:sz w:val="20"/>
                <w:szCs w:val="20"/>
              </w:rPr>
              <w:t xml:space="preserve">all </w:t>
            </w:r>
            <w:r w:rsidR="004D6BDF" w:rsidRPr="3C3E2BB9">
              <w:rPr>
                <w:rFonts w:asciiTheme="minorHAnsi" w:hAnsiTheme="minorHAnsi" w:cstheme="minorBidi"/>
                <w:sz w:val="20"/>
                <w:szCs w:val="20"/>
              </w:rPr>
              <w:t>first-year</w:t>
            </w:r>
            <w:r w:rsidR="004D4F02" w:rsidRPr="3C3E2BB9">
              <w:rPr>
                <w:rFonts w:asciiTheme="minorHAnsi" w:hAnsiTheme="minorHAnsi" w:cstheme="minorBidi"/>
                <w:sz w:val="20"/>
                <w:szCs w:val="20"/>
              </w:rPr>
              <w:t xml:space="preserve"> units.</w:t>
            </w:r>
            <w:r w:rsidR="004D6BDF" w:rsidRPr="3C3E2BB9">
              <w:rPr>
                <w:rFonts w:asciiTheme="minorHAnsi" w:hAnsiTheme="minorHAnsi" w:cstheme="minorBidi"/>
                <w:sz w:val="20"/>
                <w:szCs w:val="20"/>
              </w:rPr>
              <w:t xml:space="preserve"> </w:t>
            </w:r>
            <w:r w:rsidR="00CA775E" w:rsidRPr="3C3E2BB9">
              <w:rPr>
                <w:rFonts w:cstheme="minorBidi"/>
                <w:sz w:val="20"/>
                <w:szCs w:val="20"/>
              </w:rPr>
              <w:t xml:space="preserve">The project emphasises consistency, active learning, accessibility, and inclusivity, while providing educators with new tools, professional development, and structured support. In the scaling of these improvements, there will be a rollout of a customised template, a dedicated handbook for first-year educators, </w:t>
            </w:r>
            <w:r w:rsidR="289D9269" w:rsidRPr="3C3E2BB9">
              <w:rPr>
                <w:rFonts w:cstheme="minorBidi"/>
                <w:sz w:val="20"/>
                <w:szCs w:val="20"/>
              </w:rPr>
              <w:t xml:space="preserve">embedded career development, </w:t>
            </w:r>
            <w:r w:rsidR="00CA775E" w:rsidRPr="3C3E2BB9">
              <w:rPr>
                <w:rFonts w:cstheme="minorBidi"/>
                <w:sz w:val="20"/>
                <w:szCs w:val="20"/>
              </w:rPr>
              <w:t>peer observation frameworks, and targeted training. These efforts are underpinned by ongoing evaluation and are designed to ensure every first-year student begins with confidence and clarity, while educators are empowered to deliver impactful teaching</w:t>
            </w:r>
            <w:r w:rsidR="004D4F02" w:rsidRPr="3C3E2BB9">
              <w:rPr>
                <w:rFonts w:cstheme="minorBidi"/>
                <w:sz w:val="20"/>
                <w:szCs w:val="20"/>
              </w:rPr>
              <w:t>.</w:t>
            </w:r>
            <w:r w:rsidR="00514643" w:rsidRPr="3C3E2BB9">
              <w:rPr>
                <w:rFonts w:cstheme="minorBidi"/>
                <w:sz w:val="20"/>
                <w:szCs w:val="20"/>
              </w:rPr>
              <w:t xml:space="preserve"> Success of the first-year refresh is measured by consistent delivery of blended learning, increased educator capability and engagement, and effective implementation of new tools and innovations. Progress </w:t>
            </w:r>
            <w:r w:rsidR="008A0F5B" w:rsidRPr="3C3E2BB9">
              <w:rPr>
                <w:rFonts w:cstheme="minorBidi"/>
                <w:sz w:val="20"/>
                <w:szCs w:val="20"/>
              </w:rPr>
              <w:t>will be</w:t>
            </w:r>
            <w:r w:rsidR="00514643" w:rsidRPr="3C3E2BB9">
              <w:rPr>
                <w:rFonts w:cstheme="minorBidi"/>
                <w:sz w:val="20"/>
                <w:szCs w:val="20"/>
              </w:rPr>
              <w:t xml:space="preserve"> tracked through student and educator feedback, participation rates, and achievement of project milestones and quality benchmarks.</w:t>
            </w:r>
          </w:p>
          <w:p w14:paraId="288E3C69" w14:textId="364BDA5E" w:rsidR="009C64FE" w:rsidRDefault="009C64FE" w:rsidP="007926D2">
            <w:pPr>
              <w:pStyle w:val="NormalIndent"/>
              <w:spacing w:before="0" w:after="0"/>
              <w:ind w:left="0"/>
              <w:rPr>
                <w:rFonts w:asciiTheme="minorHAnsi" w:hAnsiTheme="minorHAnsi" w:cstheme="minorHAnsi"/>
                <w:sz w:val="20"/>
                <w:szCs w:val="20"/>
              </w:rPr>
            </w:pPr>
          </w:p>
          <w:p w14:paraId="5A3903F5" w14:textId="1457A4E6" w:rsidR="00C04469" w:rsidRDefault="00CA4854" w:rsidP="007926D2">
            <w:pPr>
              <w:pStyle w:val="NormalIndent"/>
              <w:spacing w:before="0" w:after="0"/>
              <w:ind w:left="0"/>
              <w:rPr>
                <w:rFonts w:asciiTheme="minorHAnsi" w:hAnsiTheme="minorHAnsi" w:cstheme="minorBidi"/>
                <w:sz w:val="20"/>
                <w:szCs w:val="20"/>
              </w:rPr>
            </w:pPr>
            <w:r w:rsidRPr="3C3E2BB9">
              <w:rPr>
                <w:rFonts w:asciiTheme="minorHAnsi" w:hAnsiTheme="minorHAnsi" w:cstheme="minorBidi"/>
                <w:sz w:val="20"/>
                <w:szCs w:val="20"/>
              </w:rPr>
              <w:t xml:space="preserve">The </w:t>
            </w:r>
            <w:r w:rsidR="009C64FE" w:rsidRPr="3C3E2BB9">
              <w:rPr>
                <w:rFonts w:asciiTheme="minorHAnsi" w:hAnsiTheme="minorHAnsi" w:cstheme="minorBidi"/>
                <w:sz w:val="20"/>
                <w:szCs w:val="20"/>
              </w:rPr>
              <w:t xml:space="preserve">student retention analytics </w:t>
            </w:r>
            <w:r w:rsidR="00216DFA" w:rsidRPr="3C3E2BB9">
              <w:rPr>
                <w:rFonts w:asciiTheme="minorHAnsi" w:hAnsiTheme="minorHAnsi" w:cstheme="minorBidi"/>
                <w:sz w:val="20"/>
                <w:szCs w:val="20"/>
              </w:rPr>
              <w:t xml:space="preserve">initiative </w:t>
            </w:r>
            <w:proofErr w:type="gramStart"/>
            <w:r w:rsidR="001E65F6" w:rsidRPr="3C3E2BB9">
              <w:rPr>
                <w:rFonts w:asciiTheme="minorHAnsi" w:hAnsiTheme="minorHAnsi" w:cstheme="minorBidi"/>
                <w:sz w:val="20"/>
                <w:szCs w:val="20"/>
              </w:rPr>
              <w:t>use</w:t>
            </w:r>
            <w:proofErr w:type="gramEnd"/>
            <w:r w:rsidR="00216DFA" w:rsidRPr="3C3E2BB9">
              <w:rPr>
                <w:rFonts w:asciiTheme="minorHAnsi" w:hAnsiTheme="minorHAnsi" w:cstheme="minorBidi"/>
                <w:sz w:val="20"/>
                <w:szCs w:val="20"/>
              </w:rPr>
              <w:t xml:space="preserve"> </w:t>
            </w:r>
            <w:r w:rsidR="00880ED1" w:rsidRPr="3C3E2BB9">
              <w:rPr>
                <w:rFonts w:asciiTheme="minorHAnsi" w:hAnsiTheme="minorHAnsi" w:cstheme="minorBidi"/>
                <w:sz w:val="20"/>
                <w:szCs w:val="20"/>
              </w:rPr>
              <w:t xml:space="preserve">student background, </w:t>
            </w:r>
            <w:r w:rsidR="002B6CEC" w:rsidRPr="3C3E2BB9">
              <w:rPr>
                <w:rFonts w:asciiTheme="minorHAnsi" w:hAnsiTheme="minorHAnsi" w:cstheme="minorBidi"/>
                <w:sz w:val="20"/>
                <w:szCs w:val="20"/>
              </w:rPr>
              <w:t>behaviour</w:t>
            </w:r>
            <w:r w:rsidR="00880ED1" w:rsidRPr="3C3E2BB9">
              <w:rPr>
                <w:rFonts w:asciiTheme="minorHAnsi" w:hAnsiTheme="minorHAnsi" w:cstheme="minorBidi"/>
                <w:sz w:val="20"/>
                <w:szCs w:val="20"/>
              </w:rPr>
              <w:t xml:space="preserve"> and academic indicators to identify students who are likely to need extra support to be successful, with early intervention programs designed to provide targeted outreach from </w:t>
            </w:r>
            <w:r w:rsidR="00560C20" w:rsidRPr="3C3E2BB9">
              <w:rPr>
                <w:rFonts w:asciiTheme="minorHAnsi" w:hAnsiTheme="minorHAnsi" w:cstheme="minorBidi"/>
                <w:sz w:val="20"/>
                <w:szCs w:val="20"/>
              </w:rPr>
              <w:t xml:space="preserve">our </w:t>
            </w:r>
            <w:r w:rsidR="00880ED1" w:rsidRPr="3C3E2BB9">
              <w:rPr>
                <w:rFonts w:asciiTheme="minorHAnsi" w:hAnsiTheme="minorHAnsi" w:cstheme="minorBidi"/>
                <w:sz w:val="20"/>
                <w:szCs w:val="20"/>
              </w:rPr>
              <w:t>Student HQ and Student Success teams to these students. At the core of th</w:t>
            </w:r>
            <w:r w:rsidR="001E65F6" w:rsidRPr="3C3E2BB9">
              <w:rPr>
                <w:rFonts w:asciiTheme="minorHAnsi" w:hAnsiTheme="minorHAnsi" w:cstheme="minorBidi"/>
                <w:sz w:val="20"/>
                <w:szCs w:val="20"/>
              </w:rPr>
              <w:t xml:space="preserve">is </w:t>
            </w:r>
            <w:r w:rsidR="000B72D4" w:rsidRPr="3C3E2BB9">
              <w:rPr>
                <w:rFonts w:asciiTheme="minorHAnsi" w:hAnsiTheme="minorHAnsi" w:cstheme="minorBidi"/>
                <w:sz w:val="20"/>
                <w:szCs w:val="20"/>
              </w:rPr>
              <w:t>initiative</w:t>
            </w:r>
            <w:r w:rsidR="001E65F6" w:rsidRPr="3C3E2BB9">
              <w:rPr>
                <w:rFonts w:asciiTheme="minorHAnsi" w:hAnsiTheme="minorHAnsi" w:cstheme="minorBidi"/>
                <w:sz w:val="20"/>
                <w:szCs w:val="20"/>
              </w:rPr>
              <w:t xml:space="preserve"> </w:t>
            </w:r>
            <w:r w:rsidR="00880ED1" w:rsidRPr="3C3E2BB9">
              <w:rPr>
                <w:rFonts w:asciiTheme="minorHAnsi" w:hAnsiTheme="minorHAnsi" w:cstheme="minorBidi"/>
                <w:sz w:val="20"/>
                <w:szCs w:val="20"/>
              </w:rPr>
              <w:t>is the student success propensity model, which uses artificial intelligence to model the likelihood of student success for every Swinburne student</w:t>
            </w:r>
            <w:r w:rsidR="001E65F6" w:rsidRPr="3C3E2BB9">
              <w:rPr>
                <w:rFonts w:asciiTheme="minorHAnsi" w:hAnsiTheme="minorHAnsi" w:cstheme="minorBidi"/>
                <w:sz w:val="20"/>
                <w:szCs w:val="20"/>
              </w:rPr>
              <w:t>.</w:t>
            </w:r>
            <w:r w:rsidR="00685F98" w:rsidRPr="3C3E2BB9">
              <w:rPr>
                <w:rFonts w:asciiTheme="minorHAnsi" w:hAnsiTheme="minorHAnsi" w:cstheme="minorBidi"/>
                <w:sz w:val="20"/>
                <w:szCs w:val="20"/>
              </w:rPr>
              <w:t xml:space="preserve"> </w:t>
            </w:r>
            <w:r w:rsidR="00600A69" w:rsidRPr="3C3E2BB9">
              <w:rPr>
                <w:rFonts w:asciiTheme="minorHAnsi" w:hAnsiTheme="minorHAnsi" w:cstheme="minorBidi"/>
                <w:sz w:val="20"/>
                <w:szCs w:val="20"/>
              </w:rPr>
              <w:t xml:space="preserve">Success is then measured progressively throughout the year by monitoring movements to the student SSPM score, </w:t>
            </w:r>
            <w:r w:rsidR="000E6BE2" w:rsidRPr="3C3E2BB9">
              <w:rPr>
                <w:rFonts w:asciiTheme="minorHAnsi" w:hAnsiTheme="minorHAnsi" w:cstheme="minorBidi"/>
                <w:sz w:val="20"/>
                <w:szCs w:val="20"/>
              </w:rPr>
              <w:t xml:space="preserve">enabling us to assess </w:t>
            </w:r>
            <w:r w:rsidR="0079365B" w:rsidRPr="3C3E2BB9">
              <w:rPr>
                <w:rFonts w:asciiTheme="minorHAnsi" w:hAnsiTheme="minorHAnsi" w:cstheme="minorBidi"/>
                <w:sz w:val="20"/>
                <w:szCs w:val="20"/>
              </w:rPr>
              <w:t>and modify our</w:t>
            </w:r>
            <w:r w:rsidR="00842B76" w:rsidRPr="3C3E2BB9">
              <w:rPr>
                <w:rFonts w:asciiTheme="minorHAnsi" w:hAnsiTheme="minorHAnsi" w:cstheme="minorBidi"/>
                <w:sz w:val="20"/>
                <w:szCs w:val="20"/>
              </w:rPr>
              <w:t xml:space="preserve"> targeted</w:t>
            </w:r>
            <w:r w:rsidR="0079365B" w:rsidRPr="3C3E2BB9">
              <w:rPr>
                <w:rFonts w:asciiTheme="minorHAnsi" w:hAnsiTheme="minorHAnsi" w:cstheme="minorBidi"/>
                <w:sz w:val="20"/>
                <w:szCs w:val="20"/>
              </w:rPr>
              <w:t xml:space="preserve"> intervention</w:t>
            </w:r>
            <w:r w:rsidR="00842B76" w:rsidRPr="3C3E2BB9">
              <w:rPr>
                <w:rFonts w:asciiTheme="minorHAnsi" w:hAnsiTheme="minorHAnsi" w:cstheme="minorBidi"/>
                <w:sz w:val="20"/>
                <w:szCs w:val="20"/>
              </w:rPr>
              <w:t xml:space="preserve"> and support</w:t>
            </w:r>
            <w:r w:rsidR="0079365B" w:rsidRPr="3C3E2BB9">
              <w:rPr>
                <w:rFonts w:asciiTheme="minorHAnsi" w:hAnsiTheme="minorHAnsi" w:cstheme="minorBidi"/>
                <w:sz w:val="20"/>
                <w:szCs w:val="20"/>
              </w:rPr>
              <w:t xml:space="preserve"> </w:t>
            </w:r>
            <w:r w:rsidR="00842B76" w:rsidRPr="3C3E2BB9">
              <w:rPr>
                <w:rFonts w:asciiTheme="minorHAnsi" w:hAnsiTheme="minorHAnsi" w:cstheme="minorBidi"/>
                <w:sz w:val="20"/>
                <w:szCs w:val="20"/>
              </w:rPr>
              <w:t xml:space="preserve">outreach </w:t>
            </w:r>
            <w:r w:rsidR="000B72D4" w:rsidRPr="3C3E2BB9">
              <w:rPr>
                <w:rFonts w:asciiTheme="minorHAnsi" w:hAnsiTheme="minorHAnsi" w:cstheme="minorBidi"/>
                <w:sz w:val="20"/>
                <w:szCs w:val="20"/>
              </w:rPr>
              <w:t>programs</w:t>
            </w:r>
            <w:r w:rsidR="00EE0B39" w:rsidRPr="3C3E2BB9">
              <w:rPr>
                <w:rFonts w:asciiTheme="minorHAnsi" w:hAnsiTheme="minorHAnsi" w:cstheme="minorBidi"/>
                <w:sz w:val="20"/>
                <w:szCs w:val="20"/>
              </w:rPr>
              <w:t xml:space="preserve"> for the next teaching period.</w:t>
            </w:r>
            <w:r w:rsidR="00967AEE" w:rsidRPr="3C3E2BB9">
              <w:rPr>
                <w:rFonts w:asciiTheme="minorHAnsi" w:hAnsiTheme="minorHAnsi" w:cstheme="minorBidi"/>
                <w:sz w:val="20"/>
                <w:szCs w:val="20"/>
              </w:rPr>
              <w:t xml:space="preserve"> </w:t>
            </w:r>
            <w:r w:rsidR="2C01F9ED" w:rsidRPr="3C3E2BB9">
              <w:rPr>
                <w:rFonts w:asciiTheme="minorHAnsi" w:hAnsiTheme="minorHAnsi" w:cstheme="minorBidi"/>
                <w:sz w:val="20"/>
                <w:szCs w:val="20"/>
              </w:rPr>
              <w:t>For those students who do end up at risk we have proactive interventions to provide coaching, advice and guidance to</w:t>
            </w:r>
            <w:r w:rsidR="24E21798" w:rsidRPr="3C3E2BB9">
              <w:rPr>
                <w:rFonts w:asciiTheme="minorHAnsi" w:hAnsiTheme="minorHAnsi" w:cstheme="minorBidi"/>
                <w:sz w:val="20"/>
                <w:szCs w:val="20"/>
              </w:rPr>
              <w:t xml:space="preserve"> get the student back on track. </w:t>
            </w:r>
          </w:p>
          <w:p w14:paraId="02437044" w14:textId="77777777" w:rsidR="00942D1D" w:rsidRDefault="00942D1D" w:rsidP="007926D2">
            <w:pPr>
              <w:pStyle w:val="NormalIndent"/>
              <w:spacing w:before="0" w:after="0"/>
              <w:ind w:left="0"/>
              <w:rPr>
                <w:rFonts w:asciiTheme="minorHAnsi" w:hAnsiTheme="minorHAnsi" w:cstheme="minorHAnsi"/>
                <w:sz w:val="20"/>
                <w:szCs w:val="20"/>
              </w:rPr>
            </w:pPr>
          </w:p>
          <w:p w14:paraId="172FF7D8" w14:textId="0830BCA5" w:rsidR="00942D1D" w:rsidRDefault="00F3563D" w:rsidP="007926D2">
            <w:pPr>
              <w:pStyle w:val="NormalIndent"/>
              <w:spacing w:before="0" w:after="0"/>
              <w:ind w:left="0"/>
              <w:rPr>
                <w:rFonts w:asciiTheme="minorHAnsi" w:hAnsiTheme="minorHAnsi" w:cstheme="minorHAnsi"/>
                <w:sz w:val="20"/>
                <w:szCs w:val="20"/>
              </w:rPr>
            </w:pPr>
            <w:r>
              <w:rPr>
                <w:rFonts w:asciiTheme="minorHAnsi" w:hAnsiTheme="minorHAnsi" w:cstheme="minorHAnsi"/>
                <w:sz w:val="20"/>
                <w:szCs w:val="20"/>
              </w:rPr>
              <w:t xml:space="preserve">In 2025 we </w:t>
            </w:r>
            <w:r w:rsidR="005413E3">
              <w:rPr>
                <w:rFonts w:asciiTheme="minorHAnsi" w:hAnsiTheme="minorHAnsi" w:cstheme="minorHAnsi"/>
                <w:sz w:val="20"/>
                <w:szCs w:val="20"/>
              </w:rPr>
              <w:t xml:space="preserve">will </w:t>
            </w:r>
            <w:r>
              <w:rPr>
                <w:rFonts w:asciiTheme="minorHAnsi" w:hAnsiTheme="minorHAnsi" w:cstheme="minorHAnsi"/>
                <w:sz w:val="20"/>
                <w:szCs w:val="20"/>
              </w:rPr>
              <w:t>introduce “The Swinburne Difference</w:t>
            </w:r>
            <w:r w:rsidR="00B249A1">
              <w:rPr>
                <w:rFonts w:asciiTheme="minorHAnsi" w:hAnsiTheme="minorHAnsi" w:cstheme="minorHAnsi"/>
                <w:sz w:val="20"/>
                <w:szCs w:val="20"/>
              </w:rPr>
              <w:t xml:space="preserve">: supporting every student’s personal journey to success”. </w:t>
            </w:r>
            <w:r w:rsidR="004D7601">
              <w:rPr>
                <w:rFonts w:asciiTheme="minorHAnsi" w:hAnsiTheme="minorHAnsi" w:cstheme="minorHAnsi"/>
                <w:sz w:val="20"/>
                <w:szCs w:val="20"/>
              </w:rPr>
              <w:t xml:space="preserve">This provides students with cultural experience throughout their course, including orientation, work </w:t>
            </w:r>
            <w:r w:rsidR="004E306A">
              <w:rPr>
                <w:rFonts w:asciiTheme="minorHAnsi" w:hAnsiTheme="minorHAnsi" w:cstheme="minorHAnsi"/>
                <w:sz w:val="20"/>
                <w:szCs w:val="20"/>
              </w:rPr>
              <w:t>integrated learning and dedicated placements, cultural and community experiences and an entrepreneurial experience.</w:t>
            </w:r>
            <w:r w:rsidR="00EE62E9">
              <w:rPr>
                <w:rFonts w:asciiTheme="minorHAnsi" w:hAnsiTheme="minorHAnsi" w:cstheme="minorHAnsi"/>
                <w:sz w:val="20"/>
                <w:szCs w:val="20"/>
              </w:rPr>
              <w:t xml:space="preserve"> </w:t>
            </w:r>
          </w:p>
          <w:p w14:paraId="792ECED8" w14:textId="77777777" w:rsidR="00C769D2" w:rsidRDefault="00C769D2" w:rsidP="007926D2">
            <w:pPr>
              <w:pStyle w:val="NormalIndent"/>
              <w:spacing w:before="0" w:after="0"/>
              <w:ind w:left="0"/>
              <w:rPr>
                <w:rFonts w:asciiTheme="minorHAnsi" w:hAnsiTheme="minorHAnsi" w:cstheme="minorHAnsi"/>
                <w:sz w:val="20"/>
                <w:szCs w:val="20"/>
              </w:rPr>
            </w:pPr>
          </w:p>
          <w:p w14:paraId="74D1FDC7" w14:textId="4D18B67B" w:rsidR="001B109C" w:rsidRPr="00806B80" w:rsidRDefault="005B3ACE" w:rsidP="00E027D2">
            <w:pPr>
              <w:pStyle w:val="NormalIndent"/>
              <w:spacing w:before="0" w:after="0"/>
              <w:ind w:left="0"/>
              <w:rPr>
                <w:rFonts w:asciiTheme="minorHAnsi" w:hAnsiTheme="minorHAnsi" w:cstheme="minorHAnsi"/>
                <w:sz w:val="20"/>
                <w:szCs w:val="20"/>
              </w:rPr>
            </w:pPr>
            <w:r>
              <w:rPr>
                <w:rFonts w:asciiTheme="minorHAnsi" w:hAnsiTheme="minorHAnsi" w:cstheme="minorHAnsi"/>
                <w:sz w:val="20"/>
                <w:szCs w:val="20"/>
              </w:rPr>
              <w:t xml:space="preserve">We will also </w:t>
            </w:r>
            <w:r w:rsidR="00A60D9C">
              <w:rPr>
                <w:rFonts w:asciiTheme="minorHAnsi" w:hAnsiTheme="minorHAnsi" w:cstheme="minorHAnsi"/>
                <w:sz w:val="20"/>
                <w:szCs w:val="20"/>
              </w:rPr>
              <w:t>make our student s</w:t>
            </w:r>
            <w:r w:rsidR="009C7F4C">
              <w:rPr>
                <w:rFonts w:asciiTheme="minorHAnsi" w:hAnsiTheme="minorHAnsi" w:cstheme="minorHAnsi"/>
                <w:sz w:val="20"/>
                <w:szCs w:val="20"/>
              </w:rPr>
              <w:t>upp</w:t>
            </w:r>
            <w:r w:rsidR="00FD2705">
              <w:rPr>
                <w:rFonts w:asciiTheme="minorHAnsi" w:hAnsiTheme="minorHAnsi" w:cstheme="minorHAnsi"/>
                <w:sz w:val="20"/>
                <w:szCs w:val="20"/>
              </w:rPr>
              <w:t>o</w:t>
            </w:r>
            <w:r w:rsidR="009C7F4C">
              <w:rPr>
                <w:rFonts w:asciiTheme="minorHAnsi" w:hAnsiTheme="minorHAnsi" w:cstheme="minorHAnsi"/>
                <w:sz w:val="20"/>
                <w:szCs w:val="20"/>
              </w:rPr>
              <w:t>rt services</w:t>
            </w:r>
            <w:r w:rsidR="00FD2705">
              <w:rPr>
                <w:rFonts w:asciiTheme="minorHAnsi" w:hAnsiTheme="minorHAnsi" w:cstheme="minorHAnsi"/>
                <w:sz w:val="20"/>
                <w:szCs w:val="20"/>
              </w:rPr>
              <w:t xml:space="preserve"> eas</w:t>
            </w:r>
            <w:r w:rsidR="00A60D9C">
              <w:rPr>
                <w:rFonts w:asciiTheme="minorHAnsi" w:hAnsiTheme="minorHAnsi" w:cstheme="minorHAnsi"/>
                <w:sz w:val="20"/>
                <w:szCs w:val="20"/>
              </w:rPr>
              <w:t xml:space="preserve">ier </w:t>
            </w:r>
            <w:r w:rsidR="00FD2705">
              <w:rPr>
                <w:rFonts w:asciiTheme="minorHAnsi" w:hAnsiTheme="minorHAnsi" w:cstheme="minorHAnsi"/>
                <w:sz w:val="20"/>
                <w:szCs w:val="20"/>
              </w:rPr>
              <w:t>to find and access through a new integrated website and mobile app,</w:t>
            </w:r>
            <w:r w:rsidR="0039687F">
              <w:rPr>
                <w:rFonts w:asciiTheme="minorHAnsi" w:hAnsiTheme="minorHAnsi" w:cstheme="minorHAnsi"/>
                <w:sz w:val="20"/>
                <w:szCs w:val="20"/>
              </w:rPr>
              <w:t xml:space="preserve"> </w:t>
            </w:r>
            <w:r w:rsidR="00FD2705">
              <w:rPr>
                <w:rFonts w:asciiTheme="minorHAnsi" w:hAnsiTheme="minorHAnsi" w:cstheme="minorHAnsi"/>
                <w:sz w:val="20"/>
                <w:szCs w:val="20"/>
              </w:rPr>
              <w:t xml:space="preserve">personalised to each student, </w:t>
            </w:r>
            <w:r w:rsidR="001373F5">
              <w:rPr>
                <w:rFonts w:asciiTheme="minorHAnsi" w:hAnsiTheme="minorHAnsi" w:cstheme="minorHAnsi"/>
                <w:sz w:val="20"/>
                <w:szCs w:val="20"/>
              </w:rPr>
              <w:t xml:space="preserve">and </w:t>
            </w:r>
            <w:r w:rsidR="0039687F">
              <w:rPr>
                <w:rFonts w:asciiTheme="minorHAnsi" w:hAnsiTheme="minorHAnsi" w:cstheme="minorHAnsi"/>
                <w:sz w:val="20"/>
                <w:szCs w:val="20"/>
              </w:rPr>
              <w:t xml:space="preserve">with services sorted using a student lens rather than a corporate </w:t>
            </w:r>
            <w:r w:rsidR="00CE0D23">
              <w:rPr>
                <w:rFonts w:asciiTheme="minorHAnsi" w:hAnsiTheme="minorHAnsi" w:cstheme="minorHAnsi"/>
                <w:sz w:val="20"/>
                <w:szCs w:val="20"/>
              </w:rPr>
              <w:t>structure.</w:t>
            </w:r>
            <w:r w:rsidR="007433E5">
              <w:rPr>
                <w:rFonts w:asciiTheme="minorHAnsi" w:hAnsiTheme="minorHAnsi" w:cstheme="minorHAnsi"/>
                <w:sz w:val="20"/>
                <w:szCs w:val="20"/>
              </w:rPr>
              <w:t xml:space="preserve"> Service</w:t>
            </w:r>
            <w:r w:rsidR="00A60D9C">
              <w:rPr>
                <w:rFonts w:asciiTheme="minorHAnsi" w:hAnsiTheme="minorHAnsi" w:cstheme="minorHAnsi"/>
                <w:sz w:val="20"/>
                <w:szCs w:val="20"/>
              </w:rPr>
              <w:t>s</w:t>
            </w:r>
            <w:r w:rsidR="007433E5">
              <w:rPr>
                <w:rFonts w:asciiTheme="minorHAnsi" w:hAnsiTheme="minorHAnsi" w:cstheme="minorHAnsi"/>
                <w:sz w:val="20"/>
                <w:szCs w:val="20"/>
              </w:rPr>
              <w:t xml:space="preserve"> </w:t>
            </w:r>
            <w:r w:rsidR="00A60D9C">
              <w:rPr>
                <w:rFonts w:asciiTheme="minorHAnsi" w:hAnsiTheme="minorHAnsi" w:cstheme="minorHAnsi"/>
                <w:sz w:val="20"/>
                <w:szCs w:val="20"/>
              </w:rPr>
              <w:t>will be</w:t>
            </w:r>
            <w:r w:rsidR="007433E5">
              <w:rPr>
                <w:rFonts w:asciiTheme="minorHAnsi" w:hAnsiTheme="minorHAnsi" w:cstheme="minorHAnsi"/>
                <w:sz w:val="20"/>
                <w:szCs w:val="20"/>
              </w:rPr>
              <w:t xml:space="preserve"> </w:t>
            </w:r>
            <w:r w:rsidR="00B0785C">
              <w:rPr>
                <w:rFonts w:asciiTheme="minorHAnsi" w:hAnsiTheme="minorHAnsi" w:cstheme="minorHAnsi"/>
                <w:sz w:val="20"/>
                <w:szCs w:val="20"/>
              </w:rPr>
              <w:t>delivered centrally or throug</w:t>
            </w:r>
            <w:r w:rsidR="00BA2A4B">
              <w:rPr>
                <w:rFonts w:asciiTheme="minorHAnsi" w:hAnsiTheme="minorHAnsi" w:cstheme="minorHAnsi"/>
                <w:sz w:val="20"/>
                <w:szCs w:val="20"/>
              </w:rPr>
              <w:t xml:space="preserve">h a hub and spoke model, taking </w:t>
            </w:r>
            <w:r w:rsidR="00F32FF8">
              <w:rPr>
                <w:rFonts w:asciiTheme="minorHAnsi" w:hAnsiTheme="minorHAnsi" w:cstheme="minorHAnsi"/>
                <w:sz w:val="20"/>
                <w:szCs w:val="20"/>
              </w:rPr>
              <w:t xml:space="preserve">the </w:t>
            </w:r>
            <w:r w:rsidR="00BA2A4B">
              <w:rPr>
                <w:rFonts w:asciiTheme="minorHAnsi" w:hAnsiTheme="minorHAnsi" w:cstheme="minorHAnsi"/>
                <w:sz w:val="20"/>
                <w:szCs w:val="20"/>
              </w:rPr>
              <w:t>service to where the students are</w:t>
            </w:r>
            <w:r w:rsidR="00A60D9C">
              <w:rPr>
                <w:rFonts w:asciiTheme="minorHAnsi" w:hAnsiTheme="minorHAnsi" w:cstheme="minorHAnsi"/>
                <w:sz w:val="20"/>
                <w:szCs w:val="20"/>
              </w:rPr>
              <w:t>, with m</w:t>
            </w:r>
            <w:r w:rsidR="001373F5">
              <w:rPr>
                <w:rFonts w:asciiTheme="minorHAnsi" w:hAnsiTheme="minorHAnsi" w:cstheme="minorHAnsi"/>
                <w:sz w:val="20"/>
                <w:szCs w:val="20"/>
              </w:rPr>
              <w:t xml:space="preserve">ultiple </w:t>
            </w:r>
            <w:r w:rsidR="000D0B28">
              <w:rPr>
                <w:rFonts w:asciiTheme="minorHAnsi" w:hAnsiTheme="minorHAnsi" w:cstheme="minorHAnsi"/>
                <w:sz w:val="20"/>
                <w:szCs w:val="20"/>
              </w:rPr>
              <w:t>services models provide</w:t>
            </w:r>
            <w:r w:rsidR="00A60D9C">
              <w:rPr>
                <w:rFonts w:asciiTheme="minorHAnsi" w:hAnsiTheme="minorHAnsi" w:cstheme="minorHAnsi"/>
                <w:sz w:val="20"/>
                <w:szCs w:val="20"/>
              </w:rPr>
              <w:t>d</w:t>
            </w:r>
            <w:r w:rsidR="000D0B28">
              <w:rPr>
                <w:rFonts w:asciiTheme="minorHAnsi" w:hAnsiTheme="minorHAnsi" w:cstheme="minorHAnsi"/>
                <w:sz w:val="20"/>
                <w:szCs w:val="20"/>
              </w:rPr>
              <w:t xml:space="preserve">, including </w:t>
            </w:r>
            <w:r w:rsidR="00667F03">
              <w:rPr>
                <w:rFonts w:asciiTheme="minorHAnsi" w:hAnsiTheme="minorHAnsi" w:cstheme="minorHAnsi"/>
                <w:sz w:val="20"/>
                <w:szCs w:val="20"/>
              </w:rPr>
              <w:t xml:space="preserve">supported and moderated </w:t>
            </w:r>
            <w:r w:rsidR="007643B9">
              <w:rPr>
                <w:rFonts w:asciiTheme="minorHAnsi" w:hAnsiTheme="minorHAnsi" w:cstheme="minorHAnsi"/>
                <w:sz w:val="20"/>
                <w:szCs w:val="20"/>
              </w:rPr>
              <w:t>peer-to-peer</w:t>
            </w:r>
            <w:r w:rsidR="00A93B3F">
              <w:rPr>
                <w:rFonts w:asciiTheme="minorHAnsi" w:hAnsiTheme="minorHAnsi" w:cstheme="minorHAnsi"/>
                <w:sz w:val="20"/>
                <w:szCs w:val="20"/>
              </w:rPr>
              <w:t xml:space="preserve"> </w:t>
            </w:r>
            <w:r w:rsidR="00667F03">
              <w:rPr>
                <w:rFonts w:asciiTheme="minorHAnsi" w:hAnsiTheme="minorHAnsi" w:cstheme="minorHAnsi"/>
                <w:sz w:val="20"/>
                <w:szCs w:val="20"/>
              </w:rPr>
              <w:t>systems,</w:t>
            </w:r>
            <w:r w:rsidR="00A93B3F">
              <w:rPr>
                <w:rFonts w:asciiTheme="minorHAnsi" w:hAnsiTheme="minorHAnsi" w:cstheme="minorHAnsi"/>
                <w:sz w:val="20"/>
                <w:szCs w:val="20"/>
              </w:rPr>
              <w:t xml:space="preserve"> pro-active targeted models (using data and student self-identification)</w:t>
            </w:r>
            <w:r w:rsidR="00AA2777">
              <w:rPr>
                <w:rFonts w:asciiTheme="minorHAnsi" w:hAnsiTheme="minorHAnsi" w:cstheme="minorHAnsi"/>
                <w:sz w:val="20"/>
                <w:szCs w:val="20"/>
              </w:rPr>
              <w:t xml:space="preserve">, drop-in support locations, </w:t>
            </w:r>
            <w:r w:rsidR="00667F03">
              <w:rPr>
                <w:rFonts w:asciiTheme="minorHAnsi" w:hAnsiTheme="minorHAnsi" w:cstheme="minorHAnsi"/>
                <w:sz w:val="20"/>
                <w:szCs w:val="20"/>
              </w:rPr>
              <w:t>specialist</w:t>
            </w:r>
            <w:r w:rsidR="00AA2777">
              <w:rPr>
                <w:rFonts w:asciiTheme="minorHAnsi" w:hAnsiTheme="minorHAnsi" w:cstheme="minorHAnsi"/>
                <w:sz w:val="20"/>
                <w:szCs w:val="20"/>
              </w:rPr>
              <w:t xml:space="preserve"> on-demand services</w:t>
            </w:r>
            <w:r w:rsidR="0082773C">
              <w:rPr>
                <w:rFonts w:asciiTheme="minorHAnsi" w:hAnsiTheme="minorHAnsi" w:cstheme="minorHAnsi"/>
                <w:sz w:val="20"/>
                <w:szCs w:val="20"/>
              </w:rPr>
              <w:t>, and increasingly through 24/7</w:t>
            </w:r>
            <w:r w:rsidR="00E37F1A">
              <w:rPr>
                <w:rFonts w:asciiTheme="minorHAnsi" w:hAnsiTheme="minorHAnsi" w:cstheme="minorHAnsi"/>
                <w:sz w:val="20"/>
                <w:szCs w:val="20"/>
              </w:rPr>
              <w:t xml:space="preserve"> online AI</w:t>
            </w:r>
            <w:r w:rsidR="00667F03">
              <w:rPr>
                <w:rFonts w:asciiTheme="minorHAnsi" w:hAnsiTheme="minorHAnsi" w:cstheme="minorHAnsi"/>
                <w:sz w:val="20"/>
                <w:szCs w:val="20"/>
              </w:rPr>
              <w:t>-</w:t>
            </w:r>
            <w:r w:rsidR="00E37F1A">
              <w:rPr>
                <w:rFonts w:asciiTheme="minorHAnsi" w:hAnsiTheme="minorHAnsi" w:cstheme="minorHAnsi"/>
                <w:sz w:val="20"/>
                <w:szCs w:val="20"/>
              </w:rPr>
              <w:t xml:space="preserve">driven </w:t>
            </w:r>
            <w:r w:rsidR="00667F03">
              <w:rPr>
                <w:rFonts w:asciiTheme="minorHAnsi" w:hAnsiTheme="minorHAnsi" w:cstheme="minorHAnsi"/>
                <w:sz w:val="20"/>
                <w:szCs w:val="20"/>
              </w:rPr>
              <w:t>s</w:t>
            </w:r>
            <w:r w:rsidR="001373F5">
              <w:rPr>
                <w:rFonts w:asciiTheme="minorHAnsi" w:hAnsiTheme="minorHAnsi" w:cstheme="minorHAnsi"/>
                <w:sz w:val="20"/>
                <w:szCs w:val="20"/>
              </w:rPr>
              <w:t>upports.</w:t>
            </w:r>
          </w:p>
        </w:tc>
      </w:tr>
      <w:tr w:rsidR="001B109C" w:rsidRPr="00E41388" w14:paraId="3EB68E1B" w14:textId="77777777" w:rsidTr="6DCF43EC">
        <w:trPr>
          <w:cantSplit/>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6DCF43EC">
        <w:trPr>
          <w:cantSplit/>
        </w:trPr>
        <w:tc>
          <w:tcPr>
            <w:tcW w:w="5000" w:type="pct"/>
          </w:tcPr>
          <w:p w14:paraId="23622C64" w14:textId="496A804F" w:rsidR="007926D2" w:rsidRPr="00A0475B" w:rsidRDefault="007926D2" w:rsidP="007926D2">
            <w:pPr>
              <w:pStyle w:val="NormalIndent"/>
              <w:spacing w:before="0" w:after="0"/>
              <w:ind w:left="0"/>
              <w:rPr>
                <w:rFonts w:asciiTheme="minorHAnsi" w:hAnsiTheme="minorHAnsi" w:cstheme="minorHAnsi"/>
                <w:i/>
                <w:color w:val="FF0000"/>
                <w:szCs w:val="22"/>
              </w:rPr>
            </w:pPr>
            <w:r w:rsidRPr="00687C1A">
              <w:rPr>
                <w:rFonts w:asciiTheme="minorHAnsi" w:hAnsiTheme="minorHAnsi" w:cstheme="minorHAnsi"/>
                <w:sz w:val="20"/>
                <w:szCs w:val="20"/>
              </w:rPr>
              <w:t>To further progress our research, research training and innovations outcomes, Swinburne’s strategy is based on the following three priorities:</w:t>
            </w:r>
          </w:p>
          <w:p w14:paraId="084DCE80" w14:textId="77777777" w:rsidR="007926D2" w:rsidRPr="00687C1A" w:rsidRDefault="007926D2" w:rsidP="007926D2">
            <w:pPr>
              <w:pStyle w:val="NormalIndent"/>
              <w:spacing w:before="0" w:after="0"/>
              <w:ind w:left="0"/>
              <w:rPr>
                <w:rFonts w:asciiTheme="minorHAnsi" w:hAnsiTheme="minorHAnsi" w:cstheme="minorHAnsi"/>
                <w:sz w:val="20"/>
                <w:szCs w:val="20"/>
              </w:rPr>
            </w:pPr>
          </w:p>
          <w:p w14:paraId="2BF7B3A2" w14:textId="018036F1" w:rsidR="007926D2" w:rsidRPr="00687C1A" w:rsidRDefault="007926D2" w:rsidP="00B811BC">
            <w:pPr>
              <w:pStyle w:val="NormalIndent"/>
              <w:spacing w:before="0" w:after="0"/>
              <w:ind w:left="408"/>
              <w:rPr>
                <w:rFonts w:asciiTheme="minorHAnsi" w:hAnsiTheme="minorHAnsi" w:cstheme="minorBidi"/>
                <w:sz w:val="20"/>
                <w:szCs w:val="20"/>
              </w:rPr>
            </w:pPr>
            <w:r w:rsidRPr="1B2B178D">
              <w:rPr>
                <w:rFonts w:asciiTheme="minorHAnsi" w:hAnsiTheme="minorHAnsi" w:cstheme="minorBidi"/>
                <w:b/>
                <w:sz w:val="20"/>
                <w:szCs w:val="20"/>
              </w:rPr>
              <w:t>Reinforcing our focus on areas where we have strength and capability as a university of technology:</w:t>
            </w:r>
            <w:r w:rsidRPr="1B2B178D">
              <w:rPr>
                <w:rFonts w:asciiTheme="minorHAnsi" w:hAnsiTheme="minorHAnsi" w:cstheme="minorBidi"/>
                <w:sz w:val="20"/>
                <w:szCs w:val="20"/>
              </w:rPr>
              <w:t xml:space="preserve"> </w:t>
            </w:r>
            <w:r w:rsidR="16AA6792" w:rsidRPr="1B2B178D">
              <w:rPr>
                <w:rFonts w:asciiTheme="minorHAnsi" w:hAnsiTheme="minorHAnsi" w:cstheme="minorBidi"/>
                <w:sz w:val="20"/>
                <w:szCs w:val="20"/>
              </w:rPr>
              <w:t xml:space="preserve">Our focus areas </w:t>
            </w:r>
            <w:proofErr w:type="gramStart"/>
            <w:r w:rsidR="16AA6792" w:rsidRPr="1B2B178D">
              <w:rPr>
                <w:rFonts w:asciiTheme="minorHAnsi" w:hAnsiTheme="minorHAnsi" w:cstheme="minorBidi"/>
                <w:sz w:val="20"/>
                <w:szCs w:val="20"/>
              </w:rPr>
              <w:t>are:</w:t>
            </w:r>
            <w:proofErr w:type="gramEnd"/>
            <w:r w:rsidR="16AA6792" w:rsidRPr="1B2B178D">
              <w:rPr>
                <w:rFonts w:asciiTheme="minorHAnsi" w:hAnsiTheme="minorHAnsi" w:cstheme="minorBidi"/>
                <w:sz w:val="20"/>
                <w:szCs w:val="20"/>
              </w:rPr>
              <w:t xml:space="preserve"> </w:t>
            </w:r>
            <w:r w:rsidRPr="1B2B178D">
              <w:rPr>
                <w:rFonts w:asciiTheme="minorHAnsi" w:hAnsiTheme="minorHAnsi" w:cstheme="minorBidi"/>
                <w:sz w:val="20"/>
                <w:szCs w:val="20"/>
              </w:rPr>
              <w:t>Space and Aerospace</w:t>
            </w:r>
            <w:r w:rsidR="457EFA99" w:rsidRPr="1B2B178D">
              <w:rPr>
                <w:rFonts w:asciiTheme="minorHAnsi" w:hAnsiTheme="minorHAnsi" w:cstheme="minorBidi"/>
                <w:sz w:val="20"/>
                <w:szCs w:val="20"/>
              </w:rPr>
              <w:t>;</w:t>
            </w:r>
            <w:r w:rsidRPr="1B2B178D">
              <w:rPr>
                <w:rFonts w:asciiTheme="minorHAnsi" w:hAnsiTheme="minorHAnsi" w:cstheme="minorBidi"/>
                <w:sz w:val="20"/>
                <w:szCs w:val="20"/>
              </w:rPr>
              <w:t xml:space="preserve"> Innovative and Sustainable Planet</w:t>
            </w:r>
            <w:r w:rsidR="53060C37" w:rsidRPr="1B2B178D">
              <w:rPr>
                <w:rFonts w:asciiTheme="minorHAnsi" w:hAnsiTheme="minorHAnsi" w:cstheme="minorBidi"/>
                <w:sz w:val="20"/>
                <w:szCs w:val="20"/>
              </w:rPr>
              <w:t>;</w:t>
            </w:r>
            <w:r w:rsidRPr="1B2B178D">
              <w:rPr>
                <w:rFonts w:asciiTheme="minorHAnsi" w:hAnsiTheme="minorHAnsi" w:cstheme="minorBidi"/>
                <w:sz w:val="20"/>
                <w:szCs w:val="20"/>
              </w:rPr>
              <w:t xml:space="preserve"> Health Innovation and Medical </w:t>
            </w:r>
            <w:proofErr w:type="gramStart"/>
            <w:r w:rsidRPr="1B2B178D">
              <w:rPr>
                <w:rFonts w:asciiTheme="minorHAnsi" w:hAnsiTheme="minorHAnsi" w:cstheme="minorBidi"/>
                <w:sz w:val="20"/>
                <w:szCs w:val="20"/>
              </w:rPr>
              <w:t>Technology</w:t>
            </w:r>
            <w:r w:rsidR="6DA9BA5B" w:rsidRPr="1B2B178D">
              <w:rPr>
                <w:rFonts w:asciiTheme="minorHAnsi" w:hAnsiTheme="minorHAnsi" w:cstheme="minorBidi"/>
                <w:sz w:val="20"/>
                <w:szCs w:val="20"/>
              </w:rPr>
              <w:t>;</w:t>
            </w:r>
            <w:r w:rsidR="30754AB1" w:rsidRPr="1B2B178D">
              <w:rPr>
                <w:rFonts w:asciiTheme="minorHAnsi" w:hAnsiTheme="minorHAnsi" w:cstheme="minorBidi"/>
                <w:sz w:val="20"/>
                <w:szCs w:val="20"/>
              </w:rPr>
              <w:t>,</w:t>
            </w:r>
            <w:proofErr w:type="gramEnd"/>
            <w:r w:rsidRPr="1B2B178D">
              <w:rPr>
                <w:rFonts w:asciiTheme="minorHAnsi" w:hAnsiTheme="minorHAnsi" w:cstheme="minorBidi"/>
                <w:sz w:val="20"/>
                <w:szCs w:val="20"/>
              </w:rPr>
              <w:t xml:space="preserve"> Digital Capabilities</w:t>
            </w:r>
            <w:r w:rsidR="154F8DEE" w:rsidRPr="1B2B178D">
              <w:rPr>
                <w:rFonts w:asciiTheme="minorHAnsi" w:hAnsiTheme="minorHAnsi" w:cstheme="minorBidi"/>
                <w:sz w:val="20"/>
                <w:szCs w:val="20"/>
              </w:rPr>
              <w:t>;</w:t>
            </w:r>
            <w:r w:rsidR="30754AB1" w:rsidRPr="1B2B178D">
              <w:rPr>
                <w:rFonts w:asciiTheme="minorHAnsi" w:hAnsiTheme="minorHAnsi" w:cstheme="minorBidi"/>
                <w:sz w:val="20"/>
                <w:szCs w:val="20"/>
              </w:rPr>
              <w:t xml:space="preserve"> </w:t>
            </w:r>
            <w:r w:rsidR="1DCBF53E" w:rsidRPr="1B2B178D">
              <w:rPr>
                <w:rFonts w:asciiTheme="minorHAnsi" w:hAnsiTheme="minorHAnsi" w:cstheme="minorBidi"/>
                <w:sz w:val="20"/>
                <w:szCs w:val="20"/>
              </w:rPr>
              <w:t>and</w:t>
            </w:r>
            <w:r w:rsidRPr="1B2B178D">
              <w:rPr>
                <w:rFonts w:asciiTheme="minorHAnsi" w:hAnsiTheme="minorHAnsi" w:cstheme="minorBidi"/>
                <w:sz w:val="20"/>
                <w:szCs w:val="20"/>
              </w:rPr>
              <w:t xml:space="preserve"> Advanced Manufacturing. </w:t>
            </w:r>
            <w:r w:rsidR="21BECB89" w:rsidRPr="1B2B178D">
              <w:rPr>
                <w:rFonts w:asciiTheme="minorHAnsi" w:hAnsiTheme="minorHAnsi" w:cstheme="minorBidi"/>
                <w:sz w:val="20"/>
                <w:szCs w:val="20"/>
              </w:rPr>
              <w:t xml:space="preserve">We also </w:t>
            </w:r>
            <w:r w:rsidR="59C464A9" w:rsidRPr="1B2B178D">
              <w:rPr>
                <w:rFonts w:asciiTheme="minorHAnsi" w:hAnsiTheme="minorHAnsi" w:cstheme="minorBidi"/>
                <w:sz w:val="20"/>
                <w:szCs w:val="20"/>
              </w:rPr>
              <w:t xml:space="preserve">support </w:t>
            </w:r>
            <w:r w:rsidR="21BECB89" w:rsidRPr="1B2B178D">
              <w:rPr>
                <w:rFonts w:asciiTheme="minorHAnsi" w:hAnsiTheme="minorHAnsi" w:cstheme="minorBidi"/>
                <w:sz w:val="20"/>
                <w:szCs w:val="20"/>
              </w:rPr>
              <w:t xml:space="preserve">“Detect and Protect” defence engagement. </w:t>
            </w:r>
            <w:r w:rsidR="0973EEB1" w:rsidRPr="1B2B178D">
              <w:rPr>
                <w:rFonts w:asciiTheme="minorHAnsi" w:hAnsiTheme="minorHAnsi" w:cstheme="minorBidi"/>
                <w:sz w:val="20"/>
                <w:szCs w:val="20"/>
              </w:rPr>
              <w:t xml:space="preserve">Our focus areas make </w:t>
            </w:r>
            <w:r w:rsidRPr="1B2B178D">
              <w:rPr>
                <w:rFonts w:asciiTheme="minorHAnsi" w:hAnsiTheme="minorHAnsi" w:cstheme="minorBidi"/>
                <w:sz w:val="20"/>
                <w:szCs w:val="20"/>
              </w:rPr>
              <w:t>significant contributions to R</w:t>
            </w:r>
            <w:r w:rsidR="000427AF" w:rsidRPr="1B2B178D">
              <w:rPr>
                <w:rFonts w:asciiTheme="minorHAnsi" w:hAnsiTheme="minorHAnsi" w:cstheme="minorBidi"/>
                <w:sz w:val="20"/>
                <w:szCs w:val="20"/>
              </w:rPr>
              <w:t xml:space="preserve">esearch and </w:t>
            </w:r>
            <w:r w:rsidRPr="1B2B178D">
              <w:rPr>
                <w:rFonts w:asciiTheme="minorHAnsi" w:hAnsiTheme="minorHAnsi" w:cstheme="minorBidi"/>
                <w:sz w:val="20"/>
                <w:szCs w:val="20"/>
              </w:rPr>
              <w:t>D</w:t>
            </w:r>
            <w:r w:rsidR="000427AF" w:rsidRPr="1B2B178D">
              <w:rPr>
                <w:rFonts w:asciiTheme="minorHAnsi" w:hAnsiTheme="minorHAnsi" w:cstheme="minorBidi"/>
                <w:sz w:val="20"/>
                <w:szCs w:val="20"/>
              </w:rPr>
              <w:t>evelopment (R&amp;D)</w:t>
            </w:r>
            <w:r w:rsidRPr="1B2B178D">
              <w:rPr>
                <w:rFonts w:asciiTheme="minorHAnsi" w:hAnsiTheme="minorHAnsi" w:cstheme="minorBidi"/>
                <w:sz w:val="20"/>
                <w:szCs w:val="20"/>
              </w:rPr>
              <w:t xml:space="preserve"> that assists </w:t>
            </w:r>
            <w:r w:rsidR="76C5B227" w:rsidRPr="1B2B178D">
              <w:rPr>
                <w:rFonts w:asciiTheme="minorHAnsi" w:hAnsiTheme="minorHAnsi" w:cstheme="minorBidi"/>
                <w:sz w:val="20"/>
                <w:szCs w:val="20"/>
              </w:rPr>
              <w:t xml:space="preserve">productivity, </w:t>
            </w:r>
            <w:r w:rsidRPr="1B2B178D">
              <w:rPr>
                <w:rFonts w:asciiTheme="minorHAnsi" w:hAnsiTheme="minorHAnsi" w:cstheme="minorBidi"/>
                <w:sz w:val="20"/>
                <w:szCs w:val="20"/>
              </w:rPr>
              <w:t xml:space="preserve">transformation and </w:t>
            </w:r>
            <w:r w:rsidR="71E1449E" w:rsidRPr="1B2B178D">
              <w:rPr>
                <w:rFonts w:asciiTheme="minorHAnsi" w:hAnsiTheme="minorHAnsi" w:cstheme="minorBidi"/>
                <w:sz w:val="20"/>
                <w:szCs w:val="20"/>
              </w:rPr>
              <w:t xml:space="preserve">the development of </w:t>
            </w:r>
            <w:r w:rsidRPr="1B2B178D">
              <w:rPr>
                <w:rFonts w:asciiTheme="minorHAnsi" w:hAnsiTheme="minorHAnsi" w:cstheme="minorBidi"/>
                <w:sz w:val="20"/>
                <w:szCs w:val="20"/>
              </w:rPr>
              <w:t>emerging</w:t>
            </w:r>
            <w:r w:rsidR="137444D9" w:rsidRPr="1B2B178D">
              <w:rPr>
                <w:rFonts w:asciiTheme="minorHAnsi" w:hAnsiTheme="minorHAnsi" w:cstheme="minorBidi"/>
                <w:sz w:val="20"/>
                <w:szCs w:val="20"/>
              </w:rPr>
              <w:t xml:space="preserve"> </w:t>
            </w:r>
            <w:r w:rsidR="23FD5F63" w:rsidRPr="1B2B178D">
              <w:rPr>
                <w:rFonts w:asciiTheme="minorHAnsi" w:hAnsiTheme="minorHAnsi" w:cstheme="minorBidi"/>
                <w:sz w:val="20"/>
                <w:szCs w:val="20"/>
              </w:rPr>
              <w:t>industries</w:t>
            </w:r>
            <w:r w:rsidR="30754AB1" w:rsidRPr="1B2B178D">
              <w:rPr>
                <w:rFonts w:asciiTheme="minorHAnsi" w:hAnsiTheme="minorHAnsi" w:cstheme="minorBidi"/>
                <w:sz w:val="20"/>
                <w:szCs w:val="20"/>
              </w:rPr>
              <w:t>.</w:t>
            </w:r>
            <w:r w:rsidRPr="1B2B178D">
              <w:rPr>
                <w:rFonts w:asciiTheme="minorHAnsi" w:hAnsiTheme="minorHAnsi" w:cstheme="minorBidi"/>
                <w:sz w:val="20"/>
                <w:szCs w:val="20"/>
              </w:rPr>
              <w:t xml:space="preserve"> </w:t>
            </w:r>
          </w:p>
          <w:p w14:paraId="58B30AFE" w14:textId="77777777" w:rsidR="007926D2" w:rsidRPr="00687C1A" w:rsidRDefault="007926D2" w:rsidP="007926D2">
            <w:pPr>
              <w:pStyle w:val="NormalIndent"/>
              <w:spacing w:before="0" w:after="0"/>
              <w:ind w:left="408"/>
              <w:rPr>
                <w:rFonts w:asciiTheme="minorHAnsi" w:hAnsiTheme="minorHAnsi" w:cstheme="minorHAnsi"/>
                <w:sz w:val="20"/>
                <w:szCs w:val="20"/>
              </w:rPr>
            </w:pPr>
          </w:p>
          <w:p w14:paraId="67B99481" w14:textId="586407B8" w:rsidR="007926D2" w:rsidRPr="00687C1A" w:rsidRDefault="007926D2" w:rsidP="00B811BC">
            <w:pPr>
              <w:pStyle w:val="NormalIndent"/>
              <w:spacing w:before="0" w:after="0"/>
              <w:ind w:left="408"/>
              <w:rPr>
                <w:rFonts w:asciiTheme="minorHAnsi" w:hAnsiTheme="minorHAnsi" w:cstheme="minorBidi"/>
                <w:sz w:val="20"/>
                <w:szCs w:val="20"/>
              </w:rPr>
            </w:pPr>
            <w:r w:rsidRPr="1B2B178D">
              <w:rPr>
                <w:rFonts w:asciiTheme="minorHAnsi" w:hAnsiTheme="minorHAnsi" w:cstheme="minorBidi"/>
                <w:b/>
                <w:sz w:val="20"/>
                <w:szCs w:val="20"/>
              </w:rPr>
              <w:t>Training of Higher Degree by Research (HDR) students:</w:t>
            </w:r>
            <w:r w:rsidRPr="1B2B178D">
              <w:rPr>
                <w:rFonts w:asciiTheme="minorHAnsi" w:hAnsiTheme="minorHAnsi" w:cstheme="minorBidi"/>
                <w:sz w:val="20"/>
                <w:szCs w:val="20"/>
              </w:rPr>
              <w:t xml:space="preserve"> Our goal is for HDR students to undertake quality research programs, with an increased focus on </w:t>
            </w:r>
            <w:r w:rsidR="337EAEF5" w:rsidRPr="1B2B178D">
              <w:rPr>
                <w:rFonts w:asciiTheme="minorHAnsi" w:hAnsiTheme="minorHAnsi" w:cstheme="minorBidi"/>
                <w:sz w:val="20"/>
                <w:szCs w:val="20"/>
              </w:rPr>
              <w:t xml:space="preserve">industry </w:t>
            </w:r>
            <w:proofErr w:type="gramStart"/>
            <w:r w:rsidR="337EAEF5" w:rsidRPr="1B2B178D">
              <w:rPr>
                <w:rFonts w:asciiTheme="minorHAnsi" w:hAnsiTheme="minorHAnsi" w:cstheme="minorBidi"/>
                <w:sz w:val="20"/>
                <w:szCs w:val="20"/>
              </w:rPr>
              <w:t xml:space="preserve">internships </w:t>
            </w:r>
            <w:r w:rsidRPr="1B2B178D">
              <w:rPr>
                <w:rFonts w:asciiTheme="minorHAnsi" w:hAnsiTheme="minorHAnsi" w:cstheme="minorBidi"/>
                <w:sz w:val="20"/>
                <w:szCs w:val="20"/>
              </w:rPr>
              <w:t>.</w:t>
            </w:r>
            <w:proofErr w:type="gramEnd"/>
            <w:r w:rsidRPr="1B2B178D">
              <w:rPr>
                <w:rFonts w:asciiTheme="minorHAnsi" w:hAnsiTheme="minorHAnsi" w:cstheme="minorBidi"/>
                <w:sz w:val="20"/>
                <w:szCs w:val="20"/>
              </w:rPr>
              <w:t xml:space="preserve"> Our suite of industry engaged PhD programs ensure HDR students are actively engaged with industry partners, contributing to Australia’s future workforce through work-ready graduates who understand the challenges of business and industry.</w:t>
            </w:r>
          </w:p>
          <w:p w14:paraId="5582F7B9" w14:textId="77777777" w:rsidR="007926D2" w:rsidRPr="00687C1A" w:rsidRDefault="007926D2" w:rsidP="007926D2">
            <w:pPr>
              <w:pStyle w:val="NormalIndent"/>
              <w:spacing w:before="0" w:after="0"/>
              <w:ind w:left="0"/>
              <w:rPr>
                <w:rFonts w:asciiTheme="minorHAnsi" w:hAnsiTheme="minorHAnsi" w:cstheme="minorHAnsi"/>
                <w:sz w:val="20"/>
                <w:szCs w:val="20"/>
              </w:rPr>
            </w:pPr>
          </w:p>
          <w:p w14:paraId="1C664C66" w14:textId="0364DD14" w:rsidR="007926D2" w:rsidRPr="00687C1A" w:rsidRDefault="007926D2" w:rsidP="00B811BC">
            <w:pPr>
              <w:pStyle w:val="NormalIndent"/>
              <w:spacing w:before="0" w:after="0"/>
              <w:ind w:left="408"/>
              <w:rPr>
                <w:rFonts w:asciiTheme="minorHAnsi" w:hAnsiTheme="minorHAnsi" w:cstheme="minorBidi"/>
                <w:szCs w:val="22"/>
              </w:rPr>
            </w:pPr>
            <w:r w:rsidRPr="1B2B178D">
              <w:rPr>
                <w:rFonts w:asciiTheme="minorHAnsi" w:hAnsiTheme="minorHAnsi" w:cstheme="minorBidi"/>
                <w:b/>
                <w:sz w:val="20"/>
                <w:szCs w:val="20"/>
              </w:rPr>
              <w:t>Responsible engagement, partnership and collaboration:</w:t>
            </w:r>
            <w:r w:rsidRPr="1B2B178D">
              <w:rPr>
                <w:rFonts w:asciiTheme="minorHAnsi" w:hAnsiTheme="minorHAnsi" w:cstheme="minorBidi"/>
                <w:sz w:val="20"/>
                <w:szCs w:val="20"/>
              </w:rPr>
              <w:t xml:space="preserve"> We are </w:t>
            </w:r>
            <w:r w:rsidR="1709B908" w:rsidRPr="1B2B178D">
              <w:rPr>
                <w:rFonts w:asciiTheme="minorHAnsi" w:hAnsiTheme="minorHAnsi" w:cstheme="minorBidi"/>
                <w:sz w:val="20"/>
                <w:szCs w:val="20"/>
              </w:rPr>
              <w:t xml:space="preserve">redefining </w:t>
            </w:r>
            <w:r w:rsidRPr="1B2B178D">
              <w:rPr>
                <w:rFonts w:asciiTheme="minorHAnsi" w:hAnsiTheme="minorHAnsi" w:cstheme="minorBidi"/>
                <w:sz w:val="20"/>
                <w:szCs w:val="20"/>
              </w:rPr>
              <w:t xml:space="preserve">our engagement model to work with industry such that </w:t>
            </w:r>
            <w:r w:rsidR="4A5CBDF8" w:rsidRPr="1B2B178D">
              <w:rPr>
                <w:rFonts w:asciiTheme="minorHAnsi" w:hAnsiTheme="minorHAnsi" w:cstheme="minorBidi"/>
                <w:sz w:val="20"/>
                <w:szCs w:val="20"/>
              </w:rPr>
              <w:t>our expertise is directed towards solving real-world challenges</w:t>
            </w:r>
            <w:r w:rsidR="30754AB1" w:rsidRPr="1B2B178D">
              <w:rPr>
                <w:rFonts w:asciiTheme="minorHAnsi" w:hAnsiTheme="minorHAnsi" w:cstheme="minorBidi"/>
                <w:sz w:val="20"/>
                <w:szCs w:val="20"/>
              </w:rPr>
              <w:t>.</w:t>
            </w:r>
            <w:r w:rsidRPr="1B2B178D">
              <w:rPr>
                <w:rFonts w:asciiTheme="minorHAnsi" w:hAnsiTheme="minorHAnsi" w:cstheme="minorBidi"/>
                <w:sz w:val="20"/>
                <w:szCs w:val="20"/>
              </w:rPr>
              <w:t xml:space="preserve"> This includes </w:t>
            </w:r>
            <w:r w:rsidR="173EB282" w:rsidRPr="1B2B178D">
              <w:rPr>
                <w:rFonts w:asciiTheme="minorHAnsi" w:hAnsiTheme="minorHAnsi" w:cstheme="minorBidi"/>
                <w:sz w:val="20"/>
                <w:szCs w:val="20"/>
              </w:rPr>
              <w:t>developing new</w:t>
            </w:r>
            <w:r w:rsidR="30754AB1" w:rsidRPr="1B2B178D">
              <w:rPr>
                <w:rFonts w:asciiTheme="minorHAnsi" w:hAnsiTheme="minorHAnsi" w:cstheme="minorBidi"/>
                <w:sz w:val="20"/>
                <w:szCs w:val="20"/>
              </w:rPr>
              <w:t xml:space="preserve"> </w:t>
            </w:r>
            <w:r w:rsidRPr="1B2B178D">
              <w:rPr>
                <w:rFonts w:asciiTheme="minorHAnsi" w:hAnsiTheme="minorHAnsi" w:cstheme="minorBidi"/>
                <w:sz w:val="20"/>
                <w:szCs w:val="20"/>
              </w:rPr>
              <w:t xml:space="preserve">work-integrated learning </w:t>
            </w:r>
            <w:r w:rsidR="3857F8B5" w:rsidRPr="00B811BC">
              <w:rPr>
                <w:rFonts w:asciiTheme="minorHAnsi" w:hAnsiTheme="minorHAnsi" w:cstheme="minorBidi"/>
                <w:sz w:val="20"/>
                <w:szCs w:val="20"/>
              </w:rPr>
              <w:t>models focused on value creation</w:t>
            </w:r>
            <w:r w:rsidRPr="1B2B178D">
              <w:rPr>
                <w:rFonts w:asciiTheme="minorHAnsi" w:hAnsiTheme="minorHAnsi" w:cstheme="minorBidi"/>
                <w:sz w:val="20"/>
                <w:szCs w:val="20"/>
              </w:rPr>
              <w:t xml:space="preserve">, PhD internships and </w:t>
            </w:r>
            <w:r w:rsidR="633F28D8" w:rsidRPr="1B2B178D">
              <w:rPr>
                <w:rFonts w:asciiTheme="minorHAnsi" w:hAnsiTheme="minorHAnsi" w:cstheme="minorBidi"/>
                <w:sz w:val="20"/>
                <w:szCs w:val="20"/>
              </w:rPr>
              <w:t xml:space="preserve">continuing </w:t>
            </w:r>
            <w:r w:rsidRPr="1B2B178D">
              <w:rPr>
                <w:rFonts w:asciiTheme="minorHAnsi" w:hAnsiTheme="minorHAnsi" w:cstheme="minorBidi"/>
                <w:sz w:val="20"/>
                <w:szCs w:val="20"/>
              </w:rPr>
              <w:t xml:space="preserve">high-impact collaborations through programs such as CRCs and ARC Industrial Transformation and Linkage Projects. We also recognise the importance of appropriate due diligence in all interactions to support collaborations and partnerships, both Australian and international </w:t>
            </w:r>
          </w:p>
          <w:p w14:paraId="1B8DB6E1" w14:textId="77777777" w:rsidR="007926D2" w:rsidRPr="00687C1A" w:rsidRDefault="007926D2" w:rsidP="007926D2">
            <w:pPr>
              <w:pStyle w:val="NormalIndent"/>
              <w:spacing w:before="0" w:after="0"/>
              <w:ind w:left="0"/>
              <w:rPr>
                <w:rFonts w:asciiTheme="minorHAnsi" w:hAnsiTheme="minorHAnsi" w:cstheme="minorHAnsi"/>
                <w:sz w:val="20"/>
                <w:szCs w:val="20"/>
              </w:rPr>
            </w:pPr>
          </w:p>
          <w:p w14:paraId="26AD96B4" w14:textId="4E6647DD" w:rsidR="007926D2" w:rsidRPr="00687C1A" w:rsidRDefault="008556EC" w:rsidP="007926D2">
            <w:pPr>
              <w:pStyle w:val="NormalIndent"/>
              <w:spacing w:before="0" w:after="0"/>
              <w:ind w:left="0"/>
              <w:rPr>
                <w:rFonts w:asciiTheme="minorHAnsi" w:hAnsiTheme="minorHAnsi" w:cstheme="minorBidi"/>
                <w:sz w:val="20"/>
                <w:szCs w:val="20"/>
              </w:rPr>
            </w:pPr>
            <w:r w:rsidRPr="1B2B178D">
              <w:rPr>
                <w:rFonts w:asciiTheme="minorHAnsi" w:hAnsiTheme="minorHAnsi" w:cstheme="minorBidi"/>
                <w:sz w:val="20"/>
                <w:szCs w:val="20"/>
              </w:rPr>
              <w:t xml:space="preserve">Our </w:t>
            </w:r>
            <w:r w:rsidR="007926D2" w:rsidRPr="1B2B178D">
              <w:rPr>
                <w:rFonts w:asciiTheme="minorHAnsi" w:hAnsiTheme="minorHAnsi" w:cstheme="minorBidi"/>
                <w:sz w:val="20"/>
                <w:szCs w:val="20"/>
              </w:rPr>
              <w:t>performance against the above priorities</w:t>
            </w:r>
            <w:r w:rsidRPr="1B2B178D">
              <w:rPr>
                <w:rFonts w:asciiTheme="minorHAnsi" w:hAnsiTheme="minorHAnsi" w:cstheme="minorBidi"/>
                <w:sz w:val="20"/>
                <w:szCs w:val="20"/>
              </w:rPr>
              <w:t xml:space="preserve"> is assessed through me</w:t>
            </w:r>
            <w:r w:rsidR="000373F0" w:rsidRPr="1B2B178D">
              <w:rPr>
                <w:rFonts w:asciiTheme="minorHAnsi" w:hAnsiTheme="minorHAnsi" w:cstheme="minorBidi"/>
                <w:sz w:val="20"/>
                <w:szCs w:val="20"/>
              </w:rPr>
              <w:t>trics</w:t>
            </w:r>
            <w:r w:rsidRPr="1B2B178D">
              <w:rPr>
                <w:rFonts w:asciiTheme="minorHAnsi" w:hAnsiTheme="minorHAnsi" w:cstheme="minorBidi"/>
                <w:sz w:val="20"/>
                <w:szCs w:val="20"/>
              </w:rPr>
              <w:t xml:space="preserve"> such as</w:t>
            </w:r>
            <w:r w:rsidR="007926D2" w:rsidRPr="1B2B178D">
              <w:rPr>
                <w:rFonts w:asciiTheme="minorHAnsi" w:hAnsiTheme="minorHAnsi" w:cstheme="minorBidi"/>
                <w:sz w:val="20"/>
                <w:szCs w:val="20"/>
              </w:rPr>
              <w:t xml:space="preserve"> HERDC research income, the measure of partner-associated research income, and the number of HDR students that are industry engaged. </w:t>
            </w:r>
          </w:p>
          <w:p w14:paraId="6C7B3D5F" w14:textId="77777777" w:rsidR="007926D2" w:rsidRPr="00687C1A" w:rsidRDefault="007926D2" w:rsidP="007926D2">
            <w:pPr>
              <w:pStyle w:val="NormalIndent"/>
              <w:spacing w:before="0" w:after="0"/>
              <w:ind w:left="0"/>
              <w:rPr>
                <w:rFonts w:asciiTheme="minorHAnsi" w:hAnsiTheme="minorHAnsi" w:cstheme="minorHAnsi"/>
                <w:sz w:val="20"/>
                <w:szCs w:val="20"/>
              </w:rPr>
            </w:pPr>
          </w:p>
          <w:p w14:paraId="4EEE5860" w14:textId="77777777" w:rsidR="007926D2" w:rsidRPr="00687C1A" w:rsidRDefault="007926D2" w:rsidP="007926D2">
            <w:pPr>
              <w:pStyle w:val="NormalIndent"/>
              <w:spacing w:before="0" w:after="0"/>
              <w:ind w:left="0"/>
              <w:rPr>
                <w:rFonts w:asciiTheme="minorHAnsi" w:hAnsiTheme="minorHAnsi" w:cstheme="minorHAnsi"/>
                <w:b/>
                <w:bCs/>
                <w:i/>
                <w:iCs/>
                <w:sz w:val="20"/>
                <w:szCs w:val="20"/>
              </w:rPr>
            </w:pPr>
            <w:r w:rsidRPr="00687C1A">
              <w:rPr>
                <w:rFonts w:asciiTheme="minorHAnsi" w:hAnsiTheme="minorHAnsi" w:cstheme="minorHAnsi"/>
                <w:b/>
                <w:bCs/>
                <w:i/>
                <w:iCs/>
                <w:sz w:val="20"/>
                <w:szCs w:val="20"/>
              </w:rPr>
              <w:t>Strategies for Research Commercialisation:</w:t>
            </w:r>
          </w:p>
          <w:p w14:paraId="28C14640" w14:textId="68E599A5" w:rsidR="007926D2" w:rsidRPr="00687C1A" w:rsidRDefault="007926D2" w:rsidP="007926D2">
            <w:pPr>
              <w:pStyle w:val="NormalIndent"/>
              <w:spacing w:before="0" w:after="0"/>
              <w:ind w:left="0"/>
              <w:rPr>
                <w:rFonts w:asciiTheme="minorHAnsi" w:hAnsiTheme="minorHAnsi" w:cstheme="minorBidi"/>
                <w:sz w:val="20"/>
                <w:szCs w:val="20"/>
              </w:rPr>
            </w:pPr>
            <w:bookmarkStart w:id="5" w:name="_Hlk210912116"/>
            <w:r w:rsidRPr="1B2B178D">
              <w:rPr>
                <w:rFonts w:asciiTheme="minorHAnsi" w:hAnsiTheme="minorHAnsi" w:cstheme="minorBidi"/>
                <w:sz w:val="20"/>
                <w:szCs w:val="20"/>
              </w:rPr>
              <w:t xml:space="preserve">Swinburne Innovation Studio is </w:t>
            </w:r>
            <w:r w:rsidR="36590085" w:rsidRPr="1B2B178D">
              <w:rPr>
                <w:rFonts w:asciiTheme="minorHAnsi" w:hAnsiTheme="minorHAnsi" w:cstheme="minorBidi"/>
                <w:sz w:val="20"/>
                <w:szCs w:val="20"/>
              </w:rPr>
              <w:t xml:space="preserve">now </w:t>
            </w:r>
            <w:r w:rsidRPr="1B2B178D">
              <w:rPr>
                <w:rFonts w:asciiTheme="minorHAnsi" w:hAnsiTheme="minorHAnsi" w:cstheme="minorBidi"/>
                <w:sz w:val="20"/>
                <w:szCs w:val="20"/>
              </w:rPr>
              <w:t xml:space="preserve">home to a </w:t>
            </w:r>
            <w:r w:rsidR="6AD99FBD" w:rsidRPr="1B2B178D">
              <w:rPr>
                <w:rFonts w:asciiTheme="minorHAnsi" w:hAnsiTheme="minorHAnsi" w:cstheme="minorBidi"/>
                <w:sz w:val="20"/>
                <w:szCs w:val="20"/>
              </w:rPr>
              <w:t xml:space="preserve">full-stack research </w:t>
            </w:r>
            <w:r w:rsidRPr="1B2B178D">
              <w:rPr>
                <w:rFonts w:asciiTheme="minorHAnsi" w:hAnsiTheme="minorHAnsi" w:cstheme="minorBidi"/>
                <w:sz w:val="20"/>
                <w:szCs w:val="20"/>
              </w:rPr>
              <w:t xml:space="preserve">commercialisation </w:t>
            </w:r>
            <w:r w:rsidR="225A0013" w:rsidRPr="1B2B178D">
              <w:rPr>
                <w:rFonts w:asciiTheme="minorHAnsi" w:hAnsiTheme="minorHAnsi" w:cstheme="minorBidi"/>
                <w:sz w:val="20"/>
                <w:szCs w:val="20"/>
              </w:rPr>
              <w:t>and entrepreneurship</w:t>
            </w:r>
            <w:r w:rsidR="30754AB1" w:rsidRPr="1B2B178D">
              <w:rPr>
                <w:rFonts w:asciiTheme="minorHAnsi" w:hAnsiTheme="minorHAnsi" w:cstheme="minorBidi"/>
                <w:sz w:val="20"/>
                <w:szCs w:val="20"/>
              </w:rPr>
              <w:t xml:space="preserve"> </w:t>
            </w:r>
            <w:r w:rsidRPr="1B2B178D">
              <w:rPr>
                <w:rFonts w:asciiTheme="minorHAnsi" w:hAnsiTheme="minorHAnsi" w:cstheme="minorBidi"/>
                <w:sz w:val="20"/>
                <w:szCs w:val="20"/>
              </w:rPr>
              <w:t>ecosystem where Swinburne staff, students</w:t>
            </w:r>
            <w:r w:rsidR="33A28217" w:rsidRPr="1B2B178D">
              <w:rPr>
                <w:rFonts w:asciiTheme="minorHAnsi" w:hAnsiTheme="minorHAnsi" w:cstheme="minorBidi"/>
                <w:sz w:val="20"/>
                <w:szCs w:val="20"/>
              </w:rPr>
              <w:t>,</w:t>
            </w:r>
            <w:r w:rsidRPr="1B2B178D">
              <w:rPr>
                <w:rFonts w:asciiTheme="minorHAnsi" w:hAnsiTheme="minorHAnsi" w:cstheme="minorBidi"/>
                <w:sz w:val="20"/>
                <w:szCs w:val="20"/>
              </w:rPr>
              <w:t xml:space="preserve"> alumni</w:t>
            </w:r>
            <w:r w:rsidR="43028861" w:rsidRPr="1B2B178D">
              <w:rPr>
                <w:rFonts w:asciiTheme="minorHAnsi" w:hAnsiTheme="minorHAnsi" w:cstheme="minorBidi"/>
                <w:sz w:val="20"/>
                <w:szCs w:val="20"/>
              </w:rPr>
              <w:t xml:space="preserve"> and entrepreneurs are provided with the expertise, support, services and investment that they need to build the next generation of future industries</w:t>
            </w:r>
            <w:r w:rsidR="30754AB1" w:rsidRPr="1B2B178D">
              <w:rPr>
                <w:rFonts w:asciiTheme="minorHAnsi" w:hAnsiTheme="minorHAnsi" w:cstheme="minorBidi"/>
                <w:sz w:val="20"/>
                <w:szCs w:val="20"/>
              </w:rPr>
              <w:t>.</w:t>
            </w:r>
            <w:bookmarkEnd w:id="5"/>
            <w:r w:rsidRPr="1B2B178D">
              <w:rPr>
                <w:rFonts w:asciiTheme="minorHAnsi" w:hAnsiTheme="minorHAnsi" w:cstheme="minorBidi"/>
                <w:sz w:val="20"/>
                <w:szCs w:val="20"/>
              </w:rPr>
              <w:t xml:space="preserve"> These include our suite of accelerator programs</w:t>
            </w:r>
            <w:r w:rsidR="454F1462" w:rsidRPr="1B2B178D">
              <w:rPr>
                <w:rFonts w:asciiTheme="minorHAnsi" w:hAnsiTheme="minorHAnsi" w:cstheme="minorBidi"/>
                <w:sz w:val="20"/>
                <w:szCs w:val="20"/>
              </w:rPr>
              <w:t xml:space="preserve"> (Initiate, Luminate and Elevate)</w:t>
            </w:r>
            <w:r w:rsidR="30754AB1" w:rsidRPr="1B2B178D">
              <w:rPr>
                <w:rFonts w:asciiTheme="minorHAnsi" w:hAnsiTheme="minorHAnsi" w:cstheme="minorBidi"/>
                <w:sz w:val="20"/>
                <w:szCs w:val="20"/>
              </w:rPr>
              <w:t>,</w:t>
            </w:r>
            <w:r w:rsidRPr="1B2B178D">
              <w:rPr>
                <w:rFonts w:asciiTheme="minorHAnsi" w:hAnsiTheme="minorHAnsi" w:cstheme="minorBidi"/>
                <w:sz w:val="20"/>
                <w:szCs w:val="20"/>
              </w:rPr>
              <w:t xml:space="preserve"> our industry engagement programs, intellectual property and commercialisation facilitators, the Swinburne start-up incubation hub</w:t>
            </w:r>
            <w:r w:rsidR="41EE700B" w:rsidRPr="1B2B178D">
              <w:rPr>
                <w:rFonts w:asciiTheme="minorHAnsi" w:hAnsiTheme="minorHAnsi" w:cstheme="minorBidi"/>
                <w:sz w:val="20"/>
                <w:szCs w:val="20"/>
              </w:rPr>
              <w:t>,</w:t>
            </w:r>
            <w:r w:rsidR="65D0B044" w:rsidRPr="1B2B178D">
              <w:rPr>
                <w:rFonts w:asciiTheme="minorHAnsi" w:hAnsiTheme="minorHAnsi" w:cstheme="minorBidi"/>
                <w:sz w:val="20"/>
                <w:szCs w:val="20"/>
              </w:rPr>
              <w:t xml:space="preserve"> and Swinburne Ventures Limited, our flagship world-class in-house venture investment fund that </w:t>
            </w:r>
            <w:r w:rsidR="3C5F5CB8" w:rsidRPr="1B2B178D">
              <w:rPr>
                <w:rFonts w:asciiTheme="minorHAnsi" w:hAnsiTheme="minorHAnsi" w:cstheme="minorBidi"/>
                <w:sz w:val="20"/>
                <w:szCs w:val="20"/>
              </w:rPr>
              <w:t>spans the full spectrum from pre-investment through to pre-seed, series A and beyond.</w:t>
            </w:r>
            <w:r w:rsidRPr="1B2B178D">
              <w:rPr>
                <w:rFonts w:asciiTheme="minorHAnsi" w:hAnsiTheme="minorHAnsi" w:cstheme="minorBidi"/>
                <w:sz w:val="20"/>
                <w:szCs w:val="20"/>
              </w:rPr>
              <w:t xml:space="preserve"> Our commitment to commercialisation is evident in the num</w:t>
            </w:r>
            <w:r w:rsidR="74990B99" w:rsidRPr="1B2B178D">
              <w:rPr>
                <w:rFonts w:asciiTheme="minorHAnsi" w:hAnsiTheme="minorHAnsi" w:cstheme="minorBidi"/>
                <w:sz w:val="20"/>
                <w:szCs w:val="20"/>
              </w:rPr>
              <w:t>ber and value of the</w:t>
            </w:r>
            <w:r w:rsidR="30754AB1" w:rsidRPr="1B2B178D">
              <w:rPr>
                <w:rFonts w:asciiTheme="minorHAnsi" w:hAnsiTheme="minorHAnsi" w:cstheme="minorBidi"/>
                <w:sz w:val="20"/>
                <w:szCs w:val="20"/>
              </w:rPr>
              <w:t xml:space="preserve"> start-up and spin-out companies </w:t>
            </w:r>
            <w:r w:rsidR="4FB8862C" w:rsidRPr="1B2B178D">
              <w:rPr>
                <w:rFonts w:asciiTheme="minorHAnsi" w:hAnsiTheme="minorHAnsi" w:cstheme="minorBidi"/>
                <w:sz w:val="20"/>
                <w:szCs w:val="20"/>
              </w:rPr>
              <w:t>created</w:t>
            </w:r>
            <w:r w:rsidR="30754AB1" w:rsidRPr="1B2B178D">
              <w:rPr>
                <w:rFonts w:asciiTheme="minorHAnsi" w:hAnsiTheme="minorHAnsi" w:cstheme="minorBidi"/>
                <w:sz w:val="20"/>
                <w:szCs w:val="20"/>
              </w:rPr>
              <w:t xml:space="preserve"> at Swinburne, </w:t>
            </w:r>
            <w:r w:rsidR="1653568A" w:rsidRPr="1B2B178D">
              <w:rPr>
                <w:rFonts w:asciiTheme="minorHAnsi" w:hAnsiTheme="minorHAnsi" w:cstheme="minorBidi"/>
                <w:sz w:val="20"/>
                <w:szCs w:val="20"/>
              </w:rPr>
              <w:t xml:space="preserve">the intellectual property we develop and deploy, </w:t>
            </w:r>
            <w:r w:rsidR="30754AB1" w:rsidRPr="1B2B178D">
              <w:rPr>
                <w:rFonts w:asciiTheme="minorHAnsi" w:hAnsiTheme="minorHAnsi" w:cstheme="minorBidi"/>
                <w:sz w:val="20"/>
                <w:szCs w:val="20"/>
              </w:rPr>
              <w:t xml:space="preserve">and the </w:t>
            </w:r>
            <w:r w:rsidR="21FA90BB" w:rsidRPr="1B2B178D">
              <w:rPr>
                <w:rFonts w:asciiTheme="minorHAnsi" w:hAnsiTheme="minorHAnsi" w:cstheme="minorBidi"/>
                <w:sz w:val="20"/>
                <w:szCs w:val="20"/>
              </w:rPr>
              <w:t xml:space="preserve">work we do with our startups and industry partners to help them </w:t>
            </w:r>
            <w:r w:rsidR="30754AB1" w:rsidRPr="1B2B178D">
              <w:rPr>
                <w:rFonts w:asciiTheme="minorHAnsi" w:hAnsiTheme="minorHAnsi" w:cstheme="minorBidi"/>
                <w:sz w:val="20"/>
                <w:szCs w:val="20"/>
              </w:rPr>
              <w:t>create</w:t>
            </w:r>
            <w:r w:rsidR="48D59D5F" w:rsidRPr="1B2B178D">
              <w:rPr>
                <w:rFonts w:asciiTheme="minorHAnsi" w:hAnsiTheme="minorHAnsi" w:cstheme="minorBidi"/>
                <w:sz w:val="20"/>
                <w:szCs w:val="20"/>
              </w:rPr>
              <w:t xml:space="preserve"> value</w:t>
            </w:r>
            <w:r w:rsidR="30754AB1" w:rsidRPr="1B2B178D">
              <w:rPr>
                <w:rFonts w:asciiTheme="minorHAnsi" w:hAnsiTheme="minorHAnsi" w:cstheme="minorBidi"/>
                <w:sz w:val="20"/>
                <w:szCs w:val="20"/>
              </w:rPr>
              <w:t xml:space="preserve"> for the economy.</w:t>
            </w:r>
            <w:r w:rsidR="7ACFBC12" w:rsidRPr="1B2B178D">
              <w:rPr>
                <w:rFonts w:asciiTheme="minorHAnsi" w:hAnsiTheme="minorHAnsi" w:cstheme="minorBidi"/>
                <w:sz w:val="20"/>
                <w:szCs w:val="20"/>
              </w:rPr>
              <w:t xml:space="preserve"> We will continue to scale these </w:t>
            </w:r>
            <w:r w:rsidR="00CA1158" w:rsidRPr="1B2B178D">
              <w:rPr>
                <w:rFonts w:asciiTheme="minorHAnsi" w:hAnsiTheme="minorHAnsi" w:cstheme="minorBidi"/>
                <w:sz w:val="20"/>
                <w:szCs w:val="20"/>
              </w:rPr>
              <w:t>programs and</w:t>
            </w:r>
            <w:r w:rsidR="7ACFBC12" w:rsidRPr="1B2B178D">
              <w:rPr>
                <w:rFonts w:asciiTheme="minorHAnsi" w:hAnsiTheme="minorHAnsi" w:cstheme="minorBidi"/>
                <w:sz w:val="20"/>
                <w:szCs w:val="20"/>
              </w:rPr>
              <w:t xml:space="preserve"> launch entirely new prototypes of how a university can engage deeply with applied research and commercialisation.</w:t>
            </w:r>
          </w:p>
          <w:p w14:paraId="19B0C3E5" w14:textId="77777777" w:rsidR="007926D2" w:rsidRPr="00687C1A" w:rsidRDefault="007926D2" w:rsidP="007926D2">
            <w:pPr>
              <w:pStyle w:val="NormalIndent"/>
              <w:spacing w:before="0" w:after="0"/>
              <w:ind w:left="0"/>
              <w:rPr>
                <w:rFonts w:asciiTheme="minorHAnsi" w:hAnsiTheme="minorHAnsi" w:cstheme="minorHAnsi"/>
                <w:sz w:val="20"/>
                <w:szCs w:val="20"/>
              </w:rPr>
            </w:pPr>
          </w:p>
          <w:p w14:paraId="52AB0734" w14:textId="3072C573" w:rsidR="002C7947" w:rsidRDefault="007926D2" w:rsidP="00E027D2">
            <w:pPr>
              <w:pStyle w:val="NormalIndent"/>
              <w:spacing w:before="0" w:after="0"/>
              <w:ind w:left="0"/>
              <w:rPr>
                <w:rFonts w:asciiTheme="minorHAnsi" w:hAnsiTheme="minorHAnsi" w:cstheme="minorHAnsi"/>
                <w:i/>
                <w:color w:val="FF0000"/>
                <w:szCs w:val="22"/>
              </w:rPr>
            </w:pPr>
            <w:r w:rsidRPr="1B2B178D">
              <w:rPr>
                <w:rFonts w:asciiTheme="minorHAnsi" w:hAnsiTheme="minorHAnsi" w:cstheme="minorBidi"/>
                <w:sz w:val="20"/>
                <w:szCs w:val="20"/>
              </w:rPr>
              <w:t xml:space="preserve">Our Design Factory enables us to engage with </w:t>
            </w:r>
            <w:hyperlink r:id="rId33">
              <w:r w:rsidR="30754AB1" w:rsidRPr="1B2B178D">
                <w:rPr>
                  <w:rStyle w:val="Hyperlink"/>
                  <w:rFonts w:asciiTheme="minorHAnsi" w:hAnsiTheme="minorHAnsi" w:cstheme="minorBidi"/>
                  <w:sz w:val="20"/>
                  <w:szCs w:val="20"/>
                </w:rPr>
                <w:t>businesses looking to grow their innovation capability</w:t>
              </w:r>
            </w:hyperlink>
            <w:r w:rsidRPr="1B2B178D">
              <w:rPr>
                <w:rFonts w:asciiTheme="minorHAnsi" w:hAnsiTheme="minorHAnsi" w:cstheme="minorBidi"/>
                <w:sz w:val="20"/>
                <w:szCs w:val="20"/>
              </w:rPr>
              <w:t xml:space="preserve">, as well as providing our students with the opportunity to </w:t>
            </w:r>
            <w:hyperlink r:id="rId34">
              <w:r w:rsidR="30754AB1" w:rsidRPr="1B2B178D">
                <w:rPr>
                  <w:rStyle w:val="Hyperlink"/>
                  <w:rFonts w:asciiTheme="minorHAnsi" w:hAnsiTheme="minorHAnsi" w:cstheme="minorBidi"/>
                  <w:sz w:val="20"/>
                  <w:szCs w:val="20"/>
                </w:rPr>
                <w:t>study innovation</w:t>
              </w:r>
            </w:hyperlink>
            <w:r w:rsidRPr="1B2B178D">
              <w:rPr>
                <w:rFonts w:asciiTheme="minorHAnsi" w:hAnsiTheme="minorHAnsi" w:cstheme="minorBidi"/>
                <w:sz w:val="20"/>
                <w:szCs w:val="20"/>
              </w:rPr>
              <w:t>, and gain experience working directly with industry partners and real-world problems.</w:t>
            </w:r>
          </w:p>
          <w:p w14:paraId="14CA9598" w14:textId="77777777" w:rsidR="002C7947" w:rsidRDefault="002C7947" w:rsidP="00E027D2">
            <w:pPr>
              <w:pStyle w:val="NormalIndent"/>
              <w:spacing w:before="0" w:after="0"/>
              <w:ind w:left="0"/>
              <w:rPr>
                <w:rFonts w:asciiTheme="minorHAnsi" w:hAnsiTheme="minorHAnsi" w:cstheme="minorHAnsi"/>
                <w:i/>
                <w:color w:val="FF0000"/>
                <w:szCs w:val="22"/>
              </w:rPr>
            </w:pPr>
          </w:p>
          <w:p w14:paraId="13E73F7B" w14:textId="77777777" w:rsidR="002C7947" w:rsidRPr="001E58F5" w:rsidRDefault="002C7947" w:rsidP="002C7947">
            <w:pPr>
              <w:pStyle w:val="NormalIndent"/>
              <w:spacing w:before="0" w:after="0"/>
              <w:ind w:left="0"/>
              <w:rPr>
                <w:rFonts w:asciiTheme="minorHAnsi" w:hAnsiTheme="minorHAnsi" w:cstheme="minorHAnsi"/>
                <w:iCs/>
                <w:sz w:val="20"/>
                <w:szCs w:val="20"/>
              </w:rPr>
            </w:pPr>
            <w:r w:rsidRPr="00B35866">
              <w:rPr>
                <w:rFonts w:asciiTheme="minorHAnsi" w:hAnsiTheme="minorHAnsi" w:cstheme="minorHAnsi"/>
                <w:iCs/>
                <w:sz w:val="20"/>
                <w:szCs w:val="20"/>
              </w:rPr>
              <w:t xml:space="preserve">We will also </w:t>
            </w:r>
            <w:bookmarkStart w:id="6" w:name="_Hlk210912125"/>
            <w:r w:rsidRPr="00B35866">
              <w:rPr>
                <w:rFonts w:asciiTheme="minorHAnsi" w:hAnsiTheme="minorHAnsi" w:cstheme="minorHAnsi"/>
                <w:iCs/>
                <w:sz w:val="20"/>
                <w:szCs w:val="20"/>
              </w:rPr>
              <w:t>adopt a global partnership approach to co-fund large research and innovation projects. Working with partners and governments across the world, we will pioneer resilient collaboration models that support global and local solutions.</w:t>
            </w:r>
          </w:p>
          <w:bookmarkEnd w:id="6"/>
          <w:p w14:paraId="40DA31C2" w14:textId="448D807A" w:rsidR="002C7947" w:rsidRPr="00B811BC" w:rsidRDefault="002C7947" w:rsidP="00E027D2">
            <w:pPr>
              <w:pStyle w:val="NormalIndent"/>
              <w:spacing w:before="0" w:after="0"/>
              <w:ind w:left="0"/>
              <w:rPr>
                <w:rFonts w:asciiTheme="minorHAnsi" w:hAnsiTheme="minorHAnsi" w:cstheme="minorHAnsi"/>
                <w:b/>
                <w:bCs/>
                <w:i/>
                <w:color w:val="FF0000"/>
                <w:szCs w:val="22"/>
              </w:rPr>
            </w:pPr>
          </w:p>
        </w:tc>
      </w:tr>
      <w:tr w:rsidR="001B109C" w:rsidRPr="00E41388" w14:paraId="23C06863" w14:textId="77777777" w:rsidTr="6DCF43EC">
        <w:trPr>
          <w:cantSplit/>
        </w:trPr>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6DCF43EC">
        <w:trPr>
          <w:cantSplit/>
          <w:trHeight w:val="1033"/>
        </w:trPr>
        <w:tc>
          <w:tcPr>
            <w:tcW w:w="5000" w:type="pct"/>
          </w:tcPr>
          <w:p w14:paraId="531FCD1B" w14:textId="76633A08" w:rsidR="007926D2" w:rsidRPr="00A0475B" w:rsidRDefault="00CC2CEA" w:rsidP="0005695A">
            <w:pPr>
              <w:pStyle w:val="NormalIndent"/>
              <w:spacing w:before="0" w:after="0"/>
              <w:ind w:left="0"/>
              <w:rPr>
                <w:rFonts w:asciiTheme="minorHAnsi" w:hAnsiTheme="minorHAnsi" w:cstheme="minorHAnsi"/>
                <w:i/>
                <w:color w:val="FF0000"/>
                <w:szCs w:val="22"/>
              </w:rPr>
            </w:pPr>
            <w:r w:rsidRPr="00CC2CEA">
              <w:rPr>
                <w:rFonts w:asciiTheme="minorHAnsi" w:hAnsiTheme="minorHAnsi" w:cstheme="minorHAnsi"/>
                <w:iCs/>
                <w:sz w:val="20"/>
                <w:szCs w:val="20"/>
              </w:rPr>
              <w:t xml:space="preserve">As an industry-responsive university, Swinburne </w:t>
            </w:r>
            <w:r w:rsidR="0005695A">
              <w:rPr>
                <w:rFonts w:asciiTheme="minorHAnsi" w:hAnsiTheme="minorHAnsi" w:cstheme="minorHAnsi"/>
                <w:iCs/>
                <w:sz w:val="20"/>
                <w:szCs w:val="20"/>
              </w:rPr>
              <w:t xml:space="preserve">already provides every undergraduate student with a work integrated learning experience. Under Ad Astra_2030, we will </w:t>
            </w:r>
            <w:r w:rsidR="00DB6187" w:rsidRPr="00DB6187">
              <w:rPr>
                <w:rFonts w:asciiTheme="minorHAnsi" w:hAnsiTheme="minorHAnsi" w:cstheme="minorHAnsi"/>
                <w:iCs/>
                <w:sz w:val="20"/>
                <w:szCs w:val="20"/>
              </w:rPr>
              <w:t>go beyond work integrated learning to initiate the next evolution of learner-powered industry innovation</w:t>
            </w:r>
            <w:r w:rsidR="005F39A8">
              <w:rPr>
                <w:rFonts w:asciiTheme="minorHAnsi" w:hAnsiTheme="minorHAnsi" w:cstheme="minorHAnsi"/>
                <w:iCs/>
                <w:sz w:val="20"/>
                <w:szCs w:val="20"/>
              </w:rPr>
              <w:t>, where e</w:t>
            </w:r>
            <w:r w:rsidR="00DB6187" w:rsidRPr="00DB6187">
              <w:rPr>
                <w:rFonts w:asciiTheme="minorHAnsi" w:hAnsiTheme="minorHAnsi" w:cstheme="minorHAnsi"/>
                <w:iCs/>
                <w:sz w:val="20"/>
                <w:szCs w:val="20"/>
              </w:rPr>
              <w:t>very Swinburne learner’s journey will include an interdisciplinary project, co-cr</w:t>
            </w:r>
            <w:r w:rsidR="00DB6187" w:rsidRPr="00943331">
              <w:rPr>
                <w:rFonts w:asciiTheme="minorHAnsi" w:hAnsiTheme="minorHAnsi" w:cstheme="minorHAnsi"/>
                <w:iCs/>
                <w:sz w:val="20"/>
                <w:szCs w:val="20"/>
              </w:rPr>
              <w:t>eated and supported by industry.</w:t>
            </w:r>
            <w:r w:rsidR="009340E4" w:rsidRPr="00943331">
              <w:rPr>
                <w:rFonts w:asciiTheme="minorHAnsi" w:hAnsiTheme="minorHAnsi" w:cstheme="minorHAnsi"/>
                <w:iCs/>
                <w:sz w:val="20"/>
                <w:szCs w:val="20"/>
              </w:rPr>
              <w:t xml:space="preserve"> Our pilot, launching in 2026 will see l</w:t>
            </w:r>
            <w:r w:rsidR="00DB6187" w:rsidRPr="00943331">
              <w:rPr>
                <w:rFonts w:asciiTheme="minorHAnsi" w:hAnsiTheme="minorHAnsi" w:cstheme="minorHAnsi"/>
                <w:iCs/>
                <w:sz w:val="20"/>
                <w:szCs w:val="20"/>
              </w:rPr>
              <w:t xml:space="preserve">earners take on a real-world challenge, engage with diverse teams and pitch their industry solutions </w:t>
            </w:r>
            <w:r w:rsidR="004313C7" w:rsidRPr="00943331">
              <w:rPr>
                <w:rFonts w:asciiTheme="minorHAnsi" w:hAnsiTheme="minorHAnsi" w:cstheme="minorHAnsi"/>
                <w:iCs/>
                <w:sz w:val="20"/>
                <w:szCs w:val="20"/>
              </w:rPr>
              <w:t>to a panel of industry experts</w:t>
            </w:r>
            <w:r w:rsidR="00D74D11" w:rsidRPr="00943331">
              <w:rPr>
                <w:rFonts w:asciiTheme="minorHAnsi" w:hAnsiTheme="minorHAnsi" w:cstheme="minorHAnsi"/>
                <w:iCs/>
                <w:sz w:val="20"/>
                <w:szCs w:val="20"/>
              </w:rPr>
              <w:t>.</w:t>
            </w:r>
          </w:p>
          <w:p w14:paraId="1A753F30" w14:textId="77777777" w:rsidR="002C7947" w:rsidRDefault="002C7947" w:rsidP="007926D2">
            <w:pPr>
              <w:pStyle w:val="NormalIndent"/>
              <w:spacing w:before="0" w:after="0"/>
              <w:ind w:left="0"/>
              <w:rPr>
                <w:rFonts w:asciiTheme="minorHAnsi" w:hAnsiTheme="minorHAnsi" w:cstheme="minorHAnsi"/>
                <w:iCs/>
                <w:sz w:val="20"/>
                <w:szCs w:val="20"/>
              </w:rPr>
            </w:pPr>
          </w:p>
          <w:p w14:paraId="2ED632F5" w14:textId="04E12EB2" w:rsidR="006423AF" w:rsidRDefault="002C7947" w:rsidP="007926D2">
            <w:pPr>
              <w:pStyle w:val="NormalIndent"/>
              <w:spacing w:before="0" w:after="0"/>
              <w:ind w:left="0"/>
              <w:rPr>
                <w:rFonts w:asciiTheme="minorHAnsi" w:hAnsiTheme="minorHAnsi" w:cstheme="minorBidi"/>
                <w:sz w:val="20"/>
                <w:szCs w:val="20"/>
              </w:rPr>
            </w:pPr>
            <w:r w:rsidRPr="1B2B178D">
              <w:rPr>
                <w:rFonts w:asciiTheme="minorHAnsi" w:hAnsiTheme="minorHAnsi" w:cstheme="minorBidi"/>
                <w:sz w:val="20"/>
                <w:szCs w:val="20"/>
              </w:rPr>
              <w:t xml:space="preserve">We will champion the talent, technology and business models to create sustainable business ventures at scale. </w:t>
            </w:r>
            <w:r w:rsidR="001A6B59" w:rsidRPr="1B2B178D">
              <w:rPr>
                <w:rFonts w:asciiTheme="minorHAnsi" w:hAnsiTheme="minorHAnsi" w:cstheme="minorBidi"/>
                <w:sz w:val="20"/>
                <w:szCs w:val="20"/>
              </w:rPr>
              <w:t>Through our engagement with industry, o</w:t>
            </w:r>
            <w:r w:rsidRPr="1B2B178D">
              <w:rPr>
                <w:rFonts w:asciiTheme="minorHAnsi" w:hAnsiTheme="minorHAnsi" w:cstheme="minorBidi"/>
                <w:sz w:val="20"/>
                <w:szCs w:val="20"/>
              </w:rPr>
              <w:t>ur learners will qualify at all levels with an entrepreneurial mindset and practical experience in testing, establishing, managing and scaling small businesses.</w:t>
            </w:r>
            <w:r w:rsidR="00F8461C" w:rsidRPr="1B2B178D">
              <w:rPr>
                <w:rFonts w:asciiTheme="minorHAnsi" w:hAnsiTheme="minorHAnsi" w:cstheme="minorBidi"/>
                <w:sz w:val="20"/>
                <w:szCs w:val="20"/>
              </w:rPr>
              <w:t xml:space="preserve"> </w:t>
            </w:r>
            <w:hyperlink r:id="rId35" w:history="1"/>
            <w:hyperlink r:id="rId36" w:history="1"/>
            <w:hyperlink r:id="rId37" w:history="1"/>
            <w:r w:rsidR="00F8461C" w:rsidRPr="1B2B178D">
              <w:rPr>
                <w:rFonts w:asciiTheme="minorHAnsi" w:hAnsiTheme="minorHAnsi" w:cstheme="minorBidi"/>
                <w:sz w:val="20"/>
                <w:szCs w:val="20"/>
              </w:rPr>
              <w:t>We will further open our innovation ecosystem to emerging ventures globally and expand our commercial innovation engine to empower the creation of all types of businesses</w:t>
            </w:r>
            <w:r w:rsidR="3246EBED" w:rsidRPr="1B2B178D">
              <w:rPr>
                <w:rFonts w:asciiTheme="minorHAnsi" w:hAnsiTheme="minorHAnsi" w:cstheme="minorBidi"/>
                <w:sz w:val="20"/>
                <w:szCs w:val="20"/>
              </w:rPr>
              <w:t>, not just ventures</w:t>
            </w:r>
            <w:r w:rsidR="0883E656" w:rsidRPr="1B2B178D">
              <w:rPr>
                <w:rFonts w:asciiTheme="minorHAnsi" w:hAnsiTheme="minorHAnsi" w:cstheme="minorBidi"/>
                <w:sz w:val="20"/>
                <w:szCs w:val="20"/>
              </w:rPr>
              <w:t>.</w:t>
            </w:r>
          </w:p>
          <w:p w14:paraId="25EE0190" w14:textId="77777777" w:rsidR="00755205" w:rsidRDefault="00755205" w:rsidP="007926D2">
            <w:pPr>
              <w:pStyle w:val="NormalIndent"/>
              <w:spacing w:before="0" w:after="0"/>
              <w:ind w:left="0"/>
              <w:rPr>
                <w:rFonts w:asciiTheme="minorHAnsi" w:hAnsiTheme="minorHAnsi" w:cstheme="minorHAnsi"/>
                <w:iCs/>
                <w:sz w:val="20"/>
                <w:szCs w:val="20"/>
              </w:rPr>
            </w:pPr>
          </w:p>
          <w:p w14:paraId="658A93DD" w14:textId="4DC9244D" w:rsidR="00755205" w:rsidRDefault="00341C8A" w:rsidP="007926D2">
            <w:pPr>
              <w:pStyle w:val="NormalIndent"/>
              <w:spacing w:before="0" w:after="0"/>
              <w:ind w:left="0"/>
              <w:rPr>
                <w:rFonts w:asciiTheme="minorHAnsi" w:hAnsiTheme="minorHAnsi" w:cstheme="minorBidi"/>
                <w:sz w:val="20"/>
                <w:szCs w:val="20"/>
              </w:rPr>
            </w:pPr>
            <w:r w:rsidRPr="1B2B178D">
              <w:rPr>
                <w:rFonts w:asciiTheme="minorHAnsi" w:hAnsiTheme="minorHAnsi" w:cstheme="minorBidi"/>
                <w:sz w:val="20"/>
                <w:szCs w:val="20"/>
              </w:rPr>
              <w:t xml:space="preserve">We will establish an international pipeline for entrepreneurship </w:t>
            </w:r>
            <w:r w:rsidR="73E2AC24" w:rsidRPr="1B2B178D">
              <w:rPr>
                <w:rFonts w:asciiTheme="minorHAnsi" w:hAnsiTheme="minorHAnsi" w:cstheme="minorBidi"/>
                <w:sz w:val="20"/>
                <w:szCs w:val="20"/>
              </w:rPr>
              <w:t xml:space="preserve">skill development </w:t>
            </w:r>
            <w:r w:rsidRPr="1B2B178D">
              <w:rPr>
                <w:rFonts w:asciiTheme="minorHAnsi" w:hAnsiTheme="minorHAnsi" w:cstheme="minorBidi"/>
                <w:sz w:val="20"/>
                <w:szCs w:val="20"/>
              </w:rPr>
              <w:t>and exchange programs with established innovation hubs that can strengthen Australian industries and enhance the quality of life for all Australians. This two-way approach to in</w:t>
            </w:r>
            <w:r w:rsidR="00A302AE" w:rsidRPr="1B2B178D">
              <w:rPr>
                <w:rFonts w:asciiTheme="minorHAnsi" w:hAnsiTheme="minorHAnsi" w:cstheme="minorBidi"/>
                <w:sz w:val="20"/>
                <w:szCs w:val="20"/>
              </w:rPr>
              <w:t xml:space="preserve">dustry engagement </w:t>
            </w:r>
            <w:r w:rsidRPr="1B2B178D">
              <w:rPr>
                <w:rFonts w:asciiTheme="minorHAnsi" w:hAnsiTheme="minorHAnsi" w:cstheme="minorBidi"/>
                <w:sz w:val="20"/>
                <w:szCs w:val="20"/>
              </w:rPr>
              <w:t>will foster the exchange of knowledge, enhance Australia’s economic prospects, improve productivity and support sustainable progress around the world</w:t>
            </w:r>
            <w:r w:rsidR="00E16350" w:rsidRPr="1B2B178D">
              <w:rPr>
                <w:rFonts w:asciiTheme="minorHAnsi" w:hAnsiTheme="minorHAnsi" w:cstheme="minorBidi"/>
                <w:sz w:val="20"/>
                <w:szCs w:val="20"/>
              </w:rPr>
              <w:t xml:space="preserve"> - b</w:t>
            </w:r>
            <w:r w:rsidR="00755205" w:rsidRPr="1B2B178D">
              <w:rPr>
                <w:rFonts w:asciiTheme="minorHAnsi" w:hAnsiTheme="minorHAnsi" w:cstheme="minorBidi"/>
                <w:sz w:val="20"/>
                <w:szCs w:val="20"/>
              </w:rPr>
              <w:t>y connecting learners, staff, research, technology and innovation across locations worldwide, Swinburne aims to become a hub for a collaborative ecosystem of global innovation</w:t>
            </w:r>
            <w:r w:rsidR="004940FB" w:rsidRPr="1B2B178D">
              <w:rPr>
                <w:rFonts w:asciiTheme="minorHAnsi" w:hAnsiTheme="minorHAnsi" w:cstheme="minorBidi"/>
                <w:sz w:val="20"/>
                <w:szCs w:val="20"/>
              </w:rPr>
              <w:t xml:space="preserve"> and industry engagement</w:t>
            </w:r>
            <w:r w:rsidR="005E6203" w:rsidRPr="1B2B178D">
              <w:rPr>
                <w:rFonts w:asciiTheme="minorHAnsi" w:hAnsiTheme="minorHAnsi" w:cstheme="minorBidi"/>
                <w:sz w:val="20"/>
                <w:szCs w:val="20"/>
              </w:rPr>
              <w:t>.</w:t>
            </w:r>
          </w:p>
          <w:p w14:paraId="2435BDE1" w14:textId="77777777" w:rsidR="00F4359A" w:rsidRDefault="00F4359A" w:rsidP="007926D2">
            <w:pPr>
              <w:pStyle w:val="NormalIndent"/>
              <w:spacing w:before="0" w:after="0"/>
              <w:ind w:left="0"/>
              <w:rPr>
                <w:rFonts w:asciiTheme="minorHAnsi" w:hAnsiTheme="minorHAnsi" w:cstheme="minorBidi"/>
                <w:sz w:val="20"/>
                <w:szCs w:val="20"/>
              </w:rPr>
            </w:pPr>
          </w:p>
          <w:p w14:paraId="1EEE10E7" w14:textId="5D55C418" w:rsidR="00320E21" w:rsidRPr="00806B80" w:rsidRDefault="0C44706F" w:rsidP="002623D6">
            <w:pPr>
              <w:pStyle w:val="NormalIndent"/>
              <w:spacing w:before="0" w:after="0"/>
              <w:ind w:left="0"/>
              <w:rPr>
                <w:rFonts w:asciiTheme="minorHAnsi" w:hAnsiTheme="minorHAnsi" w:cstheme="minorBidi"/>
                <w:sz w:val="20"/>
                <w:szCs w:val="20"/>
              </w:rPr>
            </w:pPr>
            <w:r w:rsidRPr="1B2B178D">
              <w:rPr>
                <w:rFonts w:asciiTheme="minorHAnsi" w:hAnsiTheme="minorHAnsi" w:cstheme="minorBidi"/>
                <w:sz w:val="20"/>
                <w:szCs w:val="20"/>
              </w:rPr>
              <w:t xml:space="preserve">In our academic workload </w:t>
            </w:r>
            <w:proofErr w:type="gramStart"/>
            <w:r w:rsidRPr="1B2B178D">
              <w:rPr>
                <w:rFonts w:asciiTheme="minorHAnsi" w:hAnsiTheme="minorHAnsi" w:cstheme="minorBidi"/>
                <w:sz w:val="20"/>
                <w:szCs w:val="20"/>
              </w:rPr>
              <w:t>model</w:t>
            </w:r>
            <w:proofErr w:type="gramEnd"/>
            <w:r w:rsidRPr="1B2B178D">
              <w:rPr>
                <w:rFonts w:asciiTheme="minorHAnsi" w:hAnsiTheme="minorHAnsi" w:cstheme="minorBidi"/>
                <w:sz w:val="20"/>
                <w:szCs w:val="20"/>
              </w:rPr>
              <w:t xml:space="preserve"> we will allocate specific time to every academic to spend on innovation and engagement activities. Our academic promotions process will recognise innovation and engagement</w:t>
            </w:r>
            <w:r w:rsidR="7F9799D0" w:rsidRPr="1B2B178D">
              <w:rPr>
                <w:rFonts w:asciiTheme="minorHAnsi" w:hAnsiTheme="minorHAnsi" w:cstheme="minorBidi"/>
                <w:sz w:val="20"/>
                <w:szCs w:val="20"/>
              </w:rPr>
              <w:t xml:space="preserve"> as a separate category, allowing improved pathways for highly industry engaged academics to grow their careers. </w:t>
            </w:r>
            <w:r w:rsidR="3C2FFE4D" w:rsidRPr="1B2B178D">
              <w:rPr>
                <w:rFonts w:asciiTheme="minorHAnsi" w:hAnsiTheme="minorHAnsi" w:cstheme="minorBidi"/>
                <w:sz w:val="20"/>
                <w:szCs w:val="20"/>
              </w:rPr>
              <w:t xml:space="preserve">We will reshape our industry engagement support function to directly support our Schools with embedded resources, and we will reshape our </w:t>
            </w:r>
            <w:proofErr w:type="gramStart"/>
            <w:r w:rsidR="3C2FFE4D" w:rsidRPr="1B2B178D">
              <w:rPr>
                <w:rFonts w:asciiTheme="minorHAnsi" w:hAnsiTheme="minorHAnsi" w:cstheme="minorBidi"/>
                <w:sz w:val="20"/>
                <w:szCs w:val="20"/>
              </w:rPr>
              <w:t>School</w:t>
            </w:r>
            <w:proofErr w:type="gramEnd"/>
            <w:r w:rsidR="3C2FFE4D" w:rsidRPr="1B2B178D">
              <w:rPr>
                <w:rFonts w:asciiTheme="minorHAnsi" w:hAnsiTheme="minorHAnsi" w:cstheme="minorBidi"/>
                <w:sz w:val="20"/>
                <w:szCs w:val="20"/>
              </w:rPr>
              <w:t xml:space="preserve"> leadership structures and </w:t>
            </w:r>
            <w:r w:rsidR="6DF9B8E4" w:rsidRPr="1B2B178D">
              <w:rPr>
                <w:rFonts w:asciiTheme="minorHAnsi" w:hAnsiTheme="minorHAnsi" w:cstheme="minorBidi"/>
                <w:sz w:val="20"/>
                <w:szCs w:val="20"/>
              </w:rPr>
              <w:t xml:space="preserve">leadership </w:t>
            </w:r>
            <w:r w:rsidR="3C2FFE4D" w:rsidRPr="1B2B178D">
              <w:rPr>
                <w:rFonts w:asciiTheme="minorHAnsi" w:hAnsiTheme="minorHAnsi" w:cstheme="minorBidi"/>
                <w:sz w:val="20"/>
                <w:szCs w:val="20"/>
              </w:rPr>
              <w:t xml:space="preserve">capabilities to </w:t>
            </w:r>
            <w:r w:rsidR="32FDDA78" w:rsidRPr="1B2B178D">
              <w:rPr>
                <w:rFonts w:asciiTheme="minorHAnsi" w:hAnsiTheme="minorHAnsi" w:cstheme="minorBidi"/>
                <w:sz w:val="20"/>
                <w:szCs w:val="20"/>
              </w:rPr>
              <w:t xml:space="preserve">account for greater innovation and engagement. </w:t>
            </w:r>
            <w:r w:rsidRPr="1B2B178D">
              <w:rPr>
                <w:rFonts w:asciiTheme="minorHAnsi" w:hAnsiTheme="minorHAnsi" w:cstheme="minorBidi"/>
                <w:sz w:val="20"/>
                <w:szCs w:val="20"/>
              </w:rPr>
              <w:t xml:space="preserve"> </w:t>
            </w:r>
          </w:p>
          <w:p w14:paraId="6465FC91" w14:textId="77777777" w:rsidR="001B109C" w:rsidRPr="007E3E37" w:rsidRDefault="001B109C" w:rsidP="002623D6">
            <w:pPr>
              <w:pStyle w:val="NormalIndent"/>
              <w:spacing w:before="0" w:after="0"/>
              <w:ind w:left="0"/>
              <w:rPr>
                <w:rFonts w:asciiTheme="minorHAnsi" w:hAnsiTheme="minorHAnsi" w:cstheme="minorHAnsi"/>
                <w:i/>
                <w:color w:val="FF0000"/>
                <w:szCs w:val="22"/>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E027D2">
        <w:tc>
          <w:tcPr>
            <w:tcW w:w="4508" w:type="dxa"/>
          </w:tcPr>
          <w:p w14:paraId="68C798FC" w14:textId="77777777" w:rsidR="001B109C" w:rsidRPr="00E114B4" w:rsidRDefault="001B109C" w:rsidP="00E027D2">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E027D2">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E027D2">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E027D2">
            <w:pPr>
              <w:rPr>
                <w:rFonts w:cstheme="minorHAnsi"/>
                <w:sz w:val="24"/>
                <w:szCs w:val="24"/>
              </w:rPr>
            </w:pPr>
            <w:r w:rsidRPr="00E114B4">
              <w:rPr>
                <w:rFonts w:cstheme="minorHAnsi"/>
                <w:sz w:val="24"/>
                <w:szCs w:val="24"/>
              </w:rPr>
              <w:t>In the presence of:</w:t>
            </w:r>
          </w:p>
        </w:tc>
      </w:tr>
      <w:tr w:rsidR="001B109C" w:rsidRPr="00E169EE" w14:paraId="186905E2" w14:textId="77777777" w:rsidTr="00E027D2">
        <w:tc>
          <w:tcPr>
            <w:tcW w:w="4508" w:type="dxa"/>
          </w:tcPr>
          <w:p w14:paraId="32153A99" w14:textId="4AF4169D" w:rsidR="001B109C" w:rsidRPr="00E114B4" w:rsidRDefault="003D0285" w:rsidP="00E027D2">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E027D2">
            <w:pPr>
              <w:rPr>
                <w:rFonts w:cstheme="minorHAnsi"/>
              </w:rPr>
            </w:pPr>
            <w:r w:rsidRPr="00E114B4">
              <w:rPr>
                <w:rFonts w:cstheme="minorHAnsi"/>
              </w:rPr>
              <w:t>Full name (please print)</w:t>
            </w:r>
          </w:p>
        </w:tc>
        <w:tc>
          <w:tcPr>
            <w:tcW w:w="4508" w:type="dxa"/>
          </w:tcPr>
          <w:p w14:paraId="091A8D51" w14:textId="5D765356" w:rsidR="001B109C" w:rsidRPr="00E114B4" w:rsidRDefault="00AC0C63" w:rsidP="00E027D2">
            <w:pPr>
              <w:pBdr>
                <w:bottom w:val="single" w:sz="12" w:space="1" w:color="auto"/>
              </w:pBdr>
              <w:rPr>
                <w:rFonts w:cstheme="minorHAnsi"/>
                <w:b/>
                <w:bCs/>
              </w:rPr>
            </w:pPr>
            <w:r w:rsidRPr="001E1D51">
              <w:rPr>
                <w:b/>
                <w:bCs/>
              </w:rPr>
              <w:t>Rachel Searl</w:t>
            </w:r>
          </w:p>
          <w:p w14:paraId="5AAC2089" w14:textId="77777777" w:rsidR="001B109C" w:rsidRPr="00E114B4" w:rsidRDefault="001B109C" w:rsidP="00E027D2">
            <w:pPr>
              <w:rPr>
                <w:rFonts w:cstheme="minorHAnsi"/>
              </w:rPr>
            </w:pPr>
            <w:r w:rsidRPr="00E114B4">
              <w:rPr>
                <w:rFonts w:cstheme="minorHAnsi"/>
              </w:rPr>
              <w:t>Witness (please print)</w:t>
            </w:r>
          </w:p>
        </w:tc>
      </w:tr>
      <w:tr w:rsidR="001B109C" w:rsidRPr="00E169EE" w14:paraId="6D0DB948" w14:textId="77777777" w:rsidTr="00E027D2">
        <w:tc>
          <w:tcPr>
            <w:tcW w:w="4508" w:type="dxa"/>
          </w:tcPr>
          <w:p w14:paraId="101367FA" w14:textId="0DBB288C" w:rsidR="001B109C" w:rsidRPr="00E114B4" w:rsidRDefault="00822E31" w:rsidP="00E027D2">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E027D2">
            <w:pPr>
              <w:rPr>
                <w:rFonts w:cstheme="minorHAnsi"/>
              </w:rPr>
            </w:pPr>
            <w:r w:rsidRPr="00E114B4">
              <w:rPr>
                <w:rFonts w:cstheme="minorHAnsi"/>
              </w:rPr>
              <w:t>Position</w:t>
            </w:r>
          </w:p>
          <w:p w14:paraId="390DFF35" w14:textId="77777777" w:rsidR="001B109C" w:rsidRPr="00E114B4" w:rsidRDefault="001B109C" w:rsidP="00E027D2">
            <w:pPr>
              <w:rPr>
                <w:rFonts w:cstheme="minorHAnsi"/>
              </w:rPr>
            </w:pPr>
            <w:r w:rsidRPr="00E114B4">
              <w:rPr>
                <w:rFonts w:cstheme="minorHAnsi"/>
              </w:rPr>
              <w:t>of the Department of Education</w:t>
            </w:r>
          </w:p>
        </w:tc>
        <w:tc>
          <w:tcPr>
            <w:tcW w:w="4508" w:type="dxa"/>
          </w:tcPr>
          <w:p w14:paraId="69045716" w14:textId="1B699A63" w:rsidR="001B109C" w:rsidRPr="00E114B4" w:rsidRDefault="00A838DC" w:rsidP="00E027D2">
            <w:pPr>
              <w:pBdr>
                <w:bottom w:val="single" w:sz="12" w:space="1" w:color="auto"/>
              </w:pBdr>
              <w:rPr>
                <w:rFonts w:cstheme="minorHAnsi"/>
                <w:b/>
                <w:bCs/>
              </w:rPr>
            </w:pPr>
            <w:r w:rsidRPr="00E91A60">
              <w:rPr>
                <w:b/>
                <w:bCs/>
              </w:rPr>
              <w:t>Executive Officer</w:t>
            </w:r>
          </w:p>
          <w:p w14:paraId="668DE817" w14:textId="77777777" w:rsidR="001B109C" w:rsidRPr="00E114B4" w:rsidRDefault="001B109C" w:rsidP="00E027D2">
            <w:pPr>
              <w:rPr>
                <w:rFonts w:cstheme="minorHAnsi"/>
              </w:rPr>
            </w:pPr>
            <w:r w:rsidRPr="00E114B4">
              <w:rPr>
                <w:rFonts w:cstheme="minorHAnsi"/>
              </w:rPr>
              <w:t>Position or profession of witness (please print)</w:t>
            </w:r>
          </w:p>
        </w:tc>
      </w:tr>
      <w:tr w:rsidR="001B109C" w:rsidRPr="00E169EE" w14:paraId="38C68E43" w14:textId="77777777" w:rsidTr="00E027D2">
        <w:tc>
          <w:tcPr>
            <w:tcW w:w="4508" w:type="dxa"/>
          </w:tcPr>
          <w:p w14:paraId="4289F3D2" w14:textId="77777777" w:rsidR="001B109C" w:rsidRPr="00E114B4" w:rsidRDefault="001B109C" w:rsidP="00E027D2">
            <w:pPr>
              <w:pBdr>
                <w:bottom w:val="single" w:sz="12" w:space="1" w:color="auto"/>
              </w:pBdr>
              <w:rPr>
                <w:rFonts w:cstheme="minorHAnsi"/>
                <w:b/>
                <w:bCs/>
              </w:rPr>
            </w:pPr>
          </w:p>
          <w:p w14:paraId="415B9216" w14:textId="77777777" w:rsidR="001B109C" w:rsidRPr="00E114B4" w:rsidRDefault="001B109C" w:rsidP="00E027D2">
            <w:pPr>
              <w:rPr>
                <w:rFonts w:cstheme="minorHAnsi"/>
              </w:rPr>
            </w:pPr>
            <w:r w:rsidRPr="00E114B4">
              <w:rPr>
                <w:rFonts w:cstheme="minorHAnsi"/>
              </w:rPr>
              <w:t>Signature</w:t>
            </w:r>
          </w:p>
        </w:tc>
        <w:tc>
          <w:tcPr>
            <w:tcW w:w="4508" w:type="dxa"/>
          </w:tcPr>
          <w:p w14:paraId="710024D0" w14:textId="77777777" w:rsidR="001B109C" w:rsidRPr="00E114B4" w:rsidRDefault="001B109C" w:rsidP="00E027D2">
            <w:pPr>
              <w:pBdr>
                <w:bottom w:val="single" w:sz="12" w:space="1" w:color="auto"/>
              </w:pBdr>
              <w:rPr>
                <w:rFonts w:cstheme="minorHAnsi"/>
                <w:b/>
                <w:bCs/>
              </w:rPr>
            </w:pPr>
          </w:p>
          <w:p w14:paraId="2D914310" w14:textId="77777777" w:rsidR="001B109C" w:rsidRPr="00E114B4" w:rsidRDefault="001B109C" w:rsidP="00E027D2">
            <w:pPr>
              <w:rPr>
                <w:rFonts w:cstheme="minorHAnsi"/>
              </w:rPr>
            </w:pPr>
            <w:r w:rsidRPr="00E114B4">
              <w:rPr>
                <w:rFonts w:cstheme="minorHAnsi"/>
              </w:rPr>
              <w:t>Signature</w:t>
            </w:r>
          </w:p>
        </w:tc>
      </w:tr>
      <w:tr w:rsidR="001B109C" w:rsidRPr="00E169EE" w14:paraId="4B1444B6" w14:textId="77777777" w:rsidTr="00E027D2">
        <w:tc>
          <w:tcPr>
            <w:tcW w:w="4508" w:type="dxa"/>
          </w:tcPr>
          <w:p w14:paraId="344C64D3" w14:textId="407B4D36" w:rsidR="001B109C" w:rsidRPr="00585755" w:rsidRDefault="00585755" w:rsidP="00E027D2">
            <w:pPr>
              <w:pBdr>
                <w:bottom w:val="single" w:sz="12" w:space="1" w:color="auto"/>
              </w:pBdr>
              <w:rPr>
                <w:rFonts w:cstheme="minorHAnsi"/>
              </w:rPr>
            </w:pPr>
            <w:r>
              <w:rPr>
                <w:rFonts w:cstheme="minorHAnsi"/>
              </w:rPr>
              <w:t>01/12/2025</w:t>
            </w:r>
          </w:p>
          <w:p w14:paraId="71C4CD3D" w14:textId="77777777" w:rsidR="001B109C" w:rsidRPr="00E169EE" w:rsidRDefault="001B109C" w:rsidP="00E027D2">
            <w:pPr>
              <w:rPr>
                <w:rFonts w:cstheme="minorHAnsi"/>
              </w:rPr>
            </w:pPr>
            <w:r w:rsidRPr="00E169EE">
              <w:rPr>
                <w:rFonts w:cstheme="minorHAnsi"/>
              </w:rPr>
              <w:t>Date</w:t>
            </w:r>
          </w:p>
        </w:tc>
        <w:tc>
          <w:tcPr>
            <w:tcW w:w="4508" w:type="dxa"/>
          </w:tcPr>
          <w:p w14:paraId="26028E27" w14:textId="77777777" w:rsidR="001B109C" w:rsidRPr="00F60B66" w:rsidRDefault="001B109C" w:rsidP="00E027D2">
            <w:pPr>
              <w:rPr>
                <w:rFonts w:cstheme="minorHAnsi"/>
                <w:b/>
                <w:bCs/>
                <w:highlight w:val="yellow"/>
              </w:rPr>
            </w:pPr>
          </w:p>
        </w:tc>
      </w:tr>
      <w:tr w:rsidR="001B109C" w:rsidRPr="00E169EE" w14:paraId="45CC96F9" w14:textId="77777777" w:rsidTr="00E027D2">
        <w:tc>
          <w:tcPr>
            <w:tcW w:w="4508" w:type="dxa"/>
          </w:tcPr>
          <w:p w14:paraId="639CCC16" w14:textId="77777777" w:rsidR="001B109C" w:rsidRDefault="001B109C" w:rsidP="00E027D2">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3C2EB675" w:rsidR="001B109C" w:rsidRPr="00E169EE" w:rsidRDefault="004C78FF" w:rsidP="00E027D2">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Swinburne University of Technology</w:t>
            </w:r>
          </w:p>
          <w:p w14:paraId="065C6AB9" w14:textId="77777777" w:rsidR="001B109C" w:rsidRPr="00E169EE" w:rsidRDefault="001B109C" w:rsidP="00E027D2">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E027D2">
            <w:pPr>
              <w:rPr>
                <w:rFonts w:cstheme="minorHAnsi"/>
              </w:rPr>
            </w:pPr>
            <w:r w:rsidRPr="002F4604">
              <w:rPr>
                <w:rFonts w:cstheme="minorHAnsi"/>
                <w:sz w:val="24"/>
                <w:szCs w:val="24"/>
              </w:rPr>
              <w:t>In the presence of:</w:t>
            </w:r>
          </w:p>
        </w:tc>
      </w:tr>
      <w:tr w:rsidR="001B109C" w:rsidRPr="00E169EE" w14:paraId="5AAB6D63" w14:textId="77777777" w:rsidTr="00E027D2">
        <w:tc>
          <w:tcPr>
            <w:tcW w:w="4508" w:type="dxa"/>
          </w:tcPr>
          <w:p w14:paraId="54C8A9A5" w14:textId="28D4E3BA" w:rsidR="001B109C" w:rsidRPr="00E169EE" w:rsidRDefault="004C78FF" w:rsidP="00E027D2">
            <w:pPr>
              <w:pBdr>
                <w:bottom w:val="single" w:sz="12" w:space="1" w:color="auto"/>
              </w:pBdr>
              <w:rPr>
                <w:rFonts w:cstheme="minorHAnsi"/>
                <w:b/>
                <w:bCs/>
              </w:rPr>
            </w:pPr>
            <w:r>
              <w:rPr>
                <w:rFonts w:cstheme="minorHAnsi"/>
                <w:b/>
                <w:bCs/>
              </w:rPr>
              <w:t>Professor Pascale Quester</w:t>
            </w:r>
          </w:p>
          <w:p w14:paraId="3120FAF4" w14:textId="77777777" w:rsidR="001B109C" w:rsidRPr="00E169EE" w:rsidRDefault="001B109C" w:rsidP="00E027D2">
            <w:pPr>
              <w:rPr>
                <w:rFonts w:cstheme="minorHAnsi"/>
              </w:rPr>
            </w:pPr>
            <w:r w:rsidRPr="00E169EE">
              <w:rPr>
                <w:rFonts w:cstheme="minorHAnsi"/>
              </w:rPr>
              <w:t>Full name (please print)</w:t>
            </w:r>
          </w:p>
        </w:tc>
        <w:tc>
          <w:tcPr>
            <w:tcW w:w="4508" w:type="dxa"/>
          </w:tcPr>
          <w:p w14:paraId="59483E94" w14:textId="5FBE14CD" w:rsidR="001B109C" w:rsidRPr="002F4604" w:rsidRDefault="00354DAE" w:rsidP="00E027D2">
            <w:pPr>
              <w:pBdr>
                <w:bottom w:val="single" w:sz="12" w:space="1" w:color="auto"/>
              </w:pBdr>
              <w:rPr>
                <w:rFonts w:cstheme="minorHAnsi"/>
                <w:b/>
                <w:bCs/>
              </w:rPr>
            </w:pPr>
            <w:r>
              <w:rPr>
                <w:rFonts w:cstheme="minorHAnsi"/>
                <w:b/>
                <w:bCs/>
              </w:rPr>
              <w:t>Lucy Rollinson</w:t>
            </w:r>
          </w:p>
          <w:p w14:paraId="439588BC" w14:textId="77777777" w:rsidR="001B109C" w:rsidRPr="002F4604" w:rsidRDefault="001B109C" w:rsidP="00E027D2">
            <w:pPr>
              <w:rPr>
                <w:rFonts w:cstheme="minorHAnsi"/>
              </w:rPr>
            </w:pPr>
            <w:r w:rsidRPr="002F4604">
              <w:rPr>
                <w:rFonts w:cstheme="minorHAnsi"/>
              </w:rPr>
              <w:t>Witness (please print)</w:t>
            </w:r>
          </w:p>
        </w:tc>
      </w:tr>
      <w:tr w:rsidR="001B109C" w:rsidRPr="00E169EE" w14:paraId="20B90866" w14:textId="77777777" w:rsidTr="00E027D2">
        <w:tc>
          <w:tcPr>
            <w:tcW w:w="4508" w:type="dxa"/>
          </w:tcPr>
          <w:p w14:paraId="7D9047AD" w14:textId="677B3C63" w:rsidR="001B109C" w:rsidRPr="00E169EE" w:rsidRDefault="00354DAE" w:rsidP="00E027D2">
            <w:pPr>
              <w:pBdr>
                <w:bottom w:val="single" w:sz="12" w:space="1" w:color="auto"/>
              </w:pBdr>
              <w:spacing w:after="0"/>
              <w:rPr>
                <w:rFonts w:cstheme="minorHAnsi"/>
                <w:b/>
                <w:bCs/>
              </w:rPr>
            </w:pPr>
            <w:r>
              <w:rPr>
                <w:rFonts w:cstheme="minorHAnsi"/>
                <w:b/>
                <w:bCs/>
              </w:rPr>
              <w:t>Vice Chancellor and President</w:t>
            </w:r>
          </w:p>
          <w:p w14:paraId="231ABA73" w14:textId="575D2CDB" w:rsidR="001B109C" w:rsidRPr="00E169EE" w:rsidRDefault="001B109C" w:rsidP="00E027D2">
            <w:pPr>
              <w:spacing w:after="0"/>
              <w:rPr>
                <w:rFonts w:cstheme="minorHAnsi"/>
              </w:rPr>
            </w:pPr>
            <w:r w:rsidRPr="00E169EE">
              <w:rPr>
                <w:rFonts w:cstheme="minorHAnsi"/>
              </w:rPr>
              <w:t>Position</w:t>
            </w:r>
          </w:p>
          <w:p w14:paraId="536F9855" w14:textId="77777777" w:rsidR="001B109C" w:rsidRPr="00E169EE" w:rsidRDefault="001B109C" w:rsidP="00E027D2">
            <w:pPr>
              <w:spacing w:after="0"/>
              <w:rPr>
                <w:rFonts w:cstheme="minorHAnsi"/>
              </w:rPr>
            </w:pPr>
          </w:p>
        </w:tc>
        <w:tc>
          <w:tcPr>
            <w:tcW w:w="4508" w:type="dxa"/>
          </w:tcPr>
          <w:p w14:paraId="7B33C473" w14:textId="139A2D5A" w:rsidR="001B109C" w:rsidRPr="002F4604" w:rsidRDefault="00354DAE" w:rsidP="00E027D2">
            <w:pPr>
              <w:pBdr>
                <w:bottom w:val="single" w:sz="12" w:space="1" w:color="auto"/>
              </w:pBdr>
              <w:spacing w:after="0"/>
              <w:rPr>
                <w:rFonts w:cstheme="minorHAnsi"/>
                <w:b/>
                <w:bCs/>
              </w:rPr>
            </w:pPr>
            <w:r>
              <w:rPr>
                <w:rFonts w:cstheme="minorHAnsi"/>
                <w:b/>
                <w:bCs/>
              </w:rPr>
              <w:t>Chief of Staff</w:t>
            </w:r>
          </w:p>
          <w:p w14:paraId="0C046C3D" w14:textId="2C8EA3BA" w:rsidR="001B109C" w:rsidRPr="002F4604" w:rsidRDefault="001B109C" w:rsidP="00E027D2">
            <w:pPr>
              <w:spacing w:after="0"/>
              <w:rPr>
                <w:rFonts w:cstheme="minorHAnsi"/>
              </w:rPr>
            </w:pPr>
            <w:r w:rsidRPr="002F4604">
              <w:rPr>
                <w:rFonts w:cstheme="minorHAnsi"/>
              </w:rPr>
              <w:t>Position or profession of witness (please print)</w:t>
            </w:r>
          </w:p>
        </w:tc>
      </w:tr>
      <w:tr w:rsidR="001B109C" w:rsidRPr="00E169EE" w14:paraId="51440CFB" w14:textId="77777777" w:rsidTr="00E027D2">
        <w:trPr>
          <w:trHeight w:val="80"/>
        </w:trPr>
        <w:tc>
          <w:tcPr>
            <w:tcW w:w="4508" w:type="dxa"/>
          </w:tcPr>
          <w:p w14:paraId="7583F948" w14:textId="7D87AA78" w:rsidR="001B109C" w:rsidRPr="00E169EE" w:rsidRDefault="001B109C" w:rsidP="00E027D2">
            <w:pPr>
              <w:pBdr>
                <w:bottom w:val="single" w:sz="12" w:space="1" w:color="auto"/>
              </w:pBdr>
              <w:spacing w:after="0"/>
              <w:rPr>
                <w:rFonts w:cstheme="minorHAnsi"/>
                <w:b/>
                <w:bCs/>
              </w:rPr>
            </w:pPr>
          </w:p>
          <w:p w14:paraId="62FF4341" w14:textId="77777777" w:rsidR="001B109C" w:rsidRPr="00E169EE" w:rsidRDefault="001B109C" w:rsidP="00E027D2">
            <w:pPr>
              <w:spacing w:after="0"/>
              <w:rPr>
                <w:rFonts w:cstheme="minorHAnsi"/>
              </w:rPr>
            </w:pPr>
            <w:r w:rsidRPr="00E169EE">
              <w:rPr>
                <w:rFonts w:cstheme="minorHAnsi"/>
              </w:rPr>
              <w:t>Signature</w:t>
            </w:r>
          </w:p>
        </w:tc>
        <w:tc>
          <w:tcPr>
            <w:tcW w:w="4508" w:type="dxa"/>
          </w:tcPr>
          <w:p w14:paraId="75C3F771" w14:textId="549215DC" w:rsidR="001B109C" w:rsidRPr="002F4604" w:rsidRDefault="001B109C" w:rsidP="00E027D2">
            <w:pPr>
              <w:pBdr>
                <w:bottom w:val="single" w:sz="12" w:space="1" w:color="auto"/>
              </w:pBdr>
              <w:spacing w:after="0"/>
              <w:rPr>
                <w:rFonts w:cstheme="minorHAnsi"/>
                <w:b/>
                <w:bCs/>
              </w:rPr>
            </w:pPr>
          </w:p>
          <w:p w14:paraId="79F89A4A" w14:textId="77777777" w:rsidR="001B109C" w:rsidRPr="002F4604" w:rsidRDefault="001B109C" w:rsidP="00E027D2">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B811BC">
      <w:headerReference w:type="even" r:id="rId38"/>
      <w:headerReference w:type="default" r:id="rId39"/>
      <w:footerReference w:type="default" r:id="rId40"/>
      <w:headerReference w:type="first" r:id="rId41"/>
      <w:footerReference w:type="first" r:id="rId42"/>
      <w:pgSz w:w="11906" w:h="16838"/>
      <w:pgMar w:top="1223"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7DBF" w14:textId="77777777" w:rsidR="0067502E" w:rsidRDefault="0067502E" w:rsidP="000A6228">
      <w:pPr>
        <w:spacing w:after="0" w:line="240" w:lineRule="auto"/>
      </w:pPr>
      <w:r>
        <w:separator/>
      </w:r>
    </w:p>
  </w:endnote>
  <w:endnote w:type="continuationSeparator" w:id="0">
    <w:p w14:paraId="75DC2CC7" w14:textId="77777777" w:rsidR="0067502E" w:rsidRDefault="0067502E" w:rsidP="000A6228">
      <w:pPr>
        <w:spacing w:after="0" w:line="240" w:lineRule="auto"/>
      </w:pPr>
      <w:r>
        <w:continuationSeparator/>
      </w:r>
    </w:p>
  </w:endnote>
  <w:endnote w:type="continuationNotice" w:id="1">
    <w:p w14:paraId="3B3B1DAA" w14:textId="77777777" w:rsidR="0067502E" w:rsidRDefault="00675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5B87" w14:textId="77777777" w:rsidR="0067502E" w:rsidRDefault="0067502E" w:rsidP="000A6228">
      <w:pPr>
        <w:spacing w:after="0" w:line="240" w:lineRule="auto"/>
      </w:pPr>
      <w:r>
        <w:separator/>
      </w:r>
    </w:p>
  </w:footnote>
  <w:footnote w:type="continuationSeparator" w:id="0">
    <w:p w14:paraId="23FBB279" w14:textId="77777777" w:rsidR="0067502E" w:rsidRDefault="0067502E" w:rsidP="000A6228">
      <w:pPr>
        <w:spacing w:after="0" w:line="240" w:lineRule="auto"/>
      </w:pPr>
      <w:r>
        <w:continuationSeparator/>
      </w:r>
    </w:p>
  </w:footnote>
  <w:footnote w:type="continuationNotice" w:id="1">
    <w:p w14:paraId="6AAF8EB8" w14:textId="77777777" w:rsidR="0067502E" w:rsidRDefault="00675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1304" w14:textId="5A398D99" w:rsidR="008C62CC" w:rsidRDefault="008C62CC">
    <w:pPr>
      <w:pStyle w:val="Header"/>
    </w:pPr>
    <w:r>
      <w:rPr>
        <w:noProof/>
      </w:rPr>
      <mc:AlternateContent>
        <mc:Choice Requires="wps">
          <w:drawing>
            <wp:anchor distT="0" distB="0" distL="0" distR="0" simplePos="0" relativeHeight="251659264" behindDoc="0" locked="0" layoutInCell="1" allowOverlap="1" wp14:anchorId="6CFA09A3" wp14:editId="3FBCA4B0">
              <wp:simplePos x="635" y="635"/>
              <wp:positionH relativeFrom="page">
                <wp:align>left</wp:align>
              </wp:positionH>
              <wp:positionV relativeFrom="page">
                <wp:align>top</wp:align>
              </wp:positionV>
              <wp:extent cx="741045" cy="391160"/>
              <wp:effectExtent l="0" t="0" r="1905" b="8890"/>
              <wp:wrapNone/>
              <wp:docPr id="1468282847"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391160"/>
                      </a:xfrm>
                      <a:prstGeom prst="rect">
                        <a:avLst/>
                      </a:prstGeom>
                      <a:noFill/>
                      <a:ln>
                        <a:noFill/>
                      </a:ln>
                    </wps:spPr>
                    <wps:txbx>
                      <w:txbxContent>
                        <w:p w14:paraId="46150685" w14:textId="2FA7FF26" w:rsidR="008C62CC" w:rsidRPr="008C62CC" w:rsidRDefault="008C62CC" w:rsidP="008C62CC">
                          <w:pPr>
                            <w:spacing w:after="0"/>
                            <w:rPr>
                              <w:rFonts w:ascii="Calibri" w:eastAsia="Calibri" w:hAnsi="Calibri" w:cs="Calibri"/>
                              <w:noProof/>
                              <w:color w:val="000000"/>
                              <w:sz w:val="24"/>
                              <w:szCs w:val="24"/>
                            </w:rPr>
                          </w:pPr>
                          <w:r w:rsidRPr="008C62CC">
                            <w:rPr>
                              <w:rFonts w:ascii="Calibri" w:eastAsia="Calibri" w:hAnsi="Calibri" w:cs="Calibri"/>
                              <w:noProof/>
                              <w:color w:val="000000"/>
                              <w:sz w:val="24"/>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FA09A3" id="_x0000_t202" coordsize="21600,21600" o:spt="202" path="m,l,21600r21600,l21600,xe">
              <v:stroke joinstyle="miter"/>
              <v:path gradientshapeok="t" o:connecttype="rect"/>
            </v:shapetype>
            <v:shape id="Text Box 2" o:spid="_x0000_s1026" type="#_x0000_t202" alt="Internal" style="position:absolute;margin-left:0;margin-top:0;width:58.35pt;height:30.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" filled="f" stroked="f">
              <v:textbox style="mso-fit-shape-to-text:t" inset="20pt,15pt,0,0">
                <w:txbxContent>
                  <w:p w14:paraId="46150685" w14:textId="2FA7FF26" w:rsidR="008C62CC" w:rsidRPr="008C62CC" w:rsidRDefault="008C62CC" w:rsidP="008C62CC">
                    <w:pPr>
                      <w:spacing w:after="0"/>
                      <w:rPr>
                        <w:rFonts w:ascii="Calibri" w:eastAsia="Calibri" w:hAnsi="Calibri" w:cs="Calibri"/>
                        <w:noProof/>
                        <w:color w:val="000000"/>
                        <w:sz w:val="24"/>
                        <w:szCs w:val="24"/>
                      </w:rPr>
                    </w:pPr>
                    <w:r w:rsidRPr="008C62CC">
                      <w:rPr>
                        <w:rFonts w:ascii="Calibri" w:eastAsia="Calibri" w:hAnsi="Calibri" w:cs="Calibri"/>
                        <w:noProof/>
                        <w:color w:val="000000"/>
                        <w:sz w:val="24"/>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520C" w14:textId="75D20B51" w:rsidR="008C62CC" w:rsidRDefault="008C62CC">
    <w:pPr>
      <w:pStyle w:val="Header"/>
    </w:pPr>
    <w:r>
      <w:rPr>
        <w:noProof/>
      </w:rPr>
      <mc:AlternateContent>
        <mc:Choice Requires="wps">
          <w:drawing>
            <wp:anchor distT="0" distB="0" distL="0" distR="0" simplePos="0" relativeHeight="251660288" behindDoc="0" locked="0" layoutInCell="1" allowOverlap="1" wp14:anchorId="16091F42" wp14:editId="2DBE5FB3">
              <wp:simplePos x="914400" y="447675"/>
              <wp:positionH relativeFrom="page">
                <wp:align>left</wp:align>
              </wp:positionH>
              <wp:positionV relativeFrom="page">
                <wp:align>top</wp:align>
              </wp:positionV>
              <wp:extent cx="741045" cy="391160"/>
              <wp:effectExtent l="0" t="0" r="1905" b="8890"/>
              <wp:wrapNone/>
              <wp:docPr id="111093548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391160"/>
                      </a:xfrm>
                      <a:prstGeom prst="rect">
                        <a:avLst/>
                      </a:prstGeom>
                      <a:noFill/>
                      <a:ln>
                        <a:noFill/>
                      </a:ln>
                    </wps:spPr>
                    <wps:txbx>
                      <w:txbxContent>
                        <w:p w14:paraId="463E6B8D" w14:textId="63B0DFC1" w:rsidR="008C62CC" w:rsidRPr="008C62CC" w:rsidRDefault="008C62CC" w:rsidP="008C62CC">
                          <w:pPr>
                            <w:spacing w:after="0"/>
                            <w:rPr>
                              <w:rFonts w:ascii="Calibri" w:eastAsia="Calibri" w:hAnsi="Calibri" w:cs="Calibri"/>
                              <w:noProof/>
                              <w:color w:val="000000"/>
                              <w:sz w:val="24"/>
                              <w:szCs w:val="24"/>
                            </w:rPr>
                          </w:pPr>
                          <w:r w:rsidRPr="008C62CC">
                            <w:rPr>
                              <w:rFonts w:ascii="Calibri" w:eastAsia="Calibri" w:hAnsi="Calibri" w:cs="Calibri"/>
                              <w:noProof/>
                              <w:color w:val="000000"/>
                              <w:sz w:val="24"/>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091F42" id="_x0000_t202" coordsize="21600,21600" o:spt="202" path="m,l,21600r21600,l21600,xe">
              <v:stroke joinstyle="miter"/>
              <v:path gradientshapeok="t" o:connecttype="rect"/>
            </v:shapetype>
            <v:shape id="Text Box 3" o:spid="_x0000_s1027" type="#_x0000_t202" alt="Internal" style="position:absolute;margin-left:0;margin-top:0;width:58.35pt;height:30.8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" filled="f" stroked="f">
              <v:textbox style="mso-fit-shape-to-text:t" inset="20pt,15pt,0,0">
                <w:txbxContent>
                  <w:p w14:paraId="463E6B8D" w14:textId="63B0DFC1" w:rsidR="008C62CC" w:rsidRPr="008C62CC" w:rsidRDefault="008C62CC" w:rsidP="008C62CC">
                    <w:pPr>
                      <w:spacing w:after="0"/>
                      <w:rPr>
                        <w:rFonts w:ascii="Calibri" w:eastAsia="Calibri" w:hAnsi="Calibri" w:cs="Calibri"/>
                        <w:noProof/>
                        <w:color w:val="000000"/>
                        <w:sz w:val="24"/>
                        <w:szCs w:val="24"/>
                      </w:rPr>
                    </w:pPr>
                    <w:r w:rsidRPr="008C62CC">
                      <w:rPr>
                        <w:rFonts w:ascii="Calibri" w:eastAsia="Calibri" w:hAnsi="Calibri" w:cs="Calibri"/>
                        <w:noProof/>
                        <w:color w:val="000000"/>
                        <w:sz w:val="24"/>
                        <w:szCs w:val="24"/>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C9B9" w14:textId="072D5C42" w:rsidR="008C62CC" w:rsidRDefault="008C62CC">
    <w:pPr>
      <w:pStyle w:val="Header"/>
    </w:pPr>
    <w:r>
      <w:rPr>
        <w:noProof/>
      </w:rPr>
      <mc:AlternateContent>
        <mc:Choice Requires="wps">
          <w:drawing>
            <wp:anchor distT="0" distB="0" distL="0" distR="0" simplePos="0" relativeHeight="251658240" behindDoc="0" locked="0" layoutInCell="1" allowOverlap="1" wp14:anchorId="7238FEE1" wp14:editId="0E4D81D7">
              <wp:simplePos x="635" y="635"/>
              <wp:positionH relativeFrom="page">
                <wp:align>left</wp:align>
              </wp:positionH>
              <wp:positionV relativeFrom="page">
                <wp:align>top</wp:align>
              </wp:positionV>
              <wp:extent cx="741045" cy="391160"/>
              <wp:effectExtent l="0" t="0" r="1905" b="8890"/>
              <wp:wrapNone/>
              <wp:docPr id="1907803339"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045" cy="391160"/>
                      </a:xfrm>
                      <a:prstGeom prst="rect">
                        <a:avLst/>
                      </a:prstGeom>
                      <a:noFill/>
                      <a:ln>
                        <a:noFill/>
                      </a:ln>
                    </wps:spPr>
                    <wps:txbx>
                      <w:txbxContent>
                        <w:p w14:paraId="1B6CB05F" w14:textId="33B6E4C9" w:rsidR="008C62CC" w:rsidRPr="008C62CC" w:rsidRDefault="008C62CC" w:rsidP="008C62CC">
                          <w:pPr>
                            <w:spacing w:after="0"/>
                            <w:rPr>
                              <w:rFonts w:ascii="Calibri" w:eastAsia="Calibri" w:hAnsi="Calibri" w:cs="Calibri"/>
                              <w:noProof/>
                              <w:color w:val="000000"/>
                              <w:sz w:val="24"/>
                              <w:szCs w:val="24"/>
                            </w:rPr>
                          </w:pPr>
                          <w:r w:rsidRPr="008C62CC">
                            <w:rPr>
                              <w:rFonts w:ascii="Calibri" w:eastAsia="Calibri" w:hAnsi="Calibri" w:cs="Calibri"/>
                              <w:noProof/>
                              <w:color w:val="000000"/>
                              <w:sz w:val="24"/>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38FEE1" id="_x0000_t202" coordsize="21600,21600" o:spt="202" path="m,l,21600r21600,l21600,xe">
              <v:stroke joinstyle="miter"/>
              <v:path gradientshapeok="t" o:connecttype="rect"/>
            </v:shapetype>
            <v:shape id="Text Box 1" o:spid="_x0000_s1028" type="#_x0000_t202" alt="Internal" style="position:absolute;margin-left:0;margin-top:0;width:58.35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uRFAIAACEEAAAOAAAAZHJzL2Uyb0RvYy54bWysU01v2zAMvQ/YfxB0X2xnSbc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" filled="f" stroked="f">
              <v:textbox style="mso-fit-shape-to-text:t" inset="20pt,15pt,0,0">
                <w:txbxContent>
                  <w:p w14:paraId="1B6CB05F" w14:textId="33B6E4C9" w:rsidR="008C62CC" w:rsidRPr="008C62CC" w:rsidRDefault="008C62CC" w:rsidP="008C62CC">
                    <w:pPr>
                      <w:spacing w:after="0"/>
                      <w:rPr>
                        <w:rFonts w:ascii="Calibri" w:eastAsia="Calibri" w:hAnsi="Calibri" w:cs="Calibri"/>
                        <w:noProof/>
                        <w:color w:val="000000"/>
                        <w:sz w:val="24"/>
                        <w:szCs w:val="24"/>
                      </w:rPr>
                    </w:pPr>
                    <w:r w:rsidRPr="008C62CC">
                      <w:rPr>
                        <w:rFonts w:ascii="Calibri" w:eastAsia="Calibri" w:hAnsi="Calibri" w:cs="Calibri"/>
                        <w:noProof/>
                        <w:color w:val="000000"/>
                        <w:sz w:val="24"/>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CA77E6"/>
    <w:multiLevelType w:val="hybridMultilevel"/>
    <w:tmpl w:val="21C4C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E84EA7"/>
    <w:multiLevelType w:val="hybridMultilevel"/>
    <w:tmpl w:val="F1D076E4"/>
    <w:lvl w:ilvl="0" w:tplc="E782FDC4">
      <w:start w:val="1"/>
      <w:numFmt w:val="decimal"/>
      <w:lvlText w:val="%1."/>
      <w:lvlJc w:val="left"/>
      <w:pPr>
        <w:ind w:left="408" w:hanging="360"/>
      </w:pPr>
      <w:rPr>
        <w:rFonts w:hint="default"/>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865DD9"/>
    <w:multiLevelType w:val="hybridMultilevel"/>
    <w:tmpl w:val="32C4D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B6721B5"/>
    <w:multiLevelType w:val="hybridMultilevel"/>
    <w:tmpl w:val="C646E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8DA1B87"/>
    <w:multiLevelType w:val="hybridMultilevel"/>
    <w:tmpl w:val="FEC08E5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20"/>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1"/>
  </w:num>
  <w:num w:numId="17" w16cid:durableId="1022434231">
    <w:abstractNumId w:val="15"/>
  </w:num>
  <w:num w:numId="18" w16cid:durableId="618417265">
    <w:abstractNumId w:val="8"/>
  </w:num>
  <w:num w:numId="19" w16cid:durableId="271010807">
    <w:abstractNumId w:val="17"/>
  </w:num>
  <w:num w:numId="20" w16cid:durableId="2018118932">
    <w:abstractNumId w:val="16"/>
  </w:num>
  <w:num w:numId="21" w16cid:durableId="979068394">
    <w:abstractNumId w:val="18"/>
  </w:num>
  <w:num w:numId="22" w16cid:durableId="570695487">
    <w:abstractNumId w:val="19"/>
  </w:num>
  <w:num w:numId="23" w16cid:durableId="437943387">
    <w:abstractNumId w:val="22"/>
  </w:num>
  <w:num w:numId="24" w16cid:durableId="263072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966"/>
    <w:rsid w:val="000072CA"/>
    <w:rsid w:val="00012366"/>
    <w:rsid w:val="00021FBE"/>
    <w:rsid w:val="00025739"/>
    <w:rsid w:val="000304B5"/>
    <w:rsid w:val="000373F0"/>
    <w:rsid w:val="00042218"/>
    <w:rsid w:val="000427AF"/>
    <w:rsid w:val="000440BF"/>
    <w:rsid w:val="00045E1D"/>
    <w:rsid w:val="000521D7"/>
    <w:rsid w:val="0005695A"/>
    <w:rsid w:val="000645B7"/>
    <w:rsid w:val="0007124E"/>
    <w:rsid w:val="00080E1D"/>
    <w:rsid w:val="000960CF"/>
    <w:rsid w:val="000A0B58"/>
    <w:rsid w:val="000A3A19"/>
    <w:rsid w:val="000A6228"/>
    <w:rsid w:val="000B1165"/>
    <w:rsid w:val="000B5D40"/>
    <w:rsid w:val="000B72D4"/>
    <w:rsid w:val="000B7EC6"/>
    <w:rsid w:val="000D0B28"/>
    <w:rsid w:val="000D1203"/>
    <w:rsid w:val="000D2317"/>
    <w:rsid w:val="000E6BE2"/>
    <w:rsid w:val="000F7905"/>
    <w:rsid w:val="00107D87"/>
    <w:rsid w:val="00107DD5"/>
    <w:rsid w:val="0012343A"/>
    <w:rsid w:val="00126854"/>
    <w:rsid w:val="00133B8D"/>
    <w:rsid w:val="00135A63"/>
    <w:rsid w:val="00135A85"/>
    <w:rsid w:val="0013611E"/>
    <w:rsid w:val="001373F5"/>
    <w:rsid w:val="0014280C"/>
    <w:rsid w:val="00143837"/>
    <w:rsid w:val="00144062"/>
    <w:rsid w:val="001479C1"/>
    <w:rsid w:val="00150FBA"/>
    <w:rsid w:val="001515BF"/>
    <w:rsid w:val="0015549C"/>
    <w:rsid w:val="001708B9"/>
    <w:rsid w:val="0017134D"/>
    <w:rsid w:val="0017610B"/>
    <w:rsid w:val="00177CD5"/>
    <w:rsid w:val="00184AD1"/>
    <w:rsid w:val="00185643"/>
    <w:rsid w:val="00185661"/>
    <w:rsid w:val="00191806"/>
    <w:rsid w:val="001929D6"/>
    <w:rsid w:val="00196CDA"/>
    <w:rsid w:val="001A4125"/>
    <w:rsid w:val="001A6B59"/>
    <w:rsid w:val="001B109C"/>
    <w:rsid w:val="001B231C"/>
    <w:rsid w:val="001B3632"/>
    <w:rsid w:val="001C1523"/>
    <w:rsid w:val="001D20BA"/>
    <w:rsid w:val="001D557F"/>
    <w:rsid w:val="001E3BF1"/>
    <w:rsid w:val="001E65F6"/>
    <w:rsid w:val="001E6DBC"/>
    <w:rsid w:val="001F31D7"/>
    <w:rsid w:val="00214A30"/>
    <w:rsid w:val="002153CA"/>
    <w:rsid w:val="00216DFA"/>
    <w:rsid w:val="00217414"/>
    <w:rsid w:val="00221D8F"/>
    <w:rsid w:val="0022486D"/>
    <w:rsid w:val="00224F7E"/>
    <w:rsid w:val="002272DB"/>
    <w:rsid w:val="002324E4"/>
    <w:rsid w:val="00235752"/>
    <w:rsid w:val="00236DC1"/>
    <w:rsid w:val="00241CF3"/>
    <w:rsid w:val="002509D9"/>
    <w:rsid w:val="002544B0"/>
    <w:rsid w:val="002623D6"/>
    <w:rsid w:val="0026390D"/>
    <w:rsid w:val="002644BC"/>
    <w:rsid w:val="002714F5"/>
    <w:rsid w:val="00273612"/>
    <w:rsid w:val="00276047"/>
    <w:rsid w:val="002775F3"/>
    <w:rsid w:val="00285E3F"/>
    <w:rsid w:val="0029618B"/>
    <w:rsid w:val="002965CD"/>
    <w:rsid w:val="00297D1B"/>
    <w:rsid w:val="002A4458"/>
    <w:rsid w:val="002B6CEC"/>
    <w:rsid w:val="002C1F0F"/>
    <w:rsid w:val="002C3C80"/>
    <w:rsid w:val="002C3CA0"/>
    <w:rsid w:val="002C5694"/>
    <w:rsid w:val="002C6754"/>
    <w:rsid w:val="002C7947"/>
    <w:rsid w:val="002D340A"/>
    <w:rsid w:val="002D3EFA"/>
    <w:rsid w:val="002D589A"/>
    <w:rsid w:val="002E35B3"/>
    <w:rsid w:val="002E491A"/>
    <w:rsid w:val="002E7226"/>
    <w:rsid w:val="002E7442"/>
    <w:rsid w:val="002F31F1"/>
    <w:rsid w:val="002F4604"/>
    <w:rsid w:val="003025D4"/>
    <w:rsid w:val="003032FE"/>
    <w:rsid w:val="00304890"/>
    <w:rsid w:val="003109C1"/>
    <w:rsid w:val="00312B13"/>
    <w:rsid w:val="00320E21"/>
    <w:rsid w:val="00341C8A"/>
    <w:rsid w:val="003441E4"/>
    <w:rsid w:val="00354DAE"/>
    <w:rsid w:val="00360F5D"/>
    <w:rsid w:val="00370E58"/>
    <w:rsid w:val="00377AB9"/>
    <w:rsid w:val="00387504"/>
    <w:rsid w:val="0039687F"/>
    <w:rsid w:val="003A214F"/>
    <w:rsid w:val="003A4F48"/>
    <w:rsid w:val="003A539D"/>
    <w:rsid w:val="003C3E70"/>
    <w:rsid w:val="003C48BC"/>
    <w:rsid w:val="003D0285"/>
    <w:rsid w:val="003D25F2"/>
    <w:rsid w:val="003D4209"/>
    <w:rsid w:val="003D5498"/>
    <w:rsid w:val="003D70FA"/>
    <w:rsid w:val="003E0A42"/>
    <w:rsid w:val="003E4823"/>
    <w:rsid w:val="003E4E07"/>
    <w:rsid w:val="003F13E0"/>
    <w:rsid w:val="004004B9"/>
    <w:rsid w:val="0040155D"/>
    <w:rsid w:val="00405674"/>
    <w:rsid w:val="00412B39"/>
    <w:rsid w:val="0041713E"/>
    <w:rsid w:val="00420398"/>
    <w:rsid w:val="00421D3F"/>
    <w:rsid w:val="00423785"/>
    <w:rsid w:val="0042692C"/>
    <w:rsid w:val="004313C7"/>
    <w:rsid w:val="00452D26"/>
    <w:rsid w:val="00462848"/>
    <w:rsid w:val="00463568"/>
    <w:rsid w:val="00470638"/>
    <w:rsid w:val="00476522"/>
    <w:rsid w:val="0048435E"/>
    <w:rsid w:val="00484690"/>
    <w:rsid w:val="00486E41"/>
    <w:rsid w:val="00487075"/>
    <w:rsid w:val="004916DA"/>
    <w:rsid w:val="0049333E"/>
    <w:rsid w:val="004940FB"/>
    <w:rsid w:val="004A06CD"/>
    <w:rsid w:val="004A4B6F"/>
    <w:rsid w:val="004A4CF9"/>
    <w:rsid w:val="004B7D64"/>
    <w:rsid w:val="004C72F9"/>
    <w:rsid w:val="004C78FF"/>
    <w:rsid w:val="004D14C2"/>
    <w:rsid w:val="004D15DC"/>
    <w:rsid w:val="004D2965"/>
    <w:rsid w:val="004D2D9D"/>
    <w:rsid w:val="004D4F02"/>
    <w:rsid w:val="004D6BDF"/>
    <w:rsid w:val="004D7601"/>
    <w:rsid w:val="004D7DDB"/>
    <w:rsid w:val="004E185C"/>
    <w:rsid w:val="004E306A"/>
    <w:rsid w:val="004E6C1C"/>
    <w:rsid w:val="00507558"/>
    <w:rsid w:val="00507C1B"/>
    <w:rsid w:val="005106DC"/>
    <w:rsid w:val="0051116F"/>
    <w:rsid w:val="00514643"/>
    <w:rsid w:val="00520BA6"/>
    <w:rsid w:val="005224DE"/>
    <w:rsid w:val="00522F5F"/>
    <w:rsid w:val="00523092"/>
    <w:rsid w:val="00523D7A"/>
    <w:rsid w:val="005273DE"/>
    <w:rsid w:val="00541139"/>
    <w:rsid w:val="005413E3"/>
    <w:rsid w:val="00542203"/>
    <w:rsid w:val="005441CC"/>
    <w:rsid w:val="00547FB7"/>
    <w:rsid w:val="00560C20"/>
    <w:rsid w:val="0056625A"/>
    <w:rsid w:val="0057028F"/>
    <w:rsid w:val="0058183A"/>
    <w:rsid w:val="00585755"/>
    <w:rsid w:val="00585FBE"/>
    <w:rsid w:val="00591F57"/>
    <w:rsid w:val="005A40C2"/>
    <w:rsid w:val="005A75C9"/>
    <w:rsid w:val="005B187D"/>
    <w:rsid w:val="005B3ACE"/>
    <w:rsid w:val="005B511D"/>
    <w:rsid w:val="005C300C"/>
    <w:rsid w:val="005C66B8"/>
    <w:rsid w:val="005D4805"/>
    <w:rsid w:val="005D5BFC"/>
    <w:rsid w:val="005E6203"/>
    <w:rsid w:val="005F015E"/>
    <w:rsid w:val="005F154D"/>
    <w:rsid w:val="005F35D6"/>
    <w:rsid w:val="005F39A8"/>
    <w:rsid w:val="005F525B"/>
    <w:rsid w:val="005F6A18"/>
    <w:rsid w:val="00600A69"/>
    <w:rsid w:val="0060268A"/>
    <w:rsid w:val="0060452E"/>
    <w:rsid w:val="0061399E"/>
    <w:rsid w:val="006232DC"/>
    <w:rsid w:val="0063094F"/>
    <w:rsid w:val="006423AF"/>
    <w:rsid w:val="00644C8D"/>
    <w:rsid w:val="0064561B"/>
    <w:rsid w:val="00667F03"/>
    <w:rsid w:val="0067154C"/>
    <w:rsid w:val="0067502E"/>
    <w:rsid w:val="006765FE"/>
    <w:rsid w:val="00685F98"/>
    <w:rsid w:val="00691082"/>
    <w:rsid w:val="00694505"/>
    <w:rsid w:val="006A72DE"/>
    <w:rsid w:val="006B2B77"/>
    <w:rsid w:val="006B4795"/>
    <w:rsid w:val="006B4B9E"/>
    <w:rsid w:val="006C1BBB"/>
    <w:rsid w:val="006D6749"/>
    <w:rsid w:val="006D67F3"/>
    <w:rsid w:val="006D7575"/>
    <w:rsid w:val="006E6078"/>
    <w:rsid w:val="006F1282"/>
    <w:rsid w:val="006F1FFF"/>
    <w:rsid w:val="006F2406"/>
    <w:rsid w:val="006F6D10"/>
    <w:rsid w:val="0070757C"/>
    <w:rsid w:val="00712B94"/>
    <w:rsid w:val="00712CBE"/>
    <w:rsid w:val="00717352"/>
    <w:rsid w:val="00721AD7"/>
    <w:rsid w:val="00734309"/>
    <w:rsid w:val="00741DE4"/>
    <w:rsid w:val="0074278E"/>
    <w:rsid w:val="007433E5"/>
    <w:rsid w:val="007505B2"/>
    <w:rsid w:val="007517BA"/>
    <w:rsid w:val="00755205"/>
    <w:rsid w:val="0076283A"/>
    <w:rsid w:val="007643B9"/>
    <w:rsid w:val="00774470"/>
    <w:rsid w:val="0077782B"/>
    <w:rsid w:val="007926D2"/>
    <w:rsid w:val="0079365B"/>
    <w:rsid w:val="007942B8"/>
    <w:rsid w:val="007A4F48"/>
    <w:rsid w:val="007B2CA1"/>
    <w:rsid w:val="007D0ABC"/>
    <w:rsid w:val="007D2C7C"/>
    <w:rsid w:val="007D7CD1"/>
    <w:rsid w:val="007E1D68"/>
    <w:rsid w:val="00801A07"/>
    <w:rsid w:val="008034C4"/>
    <w:rsid w:val="008042F5"/>
    <w:rsid w:val="00806B80"/>
    <w:rsid w:val="00810083"/>
    <w:rsid w:val="00810E72"/>
    <w:rsid w:val="00811A7E"/>
    <w:rsid w:val="00822E31"/>
    <w:rsid w:val="0082773C"/>
    <w:rsid w:val="00832E1D"/>
    <w:rsid w:val="00833A0A"/>
    <w:rsid w:val="00842B76"/>
    <w:rsid w:val="00854650"/>
    <w:rsid w:val="008556EC"/>
    <w:rsid w:val="0086428D"/>
    <w:rsid w:val="00874C98"/>
    <w:rsid w:val="00876F8F"/>
    <w:rsid w:val="00880ED1"/>
    <w:rsid w:val="00884540"/>
    <w:rsid w:val="00886456"/>
    <w:rsid w:val="00886959"/>
    <w:rsid w:val="00887D41"/>
    <w:rsid w:val="0089055C"/>
    <w:rsid w:val="00891618"/>
    <w:rsid w:val="00893920"/>
    <w:rsid w:val="00893A34"/>
    <w:rsid w:val="00896E97"/>
    <w:rsid w:val="008A0F5B"/>
    <w:rsid w:val="008A36E1"/>
    <w:rsid w:val="008A37A7"/>
    <w:rsid w:val="008A7AB4"/>
    <w:rsid w:val="008B0736"/>
    <w:rsid w:val="008C1F5A"/>
    <w:rsid w:val="008C62CC"/>
    <w:rsid w:val="008D4FA9"/>
    <w:rsid w:val="008F0B3E"/>
    <w:rsid w:val="008F4DBB"/>
    <w:rsid w:val="008F5FCA"/>
    <w:rsid w:val="009019AC"/>
    <w:rsid w:val="00907EBF"/>
    <w:rsid w:val="00913D0F"/>
    <w:rsid w:val="00915A55"/>
    <w:rsid w:val="009205D7"/>
    <w:rsid w:val="00933D2E"/>
    <w:rsid w:val="009340E4"/>
    <w:rsid w:val="00934297"/>
    <w:rsid w:val="009354D0"/>
    <w:rsid w:val="00936E36"/>
    <w:rsid w:val="00942D1D"/>
    <w:rsid w:val="00943331"/>
    <w:rsid w:val="00947AF6"/>
    <w:rsid w:val="0095037D"/>
    <w:rsid w:val="00950B06"/>
    <w:rsid w:val="00956FCB"/>
    <w:rsid w:val="009604BB"/>
    <w:rsid w:val="009673F2"/>
    <w:rsid w:val="00967AEE"/>
    <w:rsid w:val="00970069"/>
    <w:rsid w:val="0097195E"/>
    <w:rsid w:val="009721EB"/>
    <w:rsid w:val="009741FE"/>
    <w:rsid w:val="009769D1"/>
    <w:rsid w:val="00977216"/>
    <w:rsid w:val="0097724C"/>
    <w:rsid w:val="00980B05"/>
    <w:rsid w:val="00986C66"/>
    <w:rsid w:val="00994D60"/>
    <w:rsid w:val="009960A4"/>
    <w:rsid w:val="009A08CE"/>
    <w:rsid w:val="009A1EA8"/>
    <w:rsid w:val="009A6160"/>
    <w:rsid w:val="009B1667"/>
    <w:rsid w:val="009B706E"/>
    <w:rsid w:val="009C1E72"/>
    <w:rsid w:val="009C423A"/>
    <w:rsid w:val="009C64FE"/>
    <w:rsid w:val="009C7F4C"/>
    <w:rsid w:val="009E79ED"/>
    <w:rsid w:val="009F0F9E"/>
    <w:rsid w:val="009F7E6D"/>
    <w:rsid w:val="00A0475B"/>
    <w:rsid w:val="00A07596"/>
    <w:rsid w:val="00A17A08"/>
    <w:rsid w:val="00A2072C"/>
    <w:rsid w:val="00A2177A"/>
    <w:rsid w:val="00A23354"/>
    <w:rsid w:val="00A30001"/>
    <w:rsid w:val="00A302AE"/>
    <w:rsid w:val="00A314D3"/>
    <w:rsid w:val="00A572B2"/>
    <w:rsid w:val="00A60673"/>
    <w:rsid w:val="00A60D9C"/>
    <w:rsid w:val="00A611A0"/>
    <w:rsid w:val="00A6484D"/>
    <w:rsid w:val="00A7649F"/>
    <w:rsid w:val="00A818DE"/>
    <w:rsid w:val="00A838DC"/>
    <w:rsid w:val="00A93B3F"/>
    <w:rsid w:val="00AA2777"/>
    <w:rsid w:val="00AA361B"/>
    <w:rsid w:val="00AA6A0B"/>
    <w:rsid w:val="00AB0FAD"/>
    <w:rsid w:val="00AB2A61"/>
    <w:rsid w:val="00AB53C7"/>
    <w:rsid w:val="00AB5598"/>
    <w:rsid w:val="00AB69C2"/>
    <w:rsid w:val="00AC0C63"/>
    <w:rsid w:val="00AC1872"/>
    <w:rsid w:val="00AC21EE"/>
    <w:rsid w:val="00AD13D0"/>
    <w:rsid w:val="00AD631F"/>
    <w:rsid w:val="00AE21FF"/>
    <w:rsid w:val="00AF1F18"/>
    <w:rsid w:val="00AF78E1"/>
    <w:rsid w:val="00AF7BEC"/>
    <w:rsid w:val="00B02F15"/>
    <w:rsid w:val="00B04FA8"/>
    <w:rsid w:val="00B0726E"/>
    <w:rsid w:val="00B0785C"/>
    <w:rsid w:val="00B219D1"/>
    <w:rsid w:val="00B249A1"/>
    <w:rsid w:val="00B35866"/>
    <w:rsid w:val="00B37F99"/>
    <w:rsid w:val="00B41722"/>
    <w:rsid w:val="00B42F3C"/>
    <w:rsid w:val="00B43695"/>
    <w:rsid w:val="00B55530"/>
    <w:rsid w:val="00B64B3D"/>
    <w:rsid w:val="00B71D5E"/>
    <w:rsid w:val="00B72125"/>
    <w:rsid w:val="00B811BC"/>
    <w:rsid w:val="00B81FA4"/>
    <w:rsid w:val="00B8794C"/>
    <w:rsid w:val="00B959C9"/>
    <w:rsid w:val="00B95EF4"/>
    <w:rsid w:val="00BA2A4B"/>
    <w:rsid w:val="00BB6509"/>
    <w:rsid w:val="00BB6B4A"/>
    <w:rsid w:val="00BC215D"/>
    <w:rsid w:val="00BC248C"/>
    <w:rsid w:val="00BD089D"/>
    <w:rsid w:val="00BE1A50"/>
    <w:rsid w:val="00C01EC0"/>
    <w:rsid w:val="00C02CA4"/>
    <w:rsid w:val="00C04469"/>
    <w:rsid w:val="00C04FF1"/>
    <w:rsid w:val="00C212D2"/>
    <w:rsid w:val="00C2270F"/>
    <w:rsid w:val="00C244EE"/>
    <w:rsid w:val="00C274E1"/>
    <w:rsid w:val="00C319A4"/>
    <w:rsid w:val="00C32AE5"/>
    <w:rsid w:val="00C4009B"/>
    <w:rsid w:val="00C46831"/>
    <w:rsid w:val="00C612AA"/>
    <w:rsid w:val="00C70071"/>
    <w:rsid w:val="00C72224"/>
    <w:rsid w:val="00C7418C"/>
    <w:rsid w:val="00C74A72"/>
    <w:rsid w:val="00C75706"/>
    <w:rsid w:val="00C769D2"/>
    <w:rsid w:val="00CA1158"/>
    <w:rsid w:val="00CA4815"/>
    <w:rsid w:val="00CA4854"/>
    <w:rsid w:val="00CA775E"/>
    <w:rsid w:val="00CB5F58"/>
    <w:rsid w:val="00CC1725"/>
    <w:rsid w:val="00CC2CEA"/>
    <w:rsid w:val="00CD76AE"/>
    <w:rsid w:val="00CD7A39"/>
    <w:rsid w:val="00CE0D23"/>
    <w:rsid w:val="00CE20F4"/>
    <w:rsid w:val="00CF6562"/>
    <w:rsid w:val="00CF658B"/>
    <w:rsid w:val="00D038AA"/>
    <w:rsid w:val="00D05C45"/>
    <w:rsid w:val="00D0607E"/>
    <w:rsid w:val="00D15EC6"/>
    <w:rsid w:val="00D22701"/>
    <w:rsid w:val="00D22F93"/>
    <w:rsid w:val="00D235A1"/>
    <w:rsid w:val="00D23ABC"/>
    <w:rsid w:val="00D24FF3"/>
    <w:rsid w:val="00D566D1"/>
    <w:rsid w:val="00D5688A"/>
    <w:rsid w:val="00D60792"/>
    <w:rsid w:val="00D65E8B"/>
    <w:rsid w:val="00D66A5F"/>
    <w:rsid w:val="00D74D11"/>
    <w:rsid w:val="00D7558A"/>
    <w:rsid w:val="00D81F97"/>
    <w:rsid w:val="00D82496"/>
    <w:rsid w:val="00D82BFE"/>
    <w:rsid w:val="00D86284"/>
    <w:rsid w:val="00D86861"/>
    <w:rsid w:val="00D9394A"/>
    <w:rsid w:val="00DA012E"/>
    <w:rsid w:val="00DB2992"/>
    <w:rsid w:val="00DB362B"/>
    <w:rsid w:val="00DB6187"/>
    <w:rsid w:val="00DB73E5"/>
    <w:rsid w:val="00DC5980"/>
    <w:rsid w:val="00DD2B46"/>
    <w:rsid w:val="00DD3400"/>
    <w:rsid w:val="00DD3642"/>
    <w:rsid w:val="00DD3DE5"/>
    <w:rsid w:val="00DE158F"/>
    <w:rsid w:val="00DF26CC"/>
    <w:rsid w:val="00DF3435"/>
    <w:rsid w:val="00DF3E65"/>
    <w:rsid w:val="00DF3F63"/>
    <w:rsid w:val="00E027D2"/>
    <w:rsid w:val="00E06ED6"/>
    <w:rsid w:val="00E0752E"/>
    <w:rsid w:val="00E07916"/>
    <w:rsid w:val="00E114B4"/>
    <w:rsid w:val="00E14535"/>
    <w:rsid w:val="00E16350"/>
    <w:rsid w:val="00E20582"/>
    <w:rsid w:val="00E30B4D"/>
    <w:rsid w:val="00E31A7B"/>
    <w:rsid w:val="00E32A41"/>
    <w:rsid w:val="00E37F1A"/>
    <w:rsid w:val="00E4027E"/>
    <w:rsid w:val="00E41C5E"/>
    <w:rsid w:val="00E43F9F"/>
    <w:rsid w:val="00E529E5"/>
    <w:rsid w:val="00E5330D"/>
    <w:rsid w:val="00E55C8C"/>
    <w:rsid w:val="00E571FD"/>
    <w:rsid w:val="00E65048"/>
    <w:rsid w:val="00E65CD7"/>
    <w:rsid w:val="00E66487"/>
    <w:rsid w:val="00E70098"/>
    <w:rsid w:val="00E70618"/>
    <w:rsid w:val="00E76B1F"/>
    <w:rsid w:val="00E83EA7"/>
    <w:rsid w:val="00E92B79"/>
    <w:rsid w:val="00EA3BC9"/>
    <w:rsid w:val="00EB07A9"/>
    <w:rsid w:val="00EB4C2F"/>
    <w:rsid w:val="00EB6ACA"/>
    <w:rsid w:val="00EC0B5A"/>
    <w:rsid w:val="00ED0DDF"/>
    <w:rsid w:val="00ED2E98"/>
    <w:rsid w:val="00ED50A0"/>
    <w:rsid w:val="00EE0B39"/>
    <w:rsid w:val="00EE2E52"/>
    <w:rsid w:val="00EE6075"/>
    <w:rsid w:val="00EE62E9"/>
    <w:rsid w:val="00EF5924"/>
    <w:rsid w:val="00EF5C61"/>
    <w:rsid w:val="00F05F53"/>
    <w:rsid w:val="00F07246"/>
    <w:rsid w:val="00F1000D"/>
    <w:rsid w:val="00F11041"/>
    <w:rsid w:val="00F22AFE"/>
    <w:rsid w:val="00F30BFA"/>
    <w:rsid w:val="00F311A4"/>
    <w:rsid w:val="00F32FF8"/>
    <w:rsid w:val="00F3563D"/>
    <w:rsid w:val="00F378CB"/>
    <w:rsid w:val="00F4359A"/>
    <w:rsid w:val="00F44E53"/>
    <w:rsid w:val="00F53657"/>
    <w:rsid w:val="00F60B66"/>
    <w:rsid w:val="00F74C0F"/>
    <w:rsid w:val="00F82C2C"/>
    <w:rsid w:val="00F84527"/>
    <w:rsid w:val="00F8461C"/>
    <w:rsid w:val="00F85913"/>
    <w:rsid w:val="00F977AA"/>
    <w:rsid w:val="00FA4051"/>
    <w:rsid w:val="00FA7392"/>
    <w:rsid w:val="00FB24F5"/>
    <w:rsid w:val="00FC1AB0"/>
    <w:rsid w:val="00FC2B31"/>
    <w:rsid w:val="00FD2705"/>
    <w:rsid w:val="00FD4D6E"/>
    <w:rsid w:val="00FD6383"/>
    <w:rsid w:val="00FD7A94"/>
    <w:rsid w:val="00FF4C77"/>
    <w:rsid w:val="00FF5BC8"/>
    <w:rsid w:val="01017C8C"/>
    <w:rsid w:val="019DF73C"/>
    <w:rsid w:val="068B4214"/>
    <w:rsid w:val="0883E656"/>
    <w:rsid w:val="0973EEB1"/>
    <w:rsid w:val="0C44706F"/>
    <w:rsid w:val="0E1BCBAA"/>
    <w:rsid w:val="12F97853"/>
    <w:rsid w:val="137444D9"/>
    <w:rsid w:val="14172A40"/>
    <w:rsid w:val="14BEEAEB"/>
    <w:rsid w:val="154F8DEE"/>
    <w:rsid w:val="15BB2F06"/>
    <w:rsid w:val="1640567D"/>
    <w:rsid w:val="1653568A"/>
    <w:rsid w:val="16AA6792"/>
    <w:rsid w:val="1709B908"/>
    <w:rsid w:val="173EB282"/>
    <w:rsid w:val="1B2B178D"/>
    <w:rsid w:val="1C8EDC66"/>
    <w:rsid w:val="1DCBF53E"/>
    <w:rsid w:val="1E0426BE"/>
    <w:rsid w:val="1E072286"/>
    <w:rsid w:val="1EB55707"/>
    <w:rsid w:val="1F365E35"/>
    <w:rsid w:val="1F62E448"/>
    <w:rsid w:val="21BECB89"/>
    <w:rsid w:val="21FA90BB"/>
    <w:rsid w:val="225A0013"/>
    <w:rsid w:val="23FD5F63"/>
    <w:rsid w:val="2466F23A"/>
    <w:rsid w:val="24E21798"/>
    <w:rsid w:val="25DE4AA0"/>
    <w:rsid w:val="26EC3A2A"/>
    <w:rsid w:val="289D9269"/>
    <w:rsid w:val="2C01F9ED"/>
    <w:rsid w:val="2D733448"/>
    <w:rsid w:val="30754AB1"/>
    <w:rsid w:val="3246EBED"/>
    <w:rsid w:val="32FDDA78"/>
    <w:rsid w:val="337EAEF5"/>
    <w:rsid w:val="33A28217"/>
    <w:rsid w:val="36590085"/>
    <w:rsid w:val="3857F8B5"/>
    <w:rsid w:val="394DE2E9"/>
    <w:rsid w:val="39CB544F"/>
    <w:rsid w:val="3A170855"/>
    <w:rsid w:val="3C2FFE4D"/>
    <w:rsid w:val="3C3E2BB9"/>
    <w:rsid w:val="3C5F5CB8"/>
    <w:rsid w:val="3D4E8BAF"/>
    <w:rsid w:val="3D89591B"/>
    <w:rsid w:val="3EF70793"/>
    <w:rsid w:val="41BFC8B4"/>
    <w:rsid w:val="41EE700B"/>
    <w:rsid w:val="42AD6182"/>
    <w:rsid w:val="43028861"/>
    <w:rsid w:val="454F1462"/>
    <w:rsid w:val="457EFA99"/>
    <w:rsid w:val="48D59D5F"/>
    <w:rsid w:val="49E11BF5"/>
    <w:rsid w:val="4A5CBDF8"/>
    <w:rsid w:val="4C967664"/>
    <w:rsid w:val="4D0CFB12"/>
    <w:rsid w:val="4FB8862C"/>
    <w:rsid w:val="505A9D79"/>
    <w:rsid w:val="52A6C431"/>
    <w:rsid w:val="52C9AFE4"/>
    <w:rsid w:val="53060C37"/>
    <w:rsid w:val="5476B571"/>
    <w:rsid w:val="5610B27F"/>
    <w:rsid w:val="5842BCDC"/>
    <w:rsid w:val="59C464A9"/>
    <w:rsid w:val="60245D36"/>
    <w:rsid w:val="61392E98"/>
    <w:rsid w:val="62E47E4A"/>
    <w:rsid w:val="633F28D8"/>
    <w:rsid w:val="65B0DAA5"/>
    <w:rsid w:val="65D0B044"/>
    <w:rsid w:val="66BF3202"/>
    <w:rsid w:val="678E67FD"/>
    <w:rsid w:val="6802FDFF"/>
    <w:rsid w:val="6AD99FBD"/>
    <w:rsid w:val="6CAE0641"/>
    <w:rsid w:val="6DA9BA5B"/>
    <w:rsid w:val="6DCF43EC"/>
    <w:rsid w:val="6DF9B8E4"/>
    <w:rsid w:val="6DFD4EFC"/>
    <w:rsid w:val="6ECF7138"/>
    <w:rsid w:val="71E1449E"/>
    <w:rsid w:val="73E2AC24"/>
    <w:rsid w:val="74990B99"/>
    <w:rsid w:val="76C5B227"/>
    <w:rsid w:val="77045835"/>
    <w:rsid w:val="7838A366"/>
    <w:rsid w:val="7A4819A2"/>
    <w:rsid w:val="7ACFBC12"/>
    <w:rsid w:val="7B889708"/>
    <w:rsid w:val="7BAC9340"/>
    <w:rsid w:val="7E39F1C4"/>
    <w:rsid w:val="7F979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42ED693-E12A-4F22-B231-3FC43725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styleId="FollowedHyperlink">
    <w:name w:val="FollowedHyperlink"/>
    <w:basedOn w:val="DefaultParagraphFont"/>
    <w:uiPriority w:val="99"/>
    <w:semiHidden/>
    <w:unhideWhenUsed/>
    <w:rsid w:val="00D15EC6"/>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3123">
      <w:bodyDiv w:val="1"/>
      <w:marLeft w:val="0"/>
      <w:marRight w:val="0"/>
      <w:marTop w:val="0"/>
      <w:marBottom w:val="0"/>
      <w:divBdr>
        <w:top w:val="none" w:sz="0" w:space="0" w:color="auto"/>
        <w:left w:val="none" w:sz="0" w:space="0" w:color="auto"/>
        <w:bottom w:val="none" w:sz="0" w:space="0" w:color="auto"/>
        <w:right w:val="none" w:sz="0" w:space="0" w:color="auto"/>
      </w:divBdr>
    </w:div>
    <w:div w:id="384260883">
      <w:bodyDiv w:val="1"/>
      <w:marLeft w:val="0"/>
      <w:marRight w:val="0"/>
      <w:marTop w:val="0"/>
      <w:marBottom w:val="0"/>
      <w:divBdr>
        <w:top w:val="none" w:sz="0" w:space="0" w:color="auto"/>
        <w:left w:val="none" w:sz="0" w:space="0" w:color="auto"/>
        <w:bottom w:val="none" w:sz="0" w:space="0" w:color="auto"/>
        <w:right w:val="none" w:sz="0" w:space="0" w:color="auto"/>
      </w:divBdr>
    </w:div>
    <w:div w:id="514006387">
      <w:bodyDiv w:val="1"/>
      <w:marLeft w:val="0"/>
      <w:marRight w:val="0"/>
      <w:marTop w:val="0"/>
      <w:marBottom w:val="0"/>
      <w:divBdr>
        <w:top w:val="none" w:sz="0" w:space="0" w:color="auto"/>
        <w:left w:val="none" w:sz="0" w:space="0" w:color="auto"/>
        <w:bottom w:val="none" w:sz="0" w:space="0" w:color="auto"/>
        <w:right w:val="none" w:sz="0" w:space="0" w:color="auto"/>
      </w:divBdr>
    </w:div>
    <w:div w:id="1129977503">
      <w:bodyDiv w:val="1"/>
      <w:marLeft w:val="0"/>
      <w:marRight w:val="0"/>
      <w:marTop w:val="0"/>
      <w:marBottom w:val="0"/>
      <w:divBdr>
        <w:top w:val="none" w:sz="0" w:space="0" w:color="auto"/>
        <w:left w:val="none" w:sz="0" w:space="0" w:color="auto"/>
        <w:bottom w:val="none" w:sz="0" w:space="0" w:color="auto"/>
        <w:right w:val="none" w:sz="0" w:space="0" w:color="auto"/>
      </w:divBdr>
    </w:div>
    <w:div w:id="1436902765">
      <w:bodyDiv w:val="1"/>
      <w:marLeft w:val="0"/>
      <w:marRight w:val="0"/>
      <w:marTop w:val="0"/>
      <w:marBottom w:val="0"/>
      <w:divBdr>
        <w:top w:val="none" w:sz="0" w:space="0" w:color="auto"/>
        <w:left w:val="none" w:sz="0" w:space="0" w:color="auto"/>
        <w:bottom w:val="none" w:sz="0" w:space="0" w:color="auto"/>
        <w:right w:val="none" w:sz="0" w:space="0" w:color="auto"/>
      </w:divBdr>
    </w:div>
    <w:div w:id="1886485134">
      <w:bodyDiv w:val="1"/>
      <w:marLeft w:val="0"/>
      <w:marRight w:val="0"/>
      <w:marTop w:val="0"/>
      <w:marBottom w:val="0"/>
      <w:divBdr>
        <w:top w:val="none" w:sz="0" w:space="0" w:color="auto"/>
        <w:left w:val="none" w:sz="0" w:space="0" w:color="auto"/>
        <w:bottom w:val="none" w:sz="0" w:space="0" w:color="auto"/>
        <w:right w:val="none" w:sz="0" w:space="0" w:color="auto"/>
      </w:divBdr>
    </w:div>
    <w:div w:id="2066294662">
      <w:bodyDiv w:val="1"/>
      <w:marLeft w:val="0"/>
      <w:marRight w:val="0"/>
      <w:marTop w:val="0"/>
      <w:marBottom w:val="0"/>
      <w:divBdr>
        <w:top w:val="none" w:sz="0" w:space="0" w:color="auto"/>
        <w:left w:val="none" w:sz="0" w:space="0" w:color="auto"/>
        <w:bottom w:val="none" w:sz="0" w:space="0" w:color="auto"/>
        <w:right w:val="none" w:sz="0" w:space="0" w:color="auto"/>
      </w:divBdr>
    </w:div>
    <w:div w:id="21117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swinburne.edu.au/about/policies-regulations/people-culture-integrity/" TargetMode="External"/><Relationship Id="rId26" Type="http://schemas.openxmlformats.org/officeDocument/2006/relationships/hyperlink" Target="https://www.swinburne.edu.au/about/strategy-initiatives/equity-diversity/diversity-inclusion-strategy-framework" TargetMode="External"/><Relationship Id="rId39" Type="http://schemas.openxmlformats.org/officeDocument/2006/relationships/header" Target="header2.xml"/><Relationship Id="rId21" Type="http://schemas.openxmlformats.org/officeDocument/2006/relationships/hyperlink" Target="https://www.swinburne.edu.au/about/policies-regulations/privacy-guidelines" TargetMode="External"/><Relationship Id="rId34" Type="http://schemas.openxmlformats.org/officeDocument/2006/relationships/hyperlink" Target="https://www.swinburne.edu.au/design-factory-melbourne/study-innovation"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winburne.edu.au/adastra/co-creating-industries-of-the-future/" TargetMode="External"/><Relationship Id="rId20" Type="http://schemas.openxmlformats.org/officeDocument/2006/relationships/hyperlink" Target="https://www.swinburne.edu.au/about/policies-regulations/it-acceptable-use" TargetMode="External"/><Relationship Id="rId29" Type="http://schemas.openxmlformats.org/officeDocument/2006/relationships/hyperlink" Target="https://www.swinburne.edu.au/about/strategy-initiatives/cultural-diversity/"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winburne.edu.au/about/policies-regulations/prevention-of-sexual-harm-and-response-policy" TargetMode="External"/><Relationship Id="rId32" Type="http://schemas.openxmlformats.org/officeDocument/2006/relationships/hyperlink" Target="https://www.swinburne.edu.au/study/options/scholarships/list/" TargetMode="External"/><Relationship Id="rId37" Type="http://schemas.openxmlformats.org/officeDocument/2006/relationships/hyperlink" Target="https://www.swinburne.edu.au/research/platforms-initiatives/innovation-studio/elevate-program"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winburne.edu.au/adastra/leading-and-leveraging-technology-for-purpose/" TargetMode="External"/><Relationship Id="rId23" Type="http://schemas.openxmlformats.org/officeDocument/2006/relationships/hyperlink" Target="https://www.swinburne.edu.au/about/policies-regulations/improper-conduct" TargetMode="External"/><Relationship Id="rId28" Type="http://schemas.openxmlformats.org/officeDocument/2006/relationships/hyperlink" Target="https://www.swinburne.edu.au/about/strategy-initiatives/equity-diversity/science-in-australia-gender-equity" TargetMode="External"/><Relationship Id="rId36" Type="http://schemas.openxmlformats.org/officeDocument/2006/relationships/hyperlink" Target="https://www.swinburne.edu.au/research/platforms-initiatives/innovation-studio/luminate-program" TargetMode="External"/><Relationship Id="rId10" Type="http://schemas.openxmlformats.org/officeDocument/2006/relationships/endnotes" Target="endnotes.xml"/><Relationship Id="rId19" Type="http://schemas.openxmlformats.org/officeDocument/2006/relationships/hyperlink" Target="https://www.swinburne.edu.au/about/policies-regulations/artificial-intelligence-guidelines" TargetMode="External"/><Relationship Id="rId31" Type="http://schemas.openxmlformats.org/officeDocument/2006/relationships/hyperlink" Target="https://www.swinburne.edu.au/about/strategy-initiatives/equity-diversity/diversity-inclusion-strategy-framewor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nburne.edu.au/adastra/" TargetMode="External"/><Relationship Id="rId22" Type="http://schemas.openxmlformats.org/officeDocument/2006/relationships/hyperlink" Target="https://www.swinburne.edu.au/about/policies-regulations/complaints-management" TargetMode="External"/><Relationship Id="rId27" Type="http://schemas.openxmlformats.org/officeDocument/2006/relationships/hyperlink" Target="https://www.swinburne.edu.au/about/strategy-initiatives/equity-diversity/disabled-equity-action-plan/" TargetMode="External"/><Relationship Id="rId30" Type="http://schemas.openxmlformats.org/officeDocument/2006/relationships/hyperlink" Target="https://www.swinburne.edu.au/about/strategy-initiatives/moondani-toombadool-centre" TargetMode="External"/><Relationship Id="rId35" Type="http://schemas.openxmlformats.org/officeDocument/2006/relationships/hyperlink" Target="https://www.swinburne.edu.au/research/platforms-initiatives/innovation-studio/initiate-progra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winburne.edu.au/adastra/the-world-is-our-campus/" TargetMode="External"/><Relationship Id="rId25" Type="http://schemas.openxmlformats.org/officeDocument/2006/relationships/hyperlink" Target="https://www.swinburne.edu.au/about/strategy-initiatives/equity-diversity/diversity-inclusion-strategy-framework" TargetMode="External"/><Relationship Id="rId33" Type="http://schemas.openxmlformats.org/officeDocument/2006/relationships/hyperlink" Target="https://www.swinburne.edu.au/design-factory-melbourne/become-an-innovative-busines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4.xml><?xml version="1.0" encoding="utf-8"?>
<ds:datastoreItem xmlns:ds="http://schemas.openxmlformats.org/officeDocument/2006/customXml" ds:itemID="{9511EC43-92D5-4FD6-9EE7-71E0CBBD6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2270</Words>
  <Characters>13755</Characters>
  <Application>Microsoft Office Word</Application>
  <DocSecurity>0</DocSecurity>
  <Lines>237</Lines>
  <Paragraphs>72</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11</cp:revision>
  <cp:lastPrinted>2025-12-01T05:26:00Z</cp:lastPrinted>
  <dcterms:created xsi:type="dcterms:W3CDTF">2025-11-23T22:50:00Z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y fmtid="{D5CDD505-2E9C-101B-9397-08002B2CF9AE}" pid="15" name="ClassificationContentMarkingHeaderShapeIds">
    <vt:lpwstr>71b6c4cb,578437df,423787b9</vt:lpwstr>
  </property>
  <property fmtid="{D5CDD505-2E9C-101B-9397-08002B2CF9AE}" pid="16" name="ClassificationContentMarkingHeaderFontProps">
    <vt:lpwstr>#000000,12,Calibri</vt:lpwstr>
  </property>
  <property fmtid="{D5CDD505-2E9C-101B-9397-08002B2CF9AE}" pid="17" name="ClassificationContentMarkingHeaderText">
    <vt:lpwstr>Internal</vt:lpwstr>
  </property>
</Properties>
</file>