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6DCF43EC">
        <w:trPr>
          <w:cantSplit/>
        </w:trPr>
        <w:tc>
          <w:tcPr>
            <w:tcW w:w="5000" w:type="pct"/>
            <w:tcBorders>
              <w:bottom w:val="single" w:sz="4" w:space="0" w:color="auto"/>
            </w:tcBorders>
          </w:tcPr>
          <w:p w14:paraId="26FC6577" w14:textId="12C84AFB" w:rsidR="001B109C" w:rsidRPr="00F3065B" w:rsidRDefault="001B109C" w:rsidP="00F3065B">
            <w:pPr>
              <w:pStyle w:val="Heading4"/>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F3065B">
              <w:t xml:space="preserve">Southern Cross University </w:t>
            </w:r>
            <w:r w:rsidR="00F3065B">
              <w:br/>
            </w:r>
          </w:p>
        </w:tc>
      </w:tr>
      <w:tr w:rsidR="001B109C" w:rsidRPr="00E41388" w14:paraId="2126955C" w14:textId="77777777" w:rsidTr="6DCF43EC">
        <w:trPr>
          <w:cantSplit/>
        </w:trPr>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6DCF43EC">
        <w:trPr>
          <w:cantSplit/>
          <w:trHeight w:val="1682"/>
        </w:trPr>
        <w:tc>
          <w:tcPr>
            <w:tcW w:w="5000" w:type="pct"/>
            <w:tcBorders>
              <w:bottom w:val="single" w:sz="4" w:space="0" w:color="auto"/>
            </w:tcBorders>
          </w:tcPr>
          <w:p w14:paraId="603CAB15" w14:textId="357DAB3E"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w:t>
            </w:r>
            <w:proofErr w:type="gramStart"/>
            <w:r w:rsidRPr="6DCF43EC">
              <w:rPr>
                <w:rFonts w:asciiTheme="minorHAnsi" w:hAnsiTheme="minorHAnsi" w:cstheme="minorBidi"/>
              </w:rPr>
              <w:t>Entering into</w:t>
            </w:r>
            <w:proofErr w:type="gramEnd"/>
            <w:r w:rsidRPr="6DCF43EC">
              <w:rPr>
                <w:rFonts w:asciiTheme="minorHAnsi" w:hAnsiTheme="minorHAnsi" w:cstheme="minorBidi"/>
              </w:rPr>
              <w:t xml:space="preserve">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w:t>
            </w:r>
            <w:proofErr w:type="gramStart"/>
            <w:r w:rsidRPr="6DCF43EC">
              <w:rPr>
                <w:rFonts w:asciiTheme="minorHAnsi" w:hAnsiTheme="minorHAnsi" w:cstheme="minorBidi"/>
              </w:rPr>
              <w:t>enter into</w:t>
            </w:r>
            <w:proofErr w:type="gramEnd"/>
            <w:r w:rsidRPr="6DCF43EC">
              <w:rPr>
                <w:rFonts w:asciiTheme="minorHAnsi" w:hAnsiTheme="minorHAnsi" w:cstheme="minorBidi"/>
              </w:rPr>
              <w:t xml:space="preserve">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rsidP="00962F05">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6DCF43EC">
        <w:trPr>
          <w:cantSplit/>
        </w:trPr>
        <w:tc>
          <w:tcPr>
            <w:tcW w:w="5000" w:type="pct"/>
          </w:tcPr>
          <w:p w14:paraId="43C124C8" w14:textId="55208677" w:rsidR="001B109C" w:rsidRPr="00E169EE" w:rsidRDefault="00F30BFA" w:rsidP="00F30BFA">
            <w:pPr>
              <w:pStyle w:val="Heading4"/>
              <w:keepLines w:val="0"/>
              <w:spacing w:before="180" w:after="60"/>
            </w:pPr>
            <w:r w:rsidRPr="00F30BFA">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00F3065B">
        <w:trPr>
          <w:trHeight w:val="1123"/>
        </w:trPr>
        <w:tc>
          <w:tcPr>
            <w:tcW w:w="5000" w:type="pct"/>
            <w:tcBorders>
              <w:bottom w:val="single" w:sz="4" w:space="0" w:color="auto"/>
            </w:tcBorders>
          </w:tcPr>
          <w:p w14:paraId="183AFE5D" w14:textId="35E26513" w:rsidR="001B109C" w:rsidRPr="00F3065B" w:rsidRDefault="001B109C" w:rsidP="00962F05">
            <w:pPr>
              <w:pStyle w:val="NormalIndent"/>
              <w:spacing w:before="0" w:after="0"/>
              <w:ind w:left="0"/>
              <w:rPr>
                <w:rFonts w:asciiTheme="minorHAnsi" w:hAnsiTheme="minorHAnsi" w:cstheme="minorHAnsi"/>
                <w:szCs w:val="22"/>
              </w:rPr>
            </w:pPr>
          </w:p>
          <w:p w14:paraId="4BDC8816" w14:textId="77777777" w:rsidR="00F3065B" w:rsidRDefault="00F3065B" w:rsidP="00F3065B">
            <w:pPr>
              <w:pStyle w:val="NoSpacing"/>
            </w:pPr>
            <w:r w:rsidRPr="002E5C97">
              <w:t xml:space="preserve">Southern Cross University’s </w:t>
            </w:r>
            <w:r>
              <w:t xml:space="preserve">purpose </w:t>
            </w:r>
            <w:proofErr w:type="gramStart"/>
            <w:r w:rsidRPr="002E5C97">
              <w:t>—“</w:t>
            </w:r>
            <w:proofErr w:type="gramEnd"/>
            <w:r w:rsidRPr="002E5C97">
              <w:t>Changing lives through revolutionary learning and research with real impact”—</w:t>
            </w:r>
            <w:r>
              <w:t xml:space="preserve"> </w:t>
            </w:r>
            <w:r w:rsidRPr="002E5C97">
              <w:t xml:space="preserve">continues to guide our strategic direction. Our </w:t>
            </w:r>
            <w:hyperlink r:id="rId14" w:history="1">
              <w:r w:rsidRPr="009863E9">
                <w:rPr>
                  <w:rStyle w:val="Hyperlink"/>
                </w:rPr>
                <w:t>Strategy 2030</w:t>
              </w:r>
            </w:hyperlink>
            <w:r>
              <w:t xml:space="preserve"> </w:t>
            </w:r>
            <w:r w:rsidRPr="002E5C97">
              <w:t>responds to evolving sector dynamics including technological disruption, regulatory reform, and shifting societal expectations.</w:t>
            </w:r>
          </w:p>
          <w:p w14:paraId="665DA1D6" w14:textId="77777777" w:rsidR="00F3065B" w:rsidRPr="002E5C97" w:rsidRDefault="00F3065B" w:rsidP="00F3065B">
            <w:pPr>
              <w:pStyle w:val="NoSpacing"/>
            </w:pPr>
          </w:p>
          <w:p w14:paraId="31167386" w14:textId="77777777" w:rsidR="00F3065B" w:rsidRPr="002E5C97" w:rsidRDefault="00F3065B" w:rsidP="00F3065B">
            <w:pPr>
              <w:pStyle w:val="NoSpacing"/>
            </w:pPr>
            <w:r w:rsidRPr="002E5C97">
              <w:rPr>
                <w:rStyle w:val="Strong"/>
                <w:rFonts w:cs="Times New Roman"/>
              </w:rPr>
              <w:t>Strategic Planning and Key Outcomes</w:t>
            </w:r>
            <w:r w:rsidRPr="002E5C97">
              <w:t xml:space="preserve"> </w:t>
            </w:r>
          </w:p>
          <w:p w14:paraId="455A9AEB" w14:textId="77777777" w:rsidR="00F3065B" w:rsidRPr="002E5C97" w:rsidRDefault="00F3065B" w:rsidP="00F3065B">
            <w:pPr>
              <w:pStyle w:val="NoSpacing"/>
            </w:pPr>
            <w:r w:rsidRPr="002E5C97">
              <w:t>Our strategy is structured around three core pillars: Teaching &amp; Learning, Research &amp; Impact, and Community &amp; Enterprise Enablers.</w:t>
            </w:r>
            <w:r>
              <w:br/>
            </w:r>
          </w:p>
          <w:p w14:paraId="3FF60EE6" w14:textId="77777777" w:rsidR="00F3065B" w:rsidRPr="002E5C97" w:rsidRDefault="00F3065B" w:rsidP="00F3065B">
            <w:pPr>
              <w:pStyle w:val="NoSpacing"/>
              <w:rPr>
                <w:i/>
                <w:iCs/>
              </w:rPr>
            </w:pPr>
            <w:r w:rsidRPr="002E5C97">
              <w:rPr>
                <w:rStyle w:val="Strong"/>
                <w:rFonts w:cs="Times New Roman"/>
                <w:i/>
                <w:iCs/>
              </w:rPr>
              <w:t>Teaching &amp; Learning</w:t>
            </w:r>
            <w:r w:rsidRPr="002E5C97">
              <w:rPr>
                <w:i/>
                <w:iCs/>
              </w:rPr>
              <w:t xml:space="preserve"> </w:t>
            </w:r>
          </w:p>
          <w:p w14:paraId="5DA66C1D" w14:textId="77777777" w:rsidR="00F3065B" w:rsidRPr="002E5C97" w:rsidRDefault="00F3065B" w:rsidP="00F3065B">
            <w:pPr>
              <w:pStyle w:val="NoSpacing"/>
            </w:pPr>
            <w:r w:rsidRPr="002E5C97">
              <w:t>We aim to uplift student satisfaction and success through the Southern Cross Model (SCM), which delivers focused, active learning in six-week blocks. We are launching SCU Academy to drive teaching excellence, enhance peer engagement, and simplify course structures. Flagship programs in Veterinary Medicine and Physiotherapy address regional workforce needs, while offerings like the Master of Teaching and Master of Nursing support national skills priorities. Key metrics include retention, success rates, and student experience scores.</w:t>
            </w:r>
            <w:r>
              <w:br/>
            </w:r>
          </w:p>
          <w:p w14:paraId="548E7737" w14:textId="77777777" w:rsidR="00F3065B" w:rsidRPr="002E5C97" w:rsidRDefault="00F3065B" w:rsidP="00F3065B">
            <w:pPr>
              <w:pStyle w:val="NoSpacing"/>
              <w:rPr>
                <w:i/>
                <w:iCs/>
              </w:rPr>
            </w:pPr>
            <w:r w:rsidRPr="002E5C97">
              <w:rPr>
                <w:rStyle w:val="Strong"/>
                <w:rFonts w:cs="Times New Roman"/>
                <w:i/>
                <w:iCs/>
              </w:rPr>
              <w:t>Equity and Inclusion</w:t>
            </w:r>
            <w:r w:rsidRPr="002E5C97">
              <w:rPr>
                <w:i/>
                <w:iCs/>
              </w:rPr>
              <w:t xml:space="preserve"> </w:t>
            </w:r>
          </w:p>
          <w:p w14:paraId="78805B49" w14:textId="77777777" w:rsidR="00F3065B" w:rsidRPr="002E5C97" w:rsidRDefault="00F3065B" w:rsidP="00F3065B">
            <w:pPr>
              <w:pStyle w:val="NoSpacing"/>
            </w:pPr>
            <w:r w:rsidRPr="002E5C97">
              <w:t>We continue to support Aboriginal and Torres Strait Islander students, with representation double the national average</w:t>
            </w:r>
            <w:r>
              <w:t xml:space="preserve"> within our student cohort</w:t>
            </w:r>
            <w:r w:rsidRPr="002E5C97">
              <w:t xml:space="preserve">. Under the SCM, success and retention have improved across low SES, first-in-family, regional, and disability cohorts. </w:t>
            </w:r>
            <w:r w:rsidRPr="002E5C97">
              <w:lastRenderedPageBreak/>
              <w:t>Further uplift remains a priority</w:t>
            </w:r>
            <w:r>
              <w:t>.</w:t>
            </w:r>
            <w:r>
              <w:br/>
            </w:r>
          </w:p>
          <w:p w14:paraId="6F3AE558" w14:textId="77777777" w:rsidR="00F3065B" w:rsidRPr="002E5C97" w:rsidRDefault="00F3065B" w:rsidP="00F3065B">
            <w:pPr>
              <w:pStyle w:val="NoSpacing"/>
              <w:rPr>
                <w:i/>
                <w:iCs/>
              </w:rPr>
            </w:pPr>
            <w:r w:rsidRPr="002E5C97">
              <w:rPr>
                <w:rStyle w:val="Strong"/>
                <w:rFonts w:cs="Times New Roman"/>
                <w:i/>
                <w:iCs/>
              </w:rPr>
              <w:t>Research &amp; Impact</w:t>
            </w:r>
            <w:r w:rsidRPr="002E5C97">
              <w:rPr>
                <w:i/>
                <w:iCs/>
              </w:rPr>
              <w:t xml:space="preserve"> </w:t>
            </w:r>
          </w:p>
          <w:p w14:paraId="417D5B7A" w14:textId="77777777" w:rsidR="00F3065B" w:rsidRDefault="00F3065B" w:rsidP="00F3065B">
            <w:pPr>
              <w:pStyle w:val="NoSpacing"/>
            </w:pPr>
            <w:r w:rsidRPr="002E5C97">
              <w:t xml:space="preserve">We are investing in high-impact, interdisciplinary research aligned with our teaching portfolio. Initiatives include </w:t>
            </w:r>
            <w:proofErr w:type="spellStart"/>
            <w:r w:rsidRPr="002E5C97">
              <w:t>EmpoweredRD</w:t>
            </w:r>
            <w:proofErr w:type="spellEnd"/>
            <w:r w:rsidRPr="002E5C97">
              <w:t>, strategic industry partnerships, and enhanced researcher capability through AI and e-research tools. Programs like the SISTA suite in Indigenous Women’s Health reflect our commitment to community-driven, nationally relevant research. Metrics include research revenue, impact (FWCI), HDR completions, and global rankings.</w:t>
            </w:r>
          </w:p>
          <w:p w14:paraId="012B3090" w14:textId="77777777" w:rsidR="00F3065B" w:rsidRPr="002E5C97" w:rsidRDefault="00F3065B" w:rsidP="00F3065B">
            <w:pPr>
              <w:pStyle w:val="NoSpacing"/>
            </w:pPr>
          </w:p>
          <w:p w14:paraId="70F2C499" w14:textId="77777777" w:rsidR="00F3065B" w:rsidRPr="002E5C97" w:rsidRDefault="00F3065B" w:rsidP="00F3065B">
            <w:pPr>
              <w:pStyle w:val="NoSpacing"/>
              <w:rPr>
                <w:i/>
                <w:iCs/>
              </w:rPr>
            </w:pPr>
            <w:r w:rsidRPr="002E5C97">
              <w:rPr>
                <w:rStyle w:val="Strong"/>
                <w:rFonts w:cs="Times New Roman"/>
                <w:i/>
                <w:iCs/>
              </w:rPr>
              <w:t>Community &amp; Enterprise</w:t>
            </w:r>
            <w:r w:rsidRPr="002E5C97">
              <w:rPr>
                <w:i/>
                <w:iCs/>
              </w:rPr>
              <w:t xml:space="preserve"> </w:t>
            </w:r>
          </w:p>
          <w:p w14:paraId="2C6D1BF1" w14:textId="77777777" w:rsidR="00F3065B" w:rsidRDefault="00F3065B" w:rsidP="00F3065B">
            <w:pPr>
              <w:pStyle w:val="NoSpacing"/>
            </w:pPr>
            <w:r w:rsidRPr="002E5C97">
              <w:t xml:space="preserve">We are enhancing digital experiences, revitalising campus culture, expanding student accommodation, and deepening alumni engagement. Key projects include new facilities at Coffs Harbour and Lismore, improved stakeholder NPS, and </w:t>
            </w:r>
            <w:r>
              <w:t>measured growth in philanthropic support.</w:t>
            </w:r>
          </w:p>
          <w:p w14:paraId="70D5C364" w14:textId="77777777" w:rsidR="00F3065B" w:rsidRPr="002E5C97" w:rsidRDefault="00F3065B" w:rsidP="00F3065B">
            <w:pPr>
              <w:pStyle w:val="NoSpacing"/>
            </w:pPr>
          </w:p>
          <w:p w14:paraId="53B5C12C" w14:textId="77777777" w:rsidR="00F3065B" w:rsidRPr="002E5C97" w:rsidRDefault="00F3065B" w:rsidP="00F3065B">
            <w:pPr>
              <w:pStyle w:val="NoSpacing"/>
            </w:pPr>
            <w:r w:rsidRPr="002E5C97">
              <w:rPr>
                <w:rStyle w:val="Strong"/>
                <w:rFonts w:cs="Times New Roman"/>
              </w:rPr>
              <w:t>Student Safety</w:t>
            </w:r>
            <w:r w:rsidRPr="002E5C97">
              <w:t xml:space="preserve"> </w:t>
            </w:r>
          </w:p>
          <w:p w14:paraId="7EC099E9" w14:textId="77777777" w:rsidR="00F3065B" w:rsidRDefault="00F3065B" w:rsidP="00F3065B">
            <w:pPr>
              <w:pStyle w:val="NoSpacing"/>
            </w:pPr>
            <w:r w:rsidRPr="002E5C97">
              <w:t xml:space="preserve">We are committed to a safe and inclusive environment. Our safety leadership program and critical risk framework are being deployed across campuses. The Momentum performance system supports a culture of accountability and </w:t>
            </w:r>
            <w:proofErr w:type="gramStart"/>
            <w:r w:rsidRPr="002E5C97">
              <w:t>wellbeing</w:t>
            </w:r>
            <w:r>
              <w:t>, and</w:t>
            </w:r>
            <w:proofErr w:type="gramEnd"/>
            <w:r>
              <w:t xml:space="preserve"> has been deployed across the University.</w:t>
            </w:r>
          </w:p>
          <w:p w14:paraId="3DDD732F" w14:textId="77777777" w:rsidR="00F3065B" w:rsidRDefault="00F3065B" w:rsidP="00F3065B">
            <w:pPr>
              <w:pStyle w:val="NoSpacing"/>
              <w:rPr>
                <w:rStyle w:val="Strong"/>
                <w:rFonts w:cs="Times New Roman"/>
              </w:rPr>
            </w:pPr>
          </w:p>
          <w:p w14:paraId="7398AF82" w14:textId="77777777" w:rsidR="00F3065B" w:rsidRPr="002E5C97" w:rsidRDefault="00F3065B" w:rsidP="00F3065B">
            <w:pPr>
              <w:pStyle w:val="NoSpacing"/>
            </w:pPr>
            <w:r w:rsidRPr="002E5C97">
              <w:rPr>
                <w:rStyle w:val="Strong"/>
                <w:rFonts w:cs="Times New Roman"/>
              </w:rPr>
              <w:t>Cyber Security</w:t>
            </w:r>
            <w:r w:rsidRPr="002E5C97">
              <w:t xml:space="preserve"> </w:t>
            </w:r>
          </w:p>
          <w:p w14:paraId="4391FB79" w14:textId="77777777" w:rsidR="00F3065B" w:rsidRDefault="00F3065B" w:rsidP="00F3065B">
            <w:pPr>
              <w:pStyle w:val="NoSpacing"/>
            </w:pPr>
            <w:r w:rsidRPr="002E5C97">
              <w:t xml:space="preserve">We are migrating core systems to private cloud infrastructure, enhancing network monitoring, deploying </w:t>
            </w:r>
            <w:r>
              <w:t>multi-factor authentication (</w:t>
            </w:r>
            <w:r w:rsidRPr="002E5C97">
              <w:t>MFA</w:t>
            </w:r>
            <w:r>
              <w:t>)</w:t>
            </w:r>
            <w:r w:rsidRPr="002E5C97">
              <w:t xml:space="preserve">, and rolling out a cyber awareness program. Our Cyber Strategy aligns with the NIST Framework and ASD Essential </w:t>
            </w:r>
            <w:proofErr w:type="gramStart"/>
            <w:r w:rsidRPr="002E5C97">
              <w:t>8</w:t>
            </w:r>
            <w:r>
              <w:t>, and</w:t>
            </w:r>
            <w:proofErr w:type="gramEnd"/>
            <w:r>
              <w:t xml:space="preserve"> is actively monitored by our Risk Committee.</w:t>
            </w:r>
          </w:p>
          <w:p w14:paraId="52692480" w14:textId="77777777" w:rsidR="00F3065B" w:rsidRPr="002E5C97" w:rsidRDefault="00F3065B" w:rsidP="00F3065B">
            <w:pPr>
              <w:pStyle w:val="NoSpacing"/>
            </w:pPr>
          </w:p>
          <w:p w14:paraId="26AA30A5" w14:textId="77777777" w:rsidR="00F3065B" w:rsidRPr="002E5C97" w:rsidRDefault="00F3065B" w:rsidP="00F3065B">
            <w:pPr>
              <w:pStyle w:val="NoSpacing"/>
            </w:pPr>
            <w:r w:rsidRPr="002E5C97">
              <w:rPr>
                <w:rStyle w:val="Strong"/>
                <w:rFonts w:cs="Times New Roman"/>
              </w:rPr>
              <w:t>Countering Foreign Interference</w:t>
            </w:r>
            <w:r w:rsidRPr="002E5C97">
              <w:t xml:space="preserve"> </w:t>
            </w:r>
          </w:p>
          <w:p w14:paraId="6A19043A" w14:textId="77777777" w:rsidR="00F3065B" w:rsidRDefault="00F3065B" w:rsidP="00F3065B">
            <w:pPr>
              <w:pStyle w:val="NoSpacing"/>
            </w:pPr>
            <w:r w:rsidRPr="002E5C97">
              <w:t>SCU is committed to safeguarding institutional integrity. We are implementing enhanced risk protocols, vetting international partnerships, and aligning with national guidelines to protect research, data, and academic independence. Staff training and governance oversight ensure vigilance and compliance.</w:t>
            </w:r>
          </w:p>
          <w:p w14:paraId="5CC4208D" w14:textId="77777777" w:rsidR="00F3065B" w:rsidRPr="002E5C97" w:rsidRDefault="00F3065B" w:rsidP="00F3065B">
            <w:pPr>
              <w:pStyle w:val="NoSpacing"/>
            </w:pPr>
          </w:p>
          <w:p w14:paraId="6B21A83F" w14:textId="77777777" w:rsidR="00F3065B" w:rsidRPr="002E5C97" w:rsidRDefault="00F3065B" w:rsidP="00F3065B">
            <w:pPr>
              <w:pStyle w:val="NoSpacing"/>
            </w:pPr>
            <w:r w:rsidRPr="002E5C97">
              <w:rPr>
                <w:rStyle w:val="Strong"/>
                <w:rFonts w:cs="Times New Roman"/>
              </w:rPr>
              <w:t>Freedom of Speech and Academic Freedom</w:t>
            </w:r>
            <w:r w:rsidRPr="002E5C97">
              <w:t xml:space="preserve"> </w:t>
            </w:r>
          </w:p>
          <w:p w14:paraId="05406FBA" w14:textId="77777777" w:rsidR="00F3065B" w:rsidRDefault="00F3065B" w:rsidP="00F3065B">
            <w:pPr>
              <w:pStyle w:val="NoSpacing"/>
            </w:pPr>
            <w:r w:rsidRPr="002E5C97">
              <w:t xml:space="preserve">We uphold freedom of speech and academic freedom as core to our </w:t>
            </w:r>
            <w:r>
              <w:t>identity</w:t>
            </w:r>
            <w:r w:rsidRPr="002E5C97">
              <w:t>. Our policies align with the Model Code, ensuring staff and students can engage in robust debate and inquiry without fear or censorship. These principles are embedded in governance, curriculum design, and research practice.</w:t>
            </w:r>
          </w:p>
          <w:p w14:paraId="140AE959" w14:textId="77777777" w:rsidR="00F3065B" w:rsidRPr="002E5C97" w:rsidRDefault="00F3065B" w:rsidP="00F3065B">
            <w:pPr>
              <w:pStyle w:val="NoSpacing"/>
            </w:pPr>
          </w:p>
          <w:p w14:paraId="01A6A658" w14:textId="77777777" w:rsidR="00F3065B" w:rsidRPr="002E5C97" w:rsidRDefault="00F3065B" w:rsidP="00F3065B">
            <w:pPr>
              <w:pStyle w:val="NoSpacing"/>
            </w:pPr>
            <w:r w:rsidRPr="002E5C97">
              <w:rPr>
                <w:rStyle w:val="Strong"/>
                <w:rFonts w:cs="Times New Roman"/>
              </w:rPr>
              <w:t>Measurement and Accountability</w:t>
            </w:r>
            <w:r w:rsidRPr="002E5C97">
              <w:t xml:space="preserve"> </w:t>
            </w:r>
          </w:p>
          <w:p w14:paraId="71483B7B" w14:textId="77777777" w:rsidR="00F3065B" w:rsidRPr="009962C4" w:rsidRDefault="00F3065B" w:rsidP="00F3065B">
            <w:pPr>
              <w:pStyle w:val="NoSpacing"/>
            </w:pPr>
            <w:r w:rsidRPr="002E5C97">
              <w:t>Progress is reported to University Council five times annually, with metrics, delivery status, and qualitative insights across all pillars. Executive objectives are reviewed by the People &amp; Culture Committee to ensure transparency, alignment, and strategic accountability.</w:t>
            </w:r>
          </w:p>
          <w:p w14:paraId="494C2E4D" w14:textId="77777777" w:rsidR="001B109C" w:rsidRPr="00F3065B" w:rsidRDefault="001B109C" w:rsidP="00962F05">
            <w:pPr>
              <w:pStyle w:val="NormalIndent"/>
              <w:spacing w:before="0" w:after="0"/>
              <w:ind w:left="0"/>
              <w:rPr>
                <w:rFonts w:asciiTheme="minorHAnsi" w:hAnsiTheme="minorHAnsi" w:cstheme="minorHAnsi"/>
                <w:szCs w:val="22"/>
              </w:rPr>
            </w:pPr>
          </w:p>
          <w:p w14:paraId="0A990CED" w14:textId="77777777" w:rsidR="001B109C" w:rsidRDefault="001B109C" w:rsidP="00962F05">
            <w:pPr>
              <w:pStyle w:val="NormalIndent"/>
              <w:spacing w:before="0" w:after="0"/>
              <w:ind w:left="0"/>
              <w:rPr>
                <w:rFonts w:asciiTheme="minorHAnsi" w:hAnsiTheme="minorHAnsi" w:cstheme="minorHAnsi"/>
                <w:i/>
                <w:iCs/>
                <w:szCs w:val="22"/>
              </w:rPr>
            </w:pPr>
          </w:p>
          <w:p w14:paraId="2C91A87B" w14:textId="77777777" w:rsidR="001B109C" w:rsidRPr="005774F2" w:rsidRDefault="001B109C" w:rsidP="00962F05">
            <w:pPr>
              <w:pStyle w:val="NormalIndent"/>
              <w:spacing w:before="0" w:after="0"/>
              <w:ind w:left="0"/>
              <w:rPr>
                <w:rFonts w:asciiTheme="minorHAnsi" w:hAnsiTheme="minorHAnsi" w:cstheme="minorHAnsi"/>
                <w:i/>
                <w:iCs/>
                <w:szCs w:val="22"/>
              </w:rPr>
            </w:pPr>
          </w:p>
        </w:tc>
      </w:tr>
      <w:tr w:rsidR="001B109C" w:rsidRPr="00E41388" w14:paraId="0EA45E0C" w14:textId="77777777" w:rsidTr="6DCF43EC">
        <w:trPr>
          <w:cantSplit/>
        </w:trPr>
        <w:tc>
          <w:tcPr>
            <w:tcW w:w="5000" w:type="pct"/>
          </w:tcPr>
          <w:p w14:paraId="767F59C9" w14:textId="6521BCE0" w:rsidR="001B109C" w:rsidRDefault="00462848" w:rsidP="00F30BFA">
            <w:pPr>
              <w:pStyle w:val="Heading4"/>
              <w:keepLines w:val="0"/>
              <w:spacing w:before="18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00F3065B">
        <w:tc>
          <w:tcPr>
            <w:tcW w:w="5000" w:type="pct"/>
          </w:tcPr>
          <w:p w14:paraId="5404ACDA" w14:textId="77777777" w:rsidR="001B109C" w:rsidRDefault="001B109C" w:rsidP="00962F05">
            <w:pPr>
              <w:pStyle w:val="NormalIndent"/>
              <w:spacing w:before="0" w:after="0"/>
              <w:ind w:left="0"/>
              <w:rPr>
                <w:rFonts w:asciiTheme="minorHAnsi" w:hAnsiTheme="minorHAnsi" w:cstheme="minorHAnsi"/>
                <w:i/>
                <w:color w:val="FF0000"/>
                <w:szCs w:val="22"/>
              </w:rPr>
            </w:pPr>
            <w:bookmarkStart w:id="0" w:name="_Hlk150338733"/>
            <w:bookmarkStart w:id="1" w:name="_Hlk150338471"/>
          </w:p>
          <w:p w14:paraId="09A58A85" w14:textId="77777777" w:rsidR="00F3065B" w:rsidRPr="002E5C97" w:rsidRDefault="00F3065B" w:rsidP="00F3065B">
            <w:pPr>
              <w:pStyle w:val="NoSpacing"/>
              <w:rPr>
                <w:rFonts w:eastAsia="Times New Roman"/>
                <w:color w:val="000000"/>
                <w:kern w:val="0"/>
                <w:lang w:eastAsia="en-GB"/>
                <w14:ligatures w14:val="none"/>
              </w:rPr>
            </w:pPr>
            <w:r w:rsidRPr="002E5C97">
              <w:rPr>
                <w:rFonts w:eastAsia="Times New Roman"/>
                <w:color w:val="000000"/>
                <w:kern w:val="0"/>
                <w:lang w:eastAsia="en-GB"/>
                <w14:ligatures w14:val="none"/>
              </w:rPr>
              <w:t>Southern Cross University (SCU) is a regional institution serving proportionately higher numbers of students from targeted equity groups.</w:t>
            </w:r>
            <w:r>
              <w:rPr>
                <w:rFonts w:eastAsia="Times New Roman"/>
                <w:color w:val="000000"/>
                <w:kern w:val="0"/>
                <w:lang w:eastAsia="en-GB"/>
                <w14:ligatures w14:val="none"/>
              </w:rPr>
              <w:t xml:space="preserve">  The University is focused on enhancing equity outcomes whilst driving a culture of academic excellence.</w:t>
            </w:r>
            <w:r w:rsidRPr="002E5C97">
              <w:rPr>
                <w:rFonts w:eastAsia="Times New Roman"/>
                <w:color w:val="000000"/>
                <w:kern w:val="0"/>
                <w:lang w:eastAsia="en-GB"/>
                <w14:ligatures w14:val="none"/>
              </w:rPr>
              <w:br/>
            </w:r>
          </w:p>
          <w:p w14:paraId="2EBFD0C2" w14:textId="77777777" w:rsidR="00F3065B" w:rsidRPr="002E5C97" w:rsidRDefault="00F3065B" w:rsidP="00F3065B">
            <w:pPr>
              <w:pStyle w:val="NoSpacing"/>
              <w:rPr>
                <w:rFonts w:eastAsia="Times New Roman"/>
                <w:b/>
                <w:bCs/>
                <w:color w:val="000000"/>
                <w:kern w:val="0"/>
                <w:lang w:eastAsia="en-GB"/>
                <w14:ligatures w14:val="none"/>
              </w:rPr>
            </w:pPr>
            <w:r w:rsidRPr="002E5C97">
              <w:rPr>
                <w:rFonts w:eastAsia="Times New Roman"/>
                <w:b/>
                <w:bCs/>
                <w:color w:val="000000"/>
                <w:kern w:val="0"/>
                <w:lang w:eastAsia="en-GB"/>
                <w14:ligatures w14:val="none"/>
              </w:rPr>
              <w:t xml:space="preserve">Equity </w:t>
            </w:r>
            <w:r>
              <w:rPr>
                <w:rFonts w:eastAsia="Times New Roman"/>
                <w:b/>
                <w:bCs/>
                <w:color w:val="000000"/>
                <w:kern w:val="0"/>
                <w:lang w:eastAsia="en-GB"/>
                <w14:ligatures w14:val="none"/>
              </w:rPr>
              <w:t>s</w:t>
            </w:r>
            <w:r w:rsidRPr="002E5C97">
              <w:rPr>
                <w:rFonts w:eastAsia="Times New Roman"/>
                <w:b/>
                <w:bCs/>
                <w:color w:val="000000"/>
                <w:kern w:val="0"/>
                <w:lang w:eastAsia="en-GB"/>
                <w14:ligatures w14:val="none"/>
              </w:rPr>
              <w:t xml:space="preserve">cholarships </w:t>
            </w:r>
            <w:r>
              <w:rPr>
                <w:rFonts w:eastAsia="Times New Roman"/>
                <w:b/>
                <w:bCs/>
                <w:color w:val="000000"/>
                <w:kern w:val="0"/>
                <w:lang w:eastAsia="en-GB"/>
                <w14:ligatures w14:val="none"/>
              </w:rPr>
              <w:t>e</w:t>
            </w:r>
            <w:r w:rsidRPr="002E5C97">
              <w:rPr>
                <w:rFonts w:eastAsia="Times New Roman"/>
                <w:b/>
                <w:bCs/>
                <w:color w:val="000000"/>
                <w:kern w:val="0"/>
                <w:lang w:eastAsia="en-GB"/>
                <w14:ligatures w14:val="none"/>
              </w:rPr>
              <w:t xml:space="preserve">xpansion </w:t>
            </w:r>
          </w:p>
          <w:p w14:paraId="0FB85E0C" w14:textId="77777777" w:rsidR="00F3065B" w:rsidRPr="002E5C97" w:rsidRDefault="00F3065B" w:rsidP="00F3065B">
            <w:pPr>
              <w:pStyle w:val="NoSpacing"/>
              <w:rPr>
                <w:rFonts w:eastAsia="Times New Roman"/>
                <w:color w:val="000000"/>
                <w:kern w:val="0"/>
                <w:lang w:eastAsia="en-GB"/>
                <w14:ligatures w14:val="none"/>
              </w:rPr>
            </w:pPr>
            <w:r w:rsidRPr="002E5C97">
              <w:rPr>
                <w:rFonts w:eastAsia="Times New Roman"/>
                <w:color w:val="000000"/>
                <w:kern w:val="0"/>
                <w:lang w:eastAsia="en-GB"/>
                <w14:ligatures w14:val="none"/>
              </w:rPr>
              <w:t>In 2025 and 2026, SCU is expanding its equity scholarship program to support future and current undergraduate students experiencing disadvantage. These scholarships assist with higher education costs and cover a broad range of circumstances including low socio-economic status, financial hardship, long-term medical conditions or disability, sole-parent or carer responsibilities, Indigenous background, effects of abuse, and English language difficulties.</w:t>
            </w:r>
            <w:r w:rsidRPr="002E5C97">
              <w:rPr>
                <w:rFonts w:eastAsia="Times New Roman"/>
                <w:color w:val="000000"/>
                <w:kern w:val="0"/>
                <w:lang w:eastAsia="en-GB"/>
                <w14:ligatures w14:val="none"/>
              </w:rPr>
              <w:br/>
            </w:r>
          </w:p>
          <w:p w14:paraId="2EFCB559" w14:textId="77777777" w:rsidR="00F3065B" w:rsidRPr="002E5C97" w:rsidRDefault="00F3065B" w:rsidP="00F3065B">
            <w:pPr>
              <w:pStyle w:val="NoSpacing"/>
              <w:rPr>
                <w:rFonts w:eastAsia="Times New Roman"/>
                <w:b/>
                <w:bCs/>
                <w:color w:val="000000"/>
                <w:kern w:val="0"/>
                <w:lang w:eastAsia="en-GB"/>
                <w14:ligatures w14:val="none"/>
              </w:rPr>
            </w:pPr>
            <w:r w:rsidRPr="002E5C97">
              <w:rPr>
                <w:rFonts w:eastAsia="Times New Roman"/>
                <w:b/>
                <w:bCs/>
                <w:color w:val="000000"/>
                <w:kern w:val="0"/>
                <w:lang w:eastAsia="en-GB"/>
                <w14:ligatures w14:val="none"/>
              </w:rPr>
              <w:t xml:space="preserve">Indigenous </w:t>
            </w:r>
            <w:r>
              <w:rPr>
                <w:rFonts w:eastAsia="Times New Roman"/>
                <w:b/>
                <w:bCs/>
                <w:color w:val="000000"/>
                <w:kern w:val="0"/>
                <w:lang w:eastAsia="en-GB"/>
                <w14:ligatures w14:val="none"/>
              </w:rPr>
              <w:t>s</w:t>
            </w:r>
            <w:r w:rsidRPr="002E5C97">
              <w:rPr>
                <w:rFonts w:eastAsia="Times New Roman"/>
                <w:b/>
                <w:bCs/>
                <w:color w:val="000000"/>
                <w:kern w:val="0"/>
                <w:lang w:eastAsia="en-GB"/>
                <w14:ligatures w14:val="none"/>
              </w:rPr>
              <w:t xml:space="preserve">cholarship </w:t>
            </w:r>
            <w:r>
              <w:rPr>
                <w:rFonts w:eastAsia="Times New Roman"/>
                <w:b/>
                <w:bCs/>
                <w:color w:val="000000"/>
                <w:kern w:val="0"/>
                <w:lang w:eastAsia="en-GB"/>
                <w14:ligatures w14:val="none"/>
              </w:rPr>
              <w:t>s</w:t>
            </w:r>
            <w:r w:rsidRPr="002E5C97">
              <w:rPr>
                <w:rFonts w:eastAsia="Times New Roman"/>
                <w:b/>
                <w:bCs/>
                <w:color w:val="000000"/>
                <w:kern w:val="0"/>
                <w:lang w:eastAsia="en-GB"/>
                <w14:ligatures w14:val="none"/>
              </w:rPr>
              <w:t xml:space="preserve">upport </w:t>
            </w:r>
          </w:p>
          <w:p w14:paraId="2FC5D9A5" w14:textId="77777777" w:rsidR="00F3065B" w:rsidRPr="002E5C97" w:rsidRDefault="00F3065B" w:rsidP="00F3065B">
            <w:pPr>
              <w:pStyle w:val="NoSpacing"/>
              <w:rPr>
                <w:rFonts w:eastAsia="Times New Roman"/>
                <w:color w:val="000000"/>
                <w:kern w:val="0"/>
                <w:lang w:eastAsia="en-GB"/>
                <w14:ligatures w14:val="none"/>
              </w:rPr>
            </w:pPr>
            <w:r w:rsidRPr="002E5C97">
              <w:rPr>
                <w:rFonts w:eastAsia="Times New Roman"/>
                <w:color w:val="000000"/>
                <w:kern w:val="0"/>
                <w:lang w:eastAsia="en-GB"/>
                <w14:ligatures w14:val="none"/>
              </w:rPr>
              <w:t xml:space="preserve">SCU offers a diverse suite of scholarships tailored for Indigenous students, easing financial pressures related to study and accommodation. New categories introduced in 2025 and 2026 include scholarships for resilience and Indigenous </w:t>
            </w:r>
            <w:proofErr w:type="gramStart"/>
            <w:r w:rsidRPr="002E5C97">
              <w:rPr>
                <w:rFonts w:eastAsia="Times New Roman"/>
                <w:color w:val="000000"/>
                <w:kern w:val="0"/>
                <w:lang w:eastAsia="en-GB"/>
                <w14:ligatures w14:val="none"/>
              </w:rPr>
              <w:t>excellence</w:t>
            </w:r>
            <w:r>
              <w:rPr>
                <w:rFonts w:eastAsia="Times New Roman"/>
                <w:color w:val="000000"/>
                <w:kern w:val="0"/>
                <w:lang w:eastAsia="en-GB"/>
                <w14:ligatures w14:val="none"/>
              </w:rPr>
              <w:t>, and</w:t>
            </w:r>
            <w:proofErr w:type="gramEnd"/>
            <w:r>
              <w:rPr>
                <w:rFonts w:eastAsia="Times New Roman"/>
                <w:color w:val="000000"/>
                <w:kern w:val="0"/>
                <w:lang w:eastAsia="en-GB"/>
                <w14:ligatures w14:val="none"/>
              </w:rPr>
              <w:t xml:space="preserve"> provide a stronger basis for supporting retention and completion than previous schemes.</w:t>
            </w:r>
          </w:p>
          <w:p w14:paraId="543B5F43" w14:textId="77777777" w:rsidR="00F3065B" w:rsidRPr="002E5C97" w:rsidRDefault="00F3065B" w:rsidP="00F3065B">
            <w:pPr>
              <w:pStyle w:val="NoSpacing"/>
              <w:rPr>
                <w:rFonts w:eastAsia="Times New Roman"/>
                <w:color w:val="000000"/>
                <w:kern w:val="0"/>
                <w:lang w:eastAsia="en-GB"/>
                <w14:ligatures w14:val="none"/>
              </w:rPr>
            </w:pPr>
          </w:p>
          <w:p w14:paraId="04C282C2" w14:textId="77777777" w:rsidR="00F3065B" w:rsidRPr="002E5C97" w:rsidRDefault="00F3065B" w:rsidP="00F3065B">
            <w:pPr>
              <w:pStyle w:val="NoSpacing"/>
              <w:rPr>
                <w:rFonts w:eastAsia="Times New Roman"/>
                <w:b/>
                <w:bCs/>
                <w:color w:val="000000"/>
                <w:kern w:val="0"/>
                <w:lang w:eastAsia="en-GB"/>
                <w14:ligatures w14:val="none"/>
              </w:rPr>
            </w:pPr>
            <w:r w:rsidRPr="002E5C97">
              <w:rPr>
                <w:rFonts w:eastAsia="Times New Roman"/>
                <w:b/>
                <w:bCs/>
                <w:color w:val="000000"/>
                <w:kern w:val="0"/>
                <w:lang w:eastAsia="en-GB"/>
                <w14:ligatures w14:val="none"/>
              </w:rPr>
              <w:t xml:space="preserve">Indigenous Australian Student Support </w:t>
            </w:r>
          </w:p>
          <w:p w14:paraId="351EF1CB" w14:textId="77777777" w:rsidR="00F3065B" w:rsidRPr="002E5C97" w:rsidRDefault="00F3065B" w:rsidP="00F3065B">
            <w:pPr>
              <w:pStyle w:val="NoSpacing"/>
              <w:rPr>
                <w:rFonts w:eastAsia="Times New Roman"/>
                <w:color w:val="000000"/>
                <w:kern w:val="0"/>
                <w:lang w:eastAsia="en-GB"/>
                <w14:ligatures w14:val="none"/>
              </w:rPr>
            </w:pPr>
            <w:r w:rsidRPr="002E5C97">
              <w:rPr>
                <w:rFonts w:eastAsia="Times New Roman"/>
                <w:color w:val="000000"/>
                <w:kern w:val="0"/>
                <w:lang w:eastAsia="en-GB"/>
                <w14:ligatures w14:val="none"/>
              </w:rPr>
              <w:t xml:space="preserve">The Indigenous Australian Student Services unit offers culturally appropriate support, advice, and resources for Aboriginal and Torres Strait Islander students. SCU has one of </w:t>
            </w:r>
            <w:r w:rsidRPr="007A767D">
              <w:rPr>
                <w:rFonts w:eastAsia="Times New Roman"/>
                <w:color w:val="000000"/>
                <w:kern w:val="0"/>
                <w:lang w:eastAsia="en-GB"/>
                <w14:ligatures w14:val="none"/>
              </w:rPr>
              <w:t>the highest indigenous participation rates in the sector, with 4.88% compared to the national average of 2.3%.</w:t>
            </w:r>
          </w:p>
          <w:p w14:paraId="7F2EBDC0" w14:textId="77777777" w:rsidR="00F3065B" w:rsidRPr="002E5C97" w:rsidRDefault="00F3065B" w:rsidP="00F3065B">
            <w:pPr>
              <w:pStyle w:val="NoSpacing"/>
              <w:rPr>
                <w:rFonts w:eastAsia="Times New Roman"/>
                <w:color w:val="000000"/>
                <w:kern w:val="0"/>
                <w:lang w:eastAsia="en-GB"/>
                <w14:ligatures w14:val="none"/>
              </w:rPr>
            </w:pPr>
          </w:p>
          <w:p w14:paraId="3F327A1E" w14:textId="77777777" w:rsidR="00F3065B" w:rsidRPr="002E5C97" w:rsidRDefault="00F3065B" w:rsidP="00F3065B">
            <w:pPr>
              <w:pStyle w:val="NoSpacing"/>
              <w:rPr>
                <w:rFonts w:eastAsia="Times New Roman"/>
                <w:b/>
                <w:bCs/>
                <w:color w:val="000000"/>
                <w:kern w:val="0"/>
                <w:lang w:eastAsia="en-GB"/>
                <w14:ligatures w14:val="none"/>
              </w:rPr>
            </w:pPr>
            <w:r w:rsidRPr="002E5C97">
              <w:rPr>
                <w:rFonts w:eastAsia="Times New Roman"/>
                <w:b/>
                <w:bCs/>
                <w:color w:val="000000"/>
                <w:kern w:val="0"/>
                <w:lang w:eastAsia="en-GB"/>
                <w14:ligatures w14:val="none"/>
              </w:rPr>
              <w:t>Zero textbook cost</w:t>
            </w:r>
          </w:p>
          <w:p w14:paraId="0E83A50C" w14:textId="77777777" w:rsidR="00F3065B" w:rsidRPr="002E5C97" w:rsidRDefault="00F3065B" w:rsidP="00F3065B">
            <w:pPr>
              <w:pStyle w:val="NoSpacing"/>
              <w:rPr>
                <w:rFonts w:eastAsia="Times New Roman"/>
                <w:color w:val="000000"/>
                <w:kern w:val="0"/>
                <w:lang w:eastAsia="en-GB"/>
                <w14:ligatures w14:val="none"/>
              </w:rPr>
            </w:pPr>
            <w:r w:rsidRPr="002E5C97">
              <w:rPr>
                <w:rFonts w:eastAsia="Times New Roman"/>
                <w:color w:val="000000"/>
                <w:kern w:val="0"/>
                <w:lang w:eastAsia="en-GB"/>
                <w14:ligatures w14:val="none"/>
              </w:rPr>
              <w:t xml:space="preserve">Southern Cross University is committed to removing or reducing the costs associated with purchasing textbooks. Librarians work closely with academics in all faculties and colleges to provide relevant, current, and accessible learning resources aligned with Unit Learning Outcomes, without the need for students to purchase expensive commercial textbooks. Since 2022 the number of units requiring the purchase of a textbook has </w:t>
            </w:r>
            <w:r>
              <w:rPr>
                <w:rFonts w:eastAsia="Times New Roman"/>
                <w:color w:val="000000"/>
                <w:kern w:val="0"/>
                <w:lang w:eastAsia="en-GB"/>
                <w14:ligatures w14:val="none"/>
              </w:rPr>
              <w:t>moved</w:t>
            </w:r>
            <w:r w:rsidRPr="002E5C97">
              <w:rPr>
                <w:rFonts w:eastAsia="Times New Roman"/>
                <w:color w:val="000000"/>
                <w:kern w:val="0"/>
                <w:lang w:eastAsia="en-GB"/>
                <w14:ligatures w14:val="none"/>
              </w:rPr>
              <w:t xml:space="preserve"> from over 600 to 254, with further reductions in the pipeline.</w:t>
            </w:r>
            <w:r>
              <w:rPr>
                <w:rFonts w:eastAsia="Times New Roman"/>
                <w:color w:val="000000"/>
                <w:kern w:val="0"/>
                <w:lang w:eastAsia="en-GB"/>
                <w14:ligatures w14:val="none"/>
              </w:rPr>
              <w:t xml:space="preserve">  </w:t>
            </w:r>
          </w:p>
          <w:p w14:paraId="6B5F7029" w14:textId="77777777" w:rsidR="00F3065B" w:rsidRPr="002E5C97" w:rsidRDefault="00F3065B" w:rsidP="00F3065B">
            <w:pPr>
              <w:pStyle w:val="NoSpacing"/>
              <w:rPr>
                <w:rFonts w:eastAsia="Times New Roman"/>
                <w:color w:val="000000"/>
                <w:kern w:val="0"/>
                <w:lang w:eastAsia="en-GB"/>
                <w14:ligatures w14:val="none"/>
              </w:rPr>
            </w:pPr>
          </w:p>
          <w:p w14:paraId="475EB494" w14:textId="77777777" w:rsidR="00F3065B" w:rsidRPr="002E5C97" w:rsidRDefault="00F3065B" w:rsidP="00F3065B">
            <w:pPr>
              <w:pStyle w:val="NoSpacing"/>
              <w:rPr>
                <w:rFonts w:eastAsia="Times New Roman"/>
                <w:b/>
                <w:bCs/>
                <w:color w:val="000000"/>
                <w:kern w:val="0"/>
                <w:lang w:eastAsia="en-GB"/>
                <w14:ligatures w14:val="none"/>
              </w:rPr>
            </w:pPr>
            <w:r w:rsidRPr="002E5C97">
              <w:rPr>
                <w:rFonts w:eastAsia="Times New Roman"/>
                <w:b/>
                <w:bCs/>
                <w:color w:val="000000"/>
                <w:kern w:val="0"/>
                <w:lang w:eastAsia="en-GB"/>
                <w14:ligatures w14:val="none"/>
              </w:rPr>
              <w:t xml:space="preserve">Regional Student Outreach </w:t>
            </w:r>
          </w:p>
          <w:p w14:paraId="174269F6" w14:textId="77777777" w:rsidR="00F3065B" w:rsidRPr="002E5C97" w:rsidRDefault="00F3065B" w:rsidP="00F3065B">
            <w:pPr>
              <w:pStyle w:val="NoSpacing"/>
              <w:rPr>
                <w:rFonts w:eastAsia="Times New Roman"/>
                <w:color w:val="000000"/>
                <w:kern w:val="0"/>
                <w:lang w:eastAsia="en-GB"/>
                <w14:ligatures w14:val="none"/>
              </w:rPr>
            </w:pPr>
            <w:r w:rsidRPr="002E5C97">
              <w:rPr>
                <w:rFonts w:eastAsia="Times New Roman"/>
                <w:color w:val="000000"/>
                <w:kern w:val="0"/>
                <w:lang w:eastAsia="en-GB"/>
                <w14:ligatures w14:val="none"/>
              </w:rPr>
              <w:t>SCU runs several outreach initiatives for regional and remote students:</w:t>
            </w:r>
          </w:p>
          <w:p w14:paraId="69E7ADD3" w14:textId="77777777" w:rsidR="00F3065B" w:rsidRPr="002E5C97" w:rsidRDefault="00F3065B" w:rsidP="00F3065B">
            <w:pPr>
              <w:pStyle w:val="NoSpacing"/>
              <w:numPr>
                <w:ilvl w:val="0"/>
                <w:numId w:val="20"/>
              </w:numPr>
              <w:rPr>
                <w:rFonts w:eastAsia="Times New Roman"/>
                <w:color w:val="000000"/>
                <w:kern w:val="0"/>
                <w:lang w:eastAsia="en-GB"/>
                <w14:ligatures w14:val="none"/>
              </w:rPr>
            </w:pPr>
            <w:r w:rsidRPr="002E5C97">
              <w:rPr>
                <w:rFonts w:eastAsia="Times New Roman"/>
                <w:i/>
                <w:iCs/>
                <w:color w:val="000000"/>
                <w:kern w:val="0"/>
                <w:lang w:eastAsia="en-GB"/>
                <w14:ligatures w14:val="none"/>
              </w:rPr>
              <w:t>School Engagement Program</w:t>
            </w:r>
            <w:r w:rsidRPr="002E5C97">
              <w:rPr>
                <w:rFonts w:eastAsia="Times New Roman"/>
                <w:color w:val="000000"/>
                <w:kern w:val="0"/>
                <w:lang w:eastAsia="en-GB"/>
                <w14:ligatures w14:val="none"/>
              </w:rPr>
              <w:t>: For Years 9–12, this program raises awareness of SCU courses through interactive sessions.</w:t>
            </w:r>
          </w:p>
          <w:p w14:paraId="78045EFA" w14:textId="77777777" w:rsidR="00F3065B" w:rsidRPr="002E5C97" w:rsidRDefault="00F3065B" w:rsidP="00F3065B">
            <w:pPr>
              <w:pStyle w:val="NoSpacing"/>
              <w:numPr>
                <w:ilvl w:val="0"/>
                <w:numId w:val="20"/>
              </w:numPr>
              <w:rPr>
                <w:rFonts w:eastAsia="Times New Roman"/>
                <w:color w:val="000000"/>
                <w:kern w:val="0"/>
                <w:lang w:eastAsia="en-GB"/>
                <w14:ligatures w14:val="none"/>
              </w:rPr>
            </w:pPr>
            <w:r w:rsidRPr="002E5C97">
              <w:rPr>
                <w:rFonts w:eastAsia="Times New Roman"/>
                <w:i/>
                <w:iCs/>
                <w:color w:val="000000"/>
                <w:kern w:val="0"/>
                <w:lang w:eastAsia="en-GB"/>
                <w14:ligatures w14:val="none"/>
              </w:rPr>
              <w:t>Scholars Program</w:t>
            </w:r>
            <w:r w:rsidRPr="002E5C97">
              <w:rPr>
                <w:rFonts w:eastAsia="Times New Roman"/>
                <w:color w:val="000000"/>
                <w:kern w:val="0"/>
                <w:lang w:eastAsia="en-GB"/>
                <w14:ligatures w14:val="none"/>
              </w:rPr>
              <w:t>: Offered online and on campus for Year 11 and 12 students, this fee-free unit guarantees entry and credit towards SCU courses. Queensland students also earn 2 QCE points.</w:t>
            </w:r>
          </w:p>
          <w:p w14:paraId="5ABC892A" w14:textId="77777777" w:rsidR="00F3065B" w:rsidRPr="002E5C97" w:rsidRDefault="00F3065B" w:rsidP="00F3065B">
            <w:pPr>
              <w:pStyle w:val="NoSpacing"/>
              <w:numPr>
                <w:ilvl w:val="0"/>
                <w:numId w:val="20"/>
              </w:numPr>
              <w:rPr>
                <w:rFonts w:eastAsia="Times New Roman"/>
                <w:color w:val="000000"/>
                <w:kern w:val="0"/>
                <w:lang w:eastAsia="en-GB"/>
                <w14:ligatures w14:val="none"/>
              </w:rPr>
            </w:pPr>
            <w:proofErr w:type="spellStart"/>
            <w:r w:rsidRPr="002E5C97">
              <w:rPr>
                <w:rFonts w:eastAsia="Times New Roman"/>
                <w:i/>
                <w:iCs/>
                <w:color w:val="000000"/>
                <w:kern w:val="0"/>
                <w:lang w:eastAsia="en-GB"/>
                <w14:ligatures w14:val="none"/>
              </w:rPr>
              <w:t>UniStart</w:t>
            </w:r>
            <w:proofErr w:type="spellEnd"/>
            <w:r w:rsidRPr="002E5C97">
              <w:rPr>
                <w:rFonts w:eastAsia="Times New Roman"/>
                <w:i/>
                <w:iCs/>
                <w:color w:val="000000"/>
                <w:kern w:val="0"/>
                <w:lang w:eastAsia="en-GB"/>
                <w14:ligatures w14:val="none"/>
              </w:rPr>
              <w:t xml:space="preserve"> for Schools</w:t>
            </w:r>
            <w:r w:rsidRPr="002E5C97">
              <w:rPr>
                <w:rFonts w:eastAsia="Times New Roman"/>
                <w:color w:val="000000"/>
                <w:kern w:val="0"/>
                <w:lang w:eastAsia="en-GB"/>
                <w14:ligatures w14:val="none"/>
              </w:rPr>
              <w:t>: Delivered during school hours by teachers and facilitated by SCU, this free Year 12 program guarantees university entry upon completion.</w:t>
            </w:r>
          </w:p>
          <w:p w14:paraId="042CDBF6" w14:textId="77777777" w:rsidR="00F3065B" w:rsidRDefault="00F3065B" w:rsidP="00F3065B">
            <w:pPr>
              <w:pStyle w:val="NoSpacing"/>
              <w:rPr>
                <w:rFonts w:eastAsia="Times New Roman"/>
                <w:color w:val="000000"/>
                <w:kern w:val="0"/>
                <w:lang w:eastAsia="en-GB"/>
                <w14:ligatures w14:val="none"/>
              </w:rPr>
            </w:pPr>
          </w:p>
          <w:p w14:paraId="0DE70347" w14:textId="1CF528D9" w:rsidR="00F3065B" w:rsidRPr="002E5C97" w:rsidRDefault="00F3065B" w:rsidP="00F3065B">
            <w:pPr>
              <w:pStyle w:val="NoSpacing"/>
              <w:rPr>
                <w:rFonts w:eastAsia="Times New Roman"/>
                <w:b/>
                <w:bCs/>
                <w:color w:val="000000"/>
                <w:kern w:val="0"/>
                <w:lang w:eastAsia="en-GB"/>
                <w14:ligatures w14:val="none"/>
              </w:rPr>
            </w:pPr>
            <w:r w:rsidRPr="002E5C97">
              <w:rPr>
                <w:rFonts w:eastAsia="Times New Roman"/>
                <w:color w:val="000000"/>
                <w:kern w:val="0"/>
                <w:lang w:eastAsia="en-GB"/>
                <w14:ligatures w14:val="none"/>
              </w:rPr>
              <w:lastRenderedPageBreak/>
              <w:br/>
            </w:r>
            <w:r w:rsidRPr="002E5C97">
              <w:rPr>
                <w:rFonts w:eastAsia="Times New Roman"/>
                <w:b/>
                <w:bCs/>
                <w:color w:val="000000"/>
                <w:kern w:val="0"/>
                <w:lang w:eastAsia="en-GB"/>
                <w14:ligatures w14:val="none"/>
              </w:rPr>
              <w:t xml:space="preserve">Degree Pathways </w:t>
            </w:r>
          </w:p>
          <w:p w14:paraId="7275674C" w14:textId="77777777" w:rsidR="00F3065B" w:rsidRPr="002E5C97" w:rsidRDefault="00F3065B" w:rsidP="00F3065B">
            <w:pPr>
              <w:pStyle w:val="NoSpacing"/>
              <w:rPr>
                <w:rFonts w:eastAsia="Times New Roman"/>
                <w:color w:val="000000"/>
                <w:kern w:val="0"/>
                <w:lang w:eastAsia="en-GB"/>
                <w14:ligatures w14:val="none"/>
              </w:rPr>
            </w:pPr>
            <w:r w:rsidRPr="002E5C97">
              <w:rPr>
                <w:rFonts w:eastAsia="Times New Roman"/>
                <w:color w:val="000000"/>
                <w:kern w:val="0"/>
                <w:lang w:eastAsia="en-GB"/>
                <w14:ligatures w14:val="none"/>
              </w:rPr>
              <w:t>SCU provides enabling and pathway programs for students who don’t meet direct entry requirements or are returning to study:</w:t>
            </w:r>
          </w:p>
          <w:p w14:paraId="1D08CAC5" w14:textId="77777777" w:rsidR="00F3065B" w:rsidRPr="002E5C97" w:rsidRDefault="00F3065B" w:rsidP="00F3065B">
            <w:pPr>
              <w:pStyle w:val="NoSpacing"/>
              <w:numPr>
                <w:ilvl w:val="0"/>
                <w:numId w:val="21"/>
              </w:numPr>
              <w:rPr>
                <w:rFonts w:eastAsia="Times New Roman"/>
                <w:color w:val="000000"/>
                <w:kern w:val="0"/>
                <w:lang w:eastAsia="en-GB"/>
                <w14:ligatures w14:val="none"/>
              </w:rPr>
            </w:pPr>
            <w:r w:rsidRPr="002E5C97">
              <w:rPr>
                <w:rFonts w:eastAsia="Times New Roman"/>
                <w:i/>
                <w:iCs/>
                <w:color w:val="000000"/>
                <w:kern w:val="0"/>
                <w:lang w:eastAsia="en-GB"/>
                <w14:ligatures w14:val="none"/>
              </w:rPr>
              <w:t>Preparing for Success</w:t>
            </w:r>
            <w:r w:rsidRPr="002E5C97">
              <w:rPr>
                <w:rFonts w:eastAsia="Times New Roman"/>
                <w:color w:val="000000"/>
                <w:kern w:val="0"/>
                <w:lang w:eastAsia="en-GB"/>
                <w14:ligatures w14:val="none"/>
              </w:rPr>
              <w:t>: A flexible, fee-free course that builds essential academic skills.</w:t>
            </w:r>
          </w:p>
          <w:p w14:paraId="75579A4A" w14:textId="77777777" w:rsidR="00F3065B" w:rsidRPr="002E5C97" w:rsidRDefault="00F3065B" w:rsidP="00F3065B">
            <w:pPr>
              <w:pStyle w:val="NoSpacing"/>
              <w:numPr>
                <w:ilvl w:val="0"/>
                <w:numId w:val="21"/>
              </w:numPr>
              <w:rPr>
                <w:rFonts w:eastAsia="Times New Roman"/>
                <w:color w:val="000000"/>
                <w:kern w:val="0"/>
                <w:lang w:eastAsia="en-GB"/>
                <w14:ligatures w14:val="none"/>
              </w:rPr>
            </w:pPr>
            <w:r w:rsidRPr="002E5C97">
              <w:rPr>
                <w:rFonts w:eastAsia="Times New Roman"/>
                <w:i/>
                <w:iCs/>
                <w:color w:val="000000"/>
                <w:kern w:val="0"/>
                <w:lang w:eastAsia="en-GB"/>
                <w14:ligatures w14:val="none"/>
              </w:rPr>
              <w:t>Transition to Uni</w:t>
            </w:r>
            <w:r w:rsidRPr="002E5C97">
              <w:rPr>
                <w:rFonts w:eastAsia="Times New Roman"/>
                <w:color w:val="000000"/>
                <w:kern w:val="0"/>
                <w:lang w:eastAsia="en-GB"/>
                <w14:ligatures w14:val="none"/>
              </w:rPr>
              <w:t>: A fee-free, intensive course for recent school leavers and ATAR-eligible Year 12 students, focusing on academic literacies and assessment preparation.</w:t>
            </w:r>
          </w:p>
          <w:p w14:paraId="3CC707F6" w14:textId="77777777" w:rsidR="00F3065B" w:rsidRPr="002E5C97" w:rsidRDefault="00F3065B" w:rsidP="00F3065B">
            <w:pPr>
              <w:pStyle w:val="NoSpacing"/>
              <w:numPr>
                <w:ilvl w:val="0"/>
                <w:numId w:val="21"/>
              </w:numPr>
              <w:rPr>
                <w:rFonts w:eastAsia="Times New Roman"/>
                <w:color w:val="000000"/>
                <w:kern w:val="0"/>
                <w:lang w:eastAsia="en-GB"/>
                <w14:ligatures w14:val="none"/>
              </w:rPr>
            </w:pPr>
            <w:r w:rsidRPr="002E5C97">
              <w:rPr>
                <w:rFonts w:eastAsia="Times New Roman"/>
                <w:i/>
                <w:iCs/>
                <w:color w:val="000000"/>
                <w:kern w:val="0"/>
                <w:lang w:eastAsia="en-GB"/>
                <w14:ligatures w14:val="none"/>
              </w:rPr>
              <w:t>Diplomas</w:t>
            </w:r>
            <w:r w:rsidRPr="002E5C97">
              <w:rPr>
                <w:rFonts w:eastAsia="Times New Roman"/>
                <w:color w:val="000000"/>
                <w:kern w:val="0"/>
                <w:lang w:eastAsia="en-GB"/>
                <w14:ligatures w14:val="none"/>
              </w:rPr>
              <w:t>: SCU offers eight AQF Level 5 diplomas across various disciplines, providing a one-year pathway into degree programs.</w:t>
            </w:r>
          </w:p>
          <w:p w14:paraId="3A89449B" w14:textId="77777777" w:rsidR="00F3065B" w:rsidRPr="002E5C97" w:rsidRDefault="00F3065B" w:rsidP="00F3065B">
            <w:pPr>
              <w:pStyle w:val="NoSpacing"/>
              <w:rPr>
                <w:rFonts w:eastAsia="Times New Roman"/>
                <w:color w:val="000000"/>
                <w:kern w:val="0"/>
                <w:lang w:eastAsia="en-GB"/>
                <w14:ligatures w14:val="none"/>
              </w:rPr>
            </w:pPr>
            <w:r w:rsidRPr="002E5C97">
              <w:rPr>
                <w:rFonts w:eastAsia="Times New Roman"/>
                <w:color w:val="000000"/>
                <w:kern w:val="0"/>
                <w:lang w:eastAsia="en-GB"/>
                <w14:ligatures w14:val="none"/>
              </w:rPr>
              <w:br/>
              <w:t xml:space="preserve">Over the past five years, SCU has seen </w:t>
            </w:r>
            <w:r>
              <w:rPr>
                <w:rFonts w:eastAsia="Times New Roman"/>
                <w:color w:val="000000"/>
                <w:kern w:val="0"/>
                <w:lang w:eastAsia="en-GB"/>
                <w14:ligatures w14:val="none"/>
              </w:rPr>
              <w:t xml:space="preserve">particularly </w:t>
            </w:r>
            <w:r w:rsidRPr="002E5C97">
              <w:rPr>
                <w:rFonts w:eastAsia="Times New Roman"/>
                <w:color w:val="000000"/>
                <w:kern w:val="0"/>
                <w:lang w:eastAsia="en-GB"/>
                <w14:ligatures w14:val="none"/>
              </w:rPr>
              <w:t>strong growth in enrolments and completions</w:t>
            </w:r>
            <w:r>
              <w:rPr>
                <w:rFonts w:eastAsia="Times New Roman"/>
                <w:color w:val="000000"/>
                <w:kern w:val="0"/>
                <w:lang w:eastAsia="en-GB"/>
                <w14:ligatures w14:val="none"/>
              </w:rPr>
              <w:t xml:space="preserve"> for diplomas, with a 256.8% increase in enrolments to 708, and a success rate increase of 13.2% to 77.5%. </w:t>
            </w:r>
          </w:p>
          <w:p w14:paraId="3F19B8CA" w14:textId="77777777" w:rsidR="00F3065B" w:rsidRPr="002E5C97" w:rsidRDefault="00F3065B" w:rsidP="00F3065B">
            <w:pPr>
              <w:pStyle w:val="NoSpacing"/>
              <w:rPr>
                <w:rFonts w:eastAsia="Times New Roman"/>
                <w:b/>
                <w:bCs/>
                <w:color w:val="000000"/>
                <w:kern w:val="0"/>
                <w:lang w:eastAsia="en-GB"/>
                <w14:ligatures w14:val="none"/>
              </w:rPr>
            </w:pPr>
            <w:r w:rsidRPr="002E5C97">
              <w:rPr>
                <w:rFonts w:eastAsia="Times New Roman"/>
                <w:b/>
                <w:bCs/>
                <w:color w:val="000000"/>
                <w:kern w:val="0"/>
                <w:lang w:eastAsia="en-GB"/>
                <w14:ligatures w14:val="none"/>
              </w:rPr>
              <w:br/>
              <w:t xml:space="preserve">Disability Learning Adjustments </w:t>
            </w:r>
          </w:p>
          <w:p w14:paraId="58D2E5FD" w14:textId="77777777" w:rsidR="00F3065B" w:rsidRDefault="00F3065B" w:rsidP="00F3065B">
            <w:pPr>
              <w:pStyle w:val="NormalIndent"/>
              <w:spacing w:before="0" w:after="0"/>
              <w:ind w:left="0"/>
              <w:rPr>
                <w:color w:val="000000"/>
                <w:lang w:eastAsia="en-GB"/>
              </w:rPr>
            </w:pPr>
            <w:r w:rsidRPr="002E5C97">
              <w:rPr>
                <w:color w:val="000000"/>
                <w:lang w:eastAsia="en-GB"/>
              </w:rPr>
              <w:t xml:space="preserve">SCU is committed to an inclusive learning environment for students with disability. Reasonable adjustments—such as modified assessments, curriculum delivery, or assistive technology—are made to ensure equitable participation, provided academic standards and safety are maintained. </w:t>
            </w:r>
          </w:p>
          <w:bookmarkEnd w:id="0"/>
          <w:bookmarkEnd w:id="1"/>
          <w:p w14:paraId="22B87A46" w14:textId="77777777" w:rsidR="001B109C" w:rsidRDefault="001B109C" w:rsidP="00962F05">
            <w:pPr>
              <w:pStyle w:val="Heading4"/>
            </w:pPr>
          </w:p>
        </w:tc>
      </w:tr>
      <w:tr w:rsidR="001B109C" w:rsidRPr="00E41388" w14:paraId="39ADE404" w14:textId="77777777" w:rsidTr="6DCF43EC">
        <w:trPr>
          <w:cantSplit/>
        </w:trPr>
        <w:tc>
          <w:tcPr>
            <w:tcW w:w="5000" w:type="pct"/>
          </w:tcPr>
          <w:p w14:paraId="5E8BF11E" w14:textId="0E120B78" w:rsidR="001B109C" w:rsidRPr="002A58A5" w:rsidRDefault="001B109C" w:rsidP="00F30BFA">
            <w:pPr>
              <w:pStyle w:val="Heading4"/>
              <w:keepLines w:val="0"/>
              <w:spacing w:before="180" w:after="60"/>
              <w:rPr>
                <w:iCs w:val="0"/>
              </w:rPr>
            </w:pPr>
            <w:r>
              <w:lastRenderedPageBreak/>
              <w:t xml:space="preserve">Strategies for </w:t>
            </w:r>
            <w:r w:rsidR="00F30BFA">
              <w:t>Improving T</w:t>
            </w:r>
            <w:r w:rsidRPr="00E169EE">
              <w:t xml:space="preserve">eaching and </w:t>
            </w:r>
            <w:r w:rsidR="00F30BFA">
              <w:t>L</w:t>
            </w:r>
            <w:r w:rsidRPr="00E169EE">
              <w:t>earning</w:t>
            </w:r>
          </w:p>
        </w:tc>
      </w:tr>
      <w:tr w:rsidR="001B109C" w:rsidRPr="00E41388" w14:paraId="3701A312" w14:textId="77777777" w:rsidTr="00F3065B">
        <w:trPr>
          <w:trHeight w:val="977"/>
        </w:trPr>
        <w:tc>
          <w:tcPr>
            <w:tcW w:w="5000" w:type="pct"/>
            <w:tcBorders>
              <w:bottom w:val="single" w:sz="4" w:space="0" w:color="auto"/>
            </w:tcBorders>
          </w:tcPr>
          <w:p w14:paraId="64688F83" w14:textId="77777777" w:rsidR="001B109C" w:rsidRDefault="001B109C" w:rsidP="00962F05">
            <w:pPr>
              <w:pStyle w:val="NormalIndent"/>
              <w:spacing w:before="0" w:after="0"/>
              <w:ind w:left="0"/>
              <w:rPr>
                <w:rFonts w:asciiTheme="minorHAnsi" w:hAnsiTheme="minorHAnsi" w:cstheme="minorHAnsi"/>
                <w:iCs/>
                <w:color w:val="FF0000"/>
                <w:szCs w:val="22"/>
              </w:rPr>
            </w:pPr>
          </w:p>
          <w:p w14:paraId="33751A74" w14:textId="77777777" w:rsidR="00F3065B" w:rsidRPr="002E5C97" w:rsidRDefault="00F3065B" w:rsidP="00F3065B">
            <w:pPr>
              <w:pStyle w:val="NoSpacing"/>
              <w:rPr>
                <w:rFonts w:eastAsia="Times New Roman"/>
                <w:color w:val="000000"/>
                <w:kern w:val="0"/>
                <w:lang w:eastAsia="en-GB"/>
                <w14:ligatures w14:val="none"/>
              </w:rPr>
            </w:pPr>
            <w:r w:rsidRPr="002E5C97">
              <w:rPr>
                <w:rFonts w:eastAsia="Times New Roman"/>
                <w:color w:val="000000"/>
                <w:kern w:val="0"/>
                <w:lang w:eastAsia="en-GB"/>
                <w14:ligatures w14:val="none"/>
              </w:rPr>
              <w:t xml:space="preserve">SCU’s </w:t>
            </w:r>
            <w:r w:rsidRPr="002E5C97">
              <w:rPr>
                <w:rFonts w:eastAsia="Times New Roman"/>
                <w:color w:val="000000" w:themeColor="text1"/>
                <w:kern w:val="0"/>
                <w:lang w:eastAsia="en-GB"/>
                <w14:ligatures w14:val="none"/>
              </w:rPr>
              <w:t xml:space="preserve">strategic priorities </w:t>
            </w:r>
            <w:r w:rsidRPr="002E5C97">
              <w:rPr>
                <w:rFonts w:eastAsia="Times New Roman"/>
                <w:color w:val="000000"/>
                <w:kern w:val="0"/>
                <w:lang w:eastAsia="en-GB"/>
                <w14:ligatures w14:val="none"/>
              </w:rPr>
              <w:t>for teaching and learning are to deliver outstanding teaching and</w:t>
            </w:r>
            <w:r>
              <w:rPr>
                <w:rFonts w:eastAsia="Times New Roman"/>
                <w:color w:val="000000"/>
                <w:kern w:val="0"/>
                <w:lang w:eastAsia="en-GB"/>
                <w14:ligatures w14:val="none"/>
              </w:rPr>
              <w:t xml:space="preserve"> </w:t>
            </w:r>
            <w:r w:rsidRPr="002E5C97">
              <w:rPr>
                <w:rFonts w:eastAsia="Times New Roman"/>
                <w:color w:val="000000"/>
                <w:kern w:val="0"/>
                <w:lang w:eastAsia="en-GB"/>
                <w14:ligatures w14:val="none"/>
              </w:rPr>
              <w:t>learning couched in an inspired student experience.</w:t>
            </w:r>
          </w:p>
          <w:p w14:paraId="2E84ABCF" w14:textId="77777777" w:rsidR="00F3065B" w:rsidRPr="002E5C97" w:rsidRDefault="00F3065B" w:rsidP="00F3065B">
            <w:pPr>
              <w:pStyle w:val="NoSpacing"/>
              <w:rPr>
                <w:rFonts w:eastAsia="Times New Roman"/>
                <w:color w:val="000000"/>
                <w:kern w:val="0"/>
                <w:lang w:eastAsia="en-GB"/>
                <w14:ligatures w14:val="none"/>
              </w:rPr>
            </w:pPr>
          </w:p>
          <w:p w14:paraId="32BFEB9B" w14:textId="77777777" w:rsidR="00F3065B" w:rsidRPr="002E5C97" w:rsidRDefault="00F3065B" w:rsidP="00F3065B">
            <w:pPr>
              <w:pStyle w:val="NoSpacing"/>
              <w:rPr>
                <w:rFonts w:eastAsia="Times New Roman"/>
                <w:b/>
                <w:bCs/>
                <w:color w:val="000000"/>
                <w:kern w:val="0"/>
                <w:lang w:eastAsia="en-GB"/>
                <w14:ligatures w14:val="none"/>
              </w:rPr>
            </w:pPr>
            <w:r w:rsidRPr="002E5C97">
              <w:rPr>
                <w:rFonts w:eastAsia="Times New Roman"/>
                <w:b/>
                <w:bCs/>
                <w:color w:val="000000"/>
                <w:kern w:val="0"/>
                <w:lang w:eastAsia="en-GB"/>
                <w14:ligatures w14:val="none"/>
              </w:rPr>
              <w:t>Southern Cross Model</w:t>
            </w:r>
          </w:p>
          <w:p w14:paraId="07BE771F" w14:textId="77777777" w:rsidR="00F3065B" w:rsidRDefault="00F3065B" w:rsidP="00F3065B">
            <w:pPr>
              <w:pStyle w:val="NoSpacing"/>
            </w:pPr>
            <w:r w:rsidRPr="002E5C97">
              <w:t xml:space="preserve">Southern Cross University now delivers all courses through the </w:t>
            </w:r>
            <w:hyperlink r:id="rId15" w:history="1">
              <w:r w:rsidRPr="002E5C97">
                <w:rPr>
                  <w:rStyle w:val="Hyperlink"/>
                </w:rPr>
                <w:t>Southern Cross Model</w:t>
              </w:r>
            </w:hyperlink>
            <w:r w:rsidRPr="002E5C97">
              <w:t xml:space="preserve"> (SCM), a transformative approach to tertiary education built around six-week teaching blocks. This model promotes focused, active, and engaged learning, with authentic assessments that better reflect real-world applications. The SCM is designed to enhance student success by reducing cognitive overload and increasing flexibility, allowing learners to concentrate on fewer subjects at a time while maintaining full-time study loads.</w:t>
            </w:r>
          </w:p>
          <w:p w14:paraId="30ECA3A0" w14:textId="77777777" w:rsidR="00F3065B" w:rsidRPr="002E5C97" w:rsidRDefault="00F3065B" w:rsidP="00F3065B">
            <w:pPr>
              <w:pStyle w:val="NoSpacing"/>
            </w:pPr>
          </w:p>
          <w:p w14:paraId="014DEFEB" w14:textId="77777777" w:rsidR="00F3065B" w:rsidRDefault="00F3065B" w:rsidP="00F3065B">
            <w:pPr>
              <w:pStyle w:val="NoSpacing"/>
            </w:pPr>
            <w:r w:rsidRPr="002E5C97">
              <w:t xml:space="preserve">Since its implementation, the SCM has significantly improved student outcomes compared to the traditional semester model </w:t>
            </w:r>
            <w:r>
              <w:t xml:space="preserve">baseline of </w:t>
            </w:r>
            <w:r w:rsidRPr="002E5C97">
              <w:t>2019</w:t>
            </w:r>
            <w:r>
              <w:t xml:space="preserve"> (2025 YTD except where indicated):</w:t>
            </w:r>
          </w:p>
          <w:p w14:paraId="25F9C617" w14:textId="77777777" w:rsidR="00F3065B" w:rsidRPr="00FF04DE" w:rsidRDefault="00F3065B" w:rsidP="00F3065B">
            <w:pPr>
              <w:pStyle w:val="NoSpacing"/>
              <w:numPr>
                <w:ilvl w:val="0"/>
                <w:numId w:val="22"/>
              </w:numPr>
            </w:pPr>
            <w:r w:rsidRPr="00FF04DE">
              <w:t>Success rate has increased 15.4% to 91.1%</w:t>
            </w:r>
          </w:p>
          <w:p w14:paraId="7A313147" w14:textId="77777777" w:rsidR="00F3065B" w:rsidRPr="00FF04DE" w:rsidRDefault="00F3065B" w:rsidP="00F3065B">
            <w:pPr>
              <w:pStyle w:val="NoSpacing"/>
              <w:numPr>
                <w:ilvl w:val="0"/>
                <w:numId w:val="21"/>
              </w:numPr>
            </w:pPr>
            <w:r w:rsidRPr="00FF04DE">
              <w:t>Mean GP has increased 16.3% to 4.7%</w:t>
            </w:r>
          </w:p>
          <w:p w14:paraId="4C3C5CBA" w14:textId="77777777" w:rsidR="00F3065B" w:rsidRPr="00FF04DE" w:rsidRDefault="00F3065B" w:rsidP="00F3065B">
            <w:pPr>
              <w:pStyle w:val="NoSpacing"/>
              <w:numPr>
                <w:ilvl w:val="0"/>
                <w:numId w:val="21"/>
              </w:numPr>
            </w:pPr>
            <w:r w:rsidRPr="00FF04DE">
              <w:t>Absent fail rate has decreased by 2% to 2.4%</w:t>
            </w:r>
          </w:p>
          <w:p w14:paraId="42BE2B67" w14:textId="77777777" w:rsidR="00F3065B" w:rsidRPr="00FF04DE" w:rsidRDefault="00F3065B" w:rsidP="00F3065B">
            <w:pPr>
              <w:pStyle w:val="NoSpacing"/>
              <w:numPr>
                <w:ilvl w:val="0"/>
                <w:numId w:val="21"/>
              </w:numPr>
            </w:pPr>
            <w:r w:rsidRPr="00FF04DE">
              <w:t>Early withdrawal rate has decreased by 6% to 7.3%</w:t>
            </w:r>
          </w:p>
          <w:p w14:paraId="1493F479" w14:textId="77777777" w:rsidR="00F3065B" w:rsidRPr="00FF04DE" w:rsidRDefault="00F3065B" w:rsidP="00F3065B">
            <w:pPr>
              <w:pStyle w:val="NoSpacing"/>
              <w:numPr>
                <w:ilvl w:val="0"/>
                <w:numId w:val="21"/>
              </w:numPr>
            </w:pPr>
            <w:r w:rsidRPr="00FF04DE">
              <w:t>Overall attrition rate has decreased by 7.9% to a forecast 19.1% for our 2024 commencing cohort.</w:t>
            </w:r>
          </w:p>
          <w:p w14:paraId="0B168892" w14:textId="77777777" w:rsidR="00F3065B" w:rsidRDefault="00F3065B" w:rsidP="00F3065B">
            <w:pPr>
              <w:pStyle w:val="NoSpacing"/>
            </w:pPr>
          </w:p>
          <w:p w14:paraId="7A820EDE" w14:textId="77777777" w:rsidR="00F3065B" w:rsidRPr="00FF04DE" w:rsidRDefault="00F3065B" w:rsidP="00F3065B">
            <w:pPr>
              <w:pStyle w:val="NoSpacing"/>
            </w:pPr>
            <w:r w:rsidRPr="002E5C97">
              <w:lastRenderedPageBreak/>
              <w:t xml:space="preserve">Importantly, the SCM has delivered measurable benefits for students from equity </w:t>
            </w:r>
            <w:r w:rsidRPr="00FF04DE">
              <w:t>groups as well, with success rates as follows:</w:t>
            </w:r>
          </w:p>
          <w:p w14:paraId="6A8165F0" w14:textId="77777777" w:rsidR="00F3065B" w:rsidRPr="00FF04DE" w:rsidRDefault="00F3065B" w:rsidP="00F3065B">
            <w:pPr>
              <w:pStyle w:val="NoSpacing"/>
              <w:numPr>
                <w:ilvl w:val="0"/>
                <w:numId w:val="21"/>
              </w:numPr>
            </w:pPr>
            <w:r w:rsidRPr="00FF04DE">
              <w:t xml:space="preserve">For low SES students increased by 12.7% to 85.8% </w:t>
            </w:r>
          </w:p>
          <w:p w14:paraId="01309BCE" w14:textId="77777777" w:rsidR="00F3065B" w:rsidRPr="00FF04DE" w:rsidRDefault="00F3065B" w:rsidP="00F3065B">
            <w:pPr>
              <w:pStyle w:val="NoSpacing"/>
              <w:numPr>
                <w:ilvl w:val="0"/>
                <w:numId w:val="21"/>
              </w:numPr>
            </w:pPr>
            <w:r w:rsidRPr="00FF04DE">
              <w:t xml:space="preserve">For Indigenous students increased by 13.9% to 78.6% </w:t>
            </w:r>
          </w:p>
          <w:p w14:paraId="40D5EBBA" w14:textId="77777777" w:rsidR="00F3065B" w:rsidRPr="00FF04DE" w:rsidRDefault="00F3065B" w:rsidP="00F3065B">
            <w:pPr>
              <w:pStyle w:val="NoSpacing"/>
              <w:numPr>
                <w:ilvl w:val="0"/>
                <w:numId w:val="21"/>
              </w:numPr>
            </w:pPr>
            <w:r w:rsidRPr="00FF04DE">
              <w:t xml:space="preserve">For students registered with a disability increased by 13% to 84.6% </w:t>
            </w:r>
          </w:p>
          <w:p w14:paraId="69C119C2" w14:textId="77777777" w:rsidR="00F3065B" w:rsidRPr="00FF04DE" w:rsidRDefault="00F3065B" w:rsidP="00F3065B">
            <w:pPr>
              <w:pStyle w:val="NoSpacing"/>
              <w:numPr>
                <w:ilvl w:val="0"/>
                <w:numId w:val="21"/>
              </w:numPr>
            </w:pPr>
            <w:r w:rsidRPr="00FF04DE">
              <w:t xml:space="preserve">For students in regional / remote areas increased by 9.9% to 88.2% </w:t>
            </w:r>
          </w:p>
          <w:p w14:paraId="30060EF4" w14:textId="77777777" w:rsidR="00F3065B" w:rsidRPr="00FF04DE" w:rsidRDefault="00F3065B" w:rsidP="00F3065B">
            <w:pPr>
              <w:pStyle w:val="NoSpacing"/>
              <w:numPr>
                <w:ilvl w:val="0"/>
                <w:numId w:val="21"/>
              </w:numPr>
            </w:pPr>
            <w:r w:rsidRPr="00FF04DE">
              <w:t xml:space="preserve">For students who are first-in-family to attend university increased by 6.8% to 85.8% </w:t>
            </w:r>
          </w:p>
          <w:p w14:paraId="73787A8F" w14:textId="77777777" w:rsidR="00F3065B" w:rsidRPr="00FF04DE" w:rsidRDefault="00F3065B" w:rsidP="00F3065B">
            <w:pPr>
              <w:pStyle w:val="NoSpacing"/>
              <w:numPr>
                <w:ilvl w:val="0"/>
                <w:numId w:val="21"/>
              </w:numPr>
            </w:pPr>
            <w:r w:rsidRPr="00FF04DE">
              <w:t>For students from non-English speaking backgrounds increased by 11.1% to 92.2%.</w:t>
            </w:r>
          </w:p>
          <w:p w14:paraId="7002AA92" w14:textId="77777777" w:rsidR="00F3065B" w:rsidRPr="00673756" w:rsidRDefault="00F3065B" w:rsidP="00F3065B">
            <w:pPr>
              <w:pStyle w:val="NoSpacing"/>
              <w:rPr>
                <w:highlight w:val="yellow"/>
              </w:rPr>
            </w:pPr>
          </w:p>
          <w:p w14:paraId="31568F29" w14:textId="77777777" w:rsidR="00F3065B" w:rsidRDefault="00F3065B" w:rsidP="00F3065B">
            <w:pPr>
              <w:pStyle w:val="NoSpacing"/>
            </w:pPr>
            <w:r>
              <w:t>The University has adopted a continuous improvement cycle built on the foundation of the SCM to drive further enhancements to retention, completion and satisfaction in future.</w:t>
            </w:r>
          </w:p>
          <w:p w14:paraId="60BEF5EE" w14:textId="77777777" w:rsidR="00F3065B" w:rsidRDefault="00F3065B" w:rsidP="00F3065B">
            <w:pPr>
              <w:pStyle w:val="NoSpacing"/>
            </w:pPr>
          </w:p>
          <w:p w14:paraId="18ED83BB" w14:textId="77777777" w:rsidR="00F3065B" w:rsidRPr="002E5C97" w:rsidRDefault="00F3065B" w:rsidP="00F3065B">
            <w:pPr>
              <w:pStyle w:val="NoSpacing"/>
              <w:rPr>
                <w:rFonts w:eastAsia="Times New Roman"/>
                <w:b/>
                <w:bCs/>
                <w:color w:val="000000"/>
                <w:kern w:val="0"/>
                <w:lang w:eastAsia="en-GB"/>
                <w14:ligatures w14:val="none"/>
              </w:rPr>
            </w:pPr>
            <w:r w:rsidRPr="002E5C97">
              <w:rPr>
                <w:rFonts w:eastAsia="Times New Roman"/>
                <w:b/>
                <w:bCs/>
                <w:color w:val="000000"/>
                <w:kern w:val="0"/>
                <w:lang w:eastAsia="en-GB"/>
                <w14:ligatures w14:val="none"/>
              </w:rPr>
              <w:t>Scholarship of Learning and Teaching</w:t>
            </w:r>
          </w:p>
          <w:p w14:paraId="6AE34F5C" w14:textId="77777777" w:rsidR="00F3065B" w:rsidRPr="002E5C97" w:rsidRDefault="00F3065B" w:rsidP="00F3065B">
            <w:pPr>
              <w:pStyle w:val="NoSpacing"/>
              <w:rPr>
                <w:rFonts w:eastAsia="Times New Roman"/>
                <w:color w:val="000000"/>
                <w:kern w:val="0"/>
                <w:lang w:eastAsia="en-GB"/>
                <w14:ligatures w14:val="none"/>
              </w:rPr>
            </w:pPr>
            <w:r w:rsidRPr="002E5C97">
              <w:rPr>
                <w:rFonts w:eastAsia="Times New Roman"/>
                <w:color w:val="000000"/>
                <w:kern w:val="0"/>
                <w:lang w:eastAsia="en-GB"/>
                <w14:ligatures w14:val="none"/>
              </w:rPr>
              <w:t xml:space="preserve">The University’s </w:t>
            </w:r>
            <w:hyperlink r:id="rId16" w:history="1">
              <w:r w:rsidRPr="002E5C97">
                <w:rPr>
                  <w:rStyle w:val="Hyperlink"/>
                  <w:rFonts w:eastAsia="Times New Roman" w:cs="Times New Roman"/>
                  <w:kern w:val="0"/>
                  <w:lang w:eastAsia="en-GB"/>
                  <w14:ligatures w14:val="none"/>
                </w:rPr>
                <w:t>Scholarship of Learning and Teaching (</w:t>
              </w:r>
              <w:proofErr w:type="spellStart"/>
              <w:r w:rsidRPr="002E5C97">
                <w:rPr>
                  <w:rStyle w:val="Hyperlink"/>
                  <w:rFonts w:eastAsia="Times New Roman" w:cs="Times New Roman"/>
                  <w:kern w:val="0"/>
                  <w:lang w:eastAsia="en-GB"/>
                  <w14:ligatures w14:val="none"/>
                </w:rPr>
                <w:t>SoLT</w:t>
              </w:r>
              <w:proofErr w:type="spellEnd"/>
              <w:r w:rsidRPr="002E5C97">
                <w:rPr>
                  <w:rStyle w:val="Hyperlink"/>
                  <w:rFonts w:eastAsia="Times New Roman" w:cs="Times New Roman"/>
                  <w:kern w:val="0"/>
                  <w:lang w:eastAsia="en-GB"/>
                  <w14:ligatures w14:val="none"/>
                </w:rPr>
                <w:t>) Framework</w:t>
              </w:r>
            </w:hyperlink>
            <w:r w:rsidRPr="002E5C97">
              <w:rPr>
                <w:rFonts w:eastAsia="Times New Roman"/>
                <w:color w:val="000000" w:themeColor="text1"/>
                <w:kern w:val="0"/>
                <w:lang w:eastAsia="en-GB"/>
                <w14:ligatures w14:val="none"/>
              </w:rPr>
              <w:t xml:space="preserve"> is developed from the principle that its teaching academics will work to strengthen the quality and impact of their teaching activities and be supported to innovate in their practice as they progress through their career</w:t>
            </w:r>
            <w:r w:rsidRPr="002E5C97">
              <w:rPr>
                <w:rFonts w:eastAsia="Times New Roman"/>
                <w:color w:val="000000"/>
                <w:kern w:val="0"/>
                <w:lang w:eastAsia="en-GB"/>
                <w14:ligatures w14:val="none"/>
              </w:rPr>
              <w:t>. In addition, the SCM is evaluated through numerous projects which examine outcomes for students and explore the approaches taken during implementation, including those reviewed in the</w:t>
            </w:r>
            <w:r>
              <w:rPr>
                <w:rFonts w:eastAsia="Times New Roman"/>
                <w:color w:val="000000"/>
                <w:kern w:val="0"/>
                <w:lang w:eastAsia="en-GB"/>
                <w14:ligatures w14:val="none"/>
              </w:rPr>
              <w:t xml:space="preserve"> SSRN</w:t>
            </w:r>
            <w:r w:rsidRPr="002E5C97">
              <w:rPr>
                <w:rFonts w:eastAsia="Times New Roman"/>
                <w:color w:val="000000"/>
                <w:kern w:val="0"/>
                <w:lang w:eastAsia="en-GB"/>
                <w14:ligatures w14:val="none"/>
              </w:rPr>
              <w:t xml:space="preserve"> </w:t>
            </w:r>
            <w:hyperlink r:id="rId17" w:history="1">
              <w:r w:rsidRPr="002E5C97">
                <w:rPr>
                  <w:rStyle w:val="Hyperlink"/>
                  <w:rFonts w:eastAsia="Times New Roman" w:cs="Times New Roman"/>
                  <w:kern w:val="0"/>
                  <w:lang w:eastAsia="en-GB"/>
                  <w14:ligatures w14:val="none"/>
                </w:rPr>
                <w:t>Southern Cross University Scholarship of Learning and Teaching Paper Series</w:t>
              </w:r>
            </w:hyperlink>
            <w:r w:rsidRPr="002E5C97">
              <w:rPr>
                <w:rFonts w:eastAsia="Times New Roman"/>
                <w:color w:val="000000"/>
                <w:kern w:val="0"/>
                <w:lang w:eastAsia="en-GB"/>
                <w14:ligatures w14:val="none"/>
              </w:rPr>
              <w:t>.</w:t>
            </w:r>
            <w:r>
              <w:rPr>
                <w:rFonts w:eastAsia="Times New Roman"/>
                <w:color w:val="000000"/>
                <w:kern w:val="0"/>
                <w:lang w:eastAsia="en-GB"/>
                <w14:ligatures w14:val="none"/>
              </w:rPr>
              <w:t xml:space="preserve">  The University is actively driving wider participation in SOLT activities across all units to support ongoing quality enhancements.</w:t>
            </w:r>
          </w:p>
          <w:p w14:paraId="2D685FA1" w14:textId="77777777" w:rsidR="00F3065B" w:rsidRPr="002E5C97" w:rsidRDefault="00F3065B" w:rsidP="00F3065B">
            <w:pPr>
              <w:pStyle w:val="NoSpacing"/>
              <w:rPr>
                <w:rFonts w:eastAsia="Times New Roman"/>
                <w:color w:val="000000"/>
                <w:kern w:val="0"/>
                <w:lang w:eastAsia="en-GB"/>
                <w14:ligatures w14:val="none"/>
              </w:rPr>
            </w:pPr>
          </w:p>
          <w:p w14:paraId="182969D9" w14:textId="77777777" w:rsidR="00F3065B" w:rsidRPr="002E5C97" w:rsidRDefault="00F3065B" w:rsidP="00F3065B">
            <w:pPr>
              <w:pStyle w:val="NoSpacing"/>
              <w:rPr>
                <w:rFonts w:eastAsia="Times New Roman"/>
                <w:b/>
                <w:bCs/>
                <w:color w:val="000000"/>
                <w:kern w:val="0"/>
                <w:lang w:eastAsia="en-GB"/>
                <w14:ligatures w14:val="none"/>
              </w:rPr>
            </w:pPr>
            <w:r w:rsidRPr="002E5C97">
              <w:rPr>
                <w:rFonts w:eastAsia="Times New Roman"/>
                <w:b/>
                <w:bCs/>
                <w:color w:val="000000"/>
                <w:kern w:val="0"/>
                <w:lang w:eastAsia="en-GB"/>
                <w14:ligatures w14:val="none"/>
              </w:rPr>
              <w:t xml:space="preserve">Targeted Student Support Strategies </w:t>
            </w:r>
          </w:p>
          <w:p w14:paraId="07CE72D1" w14:textId="77777777" w:rsidR="00F3065B" w:rsidRPr="002E5C97" w:rsidRDefault="00F3065B" w:rsidP="00F3065B">
            <w:pPr>
              <w:pStyle w:val="NoSpacing"/>
              <w:rPr>
                <w:rFonts w:eastAsia="Times New Roman"/>
                <w:color w:val="000000"/>
                <w:kern w:val="0"/>
                <w:lang w:eastAsia="en-GB"/>
                <w14:ligatures w14:val="none"/>
              </w:rPr>
            </w:pPr>
            <w:r w:rsidRPr="002E5C97">
              <w:rPr>
                <w:rFonts w:eastAsia="Times New Roman"/>
                <w:color w:val="000000"/>
                <w:kern w:val="0"/>
                <w:lang w:eastAsia="en-GB"/>
                <w14:ligatures w14:val="none"/>
              </w:rPr>
              <w:t xml:space="preserve">The </w:t>
            </w:r>
            <w:hyperlink r:id="rId18" w:history="1">
              <w:r w:rsidRPr="002E5C97">
                <w:rPr>
                  <w:rStyle w:val="Hyperlink"/>
                  <w:rFonts w:eastAsia="Times New Roman"/>
                  <w:kern w:val="0"/>
                  <w:lang w:eastAsia="en-GB"/>
                  <w14:ligatures w14:val="none"/>
                </w:rPr>
                <w:t>First Year Advising</w:t>
              </w:r>
            </w:hyperlink>
            <w:r w:rsidRPr="002E5C97">
              <w:rPr>
                <w:rFonts w:eastAsia="Times New Roman"/>
                <w:color w:val="000000"/>
                <w:kern w:val="0"/>
                <w:lang w:eastAsia="en-GB"/>
                <w14:ligatures w14:val="none"/>
              </w:rPr>
              <w:t xml:space="preserve"> (FYA) program offers proactive, personalised support to new undergraduate and postgraduate students, using data analytics to guide follow-ups and reviews. In 2025, FYA students included 18% low SES, 6% Aboriginal or Torres Strait Islander, 16% with disability, and 33% first-in-family. The </w:t>
            </w:r>
            <w:hyperlink r:id="rId19" w:history="1">
              <w:r w:rsidRPr="002E5C97">
                <w:rPr>
                  <w:rStyle w:val="Hyperlink"/>
                  <w:rFonts w:eastAsia="Times New Roman"/>
                  <w:kern w:val="0"/>
                  <w:lang w:eastAsia="en-GB"/>
                  <w14:ligatures w14:val="none"/>
                </w:rPr>
                <w:t>Peer Assisted Learning Support</w:t>
              </w:r>
            </w:hyperlink>
            <w:r w:rsidRPr="002E5C97">
              <w:rPr>
                <w:rFonts w:eastAsia="Times New Roman"/>
                <w:color w:val="000000"/>
                <w:kern w:val="0"/>
                <w:lang w:eastAsia="en-GB"/>
                <w14:ligatures w14:val="none"/>
              </w:rPr>
              <w:t xml:space="preserve"> (PALS) program provides academic help from high-achieving student mentors in challenging units, fostering peer-to-peer learning and success.</w:t>
            </w:r>
          </w:p>
          <w:p w14:paraId="16176C42" w14:textId="77777777" w:rsidR="00F3065B" w:rsidRPr="002E5C97" w:rsidRDefault="00F3065B" w:rsidP="00F3065B">
            <w:pPr>
              <w:pStyle w:val="NoSpacing"/>
              <w:rPr>
                <w:rFonts w:eastAsia="Times New Roman"/>
                <w:color w:val="000000"/>
                <w:kern w:val="0"/>
                <w:lang w:eastAsia="en-GB"/>
                <w14:ligatures w14:val="none"/>
              </w:rPr>
            </w:pPr>
          </w:p>
          <w:p w14:paraId="1BA0D986" w14:textId="77777777" w:rsidR="00F3065B" w:rsidRPr="002E5C97" w:rsidRDefault="00F3065B" w:rsidP="00F3065B">
            <w:pPr>
              <w:pStyle w:val="NoSpacing"/>
              <w:rPr>
                <w:rFonts w:eastAsia="Times New Roman"/>
                <w:b/>
                <w:bCs/>
                <w:lang w:eastAsia="en-GB"/>
              </w:rPr>
            </w:pPr>
            <w:r w:rsidRPr="002E5C97">
              <w:rPr>
                <w:rFonts w:eastAsia="Times New Roman"/>
                <w:b/>
                <w:bCs/>
                <w:lang w:eastAsia="en-GB"/>
              </w:rPr>
              <w:t>Admissions Transparency</w:t>
            </w:r>
            <w:r>
              <w:rPr>
                <w:rFonts w:eastAsia="Times New Roman"/>
                <w:b/>
                <w:bCs/>
                <w:lang w:eastAsia="en-GB"/>
              </w:rPr>
              <w:br/>
            </w:r>
            <w:r w:rsidRPr="002E5C97">
              <w:rPr>
                <w:rFonts w:eastAsia="Times New Roman"/>
                <w:lang w:eastAsia="en-GB"/>
              </w:rPr>
              <w:t xml:space="preserve">Southern Cross University offers multiple transparent entry pathways, including direct entry to degree programs and fee-free </w:t>
            </w:r>
            <w:proofErr w:type="spellStart"/>
            <w:r w:rsidRPr="002E5C97">
              <w:rPr>
                <w:rFonts w:eastAsia="Times New Roman"/>
                <w:lang w:eastAsia="en-GB"/>
              </w:rPr>
              <w:t>uni</w:t>
            </w:r>
            <w:proofErr w:type="spellEnd"/>
            <w:r w:rsidRPr="002E5C97">
              <w:rPr>
                <w:rFonts w:eastAsia="Times New Roman"/>
                <w:lang w:eastAsia="en-GB"/>
              </w:rPr>
              <w:t xml:space="preserve"> ready programs, ensuring equitable entry routes beyond ATAR. </w:t>
            </w:r>
          </w:p>
          <w:p w14:paraId="04C5B057" w14:textId="77777777" w:rsidR="00F3065B" w:rsidRPr="002E5C97" w:rsidRDefault="00F3065B" w:rsidP="00F3065B">
            <w:pPr>
              <w:pStyle w:val="NoSpacing"/>
              <w:rPr>
                <w:rFonts w:eastAsia="Times New Roman"/>
                <w:color w:val="000000"/>
                <w:kern w:val="0"/>
                <w:lang w:eastAsia="en-GB"/>
                <w14:ligatures w14:val="none"/>
              </w:rPr>
            </w:pPr>
          </w:p>
          <w:p w14:paraId="2F0AB819" w14:textId="77777777" w:rsidR="00F3065B" w:rsidRPr="002E5C97" w:rsidRDefault="00F3065B" w:rsidP="00F3065B">
            <w:pPr>
              <w:pStyle w:val="NoSpacing"/>
              <w:rPr>
                <w:rFonts w:eastAsia="Times New Roman"/>
                <w:b/>
                <w:bCs/>
                <w:lang w:eastAsia="en-GB"/>
              </w:rPr>
            </w:pPr>
            <w:r w:rsidRPr="002E5C97">
              <w:rPr>
                <w:rFonts w:eastAsia="Times New Roman"/>
                <w:b/>
                <w:bCs/>
                <w:lang w:eastAsia="en-GB"/>
              </w:rPr>
              <w:t>Inclusive Pedagogy</w:t>
            </w:r>
          </w:p>
          <w:p w14:paraId="49455D4A" w14:textId="77777777" w:rsidR="00F3065B" w:rsidRDefault="00F3065B" w:rsidP="00F3065B">
            <w:pPr>
              <w:pStyle w:val="NoSpacing"/>
              <w:rPr>
                <w:rFonts w:eastAsia="Times New Roman"/>
                <w:lang w:eastAsia="en-GB"/>
              </w:rPr>
            </w:pPr>
            <w:r w:rsidRPr="002E5C97">
              <w:rPr>
                <w:rFonts w:eastAsia="Times New Roman"/>
                <w:lang w:eastAsia="en-GB"/>
              </w:rPr>
              <w:t xml:space="preserve">All Southern Cross University programs have been redesigned around focused, guided, and active learning, complemented by scaffolded assessments and removal of high-stakes exams. </w:t>
            </w:r>
          </w:p>
          <w:p w14:paraId="04F63814" w14:textId="77777777" w:rsidR="001B109C" w:rsidRDefault="001B109C" w:rsidP="00962F05">
            <w:pPr>
              <w:pStyle w:val="NormalIndent"/>
              <w:spacing w:before="0" w:after="0"/>
              <w:ind w:left="0"/>
              <w:rPr>
                <w:rFonts w:asciiTheme="minorHAnsi" w:hAnsiTheme="minorHAnsi" w:cstheme="minorHAnsi"/>
                <w:i/>
                <w:color w:val="FF0000"/>
                <w:szCs w:val="22"/>
              </w:rPr>
            </w:pPr>
          </w:p>
          <w:p w14:paraId="6DD192EC" w14:textId="77777777" w:rsidR="001B109C" w:rsidRDefault="001B109C" w:rsidP="00962F05">
            <w:pPr>
              <w:pStyle w:val="NormalIndent"/>
              <w:spacing w:before="0" w:after="0"/>
              <w:ind w:left="0"/>
              <w:rPr>
                <w:rFonts w:asciiTheme="minorHAnsi" w:hAnsiTheme="minorHAnsi" w:cstheme="minorHAnsi"/>
                <w:i/>
                <w:color w:val="FF0000"/>
                <w:szCs w:val="22"/>
              </w:rPr>
            </w:pPr>
          </w:p>
          <w:p w14:paraId="09287C79" w14:textId="77777777" w:rsidR="00F3065B" w:rsidRDefault="00F3065B" w:rsidP="00962F05">
            <w:pPr>
              <w:pStyle w:val="NormalIndent"/>
              <w:spacing w:before="0" w:after="0"/>
              <w:ind w:left="0"/>
              <w:rPr>
                <w:rFonts w:asciiTheme="minorHAnsi" w:hAnsiTheme="minorHAnsi" w:cstheme="minorHAnsi"/>
                <w:i/>
                <w:color w:val="FF0000"/>
                <w:szCs w:val="22"/>
              </w:rPr>
            </w:pPr>
          </w:p>
          <w:p w14:paraId="22C27FCC" w14:textId="77777777" w:rsidR="00F3065B" w:rsidRDefault="00F3065B" w:rsidP="00962F05">
            <w:pPr>
              <w:pStyle w:val="NormalIndent"/>
              <w:spacing w:before="0" w:after="0"/>
              <w:ind w:left="0"/>
              <w:rPr>
                <w:rFonts w:asciiTheme="minorHAnsi" w:hAnsiTheme="minorHAnsi" w:cstheme="minorHAnsi"/>
                <w:i/>
                <w:color w:val="FF0000"/>
                <w:szCs w:val="22"/>
              </w:rPr>
            </w:pPr>
          </w:p>
          <w:p w14:paraId="74D1FDC7" w14:textId="77777777" w:rsidR="00F3065B" w:rsidRPr="007E3E37" w:rsidRDefault="00F3065B" w:rsidP="00962F05">
            <w:pPr>
              <w:pStyle w:val="NormalIndent"/>
              <w:spacing w:before="0" w:after="0"/>
              <w:ind w:left="0"/>
              <w:rPr>
                <w:rFonts w:asciiTheme="minorHAnsi" w:hAnsiTheme="minorHAnsi" w:cstheme="minorHAnsi"/>
                <w:i/>
                <w:color w:val="FF0000"/>
                <w:szCs w:val="22"/>
              </w:rPr>
            </w:pPr>
          </w:p>
        </w:tc>
      </w:tr>
      <w:tr w:rsidR="001B109C" w:rsidRPr="00E41388" w14:paraId="3EB68E1B" w14:textId="77777777" w:rsidTr="6DCF43EC">
        <w:trPr>
          <w:cantSplit/>
        </w:trPr>
        <w:tc>
          <w:tcPr>
            <w:tcW w:w="5000" w:type="pct"/>
          </w:tcPr>
          <w:p w14:paraId="54D9B30B" w14:textId="09B691CB" w:rsidR="001B109C" w:rsidRPr="00E169EE" w:rsidRDefault="001B109C" w:rsidP="00F30BFA">
            <w:pPr>
              <w:pStyle w:val="Heading4"/>
              <w:keepLines w:val="0"/>
              <w:spacing w:before="180" w:after="60"/>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00F3065B">
        <w:tc>
          <w:tcPr>
            <w:tcW w:w="5000" w:type="pct"/>
          </w:tcPr>
          <w:p w14:paraId="57D78288" w14:textId="77777777" w:rsidR="001B109C" w:rsidRDefault="001B109C" w:rsidP="00962F05">
            <w:pPr>
              <w:pStyle w:val="NormalIndent"/>
              <w:spacing w:before="0" w:after="0"/>
              <w:ind w:left="0"/>
              <w:rPr>
                <w:rFonts w:asciiTheme="minorHAnsi" w:hAnsiTheme="minorHAnsi" w:cstheme="minorHAnsi"/>
                <w:iCs/>
                <w:color w:val="FF0000"/>
                <w:szCs w:val="22"/>
              </w:rPr>
            </w:pPr>
          </w:p>
          <w:p w14:paraId="20F7842E" w14:textId="77777777" w:rsidR="00F3065B" w:rsidRDefault="00F3065B" w:rsidP="00F3065B">
            <w:pPr>
              <w:pStyle w:val="NoSpacing"/>
            </w:pPr>
            <w:r w:rsidRPr="002E5C97">
              <w:t xml:space="preserve">Southern Cross University is delivering research with measurable impact, aligned with </w:t>
            </w:r>
            <w:r>
              <w:t xml:space="preserve">its </w:t>
            </w:r>
            <w:r w:rsidRPr="002E5C97">
              <w:t>Strategy 2030 and national priorities. Our efforts focus on areas of strength including sustainable food systems, health and wellbeing, Indigenous knowledge, climate resilience, and educational transformation. These themes are advanced through Research Impact Clusters and faculty-led groups, fostering interdisciplinary collaboration and global engagement.</w:t>
            </w:r>
          </w:p>
          <w:p w14:paraId="5296904F" w14:textId="77777777" w:rsidR="00F3065B" w:rsidRPr="002E5C97" w:rsidRDefault="00F3065B" w:rsidP="00F3065B">
            <w:pPr>
              <w:pStyle w:val="NoSpacing"/>
            </w:pPr>
          </w:p>
          <w:p w14:paraId="752AF7FE" w14:textId="77777777" w:rsidR="00F3065B" w:rsidRPr="002E5C97" w:rsidRDefault="00F3065B" w:rsidP="00F3065B">
            <w:pPr>
              <w:pStyle w:val="NoSpacing"/>
            </w:pPr>
            <w:r w:rsidRPr="002E5C97">
              <w:rPr>
                <w:rStyle w:val="Strong"/>
                <w:rFonts w:cs="Times New Roman"/>
              </w:rPr>
              <w:t>Research Excellence and Impact</w:t>
            </w:r>
            <w:r w:rsidRPr="002E5C97">
              <w:t xml:space="preserve"> </w:t>
            </w:r>
          </w:p>
          <w:p w14:paraId="0C78CE8D" w14:textId="77777777" w:rsidR="00F3065B" w:rsidRPr="002E5C97" w:rsidRDefault="00F3065B" w:rsidP="00F3065B">
            <w:pPr>
              <w:pStyle w:val="NoSpacing"/>
            </w:pPr>
            <w:r w:rsidRPr="002E5C97">
              <w:t xml:space="preserve">SCU has achieved its highest-ever research income and entered the Top 500 in the </w:t>
            </w:r>
            <w:hyperlink r:id="rId20" w:anchor="d.en.560972" w:history="1">
              <w:r w:rsidRPr="003A59B2">
                <w:rPr>
                  <w:rStyle w:val="Hyperlink"/>
                </w:rPr>
                <w:t>2026 Times Higher Education World University Rankings</w:t>
              </w:r>
            </w:hyperlink>
            <w:r w:rsidRPr="002E5C97">
              <w:t>. This milestone affirms the quality and momentum of our research programs. However, reputational indicators—particularly international academic and employer perception—remain a challenge. Our ranking trajectory highlights the need to convert high research quality into global visibility.</w:t>
            </w:r>
            <w:r>
              <w:br/>
            </w:r>
          </w:p>
          <w:p w14:paraId="1198B3B1" w14:textId="77777777" w:rsidR="00F3065B" w:rsidRDefault="00F3065B" w:rsidP="00F3065B">
            <w:pPr>
              <w:pStyle w:val="NoSpacing"/>
            </w:pPr>
            <w:r w:rsidRPr="002E5C97">
              <w:t xml:space="preserve">We are now delivering the second phase of our Research Strategy, shifting focus from foundational reform to strategic positioning. This phase builds research intensity in targeted areas, enhances institutional reputation, and embeds a high-performance culture. A key element is establishing a clear narrative that articulates SCU’s distinctive research contribution and guides future investment, collaboration, and profile-building. </w:t>
            </w:r>
          </w:p>
          <w:p w14:paraId="2A32572F" w14:textId="77777777" w:rsidR="00F3065B" w:rsidRDefault="00F3065B" w:rsidP="00F3065B">
            <w:pPr>
              <w:pStyle w:val="NoSpacing"/>
            </w:pPr>
          </w:p>
          <w:p w14:paraId="68475D4B" w14:textId="77777777" w:rsidR="00F3065B" w:rsidRPr="002E5C97" w:rsidRDefault="00F3065B" w:rsidP="00F3065B">
            <w:pPr>
              <w:pStyle w:val="NoSpacing"/>
            </w:pPr>
            <w:r w:rsidRPr="002E5C97">
              <w:t>We are developing integrated tools for real-time performance insights and scenario planning. Enhancing researcher profiles and impact communication is also a priority, ensuring external stakeholders can easily access and understand our strengths.</w:t>
            </w:r>
          </w:p>
          <w:p w14:paraId="14D3016E" w14:textId="77777777" w:rsidR="00F3065B" w:rsidRDefault="00F3065B" w:rsidP="00F3065B">
            <w:pPr>
              <w:pStyle w:val="NoSpacing"/>
            </w:pPr>
          </w:p>
          <w:p w14:paraId="7DEAA41C" w14:textId="77777777" w:rsidR="00F3065B" w:rsidRDefault="00F3065B" w:rsidP="00F3065B">
            <w:pPr>
              <w:pStyle w:val="NoSpacing"/>
            </w:pPr>
            <w:r w:rsidRPr="002E5C97">
              <w:t>We are strengthening global research linkages by consolidating our international engagement strategy and focusing on partnerships that align with institutional priorities. Support for high-impact publication and dissemination is intensifying, including mentoring programs for early and mid-career researchers and targeted media engagement to boost visibility and citation performance.</w:t>
            </w:r>
          </w:p>
          <w:p w14:paraId="2DA6CD7E" w14:textId="77777777" w:rsidR="00F3065B" w:rsidRPr="002E5C97" w:rsidRDefault="00F3065B" w:rsidP="00F3065B">
            <w:pPr>
              <w:pStyle w:val="NoSpacing"/>
            </w:pPr>
          </w:p>
          <w:p w14:paraId="73263668" w14:textId="77777777" w:rsidR="00F3065B" w:rsidRPr="002E5C97" w:rsidRDefault="00F3065B" w:rsidP="00F3065B">
            <w:pPr>
              <w:pStyle w:val="NoSpacing"/>
            </w:pPr>
            <w:r w:rsidRPr="002E5C97">
              <w:rPr>
                <w:rStyle w:val="Strong"/>
                <w:rFonts w:cs="Times New Roman"/>
              </w:rPr>
              <w:t>Research Training</w:t>
            </w:r>
            <w:r w:rsidRPr="002E5C97">
              <w:t xml:space="preserve"> </w:t>
            </w:r>
          </w:p>
          <w:p w14:paraId="1C02399B" w14:textId="77777777" w:rsidR="00F3065B" w:rsidRPr="002E5C97" w:rsidRDefault="00F3065B" w:rsidP="00F3065B">
            <w:pPr>
              <w:pStyle w:val="NoSpacing"/>
            </w:pPr>
            <w:r w:rsidRPr="002E5C97">
              <w:t xml:space="preserve">SCU has strengthened the integrity of its </w:t>
            </w:r>
            <w:hyperlink r:id="rId21" w:history="1">
              <w:r w:rsidRPr="002E5C97">
                <w:rPr>
                  <w:rStyle w:val="Hyperlink"/>
                </w:rPr>
                <w:t>Higher Degree by Research</w:t>
              </w:r>
            </w:hyperlink>
            <w:r w:rsidRPr="002E5C97">
              <w:t xml:space="preserve"> (HDR) pipeline through improved admissions, rigorous milestones, and enhanced supervision. On-time completions reflect these efforts, though enrolments remain below optimal scale.</w:t>
            </w:r>
          </w:p>
          <w:p w14:paraId="1C68B2AC" w14:textId="77777777" w:rsidR="00F3065B" w:rsidRPr="002E5C97" w:rsidRDefault="00F3065B" w:rsidP="00F3065B">
            <w:pPr>
              <w:pStyle w:val="NoSpacing"/>
            </w:pPr>
            <w:r w:rsidRPr="002E5C97">
              <w:t xml:space="preserve">We aim </w:t>
            </w:r>
            <w:r>
              <w:t xml:space="preserve">to continue to attract strong cohorts of quality </w:t>
            </w:r>
            <w:r w:rsidRPr="002E5C97">
              <w:t xml:space="preserve">HDR </w:t>
            </w:r>
            <w:r>
              <w:t>candidates</w:t>
            </w:r>
            <w:r w:rsidRPr="002E5C97">
              <w:t xml:space="preserve"> </w:t>
            </w:r>
            <w:r>
              <w:t>in</w:t>
            </w:r>
            <w:r w:rsidRPr="002E5C97">
              <w:t xml:space="preserve"> 2026 </w:t>
            </w:r>
            <w:r>
              <w:t xml:space="preserve">and beyond </w:t>
            </w:r>
            <w:r w:rsidRPr="002E5C97">
              <w:t>while maintaining quality and strategic alignment. This includes expanding industry-linked PhDs, scaling internships and postdoctoral pathways, advancing Indigenous research leadership, and consolidating new HDR training modules in AI, resilience, impact planning, and cultural competency.</w:t>
            </w:r>
          </w:p>
          <w:p w14:paraId="779B2F45" w14:textId="77777777" w:rsidR="00F3065B" w:rsidRDefault="00F3065B" w:rsidP="00F3065B">
            <w:pPr>
              <w:pStyle w:val="NoSpacing"/>
              <w:rPr>
                <w:rStyle w:val="Strong"/>
                <w:rFonts w:cs="Times New Roman"/>
              </w:rPr>
            </w:pPr>
          </w:p>
          <w:p w14:paraId="17717283" w14:textId="77777777" w:rsidR="00F3065B" w:rsidRPr="002E5C97" w:rsidRDefault="00F3065B" w:rsidP="00F3065B">
            <w:pPr>
              <w:pStyle w:val="NoSpacing"/>
            </w:pPr>
            <w:r w:rsidRPr="002E5C97">
              <w:rPr>
                <w:rStyle w:val="Strong"/>
                <w:rFonts w:cs="Times New Roman"/>
              </w:rPr>
              <w:t>Innovation and Commercialisation</w:t>
            </w:r>
            <w:r w:rsidRPr="002E5C97">
              <w:t xml:space="preserve"> </w:t>
            </w:r>
          </w:p>
          <w:p w14:paraId="7642DC96" w14:textId="77777777" w:rsidR="00F3065B" w:rsidRPr="002E5C97" w:rsidRDefault="00F3065B" w:rsidP="00F3065B">
            <w:pPr>
              <w:pStyle w:val="NoSpacing"/>
            </w:pPr>
            <w:r w:rsidRPr="002E5C97">
              <w:t xml:space="preserve">SCU’s innovation ecosystem is expanding to accelerate research translation and deepen industry collaboration. Infrastructure is being renewed through LIEF grants and internal co-investment, especially in agriculture, natural products, and therapeutic applications. </w:t>
            </w:r>
            <w:r w:rsidRPr="002E5C97">
              <w:lastRenderedPageBreak/>
              <w:t xml:space="preserve">Business development capacity has grown, supporting major bids and strategic partnerships. Industry-aligned postdoctoral researchers are embedded in </w:t>
            </w:r>
            <w:hyperlink r:id="rId22" w:history="1">
              <w:r w:rsidRPr="002E5C97">
                <w:rPr>
                  <w:rStyle w:val="Hyperlink"/>
                </w:rPr>
                <w:t>Research Impact Clusters</w:t>
              </w:r>
            </w:hyperlink>
            <w:r w:rsidRPr="002E5C97">
              <w:t xml:space="preserve">—such as Harvest to Health and </w:t>
            </w:r>
            <w:proofErr w:type="spellStart"/>
            <w:r w:rsidRPr="002E5C97">
              <w:t>ZeroWaste</w:t>
            </w:r>
            <w:proofErr w:type="spellEnd"/>
            <w:r w:rsidRPr="002E5C97">
              <w:t>—which now drive investment, enterprise collaboration, and commercialisation. SCU also contributes to the ARC Industrial Transformation Training Centre for Cultural Heritage and Mining, reinforcing our leadership in applied research.</w:t>
            </w:r>
          </w:p>
          <w:p w14:paraId="7E154DE4" w14:textId="77777777" w:rsidR="00F3065B" w:rsidRDefault="00F3065B" w:rsidP="00F3065B">
            <w:pPr>
              <w:pStyle w:val="NoSpacing"/>
              <w:rPr>
                <w:rStyle w:val="Strong"/>
                <w:rFonts w:cs="Times New Roman"/>
              </w:rPr>
            </w:pPr>
          </w:p>
          <w:p w14:paraId="125A1725" w14:textId="77777777" w:rsidR="00F3065B" w:rsidRPr="002E5C97" w:rsidRDefault="00F3065B" w:rsidP="00F3065B">
            <w:pPr>
              <w:pStyle w:val="NoSpacing"/>
            </w:pPr>
            <w:r w:rsidRPr="002E5C97">
              <w:rPr>
                <w:rStyle w:val="Strong"/>
                <w:rFonts w:cs="Times New Roman"/>
              </w:rPr>
              <w:t>Artificial Intelligence in Research</w:t>
            </w:r>
            <w:r w:rsidRPr="002E5C97">
              <w:t xml:space="preserve"> </w:t>
            </w:r>
          </w:p>
          <w:p w14:paraId="2536AEE6" w14:textId="77777777" w:rsidR="00F3065B" w:rsidRDefault="00F3065B" w:rsidP="00F3065B">
            <w:pPr>
              <w:pStyle w:val="NoSpacing"/>
            </w:pPr>
            <w:r w:rsidRPr="002E5C97">
              <w:t xml:space="preserve">AI is a strategic cross-cutting capability at SCU. In 2025, we introduced institutional guidelines for ethical and impactful AI use and formed a cross-disciplinary oversight committee. We are leading the rollout of SCU’s </w:t>
            </w:r>
            <w:hyperlink r:id="rId23" w:history="1">
              <w:r w:rsidRPr="002E5C97">
                <w:rPr>
                  <w:rStyle w:val="Hyperlink"/>
                </w:rPr>
                <w:t>Generative AI in Research</w:t>
              </w:r>
            </w:hyperlink>
            <w:r w:rsidRPr="002E5C97">
              <w:t xml:space="preserve"> Policy, positioning the University as a national voice in responsible AI-driven research.</w:t>
            </w:r>
          </w:p>
          <w:p w14:paraId="20E9B53A" w14:textId="77777777" w:rsidR="001B109C" w:rsidRDefault="001B109C" w:rsidP="00962F05">
            <w:pPr>
              <w:pStyle w:val="NormalIndent"/>
              <w:spacing w:before="0" w:after="0"/>
              <w:ind w:left="0"/>
              <w:rPr>
                <w:rFonts w:asciiTheme="minorHAnsi" w:hAnsiTheme="minorHAnsi" w:cstheme="minorHAnsi"/>
                <w:i/>
                <w:color w:val="FF0000"/>
                <w:szCs w:val="22"/>
              </w:rPr>
            </w:pPr>
          </w:p>
          <w:p w14:paraId="40DA31C2" w14:textId="77777777" w:rsidR="001B109C" w:rsidRPr="00583B49" w:rsidRDefault="001B109C" w:rsidP="00962F05">
            <w:pPr>
              <w:pStyle w:val="NormalIndent"/>
              <w:spacing w:before="0" w:after="0"/>
              <w:ind w:left="0"/>
              <w:rPr>
                <w:rFonts w:asciiTheme="minorHAnsi" w:hAnsiTheme="minorHAnsi" w:cstheme="minorHAnsi"/>
                <w:i/>
                <w:color w:val="FF0000"/>
                <w:szCs w:val="22"/>
              </w:rPr>
            </w:pPr>
          </w:p>
        </w:tc>
      </w:tr>
      <w:tr w:rsidR="001B109C" w:rsidRPr="00E41388" w14:paraId="23C06863" w14:textId="77777777" w:rsidTr="00F3065B">
        <w:trPr>
          <w:cantSplit/>
          <w:trHeight w:val="736"/>
        </w:trPr>
        <w:tc>
          <w:tcPr>
            <w:tcW w:w="5000" w:type="pct"/>
          </w:tcPr>
          <w:p w14:paraId="451DCFF9" w14:textId="3BDD3562" w:rsidR="001B109C" w:rsidRPr="00E169EE" w:rsidRDefault="00F30BFA" w:rsidP="00F30BFA">
            <w:pPr>
              <w:pStyle w:val="Heading4"/>
              <w:keepLines w:val="0"/>
              <w:spacing w:before="180" w:after="60"/>
            </w:pPr>
            <w:r>
              <w:lastRenderedPageBreak/>
              <w:t>S</w:t>
            </w:r>
            <w:r w:rsidR="001B109C" w:rsidRPr="00045147">
              <w:t>trategies for</w:t>
            </w:r>
            <w:r w:rsidR="001B109C" w:rsidRPr="0011467F">
              <w:t xml:space="preserve"> </w:t>
            </w:r>
            <w:r>
              <w:t>E</w:t>
            </w:r>
            <w:r w:rsidR="001B109C" w:rsidRPr="0011467F">
              <w:t xml:space="preserve">ngaging with </w:t>
            </w:r>
            <w:r>
              <w:t>I</w:t>
            </w:r>
            <w:r w:rsidR="001B109C" w:rsidRPr="0011467F">
              <w:t>ndustry</w:t>
            </w:r>
          </w:p>
        </w:tc>
      </w:tr>
      <w:tr w:rsidR="001B109C" w:rsidRPr="00E41388" w14:paraId="37972037" w14:textId="77777777" w:rsidTr="00F3065B">
        <w:trPr>
          <w:trHeight w:val="1033"/>
        </w:trPr>
        <w:tc>
          <w:tcPr>
            <w:tcW w:w="5000" w:type="pct"/>
          </w:tcPr>
          <w:p w14:paraId="2F94CC18" w14:textId="77777777" w:rsidR="001B109C" w:rsidRDefault="001B109C" w:rsidP="00962F05">
            <w:pPr>
              <w:pStyle w:val="NormalIndent"/>
              <w:spacing w:before="0" w:after="0"/>
              <w:ind w:left="0"/>
              <w:rPr>
                <w:rFonts w:asciiTheme="minorHAnsi" w:hAnsiTheme="minorHAnsi" w:cstheme="minorHAnsi"/>
                <w:i/>
                <w:color w:val="FF0000"/>
                <w:szCs w:val="22"/>
              </w:rPr>
            </w:pPr>
          </w:p>
          <w:p w14:paraId="464068BE" w14:textId="77777777" w:rsidR="00F3065B" w:rsidRDefault="00F3065B" w:rsidP="00F3065B">
            <w:pPr>
              <w:pStyle w:val="NoSpacing"/>
            </w:pPr>
            <w:r w:rsidRPr="002E5C97">
              <w:t xml:space="preserve">Southern Cross University’s orientation to industry is foundational to our student experience and research impact. Strategic connectivity, collaboration and alignment with industry remain central to the realisation of </w:t>
            </w:r>
            <w:hyperlink r:id="rId24" w:history="1">
              <w:r w:rsidRPr="002E5C97">
                <w:rPr>
                  <w:rStyle w:val="Hyperlink"/>
                </w:rPr>
                <w:t>Strategy 2030</w:t>
              </w:r>
            </w:hyperlink>
            <w:r w:rsidRPr="002E5C97">
              <w:t xml:space="preserve">. Industry is positioned as a critical partner in co-creating value through intentional engagement in research, education, innovation and translation—advancing the </w:t>
            </w:r>
            <w:hyperlink r:id="rId25" w:history="1">
              <w:r w:rsidRPr="002E5C97">
                <w:rPr>
                  <w:rStyle w:val="Hyperlink"/>
                  <w:rFonts w:cs="Times New Roman"/>
                </w:rPr>
                <w:t>University’s purpose</w:t>
              </w:r>
            </w:hyperlink>
            <w:r w:rsidRPr="002E5C97">
              <w:t xml:space="preserve"> and commitment to real impact and community transformation.</w:t>
            </w:r>
          </w:p>
          <w:p w14:paraId="2FFF2714" w14:textId="77777777" w:rsidR="00F3065B" w:rsidRPr="002E5C97" w:rsidRDefault="00F3065B" w:rsidP="00F3065B">
            <w:pPr>
              <w:pStyle w:val="NoSpacing"/>
            </w:pPr>
          </w:p>
          <w:p w14:paraId="6A8AECE0" w14:textId="77777777" w:rsidR="00F3065B" w:rsidRDefault="00F3065B" w:rsidP="00F3065B">
            <w:pPr>
              <w:pStyle w:val="NoSpacing"/>
            </w:pPr>
            <w:r w:rsidRPr="002E5C97">
              <w:t>Our approach to industry engagement is place-based, nationally attuned and globally connected. We continue to establish platforms that act as focal points to build coherence and critical mass, while responding to place-specific factors such as scale, viability and geographic dispersal.</w:t>
            </w:r>
          </w:p>
          <w:p w14:paraId="6EAE3992" w14:textId="77777777" w:rsidR="00F3065B" w:rsidRPr="002E5C97" w:rsidRDefault="00F3065B" w:rsidP="00F3065B">
            <w:pPr>
              <w:pStyle w:val="NoSpacing"/>
            </w:pPr>
          </w:p>
          <w:p w14:paraId="2CE37AF8" w14:textId="77777777" w:rsidR="00F3065B" w:rsidRDefault="00F3065B" w:rsidP="00F3065B">
            <w:pPr>
              <w:pStyle w:val="NoSpacing"/>
            </w:pPr>
            <w:hyperlink r:id="rId26" w:history="1">
              <w:r w:rsidRPr="002E5C97">
                <w:rPr>
                  <w:rStyle w:val="Hyperlink"/>
                  <w:rFonts w:cs="Times New Roman"/>
                </w:rPr>
                <w:t>Research Impact Clusters</w:t>
              </w:r>
            </w:hyperlink>
            <w:r w:rsidRPr="002E5C97">
              <w:t xml:space="preserve"> are being strengthened as primary platforms for connecting University research with sector-based opportunities, aligned with National Industry Priorities. These Clusters are </w:t>
            </w:r>
            <w:hyperlink r:id="rId27" w:history="1">
              <w:r w:rsidRPr="002E5C97">
                <w:rPr>
                  <w:rStyle w:val="Hyperlink"/>
                  <w:rFonts w:cs="Times New Roman"/>
                </w:rPr>
                <w:t>formed</w:t>
              </w:r>
            </w:hyperlink>
            <w:r w:rsidRPr="002E5C97">
              <w:t xml:space="preserve"> by working back from societal challenges to enable multidisciplinary collaboration in domains of direct relevance to industry: </w:t>
            </w:r>
            <w:hyperlink r:id="rId28" w:history="1">
              <w:r w:rsidRPr="002E5C97">
                <w:rPr>
                  <w:rStyle w:val="Hyperlink"/>
                  <w:rFonts w:cs="Times New Roman"/>
                </w:rPr>
                <w:t>Zero Waste</w:t>
              </w:r>
            </w:hyperlink>
            <w:r w:rsidRPr="002E5C97">
              <w:t xml:space="preserve">, </w:t>
            </w:r>
            <w:hyperlink r:id="rId29" w:history="1">
              <w:r w:rsidRPr="002E5C97">
                <w:rPr>
                  <w:rStyle w:val="Hyperlink"/>
                  <w:rFonts w:cs="Times New Roman"/>
                </w:rPr>
                <w:t>Harvest to Health</w:t>
              </w:r>
            </w:hyperlink>
            <w:r w:rsidRPr="002E5C97">
              <w:t xml:space="preserve">, </w:t>
            </w:r>
            <w:hyperlink r:id="rId30" w:history="1">
              <w:r w:rsidRPr="002E5C97">
                <w:rPr>
                  <w:rStyle w:val="Hyperlink"/>
                  <w:rFonts w:cs="Times New Roman"/>
                </w:rPr>
                <w:t>Reefs and Oceans</w:t>
              </w:r>
            </w:hyperlink>
            <w:r w:rsidRPr="002E5C97">
              <w:t xml:space="preserve">, and </w:t>
            </w:r>
            <w:hyperlink r:id="rId31" w:history="1">
              <w:r w:rsidRPr="002E5C97">
                <w:rPr>
                  <w:rStyle w:val="Hyperlink"/>
                  <w:rFonts w:cs="Times New Roman"/>
                </w:rPr>
                <w:t>Catchments, Coasts and Communities</w:t>
              </w:r>
            </w:hyperlink>
            <w:r w:rsidRPr="002E5C97">
              <w:t xml:space="preserve">. A new Cluster focused on Resilient Children and Families will be launched in </w:t>
            </w:r>
            <w:r>
              <w:t>2016</w:t>
            </w:r>
            <w:r w:rsidRPr="002E5C97">
              <w:t>.</w:t>
            </w:r>
          </w:p>
          <w:p w14:paraId="2DF14959" w14:textId="77777777" w:rsidR="00F3065B" w:rsidRPr="002E5C97" w:rsidRDefault="00F3065B" w:rsidP="00F3065B">
            <w:pPr>
              <w:pStyle w:val="NoSpacing"/>
            </w:pPr>
          </w:p>
          <w:p w14:paraId="1C97993A" w14:textId="77777777" w:rsidR="00F3065B" w:rsidRDefault="00F3065B" w:rsidP="00F3065B">
            <w:pPr>
              <w:pStyle w:val="NoSpacing"/>
            </w:pPr>
            <w:r w:rsidRPr="002E5C97">
              <w:t>Greater industry connectivity will be achieved through the creation of ‘industry ecosystems’—networks of organisations with shared challenges and purpose. This strategy responds to industry feedback for multilateral engagement, moving beyond traditional bilateral silos to generate broader value. Industry is positioned as co-creators and empowered partners, shaping and strengthening collaborative work within each Cluster.</w:t>
            </w:r>
          </w:p>
          <w:p w14:paraId="7EDDFAE4" w14:textId="77777777" w:rsidR="00F3065B" w:rsidRPr="002E5C97" w:rsidRDefault="00F3065B" w:rsidP="00F3065B">
            <w:pPr>
              <w:pStyle w:val="NoSpacing"/>
            </w:pPr>
          </w:p>
          <w:p w14:paraId="24EEFF35" w14:textId="77777777" w:rsidR="00F3065B" w:rsidRPr="002E5C97" w:rsidRDefault="00F3065B" w:rsidP="00F3065B">
            <w:pPr>
              <w:pStyle w:val="NoSpacing"/>
            </w:pPr>
            <w:r w:rsidRPr="002E5C97">
              <w:t xml:space="preserve">This ecosystem model mirrors progress in education. Ecosystems in Business, Information Technology and Early Childhood have already been established. The full acquisition of The </w:t>
            </w:r>
            <w:r w:rsidRPr="002E5C97">
              <w:lastRenderedPageBreak/>
              <w:t xml:space="preserve">Hotel School Australia has expanded its </w:t>
            </w:r>
            <w:hyperlink r:id="rId32" w:history="1">
              <w:r w:rsidRPr="002E5C97">
                <w:rPr>
                  <w:rStyle w:val="Hyperlink"/>
                  <w:rFonts w:cs="Times New Roman"/>
                </w:rPr>
                <w:t>award-winning industry program and partner network</w:t>
              </w:r>
            </w:hyperlink>
            <w:r w:rsidRPr="002E5C97">
              <w:t>, driving innovation and growth in the hospitality sector.</w:t>
            </w:r>
          </w:p>
          <w:p w14:paraId="7FC149D3" w14:textId="77777777" w:rsidR="00F3065B" w:rsidRDefault="00F3065B" w:rsidP="00F3065B">
            <w:pPr>
              <w:pStyle w:val="NoSpacing"/>
            </w:pPr>
            <w:r w:rsidRPr="002E5C97">
              <w:t xml:space="preserve">SCU will extend partnerships with industry-funded Research and Development Corporations (RDCs) to develop new research programs that address sector needs and enhance productivity, resilience and innovation. Initial funding partnerships with RDCs such as </w:t>
            </w:r>
            <w:hyperlink r:id="rId33" w:history="1">
              <w:proofErr w:type="spellStart"/>
              <w:r w:rsidRPr="002E5C97">
                <w:rPr>
                  <w:rStyle w:val="Hyperlink"/>
                  <w:rFonts w:cs="Times New Roman"/>
                </w:rPr>
                <w:t>AgriFutures</w:t>
              </w:r>
              <w:proofErr w:type="spellEnd"/>
            </w:hyperlink>
            <w:r w:rsidRPr="002E5C97">
              <w:t xml:space="preserve"> and </w:t>
            </w:r>
            <w:hyperlink r:id="rId34" w:history="1">
              <w:r w:rsidRPr="002E5C97">
                <w:rPr>
                  <w:rStyle w:val="Hyperlink"/>
                  <w:rFonts w:cs="Times New Roman"/>
                </w:rPr>
                <w:t>Meat and Livestock Australia</w:t>
              </w:r>
            </w:hyperlink>
            <w:r w:rsidRPr="002E5C97">
              <w:t xml:space="preserve"> enable direct engagement with industry to apply research for impact. Focus areas include </w:t>
            </w:r>
            <w:hyperlink r:id="rId35" w:history="1">
              <w:r w:rsidRPr="002E5C97">
                <w:rPr>
                  <w:rStyle w:val="Hyperlink"/>
                  <w:rFonts w:cs="Times New Roman"/>
                </w:rPr>
                <w:t>industrial hemp</w:t>
              </w:r>
            </w:hyperlink>
            <w:r w:rsidRPr="002E5C97">
              <w:t xml:space="preserve">, </w:t>
            </w:r>
            <w:hyperlink r:id="rId36" w:history="1">
              <w:r w:rsidRPr="002E5C97">
                <w:rPr>
                  <w:rStyle w:val="Hyperlink"/>
                  <w:rFonts w:cs="Times New Roman"/>
                </w:rPr>
                <w:t>sub-tropical coffee</w:t>
              </w:r>
            </w:hyperlink>
            <w:r w:rsidRPr="002E5C97">
              <w:t xml:space="preserve">, </w:t>
            </w:r>
            <w:hyperlink r:id="rId37" w:history="1">
              <w:r w:rsidRPr="002E5C97">
                <w:rPr>
                  <w:rStyle w:val="Hyperlink"/>
                  <w:rFonts w:cs="Times New Roman"/>
                </w:rPr>
                <w:t>bees</w:t>
              </w:r>
            </w:hyperlink>
            <w:r w:rsidRPr="002E5C97">
              <w:t xml:space="preserve">, fisheries management, </w:t>
            </w:r>
            <w:hyperlink r:id="rId38" w:history="1">
              <w:r w:rsidRPr="002E5C97">
                <w:rPr>
                  <w:rStyle w:val="Hyperlink"/>
                  <w:rFonts w:cs="Times New Roman"/>
                </w:rPr>
                <w:t>dry-land rice</w:t>
              </w:r>
            </w:hyperlink>
            <w:r w:rsidRPr="002E5C97">
              <w:t xml:space="preserve">, </w:t>
            </w:r>
            <w:hyperlink r:id="rId39" w:history="1">
              <w:r w:rsidRPr="002E5C97">
                <w:rPr>
                  <w:rStyle w:val="Hyperlink"/>
                  <w:rFonts w:cs="Times New Roman"/>
                </w:rPr>
                <w:t>circular economy</w:t>
              </w:r>
            </w:hyperlink>
            <w:r w:rsidRPr="002E5C97">
              <w:t xml:space="preserve"> and </w:t>
            </w:r>
            <w:hyperlink r:id="rId40" w:history="1">
              <w:r w:rsidRPr="002E5C97">
                <w:rPr>
                  <w:rStyle w:val="Hyperlink"/>
                  <w:rFonts w:cs="Times New Roman"/>
                </w:rPr>
                <w:t>sustainable agriculture</w:t>
              </w:r>
            </w:hyperlink>
            <w:r w:rsidRPr="002E5C97">
              <w:t>.</w:t>
            </w:r>
          </w:p>
          <w:p w14:paraId="353A1EFC" w14:textId="77777777" w:rsidR="00F3065B" w:rsidRPr="002E5C97" w:rsidRDefault="00F3065B" w:rsidP="00F3065B">
            <w:pPr>
              <w:pStyle w:val="NoSpacing"/>
            </w:pPr>
          </w:p>
          <w:p w14:paraId="11C382CA" w14:textId="77777777" w:rsidR="00F3065B" w:rsidRDefault="00F3065B" w:rsidP="00F3065B">
            <w:pPr>
              <w:pStyle w:val="NoSpacing"/>
            </w:pPr>
            <w:r w:rsidRPr="002E5C97">
              <w:t xml:space="preserve">As part of the NSW Government’s Industry Experience project, SCU will launch new </w:t>
            </w:r>
            <w:hyperlink r:id="rId41" w:history="1">
              <w:r w:rsidRPr="002E5C97">
                <w:rPr>
                  <w:rStyle w:val="Hyperlink"/>
                  <w:rFonts w:cs="Times New Roman"/>
                </w:rPr>
                <w:t>Industry Graduate Certificates</w:t>
              </w:r>
            </w:hyperlink>
            <w:r>
              <w:t xml:space="preserve"> which have been </w:t>
            </w:r>
            <w:r w:rsidRPr="002E5C97">
              <w:t>developed in response to workforce priorities</w:t>
            </w:r>
            <w:r>
              <w:t xml:space="preserve"> around the following </w:t>
            </w:r>
            <w:r w:rsidRPr="002E5C97">
              <w:t xml:space="preserve">postgraduate course themes: </w:t>
            </w:r>
            <w:hyperlink r:id="rId42" w:history="1">
              <w:r w:rsidRPr="002E5C97">
                <w:rPr>
                  <w:rStyle w:val="Hyperlink"/>
                  <w:rFonts w:cs="Times New Roman"/>
                </w:rPr>
                <w:t>neurodiversity</w:t>
              </w:r>
            </w:hyperlink>
            <w:r w:rsidRPr="002E5C97">
              <w:t xml:space="preserve">, </w:t>
            </w:r>
            <w:hyperlink r:id="rId43" w:history="1">
              <w:r w:rsidRPr="002E5C97">
                <w:rPr>
                  <w:rStyle w:val="Hyperlink"/>
                  <w:rFonts w:cs="Times New Roman"/>
                </w:rPr>
                <w:t>circular economy</w:t>
              </w:r>
            </w:hyperlink>
            <w:r w:rsidRPr="002E5C97">
              <w:t xml:space="preserve">, </w:t>
            </w:r>
            <w:hyperlink r:id="rId44" w:history="1">
              <w:r w:rsidRPr="002E5C97">
                <w:rPr>
                  <w:rStyle w:val="Hyperlink"/>
                  <w:rFonts w:cs="Times New Roman"/>
                </w:rPr>
                <w:t>small business management</w:t>
              </w:r>
            </w:hyperlink>
            <w:r w:rsidRPr="002E5C97">
              <w:t xml:space="preserve"> and </w:t>
            </w:r>
            <w:hyperlink r:id="rId45" w:history="1">
              <w:r w:rsidRPr="002E5C97">
                <w:rPr>
                  <w:rStyle w:val="Hyperlink"/>
                  <w:rFonts w:cs="Times New Roman"/>
                </w:rPr>
                <w:t>early childhood leadership</w:t>
              </w:r>
            </w:hyperlink>
            <w:r w:rsidRPr="002E5C97">
              <w:t>. The Co-Design Framework will be adopted University-wide to strengthen the relevance of education and research to industry needs. Course co-design is a priority area under the National Priority Industry Linkage Fund.</w:t>
            </w:r>
          </w:p>
          <w:p w14:paraId="64F6A006" w14:textId="77777777" w:rsidR="001B109C" w:rsidRDefault="001B109C" w:rsidP="00962F05">
            <w:pPr>
              <w:pStyle w:val="NormalIndent"/>
              <w:spacing w:before="0" w:after="0"/>
              <w:ind w:left="0"/>
              <w:rPr>
                <w:rFonts w:asciiTheme="minorHAnsi" w:hAnsiTheme="minorHAnsi" w:cstheme="minorHAnsi"/>
                <w:i/>
                <w:color w:val="FF0000"/>
                <w:szCs w:val="22"/>
              </w:rPr>
            </w:pPr>
          </w:p>
          <w:p w14:paraId="6465FC91" w14:textId="77777777" w:rsidR="001B109C" w:rsidRPr="007E3E37" w:rsidRDefault="001B109C" w:rsidP="00962F05">
            <w:pPr>
              <w:pStyle w:val="NormalIndent"/>
              <w:spacing w:before="0" w:after="0"/>
              <w:ind w:left="0"/>
              <w:rPr>
                <w:rFonts w:asciiTheme="minorHAnsi" w:hAnsiTheme="minorHAnsi" w:cstheme="minorHAnsi"/>
                <w:i/>
                <w:color w:val="FF0000"/>
                <w:szCs w:val="22"/>
              </w:rPr>
            </w:pPr>
          </w:p>
        </w:tc>
      </w:tr>
    </w:tbl>
    <w:p w14:paraId="3BBBBA25" w14:textId="77777777" w:rsidR="001B109C" w:rsidRDefault="001B109C" w:rsidP="001B109C">
      <w:pPr>
        <w:spacing w:after="0"/>
        <w:rPr>
          <w:rFonts w:ascii="Times New Roman" w:hAnsi="Times New Roman" w:cs="Times New Roman"/>
          <w:b/>
          <w:bCs/>
          <w:sz w:val="24"/>
          <w:szCs w:val="24"/>
        </w:rPr>
      </w:pPr>
    </w:p>
    <w:p w14:paraId="2BE0E0F4" w14:textId="77777777" w:rsidR="001B109C" w:rsidRDefault="001B109C" w:rsidP="001B109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F016C" w:rsidRPr="00E169EE" w14:paraId="53425073" w14:textId="77777777" w:rsidTr="00962F05">
        <w:tc>
          <w:tcPr>
            <w:tcW w:w="4508" w:type="dxa"/>
          </w:tcPr>
          <w:p w14:paraId="68C798FC" w14:textId="77777777" w:rsidR="001B109C" w:rsidRPr="00E114B4" w:rsidRDefault="001B109C" w:rsidP="00962F05">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rsidP="00962F05">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rsidP="00962F05">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rsidP="00962F05">
            <w:pPr>
              <w:rPr>
                <w:rFonts w:cstheme="minorHAnsi"/>
                <w:sz w:val="24"/>
                <w:szCs w:val="24"/>
              </w:rPr>
            </w:pPr>
            <w:r w:rsidRPr="00E114B4">
              <w:rPr>
                <w:rFonts w:cstheme="minorHAnsi"/>
                <w:sz w:val="24"/>
                <w:szCs w:val="24"/>
              </w:rPr>
              <w:t>In the presence of:</w:t>
            </w:r>
          </w:p>
        </w:tc>
      </w:tr>
      <w:tr w:rsidR="007F016C" w:rsidRPr="00E169EE" w14:paraId="186905E2" w14:textId="77777777" w:rsidTr="00962F05">
        <w:tc>
          <w:tcPr>
            <w:tcW w:w="4508" w:type="dxa"/>
          </w:tcPr>
          <w:p w14:paraId="32153A99" w14:textId="5ECB19E2" w:rsidR="001B109C" w:rsidRPr="00E114B4" w:rsidRDefault="008E07B2" w:rsidP="00962F05">
            <w:pPr>
              <w:pBdr>
                <w:bottom w:val="single" w:sz="12" w:space="1" w:color="auto"/>
              </w:pBdr>
              <w:rPr>
                <w:rFonts w:cstheme="minorHAnsi"/>
                <w:b/>
                <w:bCs/>
              </w:rPr>
            </w:pPr>
            <w:r w:rsidRPr="001E1D51">
              <w:rPr>
                <w:b/>
                <w:bCs/>
              </w:rPr>
              <w:t>Jessica Mohr</w:t>
            </w:r>
            <w:r w:rsidRPr="00DC5CCA">
              <w:rPr>
                <w:sz w:val="20"/>
                <w:szCs w:val="20"/>
              </w:rPr>
              <w:tab/>
            </w:r>
          </w:p>
          <w:p w14:paraId="7375CBDB" w14:textId="77777777" w:rsidR="001B109C" w:rsidRPr="00E114B4" w:rsidRDefault="001B109C" w:rsidP="00962F05">
            <w:pPr>
              <w:rPr>
                <w:rFonts w:cstheme="minorHAnsi"/>
              </w:rPr>
            </w:pPr>
            <w:r w:rsidRPr="00E114B4">
              <w:rPr>
                <w:rFonts w:cstheme="minorHAnsi"/>
              </w:rPr>
              <w:t>Full name (please print)</w:t>
            </w:r>
          </w:p>
        </w:tc>
        <w:tc>
          <w:tcPr>
            <w:tcW w:w="4508" w:type="dxa"/>
          </w:tcPr>
          <w:p w14:paraId="091A8D51" w14:textId="6B8AF9E8" w:rsidR="001B109C" w:rsidRPr="00E114B4" w:rsidRDefault="00B52858" w:rsidP="00962F05">
            <w:pPr>
              <w:pBdr>
                <w:bottom w:val="single" w:sz="12" w:space="1" w:color="auto"/>
              </w:pBdr>
              <w:rPr>
                <w:rFonts w:cstheme="minorHAnsi"/>
                <w:b/>
                <w:bCs/>
              </w:rPr>
            </w:pPr>
            <w:r w:rsidRPr="001E1D51">
              <w:rPr>
                <w:b/>
                <w:bCs/>
              </w:rPr>
              <w:t>Rachel Searl</w:t>
            </w:r>
          </w:p>
          <w:p w14:paraId="5AAC2089" w14:textId="77777777" w:rsidR="001B109C" w:rsidRPr="00E114B4" w:rsidRDefault="001B109C" w:rsidP="00962F05">
            <w:pPr>
              <w:rPr>
                <w:rFonts w:cstheme="minorHAnsi"/>
              </w:rPr>
            </w:pPr>
            <w:r w:rsidRPr="00E114B4">
              <w:rPr>
                <w:rFonts w:cstheme="minorHAnsi"/>
              </w:rPr>
              <w:t>Witness (please print)</w:t>
            </w:r>
          </w:p>
        </w:tc>
      </w:tr>
      <w:tr w:rsidR="007F016C" w:rsidRPr="00E169EE" w14:paraId="6D0DB948" w14:textId="77777777" w:rsidTr="00962F05">
        <w:tc>
          <w:tcPr>
            <w:tcW w:w="4508" w:type="dxa"/>
          </w:tcPr>
          <w:p w14:paraId="101367FA" w14:textId="03028895" w:rsidR="001B109C" w:rsidRPr="00E114B4" w:rsidRDefault="000D6E30" w:rsidP="00962F05">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rsidP="00962F05">
            <w:pPr>
              <w:rPr>
                <w:rFonts w:cstheme="minorHAnsi"/>
              </w:rPr>
            </w:pPr>
            <w:r w:rsidRPr="00E114B4">
              <w:rPr>
                <w:rFonts w:cstheme="minorHAnsi"/>
              </w:rPr>
              <w:t>Position</w:t>
            </w:r>
          </w:p>
          <w:p w14:paraId="390DFF35" w14:textId="77777777" w:rsidR="001B109C" w:rsidRPr="00E114B4" w:rsidRDefault="001B109C" w:rsidP="00962F05">
            <w:pPr>
              <w:rPr>
                <w:rFonts w:cstheme="minorHAnsi"/>
              </w:rPr>
            </w:pPr>
            <w:r w:rsidRPr="00E114B4">
              <w:rPr>
                <w:rFonts w:cstheme="minorHAnsi"/>
              </w:rPr>
              <w:t>of the Department of Education</w:t>
            </w:r>
          </w:p>
        </w:tc>
        <w:tc>
          <w:tcPr>
            <w:tcW w:w="4508" w:type="dxa"/>
          </w:tcPr>
          <w:p w14:paraId="69045716" w14:textId="4B243F8D" w:rsidR="001B109C" w:rsidRPr="00E114B4" w:rsidRDefault="00314FAF" w:rsidP="00962F05">
            <w:pPr>
              <w:pBdr>
                <w:bottom w:val="single" w:sz="12" w:space="1" w:color="auto"/>
              </w:pBdr>
              <w:rPr>
                <w:rFonts w:cstheme="minorHAnsi"/>
                <w:b/>
                <w:bCs/>
              </w:rPr>
            </w:pPr>
            <w:r w:rsidRPr="00E91A60">
              <w:rPr>
                <w:b/>
                <w:bCs/>
              </w:rPr>
              <w:t>Executive Officer</w:t>
            </w:r>
          </w:p>
          <w:p w14:paraId="668DE817" w14:textId="77777777" w:rsidR="001B109C" w:rsidRPr="00E114B4" w:rsidRDefault="001B109C" w:rsidP="00962F05">
            <w:pPr>
              <w:rPr>
                <w:rFonts w:cstheme="minorHAnsi"/>
              </w:rPr>
            </w:pPr>
            <w:r w:rsidRPr="00E114B4">
              <w:rPr>
                <w:rFonts w:cstheme="minorHAnsi"/>
              </w:rPr>
              <w:t>Position or profession of witness (please print)</w:t>
            </w:r>
          </w:p>
        </w:tc>
      </w:tr>
      <w:tr w:rsidR="007F016C" w:rsidRPr="00E169EE" w14:paraId="38C68E43" w14:textId="77777777" w:rsidTr="00962F05">
        <w:tc>
          <w:tcPr>
            <w:tcW w:w="4508" w:type="dxa"/>
          </w:tcPr>
          <w:p w14:paraId="4289F3D2" w14:textId="77777777" w:rsidR="001B109C" w:rsidRPr="00E114B4" w:rsidRDefault="001B109C" w:rsidP="00962F05">
            <w:pPr>
              <w:pBdr>
                <w:bottom w:val="single" w:sz="12" w:space="1" w:color="auto"/>
              </w:pBdr>
              <w:rPr>
                <w:rFonts w:cstheme="minorHAnsi"/>
                <w:b/>
                <w:bCs/>
              </w:rPr>
            </w:pPr>
          </w:p>
          <w:p w14:paraId="415B9216" w14:textId="77777777" w:rsidR="001B109C" w:rsidRPr="00E114B4" w:rsidRDefault="001B109C" w:rsidP="00962F05">
            <w:pPr>
              <w:rPr>
                <w:rFonts w:cstheme="minorHAnsi"/>
              </w:rPr>
            </w:pPr>
            <w:r w:rsidRPr="00E114B4">
              <w:rPr>
                <w:rFonts w:cstheme="minorHAnsi"/>
              </w:rPr>
              <w:t>Signature</w:t>
            </w:r>
          </w:p>
        </w:tc>
        <w:tc>
          <w:tcPr>
            <w:tcW w:w="4508" w:type="dxa"/>
          </w:tcPr>
          <w:p w14:paraId="710024D0" w14:textId="77777777" w:rsidR="001B109C" w:rsidRPr="00E114B4" w:rsidRDefault="001B109C" w:rsidP="00962F05">
            <w:pPr>
              <w:pBdr>
                <w:bottom w:val="single" w:sz="12" w:space="1" w:color="auto"/>
              </w:pBdr>
              <w:rPr>
                <w:rFonts w:cstheme="minorHAnsi"/>
                <w:b/>
                <w:bCs/>
              </w:rPr>
            </w:pPr>
          </w:p>
          <w:p w14:paraId="2D914310" w14:textId="77777777" w:rsidR="001B109C" w:rsidRPr="00E114B4" w:rsidRDefault="001B109C" w:rsidP="00962F05">
            <w:pPr>
              <w:rPr>
                <w:rFonts w:cstheme="minorHAnsi"/>
              </w:rPr>
            </w:pPr>
            <w:r w:rsidRPr="00E114B4">
              <w:rPr>
                <w:rFonts w:cstheme="minorHAnsi"/>
              </w:rPr>
              <w:t>Signature</w:t>
            </w:r>
          </w:p>
        </w:tc>
      </w:tr>
      <w:tr w:rsidR="007F016C" w:rsidRPr="00E169EE" w14:paraId="4B1444B6" w14:textId="77777777" w:rsidTr="00962F05">
        <w:tc>
          <w:tcPr>
            <w:tcW w:w="4508" w:type="dxa"/>
          </w:tcPr>
          <w:p w14:paraId="344C64D3" w14:textId="3937A3AA" w:rsidR="001B109C" w:rsidRPr="007C072E" w:rsidRDefault="007C072E" w:rsidP="00962F05">
            <w:pPr>
              <w:pBdr>
                <w:bottom w:val="single" w:sz="12" w:space="1" w:color="auto"/>
              </w:pBdr>
              <w:rPr>
                <w:rFonts w:cstheme="minorHAnsi"/>
              </w:rPr>
            </w:pPr>
            <w:r w:rsidRPr="007C072E">
              <w:rPr>
                <w:rFonts w:cstheme="minorHAnsi"/>
              </w:rPr>
              <w:t>01/12/2025</w:t>
            </w:r>
          </w:p>
          <w:p w14:paraId="71C4CD3D" w14:textId="77777777" w:rsidR="001B109C" w:rsidRPr="00E169EE" w:rsidRDefault="001B109C" w:rsidP="00962F05">
            <w:pPr>
              <w:rPr>
                <w:rFonts w:cstheme="minorHAnsi"/>
              </w:rPr>
            </w:pPr>
            <w:r w:rsidRPr="00E169EE">
              <w:rPr>
                <w:rFonts w:cstheme="minorHAnsi"/>
              </w:rPr>
              <w:t>Date</w:t>
            </w:r>
          </w:p>
        </w:tc>
        <w:tc>
          <w:tcPr>
            <w:tcW w:w="4508" w:type="dxa"/>
          </w:tcPr>
          <w:p w14:paraId="26028E27" w14:textId="77777777" w:rsidR="001B109C" w:rsidRPr="00F60B66" w:rsidRDefault="001B109C" w:rsidP="00962F05">
            <w:pPr>
              <w:rPr>
                <w:rFonts w:cstheme="minorHAnsi"/>
                <w:b/>
                <w:bCs/>
                <w:highlight w:val="yellow"/>
              </w:rPr>
            </w:pPr>
          </w:p>
        </w:tc>
      </w:tr>
      <w:tr w:rsidR="007F016C" w:rsidRPr="00E169EE" w14:paraId="45CC96F9" w14:textId="77777777" w:rsidTr="00962F05">
        <w:tc>
          <w:tcPr>
            <w:tcW w:w="4508" w:type="dxa"/>
          </w:tcPr>
          <w:p w14:paraId="639CCC16" w14:textId="77777777" w:rsidR="001B109C" w:rsidRDefault="001B109C" w:rsidP="00962F05">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58D63CC6" w:rsidR="001B109C" w:rsidRPr="00E169EE" w:rsidRDefault="003D7ED7" w:rsidP="00962F05">
            <w:pPr>
              <w:spacing w:before="28" w:line="210" w:lineRule="exact"/>
              <w:textAlignment w:val="baseline"/>
              <w:rPr>
                <w:rFonts w:eastAsia="Calibri" w:cstheme="minorHAnsi"/>
                <w:color w:val="000000"/>
                <w:spacing w:val="-3"/>
                <w:sz w:val="24"/>
                <w:szCs w:val="24"/>
              </w:rPr>
            </w:pPr>
            <w:r>
              <w:rPr>
                <w:rFonts w:eastAsia="Calibri" w:cstheme="minorHAnsi"/>
                <w:color w:val="000000"/>
                <w:spacing w:val="-4"/>
                <w:sz w:val="24"/>
                <w:szCs w:val="24"/>
              </w:rPr>
              <w:t>SOUTHERN CROSS UNIVERSITY</w:t>
            </w:r>
          </w:p>
          <w:p w14:paraId="065C6AB9" w14:textId="77777777" w:rsidR="001B109C" w:rsidRPr="00E169EE" w:rsidRDefault="001B109C" w:rsidP="00962F05">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rsidP="00962F05">
            <w:pPr>
              <w:rPr>
                <w:rFonts w:cstheme="minorHAnsi"/>
              </w:rPr>
            </w:pPr>
            <w:r w:rsidRPr="002F4604">
              <w:rPr>
                <w:rFonts w:cstheme="minorHAnsi"/>
                <w:sz w:val="24"/>
                <w:szCs w:val="24"/>
              </w:rPr>
              <w:t>In the presence of:</w:t>
            </w:r>
          </w:p>
        </w:tc>
      </w:tr>
      <w:tr w:rsidR="007F016C" w:rsidRPr="00E169EE" w14:paraId="5AAB6D63" w14:textId="77777777" w:rsidTr="00962F05">
        <w:tc>
          <w:tcPr>
            <w:tcW w:w="4508" w:type="dxa"/>
          </w:tcPr>
          <w:p w14:paraId="3120FAF4" w14:textId="495061F3" w:rsidR="003D7ED7" w:rsidRPr="00E169EE" w:rsidRDefault="003D7ED7" w:rsidP="00962F05">
            <w:pPr>
              <w:rPr>
                <w:rFonts w:cstheme="minorHAnsi"/>
              </w:rPr>
            </w:pPr>
            <w:r w:rsidRPr="00D70FCF">
              <w:rPr>
                <w:rFonts w:cstheme="minorHAnsi"/>
                <w:b/>
                <w:bCs/>
              </w:rPr>
              <w:t>Professor Tyrone Carlin</w:t>
            </w:r>
            <w:r w:rsidRPr="00D70FCF">
              <w:rPr>
                <w:rFonts w:cstheme="minorHAnsi"/>
                <w:b/>
                <w:bCs/>
              </w:rPr>
              <w:br/>
            </w:r>
            <w:r>
              <w:rPr>
                <w:rFonts w:cstheme="minorHAnsi"/>
              </w:rPr>
              <w:t>Vice-Chancellor and President</w:t>
            </w:r>
          </w:p>
        </w:tc>
        <w:tc>
          <w:tcPr>
            <w:tcW w:w="4508" w:type="dxa"/>
          </w:tcPr>
          <w:p w14:paraId="59483E94" w14:textId="08A15C03" w:rsidR="001B109C" w:rsidRPr="002F4604" w:rsidRDefault="007F016C" w:rsidP="00962F05">
            <w:pPr>
              <w:pBdr>
                <w:bottom w:val="single" w:sz="12" w:space="1" w:color="auto"/>
              </w:pBdr>
              <w:rPr>
                <w:rFonts w:cstheme="minorHAnsi"/>
                <w:b/>
                <w:bCs/>
              </w:rPr>
            </w:pPr>
            <w:r>
              <w:rPr>
                <w:rFonts w:cstheme="minorHAnsi"/>
                <w:b/>
                <w:bCs/>
              </w:rPr>
              <w:t xml:space="preserve">    PAOLA BOLZICCO</w:t>
            </w:r>
          </w:p>
          <w:p w14:paraId="439588BC" w14:textId="77777777" w:rsidR="001B109C" w:rsidRPr="002F4604" w:rsidRDefault="001B109C" w:rsidP="00962F05">
            <w:pPr>
              <w:rPr>
                <w:rFonts w:cstheme="minorHAnsi"/>
              </w:rPr>
            </w:pPr>
            <w:r w:rsidRPr="002F4604">
              <w:rPr>
                <w:rFonts w:cstheme="minorHAnsi"/>
              </w:rPr>
              <w:t>Witness (please print)</w:t>
            </w:r>
          </w:p>
        </w:tc>
      </w:tr>
      <w:tr w:rsidR="007F016C" w:rsidRPr="00E169EE" w14:paraId="20B90866" w14:textId="77777777" w:rsidTr="00962F05">
        <w:tc>
          <w:tcPr>
            <w:tcW w:w="4508" w:type="dxa"/>
          </w:tcPr>
          <w:p w14:paraId="231ABA73" w14:textId="07F5E07A" w:rsidR="001B109C" w:rsidRPr="00E169EE" w:rsidRDefault="001B109C" w:rsidP="00962F05">
            <w:pPr>
              <w:spacing w:after="0"/>
              <w:rPr>
                <w:rFonts w:cstheme="minorHAnsi"/>
              </w:rPr>
            </w:pPr>
          </w:p>
          <w:p w14:paraId="536F9855" w14:textId="7BC43776" w:rsidR="001B109C" w:rsidRPr="00E169EE" w:rsidRDefault="001B109C" w:rsidP="00962F05">
            <w:pPr>
              <w:spacing w:after="0"/>
              <w:rPr>
                <w:rFonts w:cstheme="minorHAnsi"/>
              </w:rPr>
            </w:pPr>
          </w:p>
        </w:tc>
        <w:tc>
          <w:tcPr>
            <w:tcW w:w="4508" w:type="dxa"/>
          </w:tcPr>
          <w:p w14:paraId="7B33C473" w14:textId="5D4E2C80" w:rsidR="001B109C" w:rsidRPr="002F4604" w:rsidRDefault="007F016C" w:rsidP="00962F05">
            <w:pPr>
              <w:pBdr>
                <w:bottom w:val="single" w:sz="12" w:space="1" w:color="auto"/>
              </w:pBdr>
              <w:spacing w:after="0"/>
              <w:rPr>
                <w:rFonts w:cstheme="minorHAnsi"/>
                <w:b/>
                <w:bCs/>
              </w:rPr>
            </w:pPr>
            <w:r>
              <w:rPr>
                <w:rFonts w:cstheme="minorHAnsi"/>
                <w:b/>
                <w:bCs/>
              </w:rPr>
              <w:t xml:space="preserve">  EXECUTIVE ASSISTANT TO VICE-CHANCELLOR</w:t>
            </w:r>
          </w:p>
          <w:p w14:paraId="7F90B7AA" w14:textId="091D79EF" w:rsidR="001B109C" w:rsidRDefault="001B109C" w:rsidP="00962F05">
            <w:pPr>
              <w:spacing w:after="0"/>
              <w:rPr>
                <w:rFonts w:cstheme="minorHAnsi"/>
              </w:rPr>
            </w:pPr>
            <w:r w:rsidRPr="002F4604">
              <w:rPr>
                <w:rFonts w:cstheme="minorHAnsi"/>
              </w:rPr>
              <w:t>Position or profession of witness (please print)</w:t>
            </w:r>
          </w:p>
          <w:p w14:paraId="0C046C3D" w14:textId="5EB006D5" w:rsidR="007F016C" w:rsidRPr="002F4604" w:rsidRDefault="007F016C" w:rsidP="00962F05">
            <w:pPr>
              <w:spacing w:after="0"/>
              <w:rPr>
                <w:rFonts w:cstheme="minorHAnsi"/>
              </w:rPr>
            </w:pPr>
          </w:p>
        </w:tc>
      </w:tr>
      <w:tr w:rsidR="007F016C" w:rsidRPr="00E169EE" w14:paraId="51440CFB" w14:textId="77777777" w:rsidTr="00962F05">
        <w:trPr>
          <w:trHeight w:val="80"/>
        </w:trPr>
        <w:tc>
          <w:tcPr>
            <w:tcW w:w="4508" w:type="dxa"/>
          </w:tcPr>
          <w:p w14:paraId="7583F948" w14:textId="77777777" w:rsidR="001B109C" w:rsidRPr="00E169EE" w:rsidRDefault="001B109C" w:rsidP="00962F05">
            <w:pPr>
              <w:pBdr>
                <w:bottom w:val="single" w:sz="12" w:space="1" w:color="auto"/>
              </w:pBdr>
              <w:spacing w:after="0"/>
              <w:rPr>
                <w:rFonts w:cstheme="minorHAnsi"/>
                <w:b/>
                <w:bCs/>
              </w:rPr>
            </w:pPr>
          </w:p>
          <w:p w14:paraId="62FF4341" w14:textId="77777777" w:rsidR="001B109C" w:rsidRPr="00E169EE" w:rsidRDefault="001B109C" w:rsidP="00962F05">
            <w:pPr>
              <w:spacing w:after="0"/>
              <w:rPr>
                <w:rFonts w:cstheme="minorHAnsi"/>
              </w:rPr>
            </w:pPr>
            <w:r w:rsidRPr="00E169EE">
              <w:rPr>
                <w:rFonts w:cstheme="minorHAnsi"/>
              </w:rPr>
              <w:t>Signature</w:t>
            </w:r>
          </w:p>
        </w:tc>
        <w:tc>
          <w:tcPr>
            <w:tcW w:w="4508" w:type="dxa"/>
          </w:tcPr>
          <w:p w14:paraId="75C3F771" w14:textId="77777777" w:rsidR="001B109C" w:rsidRPr="002F4604" w:rsidRDefault="001B109C" w:rsidP="00962F05">
            <w:pPr>
              <w:pBdr>
                <w:bottom w:val="single" w:sz="12" w:space="1" w:color="auto"/>
              </w:pBdr>
              <w:spacing w:after="0"/>
              <w:rPr>
                <w:rFonts w:cstheme="minorHAnsi"/>
                <w:b/>
                <w:bCs/>
              </w:rPr>
            </w:pPr>
          </w:p>
          <w:p w14:paraId="79F89A4A" w14:textId="77777777" w:rsidR="001B109C" w:rsidRPr="002F4604" w:rsidRDefault="001B109C" w:rsidP="00962F05">
            <w:pPr>
              <w:spacing w:after="0"/>
              <w:rPr>
                <w:rFonts w:cstheme="minorHAnsi"/>
              </w:rPr>
            </w:pPr>
            <w:r w:rsidRPr="002F4604">
              <w:rPr>
                <w:rFonts w:cstheme="minorHAnsi"/>
              </w:rPr>
              <w:t>Signature</w:t>
            </w:r>
          </w:p>
        </w:tc>
      </w:tr>
    </w:tbl>
    <w:p w14:paraId="3AB2DC04" w14:textId="77777777" w:rsidR="001B109C" w:rsidRPr="00285733" w:rsidRDefault="001B109C" w:rsidP="001B109C"/>
    <w:p w14:paraId="7F0711AD" w14:textId="5B2225EE"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86284">
      <w:footerReference w:type="default" r:id="rId46"/>
      <w:footerReference w:type="first" r:id="rId47"/>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6FC8A" w14:textId="77777777" w:rsidR="00995BD2" w:rsidRDefault="00995BD2" w:rsidP="000A6228">
      <w:pPr>
        <w:spacing w:after="0" w:line="240" w:lineRule="auto"/>
      </w:pPr>
      <w:r>
        <w:separator/>
      </w:r>
    </w:p>
  </w:endnote>
  <w:endnote w:type="continuationSeparator" w:id="0">
    <w:p w14:paraId="4CE67918" w14:textId="77777777" w:rsidR="00995BD2" w:rsidRDefault="00995BD2" w:rsidP="000A6228">
      <w:pPr>
        <w:spacing w:after="0" w:line="240" w:lineRule="auto"/>
      </w:pPr>
      <w:r>
        <w:continuationSeparator/>
      </w:r>
    </w:p>
  </w:endnote>
  <w:endnote w:type="continuationNotice" w:id="1">
    <w:p w14:paraId="2E69009C" w14:textId="77777777" w:rsidR="00995BD2" w:rsidRDefault="00995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BEF64" w14:textId="77777777" w:rsidR="00995BD2" w:rsidRDefault="00995BD2" w:rsidP="000A6228">
      <w:pPr>
        <w:spacing w:after="0" w:line="240" w:lineRule="auto"/>
      </w:pPr>
      <w:r>
        <w:separator/>
      </w:r>
    </w:p>
  </w:footnote>
  <w:footnote w:type="continuationSeparator" w:id="0">
    <w:p w14:paraId="19E5CDA8" w14:textId="77777777" w:rsidR="00995BD2" w:rsidRDefault="00995BD2" w:rsidP="000A6228">
      <w:pPr>
        <w:spacing w:after="0" w:line="240" w:lineRule="auto"/>
      </w:pPr>
      <w:r>
        <w:continuationSeparator/>
      </w:r>
    </w:p>
  </w:footnote>
  <w:footnote w:type="continuationNotice" w:id="1">
    <w:p w14:paraId="071AAB37" w14:textId="77777777" w:rsidR="00995BD2" w:rsidRDefault="00995B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BEE3F95"/>
    <w:multiLevelType w:val="hybridMultilevel"/>
    <w:tmpl w:val="E746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81E3F"/>
    <w:multiLevelType w:val="hybridMultilevel"/>
    <w:tmpl w:val="0DC81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A2938D3"/>
    <w:multiLevelType w:val="hybridMultilevel"/>
    <w:tmpl w:val="75DA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79560429">
    <w:abstractNumId w:val="11"/>
  </w:num>
  <w:num w:numId="2" w16cid:durableId="1141925489">
    <w:abstractNumId w:val="5"/>
  </w:num>
  <w:num w:numId="3" w16cid:durableId="1430395506">
    <w:abstractNumId w:val="4"/>
  </w:num>
  <w:num w:numId="4" w16cid:durableId="1762024761">
    <w:abstractNumId w:val="3"/>
  </w:num>
  <w:num w:numId="5" w16cid:durableId="861433996">
    <w:abstractNumId w:val="15"/>
  </w:num>
  <w:num w:numId="6" w16cid:durableId="120733662">
    <w:abstractNumId w:val="2"/>
  </w:num>
  <w:num w:numId="7" w16cid:durableId="2022584168">
    <w:abstractNumId w:val="1"/>
  </w:num>
  <w:num w:numId="8" w16cid:durableId="534267804">
    <w:abstractNumId w:val="0"/>
  </w:num>
  <w:num w:numId="9" w16cid:durableId="1265042610">
    <w:abstractNumId w:val="14"/>
  </w:num>
  <w:num w:numId="10" w16cid:durableId="1943879001">
    <w:abstractNumId w:val="7"/>
  </w:num>
  <w:num w:numId="11" w16cid:durableId="419833051">
    <w:abstractNumId w:val="19"/>
  </w:num>
  <w:num w:numId="12" w16cid:durableId="1758015391">
    <w:abstractNumId w:val="10"/>
  </w:num>
  <w:num w:numId="13" w16cid:durableId="1395660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9"/>
  </w:num>
  <w:num w:numId="15" w16cid:durableId="928125744">
    <w:abstractNumId w:val="6"/>
  </w:num>
  <w:num w:numId="16" w16cid:durableId="1172835113">
    <w:abstractNumId w:val="20"/>
  </w:num>
  <w:num w:numId="17" w16cid:durableId="1022434231">
    <w:abstractNumId w:val="16"/>
  </w:num>
  <w:num w:numId="18" w16cid:durableId="618417265">
    <w:abstractNumId w:val="8"/>
  </w:num>
  <w:num w:numId="19" w16cid:durableId="271010807">
    <w:abstractNumId w:val="18"/>
  </w:num>
  <w:num w:numId="20" w16cid:durableId="666710931">
    <w:abstractNumId w:val="17"/>
  </w:num>
  <w:num w:numId="21" w16cid:durableId="1347094365">
    <w:abstractNumId w:val="12"/>
  </w:num>
  <w:num w:numId="22" w16cid:durableId="20775883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45E1D"/>
    <w:rsid w:val="000521D7"/>
    <w:rsid w:val="000960CF"/>
    <w:rsid w:val="000A0B58"/>
    <w:rsid w:val="000A3A19"/>
    <w:rsid w:val="000A6228"/>
    <w:rsid w:val="000B5D40"/>
    <w:rsid w:val="000B7EC6"/>
    <w:rsid w:val="000D6E30"/>
    <w:rsid w:val="00107D87"/>
    <w:rsid w:val="00107DD5"/>
    <w:rsid w:val="0012343A"/>
    <w:rsid w:val="00133B8D"/>
    <w:rsid w:val="0013611E"/>
    <w:rsid w:val="001515BF"/>
    <w:rsid w:val="0015549C"/>
    <w:rsid w:val="0017134D"/>
    <w:rsid w:val="001933CD"/>
    <w:rsid w:val="00196CDA"/>
    <w:rsid w:val="001B109C"/>
    <w:rsid w:val="001C1523"/>
    <w:rsid w:val="001E3BF1"/>
    <w:rsid w:val="001E6DBC"/>
    <w:rsid w:val="00217414"/>
    <w:rsid w:val="00221D8F"/>
    <w:rsid w:val="002272DB"/>
    <w:rsid w:val="00231AEB"/>
    <w:rsid w:val="00235752"/>
    <w:rsid w:val="00241CF3"/>
    <w:rsid w:val="00276047"/>
    <w:rsid w:val="002775F3"/>
    <w:rsid w:val="0029618B"/>
    <w:rsid w:val="002A4458"/>
    <w:rsid w:val="002C1F0F"/>
    <w:rsid w:val="002D3EFA"/>
    <w:rsid w:val="002D589A"/>
    <w:rsid w:val="002E491A"/>
    <w:rsid w:val="002F4604"/>
    <w:rsid w:val="00304890"/>
    <w:rsid w:val="00314FAF"/>
    <w:rsid w:val="003731AD"/>
    <w:rsid w:val="003D56B3"/>
    <w:rsid w:val="003D7ED7"/>
    <w:rsid w:val="0040155D"/>
    <w:rsid w:val="0041713E"/>
    <w:rsid w:val="00421D3F"/>
    <w:rsid w:val="00423785"/>
    <w:rsid w:val="0042692C"/>
    <w:rsid w:val="00452D26"/>
    <w:rsid w:val="00462848"/>
    <w:rsid w:val="00463568"/>
    <w:rsid w:val="0049333E"/>
    <w:rsid w:val="004A06CD"/>
    <w:rsid w:val="004A4B6F"/>
    <w:rsid w:val="004A4CF9"/>
    <w:rsid w:val="004D2965"/>
    <w:rsid w:val="004D2D9D"/>
    <w:rsid w:val="004E6C1C"/>
    <w:rsid w:val="00520BA6"/>
    <w:rsid w:val="00541139"/>
    <w:rsid w:val="00547FB7"/>
    <w:rsid w:val="0057028F"/>
    <w:rsid w:val="00591F57"/>
    <w:rsid w:val="005A75C9"/>
    <w:rsid w:val="005B187D"/>
    <w:rsid w:val="005F015E"/>
    <w:rsid w:val="005F35D6"/>
    <w:rsid w:val="006232DC"/>
    <w:rsid w:val="0063094F"/>
    <w:rsid w:val="00655F31"/>
    <w:rsid w:val="006B2B77"/>
    <w:rsid w:val="006C1BBB"/>
    <w:rsid w:val="006D67F3"/>
    <w:rsid w:val="006E6078"/>
    <w:rsid w:val="006F1FFF"/>
    <w:rsid w:val="006F2406"/>
    <w:rsid w:val="006F6D10"/>
    <w:rsid w:val="00712B94"/>
    <w:rsid w:val="00716CA6"/>
    <w:rsid w:val="00717352"/>
    <w:rsid w:val="007517BA"/>
    <w:rsid w:val="00765C89"/>
    <w:rsid w:val="00772160"/>
    <w:rsid w:val="0077782B"/>
    <w:rsid w:val="007B2CA1"/>
    <w:rsid w:val="007C072E"/>
    <w:rsid w:val="007D0ABC"/>
    <w:rsid w:val="007E1D68"/>
    <w:rsid w:val="007F016C"/>
    <w:rsid w:val="008034C4"/>
    <w:rsid w:val="008042F5"/>
    <w:rsid w:val="0086428D"/>
    <w:rsid w:val="00870573"/>
    <w:rsid w:val="00886959"/>
    <w:rsid w:val="00893A34"/>
    <w:rsid w:val="008A36E1"/>
    <w:rsid w:val="008A37A7"/>
    <w:rsid w:val="008A7AB4"/>
    <w:rsid w:val="008B0736"/>
    <w:rsid w:val="008C1F5A"/>
    <w:rsid w:val="008D4FA9"/>
    <w:rsid w:val="008E07B2"/>
    <w:rsid w:val="00907EBF"/>
    <w:rsid w:val="00913D0F"/>
    <w:rsid w:val="009354D0"/>
    <w:rsid w:val="00950B06"/>
    <w:rsid w:val="00970069"/>
    <w:rsid w:val="009721EB"/>
    <w:rsid w:val="009741FE"/>
    <w:rsid w:val="009769D1"/>
    <w:rsid w:val="00980B05"/>
    <w:rsid w:val="00994D60"/>
    <w:rsid w:val="00995BD2"/>
    <w:rsid w:val="009A08CE"/>
    <w:rsid w:val="009B706E"/>
    <w:rsid w:val="009C1E72"/>
    <w:rsid w:val="009C423A"/>
    <w:rsid w:val="009E79ED"/>
    <w:rsid w:val="009F79E2"/>
    <w:rsid w:val="00A07596"/>
    <w:rsid w:val="00A17A08"/>
    <w:rsid w:val="00A2072C"/>
    <w:rsid w:val="00A314D3"/>
    <w:rsid w:val="00A60673"/>
    <w:rsid w:val="00A818DE"/>
    <w:rsid w:val="00AB2A61"/>
    <w:rsid w:val="00AC1872"/>
    <w:rsid w:val="00AC21EE"/>
    <w:rsid w:val="00AD13D0"/>
    <w:rsid w:val="00AD631F"/>
    <w:rsid w:val="00AE21FF"/>
    <w:rsid w:val="00AF1F18"/>
    <w:rsid w:val="00B04FA8"/>
    <w:rsid w:val="00B0726E"/>
    <w:rsid w:val="00B219D1"/>
    <w:rsid w:val="00B37F99"/>
    <w:rsid w:val="00B52858"/>
    <w:rsid w:val="00B64B3D"/>
    <w:rsid w:val="00B72125"/>
    <w:rsid w:val="00B76700"/>
    <w:rsid w:val="00B81FA4"/>
    <w:rsid w:val="00B8794C"/>
    <w:rsid w:val="00B91A3F"/>
    <w:rsid w:val="00B95EF4"/>
    <w:rsid w:val="00BB4EC1"/>
    <w:rsid w:val="00BB6509"/>
    <w:rsid w:val="00BC248C"/>
    <w:rsid w:val="00C01EC0"/>
    <w:rsid w:val="00C212D2"/>
    <w:rsid w:val="00C2270F"/>
    <w:rsid w:val="00C244EE"/>
    <w:rsid w:val="00C319A4"/>
    <w:rsid w:val="00C32AE5"/>
    <w:rsid w:val="00C72224"/>
    <w:rsid w:val="00C75706"/>
    <w:rsid w:val="00CA4815"/>
    <w:rsid w:val="00CC1725"/>
    <w:rsid w:val="00CF6562"/>
    <w:rsid w:val="00D22F93"/>
    <w:rsid w:val="00D23ABC"/>
    <w:rsid w:val="00D5688A"/>
    <w:rsid w:val="00D65E8B"/>
    <w:rsid w:val="00D70FCF"/>
    <w:rsid w:val="00D7558A"/>
    <w:rsid w:val="00D82BFE"/>
    <w:rsid w:val="00D86284"/>
    <w:rsid w:val="00DA7275"/>
    <w:rsid w:val="00DB2992"/>
    <w:rsid w:val="00DC5980"/>
    <w:rsid w:val="00DD2B46"/>
    <w:rsid w:val="00DD3400"/>
    <w:rsid w:val="00DD3642"/>
    <w:rsid w:val="00DF3F63"/>
    <w:rsid w:val="00E06ED6"/>
    <w:rsid w:val="00E0752E"/>
    <w:rsid w:val="00E114B4"/>
    <w:rsid w:val="00E30B4D"/>
    <w:rsid w:val="00E529E5"/>
    <w:rsid w:val="00E55C8C"/>
    <w:rsid w:val="00EB4C2F"/>
    <w:rsid w:val="00ED0DDF"/>
    <w:rsid w:val="00EE2E52"/>
    <w:rsid w:val="00EE4C9B"/>
    <w:rsid w:val="00EF5C61"/>
    <w:rsid w:val="00F07246"/>
    <w:rsid w:val="00F1000D"/>
    <w:rsid w:val="00F11041"/>
    <w:rsid w:val="00F3065B"/>
    <w:rsid w:val="00F30BFA"/>
    <w:rsid w:val="00F311A4"/>
    <w:rsid w:val="00F60B66"/>
    <w:rsid w:val="00F61424"/>
    <w:rsid w:val="00F82C2C"/>
    <w:rsid w:val="00F85913"/>
    <w:rsid w:val="00FA7392"/>
    <w:rsid w:val="00FC2B31"/>
    <w:rsid w:val="00FD4D6E"/>
    <w:rsid w:val="00FD6383"/>
    <w:rsid w:val="00FD7A94"/>
    <w:rsid w:val="00FF5BC8"/>
    <w:rsid w:val="62E47E4A"/>
    <w:rsid w:val="6DCF4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382439BE-0947-4D0E-9C29-81C0E492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styleId="NoSpacing">
    <w:name w:val="No Spacing"/>
    <w:uiPriority w:val="1"/>
    <w:qFormat/>
    <w:rsid w:val="00F3065B"/>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scu.edu.au/current-students/services-and-support/first-year-advisers/" TargetMode="External"/><Relationship Id="rId26" Type="http://schemas.openxmlformats.org/officeDocument/2006/relationships/hyperlink" Target="https://www.scu.edu.au/research/" TargetMode="External"/><Relationship Id="rId39" Type="http://schemas.openxmlformats.org/officeDocument/2006/relationships/hyperlink" Target="https://www.scu.edu.au/news/2025/ai-boost-for-new-circular-economy-project/" TargetMode="External"/><Relationship Id="rId21" Type="http://schemas.openxmlformats.org/officeDocument/2006/relationships/hyperlink" Target="https://www.scu.edu.au/graduate-school/higher-degrees-research/" TargetMode="External"/><Relationship Id="rId34" Type="http://schemas.openxmlformats.org/officeDocument/2006/relationships/hyperlink" Target="https://www.scu.edu.au/news/2025/new-project-to-drive-circular-economy-transition-further-in-nsw-northern-rivers/" TargetMode="External"/><Relationship Id="rId42" Type="http://schemas.openxmlformats.org/officeDocument/2006/relationships/hyperlink" Target="https://www.scu.edu.au/study/courses/graduate-certificate-in-neurodiversity-1008530/"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cu.edu.au/about/leadership/executive/academic-portfolio-office-apo/scholarship-of-learning-and-teaching/" TargetMode="External"/><Relationship Id="rId29" Type="http://schemas.openxmlformats.org/officeDocument/2006/relationships/hyperlink" Target="https://www.scu.edu.au/research/harvest-to-health/" TargetMode="External"/><Relationship Id="rId11" Type="http://schemas.openxmlformats.org/officeDocument/2006/relationships/image" Target="media/image1.jpeg"/><Relationship Id="rId24" Type="http://schemas.openxmlformats.org/officeDocument/2006/relationships/hyperlink" Target="https://www.scu.edu.au/media/scu-dep/about/documents/Southern-Cross-University-Strategic-Plan-2030.pdf" TargetMode="External"/><Relationship Id="rId32" Type="http://schemas.openxmlformats.org/officeDocument/2006/relationships/hyperlink" Target="https://hotelschool.scu.edu.au/our-advantage/our-industry-connections/" TargetMode="External"/><Relationship Id="rId37" Type="http://schemas.openxmlformats.org/officeDocument/2006/relationships/hyperlink" Target="https://www.scu.edu.au/news/2024/bee-research-and-extension-lab-launches/" TargetMode="External"/><Relationship Id="rId40" Type="http://schemas.openxmlformats.org/officeDocument/2006/relationships/hyperlink" Target="https://www.scu.edu.au/news/2025/organic-horticultural-research-project/?utm_source=chatgpt.com'" TargetMode="External"/><Relationship Id="rId45" Type="http://schemas.openxmlformats.org/officeDocument/2006/relationships/hyperlink" Target="https://www.scu.edu.au/study/courses/graduate-certificate-in-early-childhood-education-leadership-1008253/" TargetMode="External"/><Relationship Id="rId5" Type="http://schemas.openxmlformats.org/officeDocument/2006/relationships/numbering" Target="numbering.xml"/><Relationship Id="rId15" Type="http://schemas.openxmlformats.org/officeDocument/2006/relationships/hyperlink" Target="https://www.scu.edu.au/southern-cross-model/" TargetMode="External"/><Relationship Id="rId23" Type="http://schemas.openxmlformats.org/officeDocument/2006/relationships/hyperlink" Target="https://www.scu.edu.au/genai/research/" TargetMode="External"/><Relationship Id="rId28" Type="http://schemas.openxmlformats.org/officeDocument/2006/relationships/hyperlink" Target="https://www.scu.edu.au/research/zerowaste/" TargetMode="External"/><Relationship Id="rId36" Type="http://schemas.openxmlformats.org/officeDocument/2006/relationships/hyperlink" Target="https://agrifutures.com.au/product/assessing-the-performance-of-international-coffee-cultivars-in-australia/"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cu.edu.au/current-students/learning-zone/pals/" TargetMode="External"/><Relationship Id="rId31" Type="http://schemas.openxmlformats.org/officeDocument/2006/relationships/hyperlink" Target="https://www.scu.edu.au/research/catchments-coasts-and-communities/" TargetMode="External"/><Relationship Id="rId44" Type="http://schemas.openxmlformats.org/officeDocument/2006/relationships/hyperlink" Target="https://www.scu.edu.au/study/courses/graduate-certificate-in-small-business-management-10081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u.edu.au/media/scu-dep/about/documents/Southern-Cross-University-Strategic-Plan-2030.pdf" TargetMode="External"/><Relationship Id="rId22" Type="http://schemas.openxmlformats.org/officeDocument/2006/relationships/hyperlink" Target="https://www.scu.edu.au/research/why-research-impact-clusters/" TargetMode="External"/><Relationship Id="rId27" Type="http://schemas.openxmlformats.org/officeDocument/2006/relationships/hyperlink" Target="https://www.scu.edu.au/research/why-research-impact-clusters/" TargetMode="External"/><Relationship Id="rId30" Type="http://schemas.openxmlformats.org/officeDocument/2006/relationships/hyperlink" Target="https://www.scu.edu.au/research/reefs-and-oceans/" TargetMode="External"/><Relationship Id="rId35" Type="http://schemas.openxmlformats.org/officeDocument/2006/relationships/hyperlink" Target="https://www.scu.edu.au/news/2025/sex-expression-research-for-hempseed/" TargetMode="External"/><Relationship Id="rId43" Type="http://schemas.openxmlformats.org/officeDocument/2006/relationships/hyperlink" Target="https://www.scu.edu.au/study/courses/graduate-certificate-in-circular-economy-1008150/"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srn.com/index.cfm/en/southern-cross-u-res/" TargetMode="External"/><Relationship Id="rId25" Type="http://schemas.openxmlformats.org/officeDocument/2006/relationships/hyperlink" Target="https://www.scu.edu.au/about/purpose-and-values/" TargetMode="External"/><Relationship Id="rId33" Type="http://schemas.openxmlformats.org/officeDocument/2006/relationships/hyperlink" Target="https://www.scu.edu.au/news/2023/australian-industrial-hemp-program-of-research-launches/" TargetMode="External"/><Relationship Id="rId38" Type="http://schemas.openxmlformats.org/officeDocument/2006/relationships/hyperlink" Target="https://www.scu.edu.au/news/2024/climate-smart-rice-arc/" TargetMode="External"/><Relationship Id="rId46" Type="http://schemas.openxmlformats.org/officeDocument/2006/relationships/footer" Target="footer1.xml"/><Relationship Id="rId20" Type="http://schemas.openxmlformats.org/officeDocument/2006/relationships/hyperlink" Target="https://www.scu.edu.au/news/2025/the-top-500/" TargetMode="External"/><Relationship Id="rId41" Type="http://schemas.openxmlformats.org/officeDocument/2006/relationships/hyperlink" Target="https://www.scu.edu.au/industry-graduate-certificate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Props1.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E9E018EC-E69B-4479-8BB1-D0863DB1A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836FB-0FEA-4EB6-8C1F-B6512B7A70B1}">
  <ds:schemaRefs>
    <ds:schemaRef ds:uri="http://schemas.microsoft.com/office/2006/metadata/properties"/>
    <ds:schemaRef ds:uri="http://schemas.microsoft.com/office/infopath/2007/PartnerControls"/>
    <ds:schemaRef ds:uri="fea52c8c-9806-4a1c-8ca9-6928160f6c09"/>
    <ds:schemaRef ds:uri="6e75ac5a-1f9e-40aa-9df5-998dd543a94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2606</Words>
  <Characters>16550</Characters>
  <Application>Microsoft Office Word</Application>
  <DocSecurity>0</DocSecurity>
  <Lines>366</Lines>
  <Paragraphs>124</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11</cp:revision>
  <cp:lastPrinted>2025-12-01T05:25:00Z</cp:lastPrinted>
  <dcterms:created xsi:type="dcterms:W3CDTF">2025-11-23T22:46:00Z</dcterms:created>
  <dcterms:modified xsi:type="dcterms:W3CDTF">2025-12-17T04:41:00Z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