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71523411">
        <w:tc>
          <w:tcPr>
            <w:tcW w:w="5000" w:type="pct"/>
            <w:tcBorders>
              <w:bottom w:val="single" w:sz="4" w:space="0" w:color="auto"/>
            </w:tcBorders>
          </w:tcPr>
          <w:p w14:paraId="26FC6577" w14:textId="16C44057" w:rsidR="001B109C" w:rsidRPr="00865686" w:rsidRDefault="001B109C" w:rsidP="00A15C84">
            <w:pPr>
              <w:pStyle w:val="Heading4"/>
              <w:spacing w:before="180" w:after="60"/>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C22BA0">
              <w:t>Queensland University of Technology</w:t>
            </w:r>
          </w:p>
        </w:tc>
      </w:tr>
      <w:tr w:rsidR="001B109C" w:rsidRPr="00E41388" w14:paraId="2126955C" w14:textId="77777777" w:rsidTr="71523411">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71523411">
        <w:trPr>
          <w:trHeight w:val="1682"/>
        </w:trPr>
        <w:tc>
          <w:tcPr>
            <w:tcW w:w="5000" w:type="pct"/>
            <w:tcBorders>
              <w:bottom w:val="single" w:sz="4" w:space="0" w:color="auto"/>
            </w:tcBorders>
          </w:tcPr>
          <w:p w14:paraId="603CAB15" w14:textId="04EB4E60" w:rsidR="001B109C" w:rsidRPr="00E169EE" w:rsidRDefault="001B109C" w:rsidP="7A5B6162">
            <w:pPr>
              <w:pStyle w:val="NormalIndent"/>
              <w:ind w:left="0"/>
              <w:rPr>
                <w:rFonts w:asciiTheme="minorHAnsi" w:hAnsiTheme="minorHAnsi" w:cstheme="minorBidi"/>
              </w:rPr>
            </w:pPr>
            <w:r w:rsidRPr="7A5B6162">
              <w:rPr>
                <w:rFonts w:asciiTheme="minorHAnsi" w:hAnsiTheme="minorHAnsi" w:cstheme="minorBidi"/>
              </w:rPr>
              <w:t xml:space="preserve">This compact is an agreement between the Commonwealth and the University. </w:t>
            </w:r>
            <w:proofErr w:type="gramStart"/>
            <w:r w:rsidRPr="7A5B6162">
              <w:rPr>
                <w:rFonts w:asciiTheme="minorHAnsi" w:hAnsiTheme="minorHAnsi" w:cstheme="minorBidi"/>
              </w:rPr>
              <w:t>Entering into</w:t>
            </w:r>
            <w:proofErr w:type="gramEnd"/>
            <w:r w:rsidRPr="7A5B6162">
              <w:rPr>
                <w:rFonts w:asciiTheme="minorHAnsi" w:hAnsiTheme="minorHAnsi" w:cstheme="minorBidi"/>
              </w:rPr>
              <w:t xml:space="preserve"> a </w:t>
            </w:r>
            <w:r w:rsidR="001E3BF1" w:rsidRPr="7A5B6162">
              <w:rPr>
                <w:rFonts w:asciiTheme="minorHAnsi" w:hAnsiTheme="minorHAnsi" w:cstheme="minorBidi"/>
              </w:rPr>
              <w:t>C</w:t>
            </w:r>
            <w:r w:rsidRPr="7A5B6162">
              <w:rPr>
                <w:rFonts w:asciiTheme="minorHAnsi" w:hAnsiTheme="minorHAnsi" w:cstheme="minorBidi"/>
              </w:rPr>
              <w:t xml:space="preserve">ompact is one of the quality and accountability requirements, which a higher education provider must meet under the </w:t>
            </w:r>
            <w:r w:rsidRPr="7A5B6162">
              <w:rPr>
                <w:rStyle w:val="Emphasis"/>
                <w:rFonts w:asciiTheme="minorHAnsi" w:hAnsiTheme="minorHAnsi" w:cstheme="minorBidi"/>
              </w:rPr>
              <w:t>Higher Education Support Act</w:t>
            </w:r>
            <w:r w:rsidRPr="7A5B6162">
              <w:rPr>
                <w:rFonts w:asciiTheme="minorHAnsi" w:hAnsiTheme="minorHAnsi" w:cstheme="minorBidi"/>
              </w:rPr>
              <w:t xml:space="preserve"> 2003 (HESA) as a condition of receiving a grant. Specifically, </w:t>
            </w:r>
            <w:r w:rsidR="005F015E" w:rsidRPr="7A5B6162">
              <w:rPr>
                <w:rFonts w:asciiTheme="minorHAnsi" w:hAnsiTheme="minorHAnsi" w:cstheme="minorBidi"/>
              </w:rPr>
              <w:t>s</w:t>
            </w:r>
            <w:r w:rsidR="008C1F5A" w:rsidRPr="7A5B6162">
              <w:rPr>
                <w:rFonts w:asciiTheme="minorHAnsi" w:hAnsiTheme="minorHAnsi" w:cstheme="minorBidi"/>
              </w:rPr>
              <w:t>ubsection</w:t>
            </w:r>
            <w:r w:rsidRPr="7A5B6162">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7A5B6162">
              <w:rPr>
                <w:rFonts w:asciiTheme="minorHAnsi" w:hAnsiTheme="minorHAnsi" w:cstheme="minorBidi"/>
              </w:rPr>
              <w:t>enter into</w:t>
            </w:r>
            <w:proofErr w:type="gramEnd"/>
            <w:r w:rsidRPr="7A5B6162">
              <w:rPr>
                <w:rFonts w:asciiTheme="minorHAnsi" w:hAnsiTheme="minorHAnsi" w:cstheme="minorBidi"/>
              </w:rPr>
              <w:t xml:space="preserve"> a </w:t>
            </w:r>
            <w:r w:rsidR="001E3BF1" w:rsidRPr="7A5B6162">
              <w:rPr>
                <w:rFonts w:asciiTheme="minorHAnsi" w:hAnsiTheme="minorHAnsi" w:cstheme="minorBidi"/>
              </w:rPr>
              <w:t>M</w:t>
            </w:r>
            <w:r w:rsidRPr="7A5B6162">
              <w:rPr>
                <w:rFonts w:asciiTheme="minorHAnsi" w:hAnsiTheme="minorHAnsi" w:cstheme="minorBidi"/>
              </w:rPr>
              <w:t>ission</w:t>
            </w:r>
            <w:r w:rsidR="62E47E4A" w:rsidRPr="7A5B6162">
              <w:rPr>
                <w:rFonts w:asciiTheme="minorHAnsi" w:hAnsiTheme="minorHAnsi" w:cstheme="minorBidi"/>
              </w:rPr>
              <w:t xml:space="preserve"> </w:t>
            </w:r>
            <w:r>
              <w:rPr>
                <w:rFonts w:asciiTheme="minorHAnsi" w:hAnsiTheme="minorHAnsi" w:cstheme="minorHAnsi"/>
                <w:szCs w:val="22"/>
              </w:rPr>
              <w:noBreakHyphen/>
            </w:r>
            <w:r w:rsidR="001E3BF1" w:rsidRPr="7A5B6162">
              <w:rPr>
                <w:rFonts w:asciiTheme="minorHAnsi" w:hAnsiTheme="minorHAnsi" w:cstheme="minorBidi"/>
              </w:rPr>
              <w:t>B</w:t>
            </w:r>
            <w:r w:rsidRPr="7A5B6162">
              <w:rPr>
                <w:rFonts w:asciiTheme="minorHAnsi" w:hAnsiTheme="minorHAnsi" w:cstheme="minorBidi"/>
              </w:rPr>
              <w:t xml:space="preserve">ased </w:t>
            </w:r>
            <w:r w:rsidR="001E3BF1" w:rsidRPr="7A5B6162">
              <w:rPr>
                <w:rFonts w:asciiTheme="minorHAnsi" w:hAnsiTheme="minorHAnsi" w:cstheme="minorBidi"/>
              </w:rPr>
              <w:t>C</w:t>
            </w:r>
            <w:r w:rsidRPr="7A5B6162">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71523411">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71523411">
        <w:trPr>
          <w:trHeight w:val="1123"/>
        </w:trPr>
        <w:tc>
          <w:tcPr>
            <w:tcW w:w="5000" w:type="pct"/>
            <w:tcBorders>
              <w:bottom w:val="single" w:sz="4" w:space="0" w:color="auto"/>
            </w:tcBorders>
          </w:tcPr>
          <w:p w14:paraId="08AF03BB" w14:textId="77777777" w:rsidR="005A4737" w:rsidRDefault="005A4737" w:rsidP="005424D4">
            <w:pPr>
              <w:pStyle w:val="NormalIndent"/>
              <w:spacing w:before="0" w:after="0" w:line="240" w:lineRule="auto"/>
              <w:ind w:left="0"/>
              <w:rPr>
                <w:rFonts w:asciiTheme="minorHAnsi" w:hAnsiTheme="minorHAnsi" w:cstheme="minorHAnsi"/>
                <w:b/>
                <w:bCs/>
                <w:szCs w:val="22"/>
              </w:rPr>
            </w:pPr>
            <w:r>
              <w:rPr>
                <w:rFonts w:asciiTheme="minorHAnsi" w:hAnsiTheme="minorHAnsi" w:cstheme="minorHAnsi"/>
                <w:b/>
                <w:bCs/>
                <w:szCs w:val="22"/>
              </w:rPr>
              <w:t>Overall mission, strategic planning and key outcomes</w:t>
            </w:r>
          </w:p>
          <w:p w14:paraId="3D2EC5EB" w14:textId="0F4998AC" w:rsidR="005A4737" w:rsidRPr="00AC2AFD" w:rsidRDefault="005A4737" w:rsidP="005424D4">
            <w:pPr>
              <w:pStyle w:val="NormalIndent"/>
              <w:spacing w:before="0" w:after="0" w:line="240" w:lineRule="auto"/>
              <w:ind w:left="0"/>
              <w:rPr>
                <w:rFonts w:asciiTheme="minorHAnsi" w:hAnsiTheme="minorHAnsi" w:cstheme="minorHAnsi"/>
                <w:szCs w:val="22"/>
              </w:rPr>
            </w:pPr>
            <w:r w:rsidRPr="00AC2AFD">
              <w:rPr>
                <w:rFonts w:asciiTheme="minorHAnsi" w:hAnsiTheme="minorHAnsi" w:cstheme="minorHAnsi"/>
                <w:szCs w:val="22"/>
              </w:rPr>
              <w:t>QUT</w:t>
            </w:r>
            <w:r w:rsidR="009363E0">
              <w:rPr>
                <w:rFonts w:asciiTheme="minorHAnsi" w:hAnsiTheme="minorHAnsi" w:cstheme="minorHAnsi"/>
                <w:szCs w:val="22"/>
              </w:rPr>
              <w:t>’</w:t>
            </w:r>
            <w:r w:rsidR="003C7494">
              <w:rPr>
                <w:rFonts w:asciiTheme="minorHAnsi" w:hAnsiTheme="minorHAnsi" w:cstheme="minorHAnsi"/>
                <w:szCs w:val="22"/>
              </w:rPr>
              <w:t xml:space="preserve">s </w:t>
            </w:r>
            <w:r w:rsidRPr="00AC2AFD">
              <w:rPr>
                <w:rFonts w:asciiTheme="minorHAnsi" w:hAnsiTheme="minorHAnsi" w:cstheme="minorHAnsi"/>
                <w:szCs w:val="22"/>
              </w:rPr>
              <w:t>strategic plan</w:t>
            </w:r>
            <w:r w:rsidR="003C7494">
              <w:rPr>
                <w:rFonts w:asciiTheme="minorHAnsi" w:hAnsiTheme="minorHAnsi" w:cstheme="minorHAnsi"/>
                <w:szCs w:val="22"/>
              </w:rPr>
              <w:t>, C</w:t>
            </w:r>
            <w:r w:rsidRPr="00AC2AFD">
              <w:rPr>
                <w:rFonts w:asciiTheme="minorHAnsi" w:hAnsiTheme="minorHAnsi" w:cstheme="minorHAnsi"/>
                <w:szCs w:val="22"/>
              </w:rPr>
              <w:t>onnections</w:t>
            </w:r>
            <w:r w:rsidR="003C7494">
              <w:rPr>
                <w:rFonts w:asciiTheme="minorHAnsi" w:hAnsiTheme="minorHAnsi" w:cstheme="minorHAnsi"/>
                <w:szCs w:val="22"/>
              </w:rPr>
              <w:t>,</w:t>
            </w:r>
            <w:r w:rsidRPr="00AC2AFD">
              <w:rPr>
                <w:rFonts w:asciiTheme="minorHAnsi" w:hAnsiTheme="minorHAnsi" w:cstheme="minorHAnsi"/>
                <w:szCs w:val="22"/>
              </w:rPr>
              <w:t xml:space="preserve"> cover</w:t>
            </w:r>
            <w:r w:rsidR="003C7494">
              <w:rPr>
                <w:rFonts w:asciiTheme="minorHAnsi" w:hAnsiTheme="minorHAnsi" w:cstheme="minorHAnsi"/>
                <w:szCs w:val="22"/>
              </w:rPr>
              <w:t>s</w:t>
            </w:r>
            <w:r w:rsidRPr="00AC2AFD">
              <w:rPr>
                <w:rFonts w:asciiTheme="minorHAnsi" w:hAnsiTheme="minorHAnsi" w:cstheme="minorHAnsi"/>
                <w:szCs w:val="22"/>
              </w:rPr>
              <w:t xml:space="preserve"> the period 2023 – 2027.</w:t>
            </w:r>
            <w:r>
              <w:rPr>
                <w:rFonts w:asciiTheme="minorHAnsi" w:hAnsiTheme="minorHAnsi" w:cstheme="minorHAnsi"/>
                <w:szCs w:val="22"/>
              </w:rPr>
              <w:t xml:space="preserve"> </w:t>
            </w:r>
            <w:r w:rsidRPr="00AC2AFD">
              <w:rPr>
                <w:rFonts w:asciiTheme="minorHAnsi" w:hAnsiTheme="minorHAnsi" w:cstheme="minorHAnsi"/>
                <w:szCs w:val="22"/>
              </w:rPr>
              <w:t xml:space="preserve">A key feature </w:t>
            </w:r>
            <w:r w:rsidR="00692720">
              <w:rPr>
                <w:rFonts w:asciiTheme="minorHAnsi" w:hAnsiTheme="minorHAnsi" w:cstheme="minorHAnsi"/>
                <w:szCs w:val="22"/>
              </w:rPr>
              <w:t>is</w:t>
            </w:r>
            <w:r w:rsidRPr="00AC2AFD">
              <w:rPr>
                <w:rFonts w:asciiTheme="minorHAnsi" w:hAnsiTheme="minorHAnsi" w:cstheme="minorHAnsi"/>
                <w:szCs w:val="22"/>
              </w:rPr>
              <w:t xml:space="preserve"> the</w:t>
            </w:r>
            <w:r>
              <w:rPr>
                <w:rFonts w:asciiTheme="minorHAnsi" w:hAnsiTheme="minorHAnsi" w:cstheme="minorHAnsi"/>
                <w:szCs w:val="22"/>
              </w:rPr>
              <w:t xml:space="preserve"> explicit</w:t>
            </w:r>
            <w:r w:rsidRPr="00AC2AFD">
              <w:rPr>
                <w:rFonts w:asciiTheme="minorHAnsi" w:hAnsiTheme="minorHAnsi" w:cstheme="minorHAnsi"/>
                <w:szCs w:val="22"/>
              </w:rPr>
              <w:t xml:space="preserve"> inclusion of student experience as one of the three pillars of QUT focus</w:t>
            </w:r>
            <w:r>
              <w:rPr>
                <w:rFonts w:asciiTheme="minorHAnsi" w:hAnsiTheme="minorHAnsi" w:cstheme="minorHAnsi"/>
                <w:szCs w:val="22"/>
              </w:rPr>
              <w:t>,</w:t>
            </w:r>
            <w:r w:rsidRPr="00AC2AFD">
              <w:rPr>
                <w:rFonts w:asciiTheme="minorHAnsi" w:hAnsiTheme="minorHAnsi" w:cstheme="minorHAnsi"/>
                <w:szCs w:val="22"/>
              </w:rPr>
              <w:t xml:space="preserve"> alongside transformative education and research relevant to our communities</w:t>
            </w:r>
            <w:r>
              <w:rPr>
                <w:rFonts w:asciiTheme="minorHAnsi" w:hAnsiTheme="minorHAnsi" w:cstheme="minorHAnsi"/>
                <w:szCs w:val="22"/>
              </w:rPr>
              <w:t>,</w:t>
            </w:r>
            <w:r w:rsidRPr="00AC2AFD">
              <w:rPr>
                <w:rFonts w:asciiTheme="minorHAnsi" w:hAnsiTheme="minorHAnsi" w:cstheme="minorHAnsi"/>
                <w:szCs w:val="22"/>
              </w:rPr>
              <w:t xml:space="preserve"> reflect</w:t>
            </w:r>
            <w:r>
              <w:rPr>
                <w:rFonts w:asciiTheme="minorHAnsi" w:hAnsiTheme="minorHAnsi" w:cstheme="minorHAnsi"/>
                <w:szCs w:val="22"/>
              </w:rPr>
              <w:t>ing</w:t>
            </w:r>
            <w:r w:rsidRPr="00AC2AFD">
              <w:rPr>
                <w:rFonts w:asciiTheme="minorHAnsi" w:hAnsiTheme="minorHAnsi" w:cstheme="minorHAnsi"/>
                <w:szCs w:val="22"/>
              </w:rPr>
              <w:t xml:space="preserve"> our </w:t>
            </w:r>
            <w:r w:rsidRPr="009567DB">
              <w:rPr>
                <w:rFonts w:asciiTheme="minorHAnsi" w:hAnsiTheme="minorHAnsi" w:cstheme="minorHAnsi"/>
                <w:szCs w:val="22"/>
              </w:rPr>
              <w:t>intensified</w:t>
            </w:r>
            <w:r w:rsidRPr="00AC2AFD">
              <w:rPr>
                <w:rFonts w:asciiTheme="minorHAnsi" w:hAnsiTheme="minorHAnsi" w:cstheme="minorHAnsi"/>
                <w:szCs w:val="22"/>
              </w:rPr>
              <w:t xml:space="preserve"> attention to meeting the needs of our increasingly diverse student body.</w:t>
            </w:r>
            <w:r>
              <w:rPr>
                <w:rFonts w:asciiTheme="minorHAnsi" w:hAnsiTheme="minorHAnsi" w:cstheme="minorHAnsi"/>
                <w:szCs w:val="22"/>
              </w:rPr>
              <w:t xml:space="preserve"> </w:t>
            </w:r>
            <w:r w:rsidR="00C379D9">
              <w:rPr>
                <w:rFonts w:asciiTheme="minorHAnsi" w:hAnsiTheme="minorHAnsi" w:cstheme="minorHAnsi"/>
                <w:szCs w:val="22"/>
              </w:rPr>
              <w:t>Progress on</w:t>
            </w:r>
            <w:r>
              <w:rPr>
                <w:rFonts w:asciiTheme="minorHAnsi" w:hAnsiTheme="minorHAnsi" w:cstheme="minorHAnsi"/>
                <w:szCs w:val="22"/>
              </w:rPr>
              <w:t xml:space="preserve"> </w:t>
            </w:r>
            <w:r w:rsidRPr="00AC2AFD">
              <w:rPr>
                <w:rFonts w:asciiTheme="minorHAnsi" w:hAnsiTheme="minorHAnsi" w:cstheme="minorHAnsi"/>
                <w:szCs w:val="22"/>
              </w:rPr>
              <w:t xml:space="preserve">KPIs </w:t>
            </w:r>
            <w:r w:rsidR="00D7766D">
              <w:rPr>
                <w:rFonts w:asciiTheme="minorHAnsi" w:hAnsiTheme="minorHAnsi" w:cstheme="minorHAnsi"/>
                <w:szCs w:val="22"/>
              </w:rPr>
              <w:t>is</w:t>
            </w:r>
            <w:r w:rsidRPr="00AC2AFD">
              <w:rPr>
                <w:rFonts w:asciiTheme="minorHAnsi" w:hAnsiTheme="minorHAnsi" w:cstheme="minorHAnsi"/>
                <w:szCs w:val="22"/>
              </w:rPr>
              <w:t xml:space="preserve"> reported to QUT Council quarter</w:t>
            </w:r>
            <w:r w:rsidR="00CE557D">
              <w:rPr>
                <w:rFonts w:asciiTheme="minorHAnsi" w:hAnsiTheme="minorHAnsi" w:cstheme="minorHAnsi"/>
                <w:szCs w:val="22"/>
              </w:rPr>
              <w:t>ly</w:t>
            </w:r>
            <w:r w:rsidRPr="00AC2AFD">
              <w:rPr>
                <w:rFonts w:asciiTheme="minorHAnsi" w:hAnsiTheme="minorHAnsi" w:cstheme="minorHAnsi"/>
                <w:szCs w:val="22"/>
              </w:rPr>
              <w:t>.</w:t>
            </w:r>
            <w:r>
              <w:rPr>
                <w:rFonts w:asciiTheme="minorHAnsi" w:hAnsiTheme="minorHAnsi" w:cstheme="minorHAnsi"/>
                <w:szCs w:val="22"/>
              </w:rPr>
              <w:t xml:space="preserve"> </w:t>
            </w:r>
            <w:r w:rsidRPr="00AC2AFD">
              <w:rPr>
                <w:rFonts w:asciiTheme="minorHAnsi" w:hAnsiTheme="minorHAnsi" w:cstheme="minorHAnsi"/>
                <w:szCs w:val="22"/>
              </w:rPr>
              <w:t xml:space="preserve">As The University for the </w:t>
            </w:r>
            <w:proofErr w:type="gramStart"/>
            <w:r w:rsidRPr="00AC2AFD">
              <w:rPr>
                <w:rFonts w:asciiTheme="minorHAnsi" w:hAnsiTheme="minorHAnsi" w:cstheme="minorHAnsi"/>
                <w:szCs w:val="22"/>
              </w:rPr>
              <w:t>Real World, real world</w:t>
            </w:r>
            <w:proofErr w:type="gramEnd"/>
            <w:r w:rsidRPr="00AC2AFD">
              <w:rPr>
                <w:rFonts w:asciiTheme="minorHAnsi" w:hAnsiTheme="minorHAnsi" w:cstheme="minorHAnsi"/>
                <w:szCs w:val="22"/>
              </w:rPr>
              <w:t xml:space="preserve"> connections underpin all activities. </w:t>
            </w:r>
          </w:p>
          <w:bookmarkStart w:id="0" w:name="_Hlk158278248"/>
          <w:p w14:paraId="466BAFEC" w14:textId="21843210" w:rsidR="005A4737" w:rsidRPr="00563534" w:rsidRDefault="005A4737" w:rsidP="00BA45F4">
            <w:pPr>
              <w:pStyle w:val="NormalIndent"/>
              <w:spacing w:before="0" w:line="240" w:lineRule="auto"/>
              <w:ind w:left="0"/>
              <w:rPr>
                <w:rStyle w:val="Hyperlink"/>
                <w:szCs w:val="22"/>
              </w:rPr>
            </w:pPr>
            <w:r>
              <w:rPr>
                <w:rStyle w:val="Hyperlink"/>
                <w:rFonts w:asciiTheme="minorHAnsi" w:hAnsiTheme="minorHAnsi" w:cstheme="minorHAnsi"/>
                <w:szCs w:val="22"/>
              </w:rPr>
              <w:fldChar w:fldCharType="begin"/>
            </w:r>
            <w:r w:rsidR="00194BF8">
              <w:rPr>
                <w:rStyle w:val="Hyperlink"/>
                <w:rFonts w:asciiTheme="minorHAnsi" w:hAnsiTheme="minorHAnsi" w:cstheme="minorHAnsi"/>
                <w:szCs w:val="22"/>
              </w:rPr>
              <w:instrText>HYPERLINK "https://cms.qut.edu.au/__data/assets/pdf_file/0006/1190247/qut-connections.pdf"</w:instrText>
            </w:r>
            <w:r>
              <w:rPr>
                <w:rStyle w:val="Hyperlink"/>
                <w:rFonts w:asciiTheme="minorHAnsi" w:hAnsiTheme="minorHAnsi" w:cstheme="minorHAnsi"/>
                <w:szCs w:val="22"/>
              </w:rPr>
            </w:r>
            <w:r>
              <w:rPr>
                <w:rStyle w:val="Hyperlink"/>
                <w:rFonts w:asciiTheme="minorHAnsi" w:hAnsiTheme="minorHAnsi" w:cstheme="minorHAnsi"/>
                <w:szCs w:val="22"/>
              </w:rPr>
              <w:fldChar w:fldCharType="separate"/>
            </w:r>
            <w:r w:rsidRPr="00563534">
              <w:rPr>
                <w:rStyle w:val="Hyperlink"/>
                <w:rFonts w:asciiTheme="minorHAnsi" w:hAnsiTheme="minorHAnsi" w:cstheme="minorHAnsi"/>
                <w:szCs w:val="22"/>
              </w:rPr>
              <w:t>https://cms.qut.edu.au/__data/assets/pdf_file/0006/1190247/qut-connections.pdf</w:t>
            </w:r>
            <w:r>
              <w:rPr>
                <w:rStyle w:val="Hyperlink"/>
                <w:rFonts w:asciiTheme="minorHAnsi" w:hAnsiTheme="minorHAnsi" w:cstheme="minorHAnsi"/>
                <w:szCs w:val="22"/>
              </w:rPr>
              <w:fldChar w:fldCharType="end"/>
            </w:r>
            <w:r w:rsidRPr="00563534">
              <w:rPr>
                <w:rStyle w:val="Hyperlink"/>
              </w:rPr>
              <w:t xml:space="preserve"> </w:t>
            </w:r>
          </w:p>
          <w:p w14:paraId="2A885CAC" w14:textId="54E90C3D" w:rsidR="00174ED0" w:rsidRPr="00174ED0" w:rsidRDefault="5C3A5C3B" w:rsidP="00BA45F4">
            <w:pPr>
              <w:pStyle w:val="NormalIndent"/>
              <w:spacing w:before="0" w:line="240" w:lineRule="auto"/>
              <w:ind w:left="0"/>
            </w:pPr>
            <w:r w:rsidRPr="7145BA04">
              <w:rPr>
                <w:rFonts w:asciiTheme="minorHAnsi" w:hAnsiTheme="minorHAnsi" w:cstheme="minorBidi"/>
                <w:b/>
                <w:bCs/>
              </w:rPr>
              <w:t>Student and staff safety</w:t>
            </w:r>
            <w:r w:rsidR="002D086F">
              <w:rPr>
                <w:rFonts w:asciiTheme="minorHAnsi" w:hAnsiTheme="minorHAnsi" w:cstheme="minorBidi"/>
                <w:b/>
                <w:bCs/>
              </w:rPr>
              <w:t xml:space="preserve"> </w:t>
            </w:r>
            <w:bookmarkStart w:id="1" w:name="_Hlk157775826"/>
            <w:r w:rsidR="00174ED0" w:rsidRPr="00174ED0">
              <w:t>QUT is committed to preventing all forms of harassment, violence and harm, providing a safe and respectful environment for work and study. QUT recognises and condemns the prevalence of sexual harm and gender-based violence in universities and the broader community, and is a signatory to the </w:t>
            </w:r>
            <w:hyperlink r:id="rId14" w:history="1">
              <w:r w:rsidR="00174ED0" w:rsidRPr="00174ED0">
                <w:rPr>
                  <w:rStyle w:val="Hyperlink"/>
                </w:rPr>
                <w:t>2024 Universities Australia (UA) Charter Against Sexual Harm</w:t>
              </w:r>
            </w:hyperlink>
            <w:r w:rsidR="00174ED0" w:rsidRPr="00174ED0">
              <w:t xml:space="preserve">, taking proactive steps to prevent and respond to all forms of sexual harm. </w:t>
            </w:r>
          </w:p>
          <w:p w14:paraId="011B1EFA" w14:textId="156A0969" w:rsidR="00174ED0" w:rsidRPr="00174ED0" w:rsidRDefault="00174ED0" w:rsidP="00BA45F4">
            <w:pPr>
              <w:pStyle w:val="NormalIndent"/>
              <w:spacing w:before="0" w:after="0" w:line="240" w:lineRule="auto"/>
              <w:ind w:left="0"/>
            </w:pPr>
            <w:r w:rsidRPr="00174ED0">
              <w:t xml:space="preserve">More specifically, the </w:t>
            </w:r>
            <w:hyperlink r:id="rId15" w:history="1">
              <w:r w:rsidRPr="00194BF8">
                <w:rPr>
                  <w:rStyle w:val="Hyperlink"/>
                </w:rPr>
                <w:t>QUT Sexual Harm Prevention and Response Action Plan</w:t>
              </w:r>
            </w:hyperlink>
            <w:r w:rsidRPr="00174ED0">
              <w:t xml:space="preserve"> released in early 2025 outlines a whole-of-university approach focused on prevention, response, recovery, and governance, through targeted actions, training, and policy improvements. QUT is investing in further improvements to initiatives such </w:t>
            </w:r>
            <w:r w:rsidR="00070E58">
              <w:t xml:space="preserve">as </w:t>
            </w:r>
            <w:r w:rsidRPr="00174ED0">
              <w:t>after-hours transport, security systems, monitoring of student accommodation providers and training for staff and students.</w:t>
            </w:r>
            <w:r w:rsidR="00D52E88">
              <w:t xml:space="preserve"> </w:t>
            </w:r>
            <w:hyperlink r:id="rId16" w:history="1">
              <w:r w:rsidRPr="00174ED0">
                <w:rPr>
                  <w:rStyle w:val="Hyperlink"/>
                </w:rPr>
                <w:t>https://www.qut.edu.au/about/our-university/safety-on-campus</w:t>
              </w:r>
            </w:hyperlink>
          </w:p>
          <w:p w14:paraId="3362CC44" w14:textId="56766ED5" w:rsidR="00174ED0" w:rsidRPr="00174ED0" w:rsidRDefault="00174ED0" w:rsidP="00BA45F4">
            <w:pPr>
              <w:pStyle w:val="NormalIndent"/>
              <w:spacing w:line="240" w:lineRule="auto"/>
              <w:ind w:left="0"/>
            </w:pPr>
            <w:r w:rsidRPr="00174ED0">
              <w:t xml:space="preserve">In addition, QUT maintains a strong and ongoing commitment to diversity and inclusion, providing safe environments </w:t>
            </w:r>
            <w:r w:rsidR="00070E58">
              <w:t>for</w:t>
            </w:r>
            <w:r w:rsidR="00070E58" w:rsidRPr="00174ED0">
              <w:t xml:space="preserve"> </w:t>
            </w:r>
            <w:r w:rsidRPr="00174ED0">
              <w:t xml:space="preserve">people of all cultural backgrounds. QUT </w:t>
            </w:r>
            <w:r w:rsidR="00FC42EA">
              <w:t>agreed to</w:t>
            </w:r>
            <w:r w:rsidR="00FC42EA" w:rsidRPr="00174ED0">
              <w:t xml:space="preserve"> </w:t>
            </w:r>
            <w:r w:rsidRPr="00174ED0">
              <w:t xml:space="preserve">adopt the Universities Australia working definition of antisemitism and has committed to the implementation of all recommendations from the Parliamentary Inquiry into Antisemitism and </w:t>
            </w:r>
            <w:r w:rsidR="00362C3B">
              <w:t>QUT’s</w:t>
            </w:r>
            <w:r w:rsidR="00362C3B" w:rsidRPr="00174ED0">
              <w:t xml:space="preserve"> </w:t>
            </w:r>
            <w:r w:rsidRPr="00174ED0">
              <w:t>independent Middleton Review.</w:t>
            </w:r>
          </w:p>
          <w:bookmarkEnd w:id="1"/>
          <w:p w14:paraId="384B85AD" w14:textId="77777777" w:rsidR="005A4737" w:rsidRPr="00444119" w:rsidRDefault="005A4737" w:rsidP="00BA45F4">
            <w:pPr>
              <w:pStyle w:val="NormalIndent"/>
              <w:spacing w:before="0" w:after="0" w:line="240" w:lineRule="auto"/>
              <w:ind w:left="0"/>
              <w:rPr>
                <w:rFonts w:asciiTheme="minorHAnsi" w:hAnsiTheme="minorHAnsi" w:cstheme="minorHAnsi"/>
                <w:b/>
                <w:bCs/>
                <w:szCs w:val="22"/>
              </w:rPr>
            </w:pPr>
            <w:r>
              <w:rPr>
                <w:rFonts w:asciiTheme="minorHAnsi" w:hAnsiTheme="minorHAnsi" w:cstheme="minorHAnsi"/>
                <w:b/>
                <w:bCs/>
                <w:szCs w:val="22"/>
              </w:rPr>
              <w:t>Foreign Interference</w:t>
            </w:r>
          </w:p>
          <w:bookmarkEnd w:id="0"/>
          <w:p w14:paraId="445412F7" w14:textId="22FF8347" w:rsidR="005A4737" w:rsidRPr="00CA5028" w:rsidRDefault="005A4737" w:rsidP="00BA45F4">
            <w:pPr>
              <w:pStyle w:val="NormalIndent"/>
              <w:spacing w:before="0" w:line="240" w:lineRule="auto"/>
              <w:ind w:left="0"/>
              <w:rPr>
                <w:rFonts w:asciiTheme="minorHAnsi" w:hAnsiTheme="minorHAnsi" w:cstheme="minorHAnsi"/>
                <w:i/>
                <w:iCs/>
                <w:szCs w:val="22"/>
              </w:rPr>
            </w:pPr>
            <w:r w:rsidRPr="00444119">
              <w:rPr>
                <w:rFonts w:asciiTheme="minorHAnsi" w:hAnsiTheme="minorHAnsi" w:cstheme="minorHAnsi"/>
                <w:szCs w:val="22"/>
              </w:rPr>
              <w:t>The university</w:t>
            </w:r>
            <w:r>
              <w:rPr>
                <w:rFonts w:asciiTheme="minorHAnsi" w:hAnsiTheme="minorHAnsi" w:cstheme="minorHAnsi"/>
                <w:szCs w:val="22"/>
              </w:rPr>
              <w:t xml:space="preserve"> convene</w:t>
            </w:r>
            <w:r w:rsidR="003C41CB">
              <w:rPr>
                <w:rFonts w:asciiTheme="minorHAnsi" w:hAnsiTheme="minorHAnsi" w:cstheme="minorHAnsi"/>
                <w:szCs w:val="22"/>
              </w:rPr>
              <w:t>s</w:t>
            </w:r>
            <w:r>
              <w:rPr>
                <w:rFonts w:asciiTheme="minorHAnsi" w:hAnsiTheme="minorHAnsi" w:cstheme="minorHAnsi"/>
                <w:szCs w:val="22"/>
              </w:rPr>
              <w:t xml:space="preserve"> a Foreign Interference and Influence Group to </w:t>
            </w:r>
            <w:r w:rsidRPr="00444119">
              <w:rPr>
                <w:rFonts w:asciiTheme="minorHAnsi" w:hAnsiTheme="minorHAnsi" w:cstheme="minorHAnsi"/>
                <w:szCs w:val="22"/>
              </w:rPr>
              <w:t xml:space="preserve">promote awareness of the </w:t>
            </w:r>
            <w:r w:rsidR="002977BB">
              <w:rPr>
                <w:rFonts w:asciiTheme="minorHAnsi" w:hAnsiTheme="minorHAnsi" w:cstheme="minorHAnsi"/>
                <w:szCs w:val="22"/>
              </w:rPr>
              <w:t xml:space="preserve">concerns and </w:t>
            </w:r>
            <w:r w:rsidRPr="00444119">
              <w:rPr>
                <w:rFonts w:asciiTheme="minorHAnsi" w:hAnsiTheme="minorHAnsi" w:cstheme="minorHAnsi"/>
                <w:szCs w:val="22"/>
              </w:rPr>
              <w:t>offences</w:t>
            </w:r>
            <w:r w:rsidR="002977BB">
              <w:rPr>
                <w:rFonts w:asciiTheme="minorHAnsi" w:hAnsiTheme="minorHAnsi" w:cstheme="minorHAnsi"/>
                <w:szCs w:val="22"/>
              </w:rPr>
              <w:t>,</w:t>
            </w:r>
            <w:r w:rsidRPr="00444119">
              <w:rPr>
                <w:rFonts w:asciiTheme="minorHAnsi" w:hAnsiTheme="minorHAnsi" w:cstheme="minorHAnsi"/>
                <w:szCs w:val="22"/>
              </w:rPr>
              <w:t xml:space="preserve"> and </w:t>
            </w:r>
            <w:r w:rsidR="002977BB">
              <w:rPr>
                <w:rFonts w:asciiTheme="minorHAnsi" w:hAnsiTheme="minorHAnsi" w:cstheme="minorHAnsi"/>
                <w:szCs w:val="22"/>
              </w:rPr>
              <w:t xml:space="preserve">to </w:t>
            </w:r>
            <w:r w:rsidRPr="00444119">
              <w:rPr>
                <w:rFonts w:asciiTheme="minorHAnsi" w:hAnsiTheme="minorHAnsi" w:cstheme="minorHAnsi"/>
                <w:szCs w:val="22"/>
              </w:rPr>
              <w:t xml:space="preserve">ensure adequate processes are in place to identify and raise foreign </w:t>
            </w:r>
            <w:r w:rsidRPr="00444119">
              <w:rPr>
                <w:rFonts w:asciiTheme="minorHAnsi" w:hAnsiTheme="minorHAnsi" w:cstheme="minorHAnsi"/>
                <w:szCs w:val="22"/>
              </w:rPr>
              <w:lastRenderedPageBreak/>
              <w:t xml:space="preserve">interference risks. Controls have been put in place to assist areas responsible for academics and research programs, and our </w:t>
            </w:r>
            <w:proofErr w:type="gramStart"/>
            <w:r w:rsidRPr="00444119">
              <w:rPr>
                <w:rFonts w:asciiTheme="minorHAnsi" w:hAnsiTheme="minorHAnsi" w:cstheme="minorHAnsi"/>
                <w:szCs w:val="22"/>
              </w:rPr>
              <w:t>conflict of interest</w:t>
            </w:r>
            <w:proofErr w:type="gramEnd"/>
            <w:r w:rsidRPr="00444119">
              <w:rPr>
                <w:rFonts w:asciiTheme="minorHAnsi" w:hAnsiTheme="minorHAnsi" w:cstheme="minorHAnsi"/>
                <w:szCs w:val="22"/>
              </w:rPr>
              <w:t xml:space="preserve"> policy specifically includes a category of interest, ‘relationship with a foreign entity’</w:t>
            </w:r>
            <w:r w:rsidRPr="00CA5028">
              <w:rPr>
                <w:rFonts w:asciiTheme="minorHAnsi" w:hAnsiTheme="minorHAnsi" w:cstheme="minorHAnsi"/>
                <w:i/>
                <w:iCs/>
                <w:szCs w:val="22"/>
              </w:rPr>
              <w:t>.</w:t>
            </w:r>
          </w:p>
          <w:p w14:paraId="686874C1" w14:textId="77777777" w:rsidR="005A4737" w:rsidRDefault="005A4737" w:rsidP="00BA45F4">
            <w:pPr>
              <w:pStyle w:val="NormalIndent"/>
              <w:spacing w:before="0" w:after="0" w:line="240" w:lineRule="auto"/>
              <w:ind w:left="0"/>
              <w:rPr>
                <w:rFonts w:asciiTheme="minorHAnsi" w:hAnsiTheme="minorHAnsi" w:cstheme="minorHAnsi"/>
                <w:b/>
                <w:szCs w:val="22"/>
              </w:rPr>
            </w:pPr>
            <w:r w:rsidRPr="00ED36CA">
              <w:rPr>
                <w:rFonts w:asciiTheme="minorHAnsi" w:hAnsiTheme="minorHAnsi" w:cstheme="minorHAnsi"/>
                <w:b/>
                <w:szCs w:val="22"/>
              </w:rPr>
              <w:t>Cyber and data security</w:t>
            </w:r>
          </w:p>
          <w:p w14:paraId="0A5406F4" w14:textId="3F5C007A" w:rsidR="005A4737" w:rsidRPr="00ED36CA" w:rsidRDefault="005A4737" w:rsidP="00BA45F4">
            <w:pPr>
              <w:pStyle w:val="NormalIndent"/>
              <w:spacing w:before="0" w:line="240" w:lineRule="auto"/>
              <w:ind w:left="0"/>
              <w:rPr>
                <w:rFonts w:eastAsia="Calibri" w:cs="Calibri"/>
                <w:bCs/>
                <w:i/>
                <w:iCs/>
                <w:color w:val="0000FF"/>
                <w:lang w:eastAsia="en-US"/>
              </w:rPr>
            </w:pPr>
            <w:r>
              <w:rPr>
                <w:rFonts w:asciiTheme="minorHAnsi" w:hAnsiTheme="minorHAnsi" w:cstheme="minorHAnsi"/>
                <w:bCs/>
                <w:szCs w:val="22"/>
              </w:rPr>
              <w:t xml:space="preserve">QUT’s information security strategy outlines the direction of information security for QUT and provides a roadmap of key initiatives that will deliver practical solutions for an increasingly complex environment. Significant investments in digital transformation </w:t>
            </w:r>
            <w:r w:rsidR="005B1CCE">
              <w:rPr>
                <w:rFonts w:asciiTheme="minorHAnsi" w:hAnsiTheme="minorHAnsi" w:cstheme="minorHAnsi"/>
                <w:bCs/>
                <w:szCs w:val="22"/>
              </w:rPr>
              <w:t>continue to be</w:t>
            </w:r>
            <w:r>
              <w:rPr>
                <w:rFonts w:asciiTheme="minorHAnsi" w:hAnsiTheme="minorHAnsi" w:cstheme="minorHAnsi"/>
                <w:bCs/>
                <w:szCs w:val="22"/>
              </w:rPr>
              <w:t xml:space="preserve"> made and monitored by QUT Council. </w:t>
            </w:r>
          </w:p>
          <w:p w14:paraId="549B7543" w14:textId="77777777" w:rsidR="005A4737" w:rsidRPr="00ED36CA" w:rsidRDefault="005A4737" w:rsidP="00BA45F4">
            <w:pPr>
              <w:pStyle w:val="NormalIndent"/>
              <w:spacing w:before="0" w:after="0" w:line="240" w:lineRule="auto"/>
              <w:ind w:left="0"/>
              <w:rPr>
                <w:rFonts w:asciiTheme="minorHAnsi" w:hAnsiTheme="minorHAnsi" w:cstheme="minorHAnsi"/>
                <w:b/>
                <w:bCs/>
                <w:szCs w:val="22"/>
              </w:rPr>
            </w:pPr>
            <w:r>
              <w:rPr>
                <w:rFonts w:asciiTheme="minorHAnsi" w:hAnsiTheme="minorHAnsi" w:cstheme="minorHAnsi"/>
                <w:b/>
                <w:bCs/>
                <w:szCs w:val="22"/>
              </w:rPr>
              <w:t>Freedom of speech and academic freedom</w:t>
            </w:r>
          </w:p>
          <w:p w14:paraId="2C91A87B" w14:textId="627EC6EA" w:rsidR="001B109C" w:rsidRPr="005774F2" w:rsidRDefault="005A4737" w:rsidP="00BA45F4">
            <w:pPr>
              <w:pStyle w:val="NormalIndent"/>
              <w:spacing w:before="0" w:line="240" w:lineRule="auto"/>
              <w:ind w:left="0"/>
              <w:rPr>
                <w:rFonts w:asciiTheme="minorHAnsi" w:hAnsiTheme="minorHAnsi" w:cstheme="minorHAnsi"/>
                <w:i/>
                <w:iCs/>
                <w:szCs w:val="22"/>
              </w:rPr>
            </w:pPr>
            <w:r w:rsidRPr="00CA5028">
              <w:rPr>
                <w:rFonts w:eastAsia="Calibri"/>
                <w:szCs w:val="22"/>
                <w:lang w:eastAsia="en-US"/>
              </w:rPr>
              <w:t xml:space="preserve">QUT’s policy, </w:t>
            </w:r>
            <w:hyperlink r:id="rId17" w:history="1">
              <w:r w:rsidRPr="00CA5028">
                <w:rPr>
                  <w:rFonts w:eastAsia="Calibri" w:cs="Calibri"/>
                  <w:b/>
                  <w:i/>
                  <w:color w:val="0000FF"/>
                  <w:szCs w:val="22"/>
                  <w:u w:val="single"/>
                  <w:lang w:eastAsia="en-US"/>
                </w:rPr>
                <w:t>Protection of academic freedom and freedom of speech</w:t>
              </w:r>
            </w:hyperlink>
            <w:r w:rsidRPr="00CA5028">
              <w:rPr>
                <w:rFonts w:eastAsia="Calibri" w:cs="Calibri"/>
                <w:szCs w:val="22"/>
                <w:lang w:eastAsia="en-US"/>
              </w:rPr>
              <w:t>, was adopted by Council at its meeting of 25 February 2021</w:t>
            </w:r>
            <w:r>
              <w:rPr>
                <w:rFonts w:eastAsia="Calibri" w:cs="Calibri"/>
                <w:szCs w:val="22"/>
                <w:lang w:eastAsia="en-US"/>
              </w:rPr>
              <w:t xml:space="preserve"> and academic freedom was adopted as a QUT value in the Connections strategy, highlighting the centrality of this principle to everything we do. Any issues raised under the policy are monitored each year and reported to QUT Council.</w:t>
            </w:r>
          </w:p>
        </w:tc>
      </w:tr>
      <w:tr w:rsidR="001B109C" w:rsidRPr="00E41388" w14:paraId="0EA45E0C" w14:textId="77777777" w:rsidTr="71523411">
        <w:tc>
          <w:tcPr>
            <w:tcW w:w="5000" w:type="pct"/>
          </w:tcPr>
          <w:p w14:paraId="767F59C9" w14:textId="6521BCE0" w:rsidR="001B109C" w:rsidRDefault="00462848" w:rsidP="00BA45F4">
            <w:pPr>
              <w:pStyle w:val="Heading4"/>
              <w:keepLines w:val="0"/>
              <w:spacing w:before="180" w:after="60" w:line="276" w:lineRule="auto"/>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71523411">
        <w:tc>
          <w:tcPr>
            <w:tcW w:w="5000" w:type="pct"/>
          </w:tcPr>
          <w:p w14:paraId="0ACD1ECE" w14:textId="43A944BB" w:rsidR="00AF4220" w:rsidRPr="00BC46F5" w:rsidRDefault="004D6BEF" w:rsidP="00BA45F4">
            <w:pPr>
              <w:pStyle w:val="NormalIndent"/>
              <w:spacing w:before="0" w:after="0" w:line="240" w:lineRule="auto"/>
              <w:ind w:left="0"/>
              <w:rPr>
                <w:rFonts w:asciiTheme="minorHAnsi" w:hAnsiTheme="minorHAnsi" w:cstheme="minorHAnsi"/>
                <w:iCs/>
                <w:szCs w:val="22"/>
              </w:rPr>
            </w:pPr>
            <w:bookmarkStart w:id="2" w:name="_Hlk150338733"/>
            <w:bookmarkStart w:id="3" w:name="_Hlk150338471"/>
            <w:r>
              <w:rPr>
                <w:rFonts w:eastAsia="PMingLiU" w:cs="Calibri"/>
                <w:iCs/>
                <w:color w:val="000000"/>
                <w:lang w:eastAsia="zh-TW"/>
              </w:rPr>
              <w:t>QUT’s</w:t>
            </w:r>
            <w:r w:rsidR="005A4737">
              <w:rPr>
                <w:rFonts w:eastAsia="PMingLiU" w:cs="Calibri"/>
                <w:iCs/>
                <w:color w:val="000000"/>
                <w:lang w:eastAsia="zh-TW"/>
              </w:rPr>
              <w:t xml:space="preserve"> </w:t>
            </w:r>
            <w:r w:rsidR="005A4737" w:rsidRPr="00ED36CA">
              <w:rPr>
                <w:rFonts w:eastAsia="PMingLiU" w:cs="Calibri"/>
                <w:iCs/>
                <w:color w:val="000000"/>
                <w:lang w:eastAsia="zh-TW"/>
              </w:rPr>
              <w:t xml:space="preserve">Connections Strategy </w:t>
            </w:r>
            <w:r w:rsidR="005A4737">
              <w:rPr>
                <w:rFonts w:eastAsia="PMingLiU" w:cs="Calibri"/>
                <w:iCs/>
                <w:color w:val="000000"/>
                <w:lang w:eastAsia="zh-TW"/>
              </w:rPr>
              <w:t>reinforces our history of</w:t>
            </w:r>
            <w:r w:rsidR="005A4737" w:rsidRPr="00CA5028">
              <w:rPr>
                <w:rFonts w:eastAsia="PMingLiU" w:cs="Calibri"/>
                <w:iCs/>
                <w:color w:val="000000"/>
                <w:lang w:eastAsia="zh-TW"/>
              </w:rPr>
              <w:t xml:space="preserve"> connecting aspiration to opportunity</w:t>
            </w:r>
            <w:r w:rsidR="005A4737">
              <w:rPr>
                <w:rFonts w:eastAsia="PMingLiU" w:cs="Calibri"/>
                <w:iCs/>
                <w:color w:val="000000"/>
                <w:lang w:eastAsia="zh-TW"/>
              </w:rPr>
              <w:t>,</w:t>
            </w:r>
            <w:r w:rsidR="005A4737" w:rsidRPr="00CA5028">
              <w:rPr>
                <w:rFonts w:eastAsia="PMingLiU" w:cs="Calibri"/>
                <w:iCs/>
                <w:color w:val="000000"/>
                <w:lang w:eastAsia="zh-TW"/>
              </w:rPr>
              <w:t xml:space="preserve"> with support for students from under-represented backgrounds, pathways for Indigenous Australians, opportunities for entrepreneurial and professional experiences</w:t>
            </w:r>
            <w:r w:rsidR="005A4737">
              <w:rPr>
                <w:rFonts w:eastAsia="PMingLiU" w:cs="Calibri"/>
                <w:iCs/>
                <w:color w:val="000000"/>
                <w:lang w:eastAsia="zh-TW"/>
              </w:rPr>
              <w:t>,</w:t>
            </w:r>
            <w:r w:rsidR="005A4737" w:rsidRPr="00CA5028">
              <w:rPr>
                <w:rFonts w:eastAsia="PMingLiU" w:cs="Calibri"/>
                <w:iCs/>
                <w:color w:val="000000"/>
                <w:lang w:eastAsia="zh-TW"/>
              </w:rPr>
              <w:t xml:space="preserve"> and </w:t>
            </w:r>
            <w:r w:rsidR="005A4737">
              <w:rPr>
                <w:rFonts w:eastAsia="PMingLiU" w:cs="Calibri"/>
                <w:iCs/>
                <w:color w:val="000000"/>
                <w:lang w:eastAsia="zh-TW"/>
              </w:rPr>
              <w:t>the creation of</w:t>
            </w:r>
            <w:r w:rsidR="005A4737" w:rsidRPr="00CA5028">
              <w:rPr>
                <w:rFonts w:eastAsia="PMingLiU" w:cs="Calibri"/>
                <w:iCs/>
                <w:color w:val="000000"/>
                <w:lang w:eastAsia="zh-TW"/>
              </w:rPr>
              <w:t xml:space="preserve"> supportive research environments</w:t>
            </w:r>
            <w:r w:rsidR="005A4737">
              <w:rPr>
                <w:rFonts w:eastAsia="PMingLiU" w:cs="Calibri"/>
                <w:iCs/>
                <w:color w:val="000000"/>
                <w:lang w:eastAsia="zh-TW"/>
              </w:rPr>
              <w:t>. By 2027, our goal is to have 30% of our student body drawn from targeted equity groups and 4% being Indigenous Australians.</w:t>
            </w:r>
            <w:r w:rsidR="00593544">
              <w:rPr>
                <w:rFonts w:eastAsia="PMingLiU" w:cs="Calibri"/>
                <w:iCs/>
                <w:color w:val="000000"/>
                <w:lang w:eastAsia="zh-TW"/>
              </w:rPr>
              <w:t xml:space="preserve"> </w:t>
            </w:r>
            <w:r w:rsidR="00217825" w:rsidRPr="00BC46F5">
              <w:rPr>
                <w:rFonts w:eastAsia="PMingLiU" w:cs="Calibri"/>
                <w:iCs/>
                <w:lang w:eastAsia="zh-TW"/>
              </w:rPr>
              <w:t>QUT is t</w:t>
            </w:r>
            <w:r w:rsidR="00AF4220" w:rsidRPr="00BC46F5">
              <w:rPr>
                <w:rFonts w:asciiTheme="minorHAnsi" w:hAnsiTheme="minorHAnsi" w:cstheme="minorHAnsi"/>
                <w:iCs/>
                <w:szCs w:val="22"/>
              </w:rPr>
              <w:t xml:space="preserve">racking well towards our </w:t>
            </w:r>
            <w:r w:rsidR="00217825" w:rsidRPr="00BC46F5">
              <w:rPr>
                <w:rFonts w:asciiTheme="minorHAnsi" w:hAnsiTheme="minorHAnsi" w:cstheme="minorHAnsi"/>
                <w:iCs/>
                <w:szCs w:val="22"/>
              </w:rPr>
              <w:t>KPI</w:t>
            </w:r>
            <w:r w:rsidR="00AF4220" w:rsidRPr="00BC46F5">
              <w:rPr>
                <w:rFonts w:asciiTheme="minorHAnsi" w:hAnsiTheme="minorHAnsi" w:cstheme="minorHAnsi"/>
                <w:iCs/>
                <w:szCs w:val="22"/>
              </w:rPr>
              <w:t xml:space="preserve"> of 30% </w:t>
            </w:r>
            <w:r w:rsidR="00217825" w:rsidRPr="00BC46F5">
              <w:rPr>
                <w:rFonts w:asciiTheme="minorHAnsi" w:hAnsiTheme="minorHAnsi" w:cstheme="minorHAnsi"/>
                <w:iCs/>
                <w:szCs w:val="22"/>
              </w:rPr>
              <w:t>of students from under-represented groups</w:t>
            </w:r>
            <w:r w:rsidR="001378A2" w:rsidRPr="00BC46F5">
              <w:rPr>
                <w:rFonts w:asciiTheme="minorHAnsi" w:hAnsiTheme="minorHAnsi" w:cstheme="minorHAnsi"/>
                <w:iCs/>
                <w:szCs w:val="22"/>
              </w:rPr>
              <w:t xml:space="preserve"> by 2027 with an average of 29.</w:t>
            </w:r>
            <w:r w:rsidR="000A1132" w:rsidRPr="00BC46F5">
              <w:rPr>
                <w:rFonts w:asciiTheme="minorHAnsi" w:hAnsiTheme="minorHAnsi" w:cstheme="minorHAnsi"/>
                <w:iCs/>
                <w:szCs w:val="22"/>
              </w:rPr>
              <w:t>4% in the last two years. Note Indigenous Au</w:t>
            </w:r>
            <w:r w:rsidR="00075939" w:rsidRPr="00BC46F5">
              <w:rPr>
                <w:rFonts w:asciiTheme="minorHAnsi" w:hAnsiTheme="minorHAnsi" w:cstheme="minorHAnsi"/>
                <w:iCs/>
                <w:szCs w:val="22"/>
              </w:rPr>
              <w:t xml:space="preserve">stralians are separately reported in our KPIs, which </w:t>
            </w:r>
            <w:r w:rsidR="0086357D" w:rsidRPr="00BC46F5">
              <w:rPr>
                <w:rFonts w:asciiTheme="minorHAnsi" w:hAnsiTheme="minorHAnsi" w:cstheme="minorHAnsi"/>
                <w:iCs/>
                <w:szCs w:val="22"/>
              </w:rPr>
              <w:t xml:space="preserve">has seen </w:t>
            </w:r>
            <w:r w:rsidR="00791ECC" w:rsidRPr="00BC46F5">
              <w:rPr>
                <w:rFonts w:asciiTheme="minorHAnsi" w:hAnsiTheme="minorHAnsi" w:cstheme="minorHAnsi"/>
                <w:iCs/>
                <w:szCs w:val="22"/>
              </w:rPr>
              <w:t>improvements since 2020</w:t>
            </w:r>
            <w:r w:rsidR="00F13405">
              <w:rPr>
                <w:rFonts w:asciiTheme="minorHAnsi" w:hAnsiTheme="minorHAnsi" w:cstheme="minorHAnsi"/>
                <w:iCs/>
                <w:szCs w:val="22"/>
              </w:rPr>
              <w:t>, but remains below target.</w:t>
            </w:r>
          </w:p>
          <w:p w14:paraId="260A79E5" w14:textId="77777777" w:rsidR="0038231D" w:rsidRPr="00BA45F4" w:rsidRDefault="0038231D" w:rsidP="00BA45F4">
            <w:pPr>
              <w:pStyle w:val="NormalIndent"/>
              <w:spacing w:after="0" w:line="240" w:lineRule="auto"/>
              <w:ind w:left="0"/>
              <w:rPr>
                <w:rFonts w:asciiTheme="minorHAnsi" w:hAnsiTheme="minorHAnsi" w:cstheme="minorHAnsi"/>
                <w:b/>
                <w:bCs/>
                <w:szCs w:val="22"/>
              </w:rPr>
            </w:pPr>
            <w:r w:rsidRPr="00BA45F4">
              <w:rPr>
                <w:rFonts w:asciiTheme="minorHAnsi" w:hAnsiTheme="minorHAnsi" w:cstheme="minorHAnsi"/>
                <w:b/>
                <w:bCs/>
                <w:szCs w:val="22"/>
              </w:rPr>
              <w:t>TAFE Queensland Articulation Pathways</w:t>
            </w:r>
          </w:p>
          <w:p w14:paraId="7AF30BDF" w14:textId="77777777" w:rsidR="0038231D" w:rsidRDefault="0038231D" w:rsidP="00BA45F4">
            <w:pPr>
              <w:pStyle w:val="NormalIndent"/>
              <w:spacing w:before="0" w:after="0" w:line="240" w:lineRule="auto"/>
              <w:ind w:left="0"/>
            </w:pPr>
            <w:r w:rsidRPr="004D635E">
              <w:t xml:space="preserve">QUT and TAFE Queensland have established an articulation agreement offering more than 57 pathways into eligible QUT </w:t>
            </w:r>
            <w:proofErr w:type="gramStart"/>
            <w:r w:rsidRPr="004D635E">
              <w:t>bachelor</w:t>
            </w:r>
            <w:proofErr w:type="gramEnd"/>
            <w:r w:rsidRPr="004D635E">
              <w:t xml:space="preserve"> degrees, removing barriers to access and providing increased opportunities to progress to higher education including </w:t>
            </w:r>
            <w:proofErr w:type="gramStart"/>
            <w:r w:rsidRPr="004D635E">
              <w:t>bachelor</w:t>
            </w:r>
            <w:proofErr w:type="gramEnd"/>
            <w:r w:rsidRPr="004D635E">
              <w:t xml:space="preserve"> degrees or onto further postgraduate studies. The articulation agreement enables students to receive advanced standing for their TAFE courses, allowing them to complete their studies sooner in addition to offers of guaranteed entry for dual awards.</w:t>
            </w:r>
          </w:p>
          <w:p w14:paraId="2B3A1E08" w14:textId="3DF350A8" w:rsidR="009779D3" w:rsidRPr="00BA45F4" w:rsidRDefault="009779D3" w:rsidP="00BA45F4">
            <w:pPr>
              <w:pStyle w:val="NormalIndent"/>
              <w:spacing w:after="0" w:line="240" w:lineRule="auto"/>
              <w:ind w:left="0"/>
              <w:rPr>
                <w:rFonts w:asciiTheme="minorHAnsi" w:hAnsiTheme="minorHAnsi" w:cstheme="minorHAnsi"/>
                <w:b/>
                <w:bCs/>
                <w:szCs w:val="22"/>
              </w:rPr>
            </w:pPr>
            <w:r w:rsidRPr="00BA45F4">
              <w:rPr>
                <w:rFonts w:asciiTheme="minorHAnsi" w:hAnsiTheme="minorHAnsi" w:cstheme="minorHAnsi"/>
                <w:b/>
                <w:bCs/>
                <w:szCs w:val="22"/>
              </w:rPr>
              <w:t>FEE-FREE Uni Ready Places</w:t>
            </w:r>
          </w:p>
          <w:p w14:paraId="399C1377" w14:textId="0472AEFD" w:rsidR="009779D3" w:rsidRPr="00281ECA" w:rsidRDefault="009779D3" w:rsidP="00BA45F4">
            <w:pPr>
              <w:pStyle w:val="NormalIndent"/>
              <w:spacing w:before="0" w:after="0" w:line="240" w:lineRule="auto"/>
              <w:ind w:left="0"/>
              <w:rPr>
                <w:rFonts w:asciiTheme="minorHAnsi" w:hAnsiTheme="minorHAnsi" w:cstheme="minorHAnsi"/>
                <w:szCs w:val="22"/>
              </w:rPr>
            </w:pPr>
            <w:r w:rsidRPr="007D4263">
              <w:t xml:space="preserve">In 2025, </w:t>
            </w:r>
            <w:r>
              <w:t xml:space="preserve">QUT’s FFUR program, </w:t>
            </w:r>
            <w:r w:rsidRPr="007D4263">
              <w:t xml:space="preserve">the University Preparation Program </w:t>
            </w:r>
            <w:r>
              <w:t>welcomed</w:t>
            </w:r>
            <w:r w:rsidRPr="007D4263">
              <w:t xml:space="preserve"> a diverse student body across its two intakes. Nearly a third of all enrolled students came from under-represented groups, specifically Indigenous</w:t>
            </w:r>
            <w:r>
              <w:t xml:space="preserve"> Australian</w:t>
            </w:r>
            <w:r w:rsidRPr="007D4263">
              <w:t>, Rural and Remote, and Low</w:t>
            </w:r>
            <w:r>
              <w:t>-</w:t>
            </w:r>
            <w:r w:rsidRPr="007D4263">
              <w:t>Socioeconomic backgrounds.</w:t>
            </w:r>
            <w:r>
              <w:t xml:space="preserve"> </w:t>
            </w:r>
            <w:r w:rsidRPr="007D4263">
              <w:t xml:space="preserve">The program also successfully attracted students from outside Brisbane, with more than a third of the cohort traveling from </w:t>
            </w:r>
            <w:r>
              <w:t>regional areas</w:t>
            </w:r>
            <w:r w:rsidRPr="007D4263">
              <w:t xml:space="preserve"> to attend the face-to-face course.</w:t>
            </w:r>
            <w:r w:rsidR="00DB00DC">
              <w:t xml:space="preserve"> </w:t>
            </w:r>
            <w:r w:rsidR="00DB00DC">
              <w:rPr>
                <w:rFonts w:asciiTheme="minorHAnsi" w:hAnsiTheme="minorHAnsi" w:cstheme="minorHAnsi"/>
                <w:szCs w:val="22"/>
              </w:rPr>
              <w:t xml:space="preserve">First semester 2025 results are positive with more than 85% of students passing all required subjects.  Semester 2, 2025 saw additional growth in the program with 36 students commencing and 31 continuing after census. </w:t>
            </w:r>
          </w:p>
          <w:p w14:paraId="2E77B7DE" w14:textId="1A6DF5A3" w:rsidR="005A4737" w:rsidRPr="00CA5028" w:rsidRDefault="00407E29" w:rsidP="00BA45F4">
            <w:pPr>
              <w:spacing w:before="120" w:after="0"/>
              <w:ind w:right="125"/>
              <w:rPr>
                <w:rFonts w:ascii="Calibri" w:eastAsia="PMingLiU" w:hAnsi="Calibri" w:cs="Calibri"/>
                <w:b/>
                <w:bCs/>
                <w:iCs/>
                <w:color w:val="000000"/>
                <w:lang w:eastAsia="zh-TW"/>
              </w:rPr>
            </w:pPr>
            <w:r>
              <w:rPr>
                <w:rFonts w:ascii="Calibri" w:eastAsia="PMingLiU" w:hAnsi="Calibri" w:cs="Calibri"/>
                <w:b/>
                <w:bCs/>
                <w:iCs/>
                <w:color w:val="000000"/>
                <w:lang w:eastAsia="zh-TW"/>
              </w:rPr>
              <w:t>Aboriginal</w:t>
            </w:r>
            <w:r w:rsidR="005A4737" w:rsidRPr="00CA5028">
              <w:rPr>
                <w:rFonts w:ascii="Calibri" w:eastAsia="PMingLiU" w:hAnsi="Calibri" w:cs="Calibri"/>
                <w:b/>
                <w:bCs/>
                <w:iCs/>
                <w:color w:val="000000"/>
                <w:lang w:eastAsia="zh-TW"/>
              </w:rPr>
              <w:t xml:space="preserve"> and Torres Strait Islander student</w:t>
            </w:r>
            <w:r w:rsidR="0038231D">
              <w:rPr>
                <w:rFonts w:ascii="Calibri" w:eastAsia="PMingLiU" w:hAnsi="Calibri" w:cs="Calibri"/>
                <w:b/>
                <w:bCs/>
                <w:iCs/>
                <w:color w:val="000000"/>
                <w:lang w:eastAsia="zh-TW"/>
              </w:rPr>
              <w:t xml:space="preserve"> support</w:t>
            </w:r>
          </w:p>
          <w:p w14:paraId="41D58CD4" w14:textId="34E9DA06" w:rsidR="005A4737" w:rsidRPr="00CA5028" w:rsidRDefault="005A4737" w:rsidP="00BA45F4">
            <w:pPr>
              <w:numPr>
                <w:ilvl w:val="0"/>
                <w:numId w:val="21"/>
              </w:numPr>
              <w:spacing w:after="0"/>
              <w:ind w:right="122"/>
              <w:rPr>
                <w:rFonts w:ascii="Calibri" w:eastAsia="PMingLiU" w:hAnsi="Calibri" w:cs="Calibri"/>
                <w:lang w:eastAsia="zh-TW"/>
              </w:rPr>
            </w:pPr>
            <w:r w:rsidRPr="00CA5028">
              <w:rPr>
                <w:rFonts w:ascii="Calibri" w:eastAsia="PMingLiU" w:hAnsi="Calibri" w:cs="Calibri"/>
                <w:lang w:eastAsia="zh-TW"/>
              </w:rPr>
              <w:t xml:space="preserve">QUT’s </w:t>
            </w:r>
            <w:hyperlink r:id="rId18" w:history="1">
              <w:r w:rsidRPr="00CA5028">
                <w:rPr>
                  <w:rFonts w:ascii="Calibri" w:eastAsia="PMingLiU" w:hAnsi="Calibri" w:cs="Calibri"/>
                  <w:color w:val="0000FF"/>
                  <w:u w:val="single"/>
                  <w:lang w:eastAsia="zh-TW"/>
                </w:rPr>
                <w:t>Oodgeroo Unit</w:t>
              </w:r>
            </w:hyperlink>
            <w:r w:rsidRPr="00CA5028">
              <w:rPr>
                <w:rFonts w:ascii="Calibri" w:eastAsia="PMingLiU" w:hAnsi="Calibri" w:cs="Calibri"/>
                <w:lang w:eastAsia="zh-TW"/>
              </w:rPr>
              <w:t xml:space="preserve"> supports Indigenous Australians by providing admission pathways, orientation programs, academic support, pastoral care, and facilities that </w:t>
            </w:r>
            <w:r w:rsidR="002F14E3">
              <w:rPr>
                <w:rFonts w:ascii="Calibri" w:eastAsia="PMingLiU" w:hAnsi="Calibri" w:cs="Calibri"/>
                <w:lang w:eastAsia="zh-TW"/>
              </w:rPr>
              <w:t>connect students t</w:t>
            </w:r>
            <w:r w:rsidR="007523ED">
              <w:rPr>
                <w:rFonts w:ascii="Calibri" w:eastAsia="PMingLiU" w:hAnsi="Calibri" w:cs="Calibri"/>
                <w:lang w:eastAsia="zh-TW"/>
              </w:rPr>
              <w:t xml:space="preserve">o wider student success and support services and </w:t>
            </w:r>
            <w:r w:rsidRPr="00CA5028">
              <w:rPr>
                <w:rFonts w:ascii="Calibri" w:eastAsia="PMingLiU" w:hAnsi="Calibri" w:cs="Calibri"/>
                <w:lang w:eastAsia="zh-TW"/>
              </w:rPr>
              <w:t xml:space="preserve">are culturally supportive and responsive to their needs. </w:t>
            </w:r>
          </w:p>
          <w:p w14:paraId="38886EF1" w14:textId="77777777" w:rsidR="005A4737" w:rsidRDefault="005A4737" w:rsidP="00BA45F4">
            <w:pPr>
              <w:numPr>
                <w:ilvl w:val="1"/>
                <w:numId w:val="21"/>
              </w:numPr>
              <w:spacing w:after="0"/>
              <w:ind w:right="122"/>
              <w:rPr>
                <w:rFonts w:ascii="Calibri" w:eastAsia="PMingLiU" w:hAnsi="Calibri" w:cs="Calibri"/>
                <w:lang w:eastAsia="zh-TW"/>
              </w:rPr>
            </w:pPr>
            <w:r w:rsidRPr="00CA5028">
              <w:rPr>
                <w:rFonts w:ascii="Calibri" w:eastAsia="PMingLiU" w:hAnsi="Calibri" w:cs="Calibri"/>
                <w:lang w:eastAsia="zh-TW"/>
              </w:rPr>
              <w:t>Measured via improvements in Indigenous Australian students’ participation, retention, success, and completion rates.</w:t>
            </w:r>
          </w:p>
          <w:p w14:paraId="6514E9CB" w14:textId="4FBE9EF0" w:rsidR="005A4737" w:rsidRPr="00281ECA" w:rsidRDefault="005A4737" w:rsidP="00BA45F4">
            <w:pPr>
              <w:numPr>
                <w:ilvl w:val="0"/>
                <w:numId w:val="21"/>
              </w:numPr>
              <w:spacing w:after="0"/>
              <w:ind w:right="122"/>
              <w:rPr>
                <w:rFonts w:eastAsia="Times New Roman" w:cstheme="minorHAnsi"/>
                <w:lang w:eastAsia="en-AU"/>
              </w:rPr>
            </w:pPr>
            <w:r>
              <w:rPr>
                <w:rFonts w:ascii="Calibri" w:eastAsia="PMingLiU" w:hAnsi="Calibri" w:cs="Calibri"/>
                <w:lang w:eastAsia="zh-TW"/>
              </w:rPr>
              <w:t xml:space="preserve">QUT provides 44 beds in student accommodation and various 12-month accommodation scholarships available to eligible Aboriginal and Torres Strait Islander students relocating to </w:t>
            </w:r>
            <w:r>
              <w:rPr>
                <w:rFonts w:ascii="Calibri" w:eastAsia="PMingLiU" w:hAnsi="Calibri" w:cs="Calibri"/>
                <w:lang w:eastAsia="zh-TW"/>
              </w:rPr>
              <w:lastRenderedPageBreak/>
              <w:t>QUT. These scholarships are valued at up to $32,100</w:t>
            </w:r>
            <w:r w:rsidR="008170FD">
              <w:rPr>
                <w:rFonts w:ascii="Calibri" w:eastAsia="PMingLiU" w:hAnsi="Calibri" w:cs="Calibri"/>
                <w:lang w:eastAsia="zh-TW"/>
              </w:rPr>
              <w:t xml:space="preserve"> for the first year and $15,500 for the second year</w:t>
            </w:r>
            <w:r>
              <w:rPr>
                <w:rFonts w:ascii="Calibri" w:eastAsia="PMingLiU" w:hAnsi="Calibri" w:cs="Calibri"/>
                <w:lang w:eastAsia="zh-TW"/>
              </w:rPr>
              <w:t>. Additionally, t</w:t>
            </w:r>
            <w:r w:rsidRPr="007127A7">
              <w:rPr>
                <w:rFonts w:ascii="Calibri" w:eastAsia="PMingLiU" w:hAnsi="Calibri" w:cs="Calibri"/>
                <w:lang w:eastAsia="zh-TW"/>
              </w:rPr>
              <w:t xml:space="preserve">he scholarship ensures participants have access to pastoral care, social, cultural, and life skills opportunities aimed at strengthening their academic, cultural, and personal develop </w:t>
            </w:r>
            <w:r w:rsidRPr="00281ECA">
              <w:rPr>
                <w:rFonts w:eastAsia="Times New Roman" w:cstheme="minorHAnsi"/>
                <w:lang w:eastAsia="en-AU"/>
              </w:rPr>
              <w:t xml:space="preserve">while building connections within the QUT community. </w:t>
            </w:r>
          </w:p>
          <w:p w14:paraId="6E59ED35" w14:textId="077521EB" w:rsidR="005A4737" w:rsidRPr="00BA45F4" w:rsidRDefault="005A4737" w:rsidP="00BA45F4">
            <w:pPr>
              <w:spacing w:before="120" w:after="0"/>
              <w:ind w:right="125"/>
              <w:rPr>
                <w:rFonts w:ascii="Calibri" w:eastAsia="PMingLiU" w:hAnsi="Calibri" w:cs="Calibri"/>
                <w:b/>
                <w:bCs/>
                <w:iCs/>
                <w:color w:val="000000"/>
                <w:lang w:eastAsia="zh-TW"/>
              </w:rPr>
            </w:pPr>
            <w:r w:rsidRPr="00BA45F4">
              <w:rPr>
                <w:rFonts w:ascii="Calibri" w:eastAsia="PMingLiU" w:hAnsi="Calibri" w:cs="Calibri"/>
                <w:b/>
                <w:bCs/>
                <w:iCs/>
                <w:color w:val="000000"/>
                <w:lang w:eastAsia="zh-TW"/>
              </w:rPr>
              <w:t>Equity and regional and remote student</w:t>
            </w:r>
            <w:r w:rsidR="0038231D" w:rsidRPr="00BA45F4">
              <w:rPr>
                <w:rFonts w:ascii="Calibri" w:eastAsia="PMingLiU" w:hAnsi="Calibri" w:cs="Calibri"/>
                <w:b/>
                <w:bCs/>
                <w:iCs/>
                <w:color w:val="000000"/>
                <w:lang w:eastAsia="zh-TW"/>
              </w:rPr>
              <w:t xml:space="preserve"> support</w:t>
            </w:r>
          </w:p>
          <w:p w14:paraId="0AEDE9A4" w14:textId="2FBCF767" w:rsidR="005A4737" w:rsidRDefault="005A4737" w:rsidP="00BA45F4">
            <w:pPr>
              <w:numPr>
                <w:ilvl w:val="0"/>
                <w:numId w:val="21"/>
              </w:numPr>
              <w:spacing w:after="0"/>
              <w:ind w:right="122"/>
              <w:rPr>
                <w:rFonts w:ascii="Calibri" w:eastAsia="PMingLiU" w:hAnsi="Calibri" w:cs="Calibri"/>
                <w:lang w:eastAsia="zh-TW"/>
              </w:rPr>
            </w:pPr>
            <w:r>
              <w:rPr>
                <w:rFonts w:ascii="Calibri" w:eastAsia="PMingLiU" w:hAnsi="Calibri" w:cs="Calibri"/>
                <w:lang w:eastAsia="zh-TW"/>
              </w:rPr>
              <w:t>QUT runs a</w:t>
            </w:r>
            <w:r w:rsidRPr="00CA5028">
              <w:rPr>
                <w:rFonts w:ascii="Calibri" w:eastAsia="PMingLiU" w:hAnsi="Calibri" w:cs="Calibri"/>
                <w:lang w:eastAsia="zh-TW"/>
              </w:rPr>
              <w:t xml:space="preserve"> large </w:t>
            </w:r>
            <w:hyperlink r:id="rId19" w:history="1">
              <w:r w:rsidRPr="00CA5028">
                <w:rPr>
                  <w:rFonts w:ascii="Calibri" w:eastAsia="PMingLiU" w:hAnsi="Calibri" w:cs="Calibri"/>
                  <w:color w:val="0000FF"/>
                  <w:u w:val="single"/>
                  <w:lang w:eastAsia="zh-TW"/>
                </w:rPr>
                <w:t>Equity Scholarships Scheme</w:t>
              </w:r>
            </w:hyperlink>
            <w:r w:rsidRPr="00CA5028">
              <w:rPr>
                <w:rFonts w:ascii="Calibri" w:eastAsia="PMingLiU" w:hAnsi="Calibri" w:cs="Calibri"/>
                <w:lang w:eastAsia="zh-TW"/>
              </w:rPr>
              <w:t xml:space="preserve"> with approximately 2,500 scholarships awarded annually to students with financial hardship and complex life circumstances</w:t>
            </w:r>
            <w:r w:rsidR="004F7BA7">
              <w:rPr>
                <w:rFonts w:ascii="Calibri" w:eastAsia="PMingLiU" w:hAnsi="Calibri" w:cs="Calibri"/>
                <w:lang w:eastAsia="zh-TW"/>
              </w:rPr>
              <w:t>.</w:t>
            </w:r>
          </w:p>
          <w:p w14:paraId="6428F4E5" w14:textId="5A632861" w:rsidR="005A4737" w:rsidRPr="00CA5028" w:rsidRDefault="005A4737" w:rsidP="00BA45F4">
            <w:pPr>
              <w:numPr>
                <w:ilvl w:val="0"/>
                <w:numId w:val="21"/>
              </w:numPr>
              <w:spacing w:after="0"/>
              <w:ind w:right="122"/>
              <w:rPr>
                <w:rFonts w:ascii="Calibri" w:eastAsia="PMingLiU" w:hAnsi="Calibri" w:cs="Calibri"/>
                <w:lang w:eastAsia="zh-TW"/>
              </w:rPr>
            </w:pPr>
            <w:r w:rsidRPr="00CA5028">
              <w:rPr>
                <w:rFonts w:ascii="Calibri" w:eastAsia="PMingLiU" w:hAnsi="Calibri" w:cs="Calibri"/>
                <w:lang w:eastAsia="zh-TW"/>
              </w:rPr>
              <w:t xml:space="preserve">Disadvantage based on relocating from a regional/remote location is taken into consideration. Other forms of </w:t>
            </w:r>
            <w:hyperlink r:id="rId20" w:history="1">
              <w:r w:rsidRPr="00CA5028">
                <w:rPr>
                  <w:rFonts w:ascii="Calibri" w:eastAsia="PMingLiU" w:hAnsi="Calibri" w:cs="Calibri"/>
                  <w:color w:val="0000FF"/>
                  <w:u w:val="single"/>
                  <w:lang w:eastAsia="zh-TW"/>
                </w:rPr>
                <w:t xml:space="preserve">financial support </w:t>
              </w:r>
            </w:hyperlink>
            <w:r w:rsidRPr="00CA5028">
              <w:rPr>
                <w:rFonts w:ascii="Calibri" w:eastAsia="PMingLiU" w:hAnsi="Calibri" w:cs="Calibri"/>
                <w:lang w:eastAsia="zh-TW"/>
              </w:rPr>
              <w:t xml:space="preserve">include emergency bursaries, work integrated learning bursaries and a loans scheme. </w:t>
            </w:r>
          </w:p>
          <w:p w14:paraId="1247D780" w14:textId="77777777" w:rsidR="005A4737" w:rsidRDefault="005A4737" w:rsidP="00BA45F4">
            <w:pPr>
              <w:numPr>
                <w:ilvl w:val="1"/>
                <w:numId w:val="21"/>
              </w:numPr>
              <w:spacing w:after="0"/>
              <w:ind w:right="122"/>
              <w:rPr>
                <w:rFonts w:ascii="Calibri" w:eastAsia="PMingLiU" w:hAnsi="Calibri" w:cs="Calibri"/>
                <w:lang w:eastAsia="zh-TW"/>
              </w:rPr>
            </w:pPr>
            <w:r w:rsidRPr="00CA5028">
              <w:rPr>
                <w:rFonts w:ascii="Calibri" w:eastAsia="PMingLiU" w:hAnsi="Calibri" w:cs="Calibri"/>
                <w:lang w:eastAsia="zh-TW"/>
              </w:rPr>
              <w:t>These retention strategies are measured via recipient numbers, retention levels, and through an annual student survey.</w:t>
            </w:r>
          </w:p>
          <w:p w14:paraId="692308F6" w14:textId="569DB795" w:rsidR="005A4737" w:rsidRDefault="005A4737" w:rsidP="00BA45F4">
            <w:pPr>
              <w:numPr>
                <w:ilvl w:val="0"/>
                <w:numId w:val="21"/>
              </w:numPr>
              <w:spacing w:after="0"/>
              <w:ind w:left="357" w:right="125" w:hanging="357"/>
              <w:jc w:val="both"/>
              <w:rPr>
                <w:rFonts w:ascii="Calibri" w:eastAsia="PMingLiU" w:hAnsi="Calibri" w:cs="Calibri"/>
                <w:lang w:eastAsia="zh-TW"/>
              </w:rPr>
            </w:pPr>
            <w:hyperlink r:id="rId21" w:history="1">
              <w:r w:rsidRPr="003D7E57">
                <w:rPr>
                  <w:rStyle w:val="Hyperlink"/>
                  <w:rFonts w:eastAsia="PMingLiU"/>
                  <w:lang w:eastAsia="zh-TW"/>
                </w:rPr>
                <w:t>QUT’s Priority Schools Adjustment Scheme (PSAS)</w:t>
              </w:r>
            </w:hyperlink>
            <w:r w:rsidRPr="003D7E57">
              <w:rPr>
                <w:rFonts w:ascii="Calibri" w:eastAsia="PMingLiU" w:hAnsi="Calibri" w:cs="Calibri"/>
                <w:lang w:eastAsia="zh-TW"/>
              </w:rPr>
              <w:t xml:space="preserve"> enhances access and opportunity to students from more than 150 schools in Queensland and 1,000 schools nationally by increasing the number of QUT offers to quality applicants from disadvantaged secondary schools. </w:t>
            </w:r>
            <w:r w:rsidR="002878EF" w:rsidRPr="003D7E57">
              <w:rPr>
                <w:rFonts w:ascii="Calibri" w:eastAsia="PMingLiU" w:hAnsi="Calibri" w:cs="Calibri"/>
                <w:lang w:eastAsia="zh-TW"/>
              </w:rPr>
              <w:t xml:space="preserve">Demand has increased since a </w:t>
            </w:r>
            <w:r w:rsidRPr="003D7E57">
              <w:rPr>
                <w:rFonts w:ascii="Calibri" w:eastAsia="PMingLiU" w:hAnsi="Calibri" w:cs="Calibri"/>
                <w:lang w:eastAsia="zh-TW"/>
              </w:rPr>
              <w:t xml:space="preserve">modified scheme was announced in 2023. </w:t>
            </w:r>
          </w:p>
          <w:p w14:paraId="001BBFCE" w14:textId="22B79062" w:rsidR="005A4737" w:rsidRPr="00BA45F4" w:rsidRDefault="005A4737" w:rsidP="00BA45F4">
            <w:pPr>
              <w:spacing w:before="120" w:after="0"/>
              <w:ind w:right="125"/>
              <w:rPr>
                <w:rFonts w:ascii="Calibri" w:eastAsia="PMingLiU" w:hAnsi="Calibri" w:cs="Calibri"/>
                <w:b/>
                <w:bCs/>
                <w:iCs/>
                <w:color w:val="000000"/>
                <w:lang w:eastAsia="zh-TW"/>
              </w:rPr>
            </w:pPr>
            <w:r w:rsidRPr="00BA45F4">
              <w:rPr>
                <w:rFonts w:ascii="Calibri" w:eastAsia="PMingLiU" w:hAnsi="Calibri" w:cs="Calibri"/>
                <w:b/>
                <w:bCs/>
                <w:iCs/>
                <w:color w:val="000000"/>
                <w:lang w:eastAsia="zh-TW"/>
              </w:rPr>
              <w:t>Widening Participation</w:t>
            </w:r>
          </w:p>
          <w:p w14:paraId="033F9CEE" w14:textId="3D4DF1B8" w:rsidR="005A4737" w:rsidRDefault="00954F53" w:rsidP="00BA45F4">
            <w:pPr>
              <w:numPr>
                <w:ilvl w:val="0"/>
                <w:numId w:val="21"/>
              </w:numPr>
              <w:spacing w:after="0"/>
              <w:ind w:right="122"/>
              <w:rPr>
                <w:rFonts w:ascii="Calibri" w:eastAsia="PMingLiU" w:hAnsi="Calibri" w:cs="Calibri"/>
                <w:lang w:eastAsia="zh-TW"/>
              </w:rPr>
            </w:pPr>
            <w:r>
              <w:t xml:space="preserve">QUT’s </w:t>
            </w:r>
            <w:hyperlink r:id="rId22" w:history="1">
              <w:r w:rsidR="005A4737" w:rsidRPr="00CA5028">
                <w:rPr>
                  <w:rFonts w:ascii="Calibri" w:eastAsia="PMingLiU" w:hAnsi="Calibri" w:cs="Calibri"/>
                  <w:color w:val="0000FF"/>
                  <w:u w:val="single"/>
                  <w:lang w:eastAsia="zh-TW"/>
                </w:rPr>
                <w:t>Widening participation</w:t>
              </w:r>
            </w:hyperlink>
            <w:r w:rsidR="005A4737">
              <w:rPr>
                <w:rFonts w:ascii="Calibri" w:eastAsia="PMingLiU" w:hAnsi="Calibri" w:cs="Calibri"/>
                <w:lang w:eastAsia="zh-TW"/>
              </w:rPr>
              <w:t xml:space="preserve"> comprises a </w:t>
            </w:r>
            <w:r w:rsidR="005A4737" w:rsidRPr="00CA5028">
              <w:rPr>
                <w:rFonts w:ascii="Calibri" w:eastAsia="PMingLiU" w:hAnsi="Calibri" w:cs="Calibri"/>
                <w:lang w:eastAsia="zh-TW"/>
              </w:rPr>
              <w:t xml:space="preserve">comprehensive program of activities </w:t>
            </w:r>
            <w:r>
              <w:rPr>
                <w:rFonts w:ascii="Calibri" w:eastAsia="PMingLiU" w:hAnsi="Calibri" w:cs="Calibri"/>
                <w:lang w:eastAsia="zh-TW"/>
              </w:rPr>
              <w:t xml:space="preserve">which </w:t>
            </w:r>
            <w:r w:rsidR="005A4737" w:rsidRPr="00CA5028">
              <w:rPr>
                <w:rFonts w:ascii="Calibri" w:eastAsia="PMingLiU" w:hAnsi="Calibri" w:cs="Calibri"/>
                <w:lang w:eastAsia="zh-TW"/>
              </w:rPr>
              <w:t xml:space="preserve">aims to build awareness of available tertiary education and career opportunities; build aspiration for tertiary study; increase motivation, engagement and achievement; and build awareness of available financial assistance. </w:t>
            </w:r>
          </w:p>
          <w:p w14:paraId="128578A8" w14:textId="736272BD" w:rsidR="005A4737" w:rsidRPr="000027F6" w:rsidRDefault="00391F5C" w:rsidP="00BA45F4">
            <w:pPr>
              <w:numPr>
                <w:ilvl w:val="0"/>
                <w:numId w:val="21"/>
              </w:numPr>
              <w:spacing w:after="0"/>
              <w:ind w:right="125"/>
              <w:rPr>
                <w:rFonts w:ascii="Calibri" w:eastAsia="PMingLiU" w:hAnsi="Calibri" w:cs="Calibri"/>
                <w:lang w:eastAsia="zh-TW"/>
              </w:rPr>
            </w:pPr>
            <w:r>
              <w:rPr>
                <w:rFonts w:ascii="Calibri" w:eastAsia="PMingLiU" w:hAnsi="Calibri" w:cs="Calibri"/>
                <w:lang w:eastAsia="zh-TW"/>
              </w:rPr>
              <w:t>It</w:t>
            </w:r>
            <w:r w:rsidR="005A4737" w:rsidRPr="000027F6">
              <w:rPr>
                <w:rFonts w:ascii="Calibri" w:eastAsia="PMingLiU" w:hAnsi="Calibri" w:cs="Calibri"/>
                <w:lang w:eastAsia="zh-TW"/>
              </w:rPr>
              <w:t xml:space="preserve"> engages with more than 20,000 students each year and</w:t>
            </w:r>
            <w:r w:rsidR="005A4737">
              <w:rPr>
                <w:rFonts w:ascii="Calibri" w:eastAsia="PMingLiU" w:hAnsi="Calibri" w:cs="Calibri"/>
                <w:lang w:eastAsia="zh-TW"/>
              </w:rPr>
              <w:t xml:space="preserve"> </w:t>
            </w:r>
            <w:r w:rsidR="005A4737" w:rsidRPr="000027F6">
              <w:rPr>
                <w:rFonts w:ascii="Calibri" w:eastAsia="PMingLiU" w:hAnsi="Calibri" w:cs="Calibri"/>
                <w:lang w:eastAsia="zh-TW"/>
              </w:rPr>
              <w:t xml:space="preserve">is measured via student and staff surveys; case studies; and QTAC admissions data with the aim of increasing the number of school students who attend QUT (physically or remotely) and study our high-quality course offerings from these target demographics and geographical locations. </w:t>
            </w:r>
          </w:p>
          <w:p w14:paraId="25727763" w14:textId="23C9C4CF" w:rsidR="005A4737" w:rsidRDefault="005A4737" w:rsidP="00BA45F4">
            <w:pPr>
              <w:numPr>
                <w:ilvl w:val="0"/>
                <w:numId w:val="21"/>
              </w:numPr>
              <w:spacing w:after="0"/>
              <w:ind w:right="122"/>
              <w:rPr>
                <w:rFonts w:ascii="Calibri" w:eastAsia="PMingLiU" w:hAnsi="Calibri" w:cs="Calibri"/>
                <w:lang w:eastAsia="zh-TW"/>
              </w:rPr>
            </w:pPr>
            <w:r w:rsidRPr="00CA5028">
              <w:rPr>
                <w:rFonts w:ascii="Calibri" w:eastAsia="PMingLiU" w:hAnsi="Calibri" w:cs="Calibri"/>
                <w:lang w:eastAsia="zh-TW"/>
              </w:rPr>
              <w:t xml:space="preserve">Strategies to increase the retention and success of equity group students include resources and reasonable adjustments for </w:t>
            </w:r>
            <w:hyperlink r:id="rId23" w:history="1">
              <w:r w:rsidRPr="00CA5028">
                <w:rPr>
                  <w:rFonts w:ascii="Calibri" w:eastAsia="PMingLiU" w:hAnsi="Calibri" w:cs="Calibri"/>
                  <w:color w:val="0000FF"/>
                  <w:u w:val="single"/>
                  <w:lang w:eastAsia="zh-TW"/>
                </w:rPr>
                <w:t>students with a disability</w:t>
              </w:r>
            </w:hyperlink>
            <w:r w:rsidRPr="00CA5028">
              <w:rPr>
                <w:rFonts w:ascii="Calibri" w:eastAsia="PMingLiU" w:hAnsi="Calibri" w:cs="Calibri"/>
                <w:color w:val="0000FF"/>
                <w:u w:val="single"/>
                <w:lang w:eastAsia="zh-TW"/>
              </w:rPr>
              <w:t>,</w:t>
            </w:r>
            <w:r w:rsidRPr="00CA5028">
              <w:rPr>
                <w:rFonts w:ascii="Calibri" w:eastAsia="PMingLiU" w:hAnsi="Calibri" w:cs="Calibri"/>
                <w:lang w:eastAsia="zh-TW"/>
              </w:rPr>
              <w:t xml:space="preserve"> </w:t>
            </w:r>
            <w:hyperlink r:id="rId24" w:anchor="h2-4" w:history="1">
              <w:r w:rsidRPr="00CA5028">
                <w:rPr>
                  <w:rFonts w:ascii="Calibri" w:eastAsia="PMingLiU" w:hAnsi="Calibri" w:cs="Calibri"/>
                  <w:color w:val="0000FF"/>
                  <w:u w:val="single"/>
                  <w:lang w:eastAsia="zh-TW"/>
                </w:rPr>
                <w:t>academic</w:t>
              </w:r>
              <w:r>
                <w:rPr>
                  <w:rFonts w:ascii="Calibri" w:eastAsia="PMingLiU" w:hAnsi="Calibri" w:cs="Calibri"/>
                  <w:color w:val="0000FF"/>
                  <w:u w:val="single"/>
                  <w:lang w:eastAsia="zh-TW"/>
                </w:rPr>
                <w:t xml:space="preserve"> help and workshops</w:t>
              </w:r>
              <w:r w:rsidRPr="00CA5028">
                <w:rPr>
                  <w:rFonts w:ascii="Calibri" w:eastAsia="PMingLiU" w:hAnsi="Calibri" w:cs="Calibri"/>
                  <w:color w:val="0000FF"/>
                  <w:u w:val="single"/>
                  <w:lang w:eastAsia="zh-TW"/>
                </w:rPr>
                <w:t xml:space="preserve"> support</w:t>
              </w:r>
            </w:hyperlink>
            <w:r w:rsidRPr="00CA5028">
              <w:rPr>
                <w:rFonts w:ascii="Calibri" w:eastAsia="PMingLiU" w:hAnsi="Calibri" w:cs="Calibri"/>
                <w:lang w:eastAsia="zh-TW"/>
              </w:rPr>
              <w:t xml:space="preserve">, </w:t>
            </w:r>
            <w:hyperlink r:id="rId25" w:history="1">
              <w:r w:rsidRPr="008706E6">
                <w:rPr>
                  <w:color w:val="0000FF"/>
                  <w:u w:val="single"/>
                  <w:lang w:eastAsia="zh-TW"/>
                </w:rPr>
                <w:t>writing and speaking skills</w:t>
              </w:r>
            </w:hyperlink>
            <w:r w:rsidRPr="00CA5028">
              <w:rPr>
                <w:rFonts w:ascii="Calibri" w:eastAsia="PMingLiU" w:hAnsi="Calibri" w:cs="Calibri"/>
                <w:lang w:eastAsia="zh-TW"/>
              </w:rPr>
              <w:t xml:space="preserve">, </w:t>
            </w:r>
            <w:hyperlink r:id="rId26" w:history="1">
              <w:r w:rsidRPr="00CA5028">
                <w:rPr>
                  <w:rFonts w:ascii="Calibri" w:eastAsia="PMingLiU" w:hAnsi="Calibri" w:cs="Calibri"/>
                  <w:color w:val="0000FF"/>
                  <w:u w:val="single"/>
                  <w:lang w:eastAsia="zh-TW"/>
                </w:rPr>
                <w:t>maths, science and IT</w:t>
              </w:r>
            </w:hyperlink>
            <w:r w:rsidRPr="00CA5028">
              <w:rPr>
                <w:rFonts w:ascii="Calibri" w:eastAsia="PMingLiU" w:hAnsi="Calibri" w:cs="Calibri"/>
                <w:lang w:eastAsia="zh-TW"/>
              </w:rPr>
              <w:t xml:space="preserve"> support, and </w:t>
            </w:r>
            <w:hyperlink r:id="rId27" w:history="1">
              <w:r w:rsidRPr="00CA5028">
                <w:rPr>
                  <w:rFonts w:ascii="Calibri" w:eastAsia="PMingLiU" w:hAnsi="Calibri" w:cs="Calibri"/>
                  <w:color w:val="0000FF"/>
                  <w:u w:val="single"/>
                  <w:lang w:eastAsia="zh-TW"/>
                </w:rPr>
                <w:t xml:space="preserve">career </w:t>
              </w:r>
              <w:r>
                <w:rPr>
                  <w:rFonts w:ascii="Calibri" w:eastAsia="PMingLiU" w:hAnsi="Calibri" w:cs="Calibri"/>
                  <w:color w:val="0000FF"/>
                  <w:u w:val="single"/>
                  <w:lang w:eastAsia="zh-TW"/>
                </w:rPr>
                <w:t>advice,</w:t>
              </w:r>
            </w:hyperlink>
            <w:r>
              <w:rPr>
                <w:rFonts w:ascii="Calibri" w:eastAsia="PMingLiU" w:hAnsi="Calibri" w:cs="Calibri"/>
                <w:color w:val="0000FF"/>
                <w:u w:val="single"/>
                <w:lang w:eastAsia="zh-TW"/>
              </w:rPr>
              <w:t xml:space="preserve"> support and training</w:t>
            </w:r>
            <w:r w:rsidRPr="00CA5028">
              <w:rPr>
                <w:rFonts w:ascii="Calibri" w:eastAsia="PMingLiU" w:hAnsi="Calibri" w:cs="Calibri"/>
                <w:lang w:eastAsia="zh-TW"/>
              </w:rPr>
              <w:t xml:space="preserve">. </w:t>
            </w:r>
          </w:p>
          <w:p w14:paraId="335AC6D7" w14:textId="7D10D537" w:rsidR="005A4737" w:rsidRPr="00BA45F4" w:rsidRDefault="005A4737" w:rsidP="00E90496">
            <w:pPr>
              <w:spacing w:before="120" w:after="0"/>
              <w:ind w:right="125"/>
              <w:rPr>
                <w:rFonts w:ascii="Calibri" w:eastAsia="PMingLiU" w:hAnsi="Calibri" w:cs="Calibri"/>
                <w:b/>
                <w:bCs/>
                <w:iCs/>
                <w:color w:val="000000"/>
                <w:lang w:eastAsia="zh-TW"/>
              </w:rPr>
            </w:pPr>
            <w:r w:rsidRPr="00BA45F4">
              <w:rPr>
                <w:rFonts w:ascii="Calibri" w:eastAsia="PMingLiU" w:hAnsi="Calibri" w:cs="Calibri"/>
                <w:b/>
                <w:bCs/>
                <w:iCs/>
                <w:color w:val="000000"/>
                <w:lang w:eastAsia="zh-TW"/>
              </w:rPr>
              <w:t xml:space="preserve">Student </w:t>
            </w:r>
            <w:r w:rsidR="00D032E9" w:rsidRPr="00BA45F4">
              <w:rPr>
                <w:rFonts w:ascii="Calibri" w:eastAsia="PMingLiU" w:hAnsi="Calibri" w:cs="Calibri"/>
                <w:b/>
                <w:bCs/>
                <w:iCs/>
                <w:color w:val="000000"/>
                <w:lang w:eastAsia="zh-TW"/>
              </w:rPr>
              <w:t xml:space="preserve">Success and </w:t>
            </w:r>
            <w:r w:rsidRPr="00BA45F4">
              <w:rPr>
                <w:rFonts w:ascii="Calibri" w:eastAsia="PMingLiU" w:hAnsi="Calibri" w:cs="Calibri"/>
                <w:b/>
                <w:bCs/>
                <w:iCs/>
                <w:color w:val="000000"/>
                <w:lang w:eastAsia="zh-TW"/>
              </w:rPr>
              <w:t xml:space="preserve">Support Plan </w:t>
            </w:r>
          </w:p>
          <w:p w14:paraId="339C750F" w14:textId="77777777" w:rsidR="00391F5C" w:rsidRPr="00391F5C" w:rsidRDefault="00391F5C" w:rsidP="00BA45F4">
            <w:pPr>
              <w:spacing w:after="0"/>
              <w:ind w:right="125"/>
              <w:rPr>
                <w:rFonts w:ascii="Calibri" w:eastAsia="PMingLiU" w:hAnsi="Calibri" w:cs="Calibri"/>
                <w:lang w:eastAsia="zh-TW"/>
              </w:rPr>
            </w:pPr>
            <w:r>
              <w:t>QUT is compliant with the Support for Students Policy requirements legislated in 2023, including the signposting of support policies and procedures for ease of student access.</w:t>
            </w:r>
          </w:p>
          <w:p w14:paraId="3C8AF096" w14:textId="7BA1D44A" w:rsidR="005A4737" w:rsidRDefault="005A4737" w:rsidP="00BA45F4">
            <w:pPr>
              <w:spacing w:after="0"/>
            </w:pPr>
            <w:r w:rsidRPr="00DB557F">
              <w:t xml:space="preserve">QUT’s programs and schemes to assist </w:t>
            </w:r>
            <w:r>
              <w:t xml:space="preserve">under-represented </w:t>
            </w:r>
            <w:r w:rsidRPr="00DB557F">
              <w:t>students include</w:t>
            </w:r>
            <w:r w:rsidR="00512E1F">
              <w:t xml:space="preserve"> but are not limited to</w:t>
            </w:r>
            <w:r w:rsidRPr="00DB557F">
              <w:t>:</w:t>
            </w:r>
          </w:p>
          <w:p w14:paraId="393C7319" w14:textId="741E2BA2" w:rsidR="005A4737" w:rsidRDefault="005A4737" w:rsidP="00BA45F4">
            <w:pPr>
              <w:pStyle w:val="ListParagraph"/>
              <w:numPr>
                <w:ilvl w:val="0"/>
                <w:numId w:val="21"/>
              </w:numPr>
              <w:contextualSpacing w:val="0"/>
            </w:pPr>
            <w:hyperlink r:id="rId28" w:history="1">
              <w:r w:rsidRPr="0086460E">
                <w:rPr>
                  <w:rStyle w:val="Hyperlink"/>
                  <w:rFonts w:asciiTheme="minorHAnsi" w:eastAsiaTheme="minorHAnsi" w:hAnsiTheme="minorHAnsi" w:cstheme="minorBidi"/>
                  <w:lang w:eastAsia="en-US"/>
                </w:rPr>
                <w:t>Centralised Assessment and Selection Program (CASP)</w:t>
              </w:r>
            </w:hyperlink>
            <w:r w:rsidR="00730450">
              <w:t xml:space="preserve"> for First Nations people</w:t>
            </w:r>
          </w:p>
          <w:p w14:paraId="5F18604B" w14:textId="61C1FE22" w:rsidR="005A4737" w:rsidRDefault="005A4737" w:rsidP="00BA45F4">
            <w:pPr>
              <w:pStyle w:val="ListParagraph"/>
              <w:numPr>
                <w:ilvl w:val="0"/>
                <w:numId w:val="21"/>
              </w:numPr>
              <w:contextualSpacing w:val="0"/>
            </w:pPr>
            <w:r>
              <w:t xml:space="preserve">Significant annual </w:t>
            </w:r>
            <w:hyperlink r:id="rId29" w:history="1">
              <w:r w:rsidRPr="000A386C">
                <w:rPr>
                  <w:color w:val="0000FF"/>
                  <w:u w:val="single"/>
                  <w:lang w:eastAsia="zh-TW"/>
                </w:rPr>
                <w:t>scholarships, financial support</w:t>
              </w:r>
            </w:hyperlink>
            <w:r>
              <w:t xml:space="preserve"> </w:t>
            </w:r>
            <w:r w:rsidRPr="00DB557F">
              <w:t xml:space="preserve">and </w:t>
            </w:r>
            <w:hyperlink r:id="rId30" w:history="1">
              <w:r w:rsidRPr="000A386C">
                <w:rPr>
                  <w:color w:val="0000FF"/>
                  <w:u w:val="single"/>
                  <w:lang w:eastAsia="zh-TW"/>
                </w:rPr>
                <w:t>accommodation support services</w:t>
              </w:r>
            </w:hyperlink>
            <w:r w:rsidRPr="00DB557F">
              <w:t xml:space="preserve"> </w:t>
            </w:r>
            <w:r w:rsidR="00502311">
              <w:t>for</w:t>
            </w:r>
            <w:r w:rsidR="00502311" w:rsidRPr="00DB557F">
              <w:t xml:space="preserve"> </w:t>
            </w:r>
            <w:r w:rsidRPr="00DB557F">
              <w:t>our students, to help offset the high cost of living in Brisbane.</w:t>
            </w:r>
          </w:p>
          <w:p w14:paraId="2C0F0CE9" w14:textId="75234A56" w:rsidR="00D043F1" w:rsidRPr="00BA45F4" w:rsidRDefault="00D043F1" w:rsidP="00BA45F4">
            <w:pPr>
              <w:pStyle w:val="ListParagraph"/>
              <w:numPr>
                <w:ilvl w:val="0"/>
                <w:numId w:val="21"/>
              </w:numPr>
              <w:ind w:right="125"/>
              <w:contextualSpacing w:val="0"/>
              <w:rPr>
                <w:rFonts w:ascii="Calibri" w:eastAsia="PMingLiU" w:hAnsi="Calibri" w:cs="Calibri"/>
                <w:i/>
                <w:lang w:eastAsia="zh-TW"/>
              </w:rPr>
            </w:pPr>
            <w:r w:rsidRPr="00BA45F4">
              <w:rPr>
                <w:i/>
              </w:rPr>
              <w:t>Free learning support services available 24/7 to help students develop their academic skills and confidence regarding academic writing, researching and referencing, spoken communication and foundational maths, science and IT skills. More than 93% of students report they are extremely (78%) or somewhat (15%) satisfied with the service.</w:t>
            </w:r>
          </w:p>
          <w:p w14:paraId="586F0E33" w14:textId="77777777" w:rsidR="00D043F1" w:rsidRPr="00BA45F4" w:rsidRDefault="00D043F1" w:rsidP="00BA45F4">
            <w:pPr>
              <w:pStyle w:val="ListParagraph"/>
              <w:numPr>
                <w:ilvl w:val="0"/>
                <w:numId w:val="21"/>
              </w:numPr>
              <w:ind w:right="125"/>
              <w:contextualSpacing w:val="0"/>
              <w:rPr>
                <w:rFonts w:ascii="Calibri" w:eastAsia="PMingLiU" w:hAnsi="Calibri" w:cs="Calibri"/>
                <w:i/>
                <w:lang w:eastAsia="zh-TW"/>
              </w:rPr>
            </w:pPr>
            <w:r w:rsidRPr="00BA45F4">
              <w:rPr>
                <w:i/>
              </w:rPr>
              <w:t>Peer-led outreach campaigns targeting at-risk students to connect them with timely, strengths-based student success and study support (participating students 1.9 times more likely to be retained by QUT)</w:t>
            </w:r>
          </w:p>
          <w:p w14:paraId="533D2AA0" w14:textId="447CDFAF" w:rsidR="005A4737" w:rsidRPr="007127A7" w:rsidRDefault="00D043F1" w:rsidP="00BA45F4">
            <w:pPr>
              <w:pStyle w:val="ListParagraph"/>
              <w:numPr>
                <w:ilvl w:val="0"/>
                <w:numId w:val="21"/>
              </w:numPr>
              <w:ind w:right="125"/>
              <w:contextualSpacing w:val="0"/>
              <w:rPr>
                <w:rFonts w:ascii="Calibri" w:eastAsia="PMingLiU" w:hAnsi="Calibri" w:cs="Calibri"/>
                <w:lang w:eastAsia="zh-TW"/>
              </w:rPr>
            </w:pPr>
            <w:hyperlink r:id="rId31" w:history="1">
              <w:r w:rsidRPr="00BA45F4">
                <w:rPr>
                  <w:rStyle w:val="Hyperlink"/>
                  <w:rFonts w:asciiTheme="minorHAnsi" w:eastAsiaTheme="minorHAnsi" w:hAnsiTheme="minorHAnsi" w:cstheme="minorBidi"/>
                  <w:lang w:eastAsia="en-US"/>
                </w:rPr>
                <w:t>Specialist disability advisors</w:t>
              </w:r>
            </w:hyperlink>
          </w:p>
          <w:p w14:paraId="68C07F08" w14:textId="0EDE1001" w:rsidR="00FB42A7" w:rsidRDefault="25E15552" w:rsidP="00BA45F4">
            <w:pPr>
              <w:pStyle w:val="ListParagraph"/>
              <w:numPr>
                <w:ilvl w:val="0"/>
                <w:numId w:val="21"/>
              </w:numPr>
              <w:ind w:right="125"/>
              <w:contextualSpacing w:val="0"/>
              <w:rPr>
                <w:rFonts w:eastAsiaTheme="minorEastAsia"/>
              </w:rPr>
            </w:pPr>
            <w:r w:rsidRPr="00D90816">
              <w:rPr>
                <w:rFonts w:eastAsiaTheme="minorEastAsia"/>
              </w:rPr>
              <w:t xml:space="preserve">zero wait time for counselling appointments, ensuring immediate support when it is most needed. In addition, a </w:t>
            </w:r>
            <w:hyperlink r:id="rId32" w:history="1">
              <w:r w:rsidRPr="00A3552B">
                <w:rPr>
                  <w:rStyle w:val="Hyperlink"/>
                  <w:rFonts w:asciiTheme="minorHAnsi" w:eastAsiaTheme="minorEastAsia" w:hAnsiTheme="minorHAnsi" w:cstheme="minorBidi"/>
                  <w:lang w:eastAsia="en-US"/>
                </w:rPr>
                <w:t>24/7 mental health support line is available</w:t>
              </w:r>
            </w:hyperlink>
          </w:p>
          <w:p w14:paraId="22B87A46" w14:textId="2455F60C" w:rsidR="00E62455" w:rsidRPr="00281ECA" w:rsidRDefault="0052798B" w:rsidP="00BA45F4">
            <w:pPr>
              <w:pStyle w:val="ListParagraph"/>
              <w:numPr>
                <w:ilvl w:val="0"/>
                <w:numId w:val="21"/>
              </w:numPr>
              <w:ind w:right="125"/>
              <w:contextualSpacing w:val="0"/>
              <w:rPr>
                <w:rFonts w:eastAsiaTheme="minorEastAsia"/>
              </w:rPr>
            </w:pPr>
            <w:r w:rsidRPr="0052798B">
              <w:rPr>
                <w:rFonts w:cstheme="minorHAnsi"/>
                <w:iCs/>
              </w:rPr>
              <w:t>Approximately 1 in 3 equity students engaged with Student Success services and evidence shows students who engaged with co-curricular support are almost twice as likely to continue studies at QUT.</w:t>
            </w:r>
            <w:bookmarkEnd w:id="2"/>
            <w:bookmarkEnd w:id="3"/>
          </w:p>
        </w:tc>
      </w:tr>
      <w:tr w:rsidR="001B109C" w:rsidRPr="00E41388" w14:paraId="39ADE404" w14:textId="77777777" w:rsidTr="71523411">
        <w:tc>
          <w:tcPr>
            <w:tcW w:w="5000" w:type="pct"/>
          </w:tcPr>
          <w:p w14:paraId="5E8BF11E" w14:textId="0E120B78" w:rsidR="001B109C" w:rsidRPr="002A58A5" w:rsidRDefault="001B109C" w:rsidP="00BA45F4">
            <w:pPr>
              <w:pStyle w:val="Heading4"/>
              <w:keepLines w:val="0"/>
              <w:spacing w:before="180" w:after="60" w:line="276" w:lineRule="auto"/>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BA45F4">
        <w:trPr>
          <w:trHeight w:val="274"/>
        </w:trPr>
        <w:tc>
          <w:tcPr>
            <w:tcW w:w="5000" w:type="pct"/>
            <w:tcBorders>
              <w:bottom w:val="single" w:sz="4" w:space="0" w:color="auto"/>
            </w:tcBorders>
          </w:tcPr>
          <w:p w14:paraId="6A15BF75" w14:textId="1D1E1052" w:rsidR="003B4A14" w:rsidRDefault="00386B94" w:rsidP="00B13B85">
            <w:pPr>
              <w:pStyle w:val="NormalIndent"/>
              <w:spacing w:before="0" w:line="240" w:lineRule="auto"/>
              <w:ind w:left="0"/>
              <w:rPr>
                <w:rFonts w:asciiTheme="minorHAnsi" w:hAnsiTheme="minorHAnsi" w:cstheme="minorHAnsi"/>
                <w:iCs/>
                <w:szCs w:val="22"/>
              </w:rPr>
            </w:pPr>
            <w:r w:rsidRPr="00EF72B2">
              <w:rPr>
                <w:rFonts w:asciiTheme="minorHAnsi" w:hAnsiTheme="minorHAnsi" w:cstheme="minorHAnsi"/>
                <w:iCs/>
                <w:szCs w:val="22"/>
              </w:rPr>
              <w:t xml:space="preserve">QUT monitors learning and teaching performance through internal student surveys every teaching period and annual course performance </w:t>
            </w:r>
            <w:proofErr w:type="gramStart"/>
            <w:r w:rsidRPr="00EF72B2">
              <w:rPr>
                <w:rFonts w:asciiTheme="minorHAnsi" w:hAnsiTheme="minorHAnsi" w:cstheme="minorHAnsi"/>
                <w:iCs/>
                <w:szCs w:val="22"/>
              </w:rPr>
              <w:t>reports</w:t>
            </w:r>
            <w:proofErr w:type="gramEnd"/>
            <w:r w:rsidR="004874EB">
              <w:rPr>
                <w:rFonts w:asciiTheme="minorHAnsi" w:hAnsiTheme="minorHAnsi" w:cstheme="minorHAnsi"/>
                <w:iCs/>
                <w:szCs w:val="22"/>
              </w:rPr>
              <w:t>,</w:t>
            </w:r>
            <w:r w:rsidRPr="00EF72B2">
              <w:rPr>
                <w:rFonts w:asciiTheme="minorHAnsi" w:hAnsiTheme="minorHAnsi" w:cstheme="minorHAnsi"/>
                <w:iCs/>
                <w:szCs w:val="22"/>
              </w:rPr>
              <w:t xml:space="preserve"> which are reviewed by the relevant academic boards each cycle as well as through formal course reaccreditation processes.</w:t>
            </w:r>
            <w:r>
              <w:rPr>
                <w:rFonts w:asciiTheme="minorHAnsi" w:hAnsiTheme="minorHAnsi" w:cstheme="minorHAnsi"/>
                <w:iCs/>
                <w:szCs w:val="22"/>
              </w:rPr>
              <w:t xml:space="preserve"> </w:t>
            </w:r>
          </w:p>
          <w:p w14:paraId="087FBFF1" w14:textId="5BB70456" w:rsidR="00386B94" w:rsidRDefault="00386B94" w:rsidP="00B13B85">
            <w:pPr>
              <w:pStyle w:val="NormalIndent"/>
              <w:spacing w:before="0" w:line="240" w:lineRule="auto"/>
              <w:ind w:left="0"/>
              <w:rPr>
                <w:rFonts w:asciiTheme="minorHAnsi" w:hAnsiTheme="minorHAnsi" w:cstheme="minorHAnsi"/>
                <w:iCs/>
                <w:szCs w:val="22"/>
              </w:rPr>
            </w:pPr>
            <w:r w:rsidRPr="00EF72B2">
              <w:rPr>
                <w:rFonts w:asciiTheme="minorHAnsi" w:hAnsiTheme="minorHAnsi" w:cstheme="minorHAnsi"/>
                <w:iCs/>
                <w:szCs w:val="22"/>
              </w:rPr>
              <w:t>Significant professional development is provided to academics and those supporting learning and teaching to ensure best practice approaches are fully available and supported through the university’s physical and digital transformation agendas</w:t>
            </w:r>
            <w:r>
              <w:rPr>
                <w:rFonts w:asciiTheme="minorHAnsi" w:hAnsiTheme="minorHAnsi" w:cstheme="minorHAnsi"/>
                <w:iCs/>
                <w:szCs w:val="22"/>
              </w:rPr>
              <w:t xml:space="preserve"> </w:t>
            </w:r>
          </w:p>
          <w:p w14:paraId="7F796463" w14:textId="172E4E88" w:rsidR="00F039E0" w:rsidRDefault="00C64EA3" w:rsidP="00B13B85">
            <w:pPr>
              <w:pStyle w:val="NormalIndent"/>
              <w:spacing w:before="0" w:line="240" w:lineRule="auto"/>
              <w:ind w:left="0"/>
              <w:rPr>
                <w:rFonts w:asciiTheme="minorHAnsi" w:hAnsiTheme="minorHAnsi" w:cstheme="minorHAnsi"/>
                <w:iCs/>
                <w:szCs w:val="22"/>
              </w:rPr>
            </w:pPr>
            <w:r w:rsidRPr="00EF72B2">
              <w:rPr>
                <w:rFonts w:asciiTheme="minorHAnsi" w:hAnsiTheme="minorHAnsi" w:cstheme="minorHAnsi"/>
                <w:iCs/>
                <w:szCs w:val="22"/>
              </w:rPr>
              <w:t>External surveys are also used to monitor overall course performance against national trends.</w:t>
            </w:r>
            <w:r>
              <w:rPr>
                <w:rFonts w:asciiTheme="minorHAnsi" w:hAnsiTheme="minorHAnsi" w:cstheme="minorHAnsi"/>
                <w:iCs/>
                <w:szCs w:val="22"/>
              </w:rPr>
              <w:t xml:space="preserve"> </w:t>
            </w:r>
            <w:r w:rsidR="00F039E0">
              <w:rPr>
                <w:rFonts w:asciiTheme="minorHAnsi" w:hAnsiTheme="minorHAnsi" w:cstheme="minorHAnsi"/>
                <w:iCs/>
                <w:szCs w:val="22"/>
              </w:rPr>
              <w:t xml:space="preserve">QUT’s QILT results </w:t>
            </w:r>
            <w:r w:rsidR="00F95861">
              <w:rPr>
                <w:rFonts w:asciiTheme="minorHAnsi" w:hAnsiTheme="minorHAnsi" w:cstheme="minorHAnsi"/>
                <w:iCs/>
                <w:szCs w:val="22"/>
              </w:rPr>
              <w:t>for</w:t>
            </w:r>
            <w:r w:rsidR="00F039E0">
              <w:rPr>
                <w:rFonts w:asciiTheme="minorHAnsi" w:hAnsiTheme="minorHAnsi" w:cstheme="minorHAnsi"/>
                <w:iCs/>
                <w:szCs w:val="22"/>
              </w:rPr>
              <w:t xml:space="preserve"> </w:t>
            </w:r>
            <w:r w:rsidR="00F039E0">
              <w:rPr>
                <w:rFonts w:asciiTheme="minorHAnsi" w:hAnsiTheme="minorHAnsi" w:cstheme="minorHAnsi"/>
                <w:i/>
                <w:szCs w:val="22"/>
              </w:rPr>
              <w:t xml:space="preserve">Overall Educational </w:t>
            </w:r>
            <w:r w:rsidR="00F039E0" w:rsidRPr="00CC2110">
              <w:rPr>
                <w:rFonts w:asciiTheme="minorHAnsi" w:hAnsiTheme="minorHAnsi" w:cstheme="minorHAnsi"/>
                <w:i/>
                <w:szCs w:val="22"/>
              </w:rPr>
              <w:t>Experience - % Positive</w:t>
            </w:r>
            <w:r w:rsidR="00F039E0">
              <w:rPr>
                <w:rFonts w:asciiTheme="minorHAnsi" w:hAnsiTheme="minorHAnsi" w:cstheme="minorHAnsi"/>
                <w:iCs/>
                <w:szCs w:val="22"/>
              </w:rPr>
              <w:t xml:space="preserve"> responses </w:t>
            </w:r>
            <w:r w:rsidR="001D3ED3">
              <w:rPr>
                <w:rFonts w:asciiTheme="minorHAnsi" w:hAnsiTheme="minorHAnsi" w:cstheme="minorHAnsi"/>
                <w:iCs/>
                <w:szCs w:val="22"/>
              </w:rPr>
              <w:t xml:space="preserve">have </w:t>
            </w:r>
            <w:r w:rsidR="00F039E0">
              <w:rPr>
                <w:rFonts w:asciiTheme="minorHAnsi" w:hAnsiTheme="minorHAnsi" w:cstheme="minorHAnsi"/>
                <w:iCs/>
                <w:szCs w:val="22"/>
              </w:rPr>
              <w:t>improv</w:t>
            </w:r>
            <w:r w:rsidR="001D3ED3">
              <w:rPr>
                <w:rFonts w:asciiTheme="minorHAnsi" w:hAnsiTheme="minorHAnsi" w:cstheme="minorHAnsi"/>
                <w:iCs/>
                <w:szCs w:val="22"/>
              </w:rPr>
              <w:t>ed</w:t>
            </w:r>
            <w:r w:rsidR="00F039E0">
              <w:rPr>
                <w:rFonts w:asciiTheme="minorHAnsi" w:hAnsiTheme="minorHAnsi" w:cstheme="minorHAnsi"/>
                <w:iCs/>
                <w:szCs w:val="22"/>
              </w:rPr>
              <w:t xml:space="preserve"> each year since 2022 and </w:t>
            </w:r>
            <w:r w:rsidR="001D3ED3">
              <w:rPr>
                <w:rFonts w:asciiTheme="minorHAnsi" w:hAnsiTheme="minorHAnsi" w:cstheme="minorHAnsi"/>
                <w:iCs/>
                <w:szCs w:val="22"/>
              </w:rPr>
              <w:t>are</w:t>
            </w:r>
            <w:r w:rsidR="00F039E0">
              <w:rPr>
                <w:rFonts w:asciiTheme="minorHAnsi" w:hAnsiTheme="minorHAnsi" w:cstheme="minorHAnsi"/>
                <w:iCs/>
                <w:szCs w:val="22"/>
              </w:rPr>
              <w:t xml:space="preserve"> above the national average. </w:t>
            </w:r>
          </w:p>
          <w:p w14:paraId="4CB9B690" w14:textId="75192664" w:rsidR="00386B94" w:rsidRPr="002C46E4" w:rsidRDefault="00386B94" w:rsidP="00BA45F4">
            <w:pPr>
              <w:pStyle w:val="NormalIndent"/>
              <w:spacing w:before="0" w:after="0" w:line="240" w:lineRule="auto"/>
              <w:ind w:left="0"/>
              <w:rPr>
                <w:rFonts w:eastAsia="Calibri" w:cs="Calibri"/>
                <w:b/>
                <w:bCs/>
                <w:iCs/>
                <w:szCs w:val="22"/>
                <w:lang w:eastAsia="en-US"/>
              </w:rPr>
            </w:pPr>
            <w:r w:rsidRPr="002C46E4">
              <w:rPr>
                <w:rFonts w:eastAsia="Calibri" w:cs="Calibri"/>
                <w:b/>
                <w:bCs/>
                <w:iCs/>
                <w:szCs w:val="22"/>
                <w:lang w:eastAsia="en-US"/>
              </w:rPr>
              <w:t>Learner Success and Achievement</w:t>
            </w:r>
          </w:p>
          <w:p w14:paraId="0B9D9A9E" w14:textId="74D473EE" w:rsidR="00386B94" w:rsidRDefault="00386B94" w:rsidP="00C30DC1">
            <w:pPr>
              <w:pStyle w:val="NormalIndent"/>
              <w:spacing w:before="0" w:line="240" w:lineRule="auto"/>
              <w:ind w:left="0"/>
              <w:rPr>
                <w:rFonts w:eastAsia="Calibri" w:cs="Calibri"/>
                <w:iCs/>
                <w:szCs w:val="22"/>
                <w:lang w:eastAsia="en-US"/>
              </w:rPr>
            </w:pPr>
            <w:r>
              <w:rPr>
                <w:rFonts w:eastAsia="Calibri" w:cs="Calibri"/>
                <w:iCs/>
                <w:szCs w:val="22"/>
                <w:lang w:eastAsia="en-US"/>
              </w:rPr>
              <w:t>QUT’s Connections strategy includes specific performance indicators for learner success and achievement through the measurement of: Commencing QUT retention, Overall student experience</w:t>
            </w:r>
            <w:r w:rsidR="00EE4676">
              <w:rPr>
                <w:rFonts w:eastAsia="Calibri" w:cs="Calibri"/>
                <w:iCs/>
                <w:szCs w:val="22"/>
                <w:lang w:eastAsia="en-US"/>
              </w:rPr>
              <w:t>, sense of belonging</w:t>
            </w:r>
            <w:r>
              <w:rPr>
                <w:rFonts w:eastAsia="Calibri" w:cs="Calibri"/>
                <w:iCs/>
                <w:szCs w:val="22"/>
                <w:lang w:eastAsia="en-US"/>
              </w:rPr>
              <w:t xml:space="preserve"> and </w:t>
            </w:r>
            <w:r w:rsidR="00D853A1">
              <w:rPr>
                <w:rFonts w:eastAsia="Calibri" w:cs="Calibri"/>
                <w:iCs/>
                <w:szCs w:val="22"/>
                <w:lang w:eastAsia="en-US"/>
              </w:rPr>
              <w:t>o</w:t>
            </w:r>
            <w:r>
              <w:rPr>
                <w:rFonts w:eastAsia="Calibri" w:cs="Calibri"/>
                <w:iCs/>
                <w:szCs w:val="22"/>
                <w:lang w:eastAsia="en-US"/>
              </w:rPr>
              <w:t>verall graduate outcomes.  Overall university performance is monitored as well as discipline areas and specific student cohort groups where applicable.</w:t>
            </w:r>
          </w:p>
          <w:p w14:paraId="05878C66" w14:textId="77777777" w:rsidR="00DC2D50" w:rsidRDefault="00DC2D50" w:rsidP="00C30DC1">
            <w:pPr>
              <w:spacing w:after="120"/>
              <w:rPr>
                <w:rFonts w:ascii="Calibri" w:eastAsia="Times New Roman" w:hAnsi="Calibri" w:cs="Calibri"/>
                <w:iCs/>
                <w:lang w:eastAsia="en-AU"/>
              </w:rPr>
            </w:pPr>
            <w:r>
              <w:rPr>
                <w:rFonts w:ascii="Calibri" w:eastAsia="Times New Roman" w:hAnsi="Calibri" w:cs="Calibri"/>
                <w:iCs/>
                <w:lang w:eastAsia="en-AU"/>
              </w:rPr>
              <w:t xml:space="preserve">Student success services, including engagement patterns and impact analysis, are reported on annually to Faculty Executive Leadership teams and the University Learning and Teaching Committee. </w:t>
            </w:r>
          </w:p>
          <w:p w14:paraId="31594DCE" w14:textId="3D88ECFF" w:rsidR="00DD2501" w:rsidRDefault="00386B94" w:rsidP="00C30DC1">
            <w:pPr>
              <w:spacing w:after="120"/>
              <w:rPr>
                <w:rFonts w:ascii="Calibri" w:eastAsia="Times New Roman" w:hAnsi="Calibri" w:cs="Calibri"/>
                <w:iCs/>
                <w:lang w:eastAsia="en-AU"/>
              </w:rPr>
            </w:pPr>
            <w:r w:rsidRPr="00CA5028">
              <w:rPr>
                <w:rFonts w:ascii="Calibri" w:eastAsia="Times New Roman" w:hAnsi="Calibri" w:cs="Calibri"/>
                <w:iCs/>
                <w:lang w:eastAsia="en-AU"/>
              </w:rPr>
              <w:t xml:space="preserve">Overall retention </w:t>
            </w:r>
            <w:r>
              <w:rPr>
                <w:rFonts w:ascii="Calibri" w:eastAsia="Times New Roman" w:hAnsi="Calibri" w:cs="Calibri"/>
                <w:iCs/>
                <w:lang w:eastAsia="en-AU"/>
              </w:rPr>
              <w:t xml:space="preserve">is </w:t>
            </w:r>
            <w:r w:rsidRPr="00CA5028">
              <w:rPr>
                <w:rFonts w:ascii="Calibri" w:eastAsia="Times New Roman" w:hAnsi="Calibri" w:cs="Calibri"/>
                <w:iCs/>
                <w:lang w:eastAsia="en-AU"/>
              </w:rPr>
              <w:t xml:space="preserve">monitored as well as specific </w:t>
            </w:r>
            <w:r w:rsidR="00A0067B">
              <w:rPr>
                <w:rFonts w:ascii="Calibri" w:eastAsia="Times New Roman" w:hAnsi="Calibri" w:cs="Calibri"/>
                <w:iCs/>
                <w:lang w:eastAsia="en-AU"/>
              </w:rPr>
              <w:t>priority</w:t>
            </w:r>
            <w:r w:rsidRPr="00CA5028">
              <w:rPr>
                <w:rFonts w:ascii="Calibri" w:eastAsia="Times New Roman" w:hAnsi="Calibri" w:cs="Calibri"/>
                <w:iCs/>
                <w:lang w:eastAsia="en-AU"/>
              </w:rPr>
              <w:t xml:space="preserve">-group </w:t>
            </w:r>
            <w:r w:rsidRPr="00964CF6">
              <w:rPr>
                <w:rFonts w:ascii="Calibri" w:eastAsia="Times New Roman" w:hAnsi="Calibri" w:cs="Calibri"/>
                <w:iCs/>
                <w:lang w:eastAsia="en-AU"/>
              </w:rPr>
              <w:t>outcomes to determine the effectiveness of different strategies and approaches. Recent campaigns have targeted students on leave of absence</w:t>
            </w:r>
            <w:r w:rsidR="00CB7D97" w:rsidRPr="00964CF6">
              <w:rPr>
                <w:rFonts w:ascii="Calibri" w:eastAsia="Times New Roman" w:hAnsi="Calibri" w:cs="Calibri"/>
                <w:iCs/>
                <w:lang w:eastAsia="en-AU"/>
              </w:rPr>
              <w:t xml:space="preserve">, </w:t>
            </w:r>
            <w:r w:rsidRPr="00964CF6">
              <w:rPr>
                <w:rFonts w:ascii="Calibri" w:eastAsia="Times New Roman" w:hAnsi="Calibri" w:cs="Calibri"/>
                <w:iCs/>
                <w:lang w:eastAsia="en-AU"/>
              </w:rPr>
              <w:t>support</w:t>
            </w:r>
            <w:r w:rsidR="00CB7D97" w:rsidRPr="00964CF6">
              <w:rPr>
                <w:rFonts w:ascii="Calibri" w:eastAsia="Times New Roman" w:hAnsi="Calibri" w:cs="Calibri"/>
                <w:iCs/>
                <w:lang w:eastAsia="en-AU"/>
              </w:rPr>
              <w:t>ing</w:t>
            </w:r>
            <w:r w:rsidRPr="00964CF6">
              <w:rPr>
                <w:rFonts w:ascii="Calibri" w:eastAsia="Times New Roman" w:hAnsi="Calibri" w:cs="Calibri"/>
                <w:iCs/>
                <w:lang w:eastAsia="en-AU"/>
              </w:rPr>
              <w:t xml:space="preserve"> them to return successfully to study</w:t>
            </w:r>
            <w:r w:rsidR="001543A1" w:rsidRPr="00964CF6">
              <w:rPr>
                <w:rFonts w:ascii="Calibri" w:eastAsia="Times New Roman" w:hAnsi="Calibri" w:cs="Calibri"/>
                <w:iCs/>
                <w:lang w:eastAsia="en-AU"/>
              </w:rPr>
              <w:t xml:space="preserve"> and</w:t>
            </w:r>
            <w:r w:rsidR="009429D7" w:rsidRPr="00964CF6">
              <w:rPr>
                <w:rFonts w:ascii="Calibri" w:eastAsia="Times New Roman" w:hAnsi="Calibri" w:cs="Calibri"/>
                <w:iCs/>
                <w:lang w:eastAsia="en-AU"/>
              </w:rPr>
              <w:t xml:space="preserve"> a campaign targeti</w:t>
            </w:r>
            <w:r w:rsidR="0095315B" w:rsidRPr="00964CF6">
              <w:rPr>
                <w:rFonts w:ascii="Calibri" w:eastAsia="Times New Roman" w:hAnsi="Calibri" w:cs="Calibri"/>
                <w:iCs/>
                <w:lang w:eastAsia="en-AU"/>
              </w:rPr>
              <w:t xml:space="preserve">ng international students to </w:t>
            </w:r>
            <w:r w:rsidR="00D248D4" w:rsidRPr="00964CF6">
              <w:rPr>
                <w:rFonts w:ascii="Calibri" w:eastAsia="Times New Roman" w:hAnsi="Calibri" w:cs="Calibri"/>
                <w:iCs/>
                <w:lang w:eastAsia="en-AU"/>
              </w:rPr>
              <w:t xml:space="preserve">engage them with </w:t>
            </w:r>
            <w:r w:rsidR="00A54D9A" w:rsidRPr="00964CF6">
              <w:rPr>
                <w:rFonts w:ascii="Calibri" w:eastAsia="Times New Roman" w:hAnsi="Calibri" w:cs="Calibri"/>
                <w:iCs/>
                <w:lang w:eastAsia="en-AU"/>
              </w:rPr>
              <w:t xml:space="preserve">study support and professional practice </w:t>
            </w:r>
            <w:r w:rsidR="0062412F" w:rsidRPr="00964CF6">
              <w:rPr>
                <w:rFonts w:ascii="Calibri" w:eastAsia="Times New Roman" w:hAnsi="Calibri" w:cs="Calibri"/>
                <w:iCs/>
                <w:lang w:eastAsia="en-AU"/>
              </w:rPr>
              <w:t xml:space="preserve">peer programs to </w:t>
            </w:r>
            <w:r w:rsidR="0095315B" w:rsidRPr="00964CF6">
              <w:rPr>
                <w:rFonts w:ascii="Calibri" w:eastAsia="Times New Roman" w:hAnsi="Calibri" w:cs="Calibri"/>
                <w:iCs/>
                <w:lang w:eastAsia="en-AU"/>
              </w:rPr>
              <w:t xml:space="preserve">prepare them for </w:t>
            </w:r>
            <w:r w:rsidR="0062412F" w:rsidRPr="00964CF6">
              <w:rPr>
                <w:rFonts w:ascii="Calibri" w:eastAsia="Times New Roman" w:hAnsi="Calibri" w:cs="Calibri"/>
                <w:iCs/>
                <w:lang w:eastAsia="en-AU"/>
              </w:rPr>
              <w:t>placements</w:t>
            </w:r>
            <w:r w:rsidRPr="00964CF6">
              <w:rPr>
                <w:rFonts w:ascii="Calibri" w:eastAsia="Times New Roman" w:hAnsi="Calibri" w:cs="Calibri"/>
                <w:iCs/>
                <w:lang w:eastAsia="en-AU"/>
              </w:rPr>
              <w:t xml:space="preserve">. </w:t>
            </w:r>
          </w:p>
          <w:p w14:paraId="75C9C321" w14:textId="22D9141D" w:rsidR="00E82049" w:rsidRDefault="00386B94" w:rsidP="00C30DC1">
            <w:pPr>
              <w:spacing w:after="120"/>
              <w:rPr>
                <w:rFonts w:ascii="Calibri" w:eastAsia="Times New Roman" w:hAnsi="Calibri" w:cs="Calibri"/>
                <w:iCs/>
                <w:lang w:eastAsia="en-AU"/>
              </w:rPr>
            </w:pPr>
            <w:r>
              <w:rPr>
                <w:rFonts w:ascii="Calibri" w:eastAsia="Times New Roman" w:hAnsi="Calibri" w:cs="Calibri"/>
                <w:iCs/>
                <w:lang w:eastAsia="en-AU"/>
              </w:rPr>
              <w:t>Three key program</w:t>
            </w:r>
            <w:r w:rsidRPr="00377690">
              <w:rPr>
                <w:rFonts w:ascii="Calibri" w:eastAsia="Times New Roman" w:hAnsi="Calibri" w:cs="Calibri"/>
                <w:iCs/>
                <w:lang w:eastAsia="en-AU"/>
              </w:rPr>
              <w:t xml:space="preserve">s underpinning our student success approach include our Get on Track, Stay on Track and Get Back on Track programs which are designed </w:t>
            </w:r>
            <w:r>
              <w:rPr>
                <w:rFonts w:ascii="Calibri" w:eastAsia="Times New Roman" w:hAnsi="Calibri" w:cs="Calibri"/>
                <w:iCs/>
                <w:lang w:eastAsia="en-AU"/>
              </w:rPr>
              <w:t xml:space="preserve">to </w:t>
            </w:r>
            <w:r w:rsidRPr="00377690">
              <w:rPr>
                <w:rFonts w:ascii="Calibri" w:eastAsia="Times New Roman" w:hAnsi="Calibri" w:cs="Calibri"/>
                <w:iCs/>
                <w:lang w:eastAsia="en-AU"/>
              </w:rPr>
              <w:t>improve the success of commencing students, those who are showing signs of being at risk or disengaged and those who are experiencing progression challenges</w:t>
            </w:r>
            <w:r>
              <w:rPr>
                <w:rFonts w:ascii="Calibri" w:eastAsia="Times New Roman" w:hAnsi="Calibri" w:cs="Calibri"/>
                <w:iCs/>
                <w:lang w:eastAsia="en-AU"/>
              </w:rPr>
              <w:t xml:space="preserve"> or probation due to unsatisfactory academic performance. </w:t>
            </w:r>
            <w:r w:rsidR="00594815">
              <w:rPr>
                <w:rFonts w:ascii="Calibri" w:eastAsia="Times New Roman" w:hAnsi="Calibri" w:cs="Calibri"/>
                <w:iCs/>
                <w:lang w:eastAsia="en-AU"/>
              </w:rPr>
              <w:t>These three programs have seen significant improvement</w:t>
            </w:r>
            <w:r w:rsidR="00B226E4">
              <w:rPr>
                <w:rFonts w:ascii="Calibri" w:eastAsia="Times New Roman" w:hAnsi="Calibri" w:cs="Calibri"/>
                <w:iCs/>
                <w:lang w:eastAsia="en-AU"/>
              </w:rPr>
              <w:t>s</w:t>
            </w:r>
            <w:r w:rsidR="00594815">
              <w:rPr>
                <w:rFonts w:ascii="Calibri" w:eastAsia="Times New Roman" w:hAnsi="Calibri" w:cs="Calibri"/>
                <w:iCs/>
                <w:lang w:eastAsia="en-AU"/>
              </w:rPr>
              <w:t xml:space="preserve"> in commencing students </w:t>
            </w:r>
            <w:r w:rsidR="00B226E4">
              <w:rPr>
                <w:rFonts w:ascii="Calibri" w:eastAsia="Times New Roman" w:hAnsi="Calibri" w:cs="Calibri"/>
                <w:iCs/>
                <w:lang w:eastAsia="en-AU"/>
              </w:rPr>
              <w:t>returning the year after they comme</w:t>
            </w:r>
            <w:r w:rsidR="00214010">
              <w:rPr>
                <w:rFonts w:ascii="Calibri" w:eastAsia="Times New Roman" w:hAnsi="Calibri" w:cs="Calibri"/>
                <w:iCs/>
                <w:lang w:eastAsia="en-AU"/>
              </w:rPr>
              <w:t>nced</w:t>
            </w:r>
            <w:r w:rsidR="00721A38">
              <w:rPr>
                <w:rFonts w:ascii="Calibri" w:eastAsia="Times New Roman" w:hAnsi="Calibri" w:cs="Calibri"/>
                <w:iCs/>
                <w:lang w:eastAsia="en-AU"/>
              </w:rPr>
              <w:t>,</w:t>
            </w:r>
            <w:r w:rsidR="00214010">
              <w:rPr>
                <w:rFonts w:ascii="Calibri" w:eastAsia="Times New Roman" w:hAnsi="Calibri" w:cs="Calibri"/>
                <w:iCs/>
                <w:lang w:eastAsia="en-AU"/>
              </w:rPr>
              <w:t xml:space="preserve"> with our six largest courses all seein</w:t>
            </w:r>
            <w:r w:rsidR="00493EB5">
              <w:rPr>
                <w:rFonts w:ascii="Calibri" w:eastAsia="Times New Roman" w:hAnsi="Calibri" w:cs="Calibri"/>
                <w:iCs/>
                <w:lang w:eastAsia="en-AU"/>
              </w:rPr>
              <w:t>g increase</w:t>
            </w:r>
            <w:r w:rsidR="002A3048">
              <w:rPr>
                <w:rFonts w:ascii="Calibri" w:eastAsia="Times New Roman" w:hAnsi="Calibri" w:cs="Calibri"/>
                <w:iCs/>
                <w:lang w:eastAsia="en-AU"/>
              </w:rPr>
              <w:t xml:space="preserve">s of between </w:t>
            </w:r>
            <w:r w:rsidR="00B378A5">
              <w:rPr>
                <w:rFonts w:ascii="Calibri" w:eastAsia="Times New Roman" w:hAnsi="Calibri" w:cs="Calibri"/>
                <w:iCs/>
                <w:lang w:eastAsia="en-AU"/>
              </w:rPr>
              <w:t>5-7%</w:t>
            </w:r>
            <w:r w:rsidR="00D15833">
              <w:rPr>
                <w:rFonts w:ascii="Calibri" w:eastAsia="Times New Roman" w:hAnsi="Calibri" w:cs="Calibri"/>
                <w:iCs/>
                <w:lang w:eastAsia="en-AU"/>
              </w:rPr>
              <w:t xml:space="preserve"> more students returning the following year than any of the previous 3 years</w:t>
            </w:r>
            <w:r w:rsidR="00B378A5">
              <w:rPr>
                <w:rFonts w:ascii="Calibri" w:eastAsia="Times New Roman" w:hAnsi="Calibri" w:cs="Calibri"/>
                <w:iCs/>
                <w:lang w:eastAsia="en-AU"/>
              </w:rPr>
              <w:t xml:space="preserve">. </w:t>
            </w:r>
            <w:r w:rsidR="007742D5">
              <w:rPr>
                <w:rFonts w:ascii="Calibri" w:eastAsia="Times New Roman" w:hAnsi="Calibri" w:cs="Calibri"/>
                <w:iCs/>
                <w:lang w:eastAsia="en-AU"/>
              </w:rPr>
              <w:t>Similar i</w:t>
            </w:r>
            <w:r w:rsidR="00B378A5">
              <w:rPr>
                <w:rFonts w:ascii="Calibri" w:eastAsia="Times New Roman" w:hAnsi="Calibri" w:cs="Calibri"/>
                <w:iCs/>
                <w:lang w:eastAsia="en-AU"/>
              </w:rPr>
              <w:t>mprovements were also recorded in students</w:t>
            </w:r>
            <w:r w:rsidR="001F7C72">
              <w:rPr>
                <w:rFonts w:ascii="Calibri" w:eastAsia="Times New Roman" w:hAnsi="Calibri" w:cs="Calibri"/>
                <w:iCs/>
                <w:lang w:eastAsia="en-AU"/>
              </w:rPr>
              <w:t xml:space="preserve"> moving from year 2 to year 3 of their degrees</w:t>
            </w:r>
            <w:r w:rsidR="009A3336">
              <w:rPr>
                <w:rFonts w:ascii="Calibri" w:eastAsia="Times New Roman" w:hAnsi="Calibri" w:cs="Calibri"/>
                <w:iCs/>
                <w:lang w:eastAsia="en-AU"/>
              </w:rPr>
              <w:t>.</w:t>
            </w:r>
          </w:p>
          <w:p w14:paraId="0FBDCA0E" w14:textId="36DB35A3" w:rsidR="00386B94" w:rsidRPr="00EE4DC7" w:rsidRDefault="00386B94" w:rsidP="00B13B85">
            <w:pPr>
              <w:spacing w:after="120"/>
            </w:pPr>
            <w:r w:rsidRPr="00CA5028">
              <w:rPr>
                <w:rFonts w:ascii="Calibri" w:eastAsia="Times New Roman" w:hAnsi="Calibri" w:cs="Calibri"/>
                <w:i/>
                <w:lang w:eastAsia="en-AU"/>
              </w:rPr>
              <w:t xml:space="preserve">Further information: </w:t>
            </w:r>
            <w:hyperlink r:id="rId33" w:history="1">
              <w:r w:rsidRPr="00CA5028">
                <w:rPr>
                  <w:rFonts w:ascii="Calibri" w:eastAsia="Times New Roman" w:hAnsi="Calibri" w:cs="Calibri"/>
                  <w:i/>
                  <w:color w:val="0000FF"/>
                  <w:u w:val="single"/>
                  <w:lang w:eastAsia="en-AU"/>
                </w:rPr>
                <w:t>Enabling student success</w:t>
              </w:r>
            </w:hyperlink>
            <w:r w:rsidRPr="00CA5028">
              <w:rPr>
                <w:rFonts w:ascii="Calibri" w:eastAsia="Times New Roman" w:hAnsi="Calibri" w:cs="Calibri"/>
                <w:i/>
                <w:lang w:eastAsia="en-AU"/>
              </w:rPr>
              <w:t xml:space="preserve">; </w:t>
            </w:r>
            <w:hyperlink r:id="rId34" w:history="1">
              <w:r w:rsidRPr="00CA5028">
                <w:rPr>
                  <w:rFonts w:ascii="Calibri" w:eastAsia="Times New Roman" w:hAnsi="Calibri" w:cs="Calibri"/>
                  <w:i/>
                  <w:color w:val="0000FF"/>
                  <w:u w:val="single"/>
                  <w:lang w:eastAsia="en-AU"/>
                </w:rPr>
                <w:t>Peer mentoring and support</w:t>
              </w:r>
            </w:hyperlink>
            <w:r w:rsidRPr="00CA5028">
              <w:rPr>
                <w:rFonts w:ascii="Calibri" w:eastAsia="Times New Roman" w:hAnsi="Calibri" w:cs="Calibri"/>
                <w:i/>
                <w:lang w:eastAsia="en-AU"/>
              </w:rPr>
              <w:t xml:space="preserve">; </w:t>
            </w:r>
            <w:hyperlink r:id="rId35" w:history="1">
              <w:r w:rsidRPr="00CA5028">
                <w:rPr>
                  <w:rFonts w:ascii="Calibri" w:eastAsia="Times New Roman" w:hAnsi="Calibri" w:cs="Calibri"/>
                  <w:i/>
                  <w:color w:val="0000FF"/>
                  <w:u w:val="single"/>
                  <w:lang w:eastAsia="en-AU"/>
                </w:rPr>
                <w:t>Maths, science and IT support</w:t>
              </w:r>
            </w:hyperlink>
            <w:r w:rsidRPr="00CA5028">
              <w:rPr>
                <w:rFonts w:ascii="Calibri" w:eastAsia="Times New Roman" w:hAnsi="Calibri" w:cs="Calibri"/>
                <w:i/>
                <w:lang w:eastAsia="en-AU"/>
              </w:rPr>
              <w:t xml:space="preserve">; </w:t>
            </w:r>
            <w:hyperlink r:id="rId36" w:history="1">
              <w:r w:rsidRPr="00CA5028">
                <w:rPr>
                  <w:rFonts w:ascii="Calibri" w:eastAsia="Times New Roman" w:hAnsi="Calibri" w:cs="Calibri"/>
                  <w:i/>
                  <w:color w:val="0000FF"/>
                  <w:u w:val="single"/>
                  <w:lang w:eastAsia="en-AU"/>
                </w:rPr>
                <w:t>language and learning skills</w:t>
              </w:r>
            </w:hyperlink>
            <w:r w:rsidRPr="00CA5028">
              <w:rPr>
                <w:rFonts w:ascii="Calibri" w:eastAsia="Times New Roman" w:hAnsi="Calibri" w:cs="Calibri"/>
                <w:i/>
                <w:lang w:eastAsia="en-AU"/>
              </w:rPr>
              <w:t>;</w:t>
            </w:r>
            <w:r>
              <w:rPr>
                <w:rFonts w:ascii="Calibri" w:eastAsia="Times New Roman" w:hAnsi="Calibri" w:cs="Calibri"/>
                <w:i/>
                <w:lang w:eastAsia="en-AU"/>
              </w:rPr>
              <w:t xml:space="preserve"> </w:t>
            </w:r>
            <w:hyperlink r:id="rId37" w:history="1">
              <w:r w:rsidRPr="00943C92">
                <w:rPr>
                  <w:rStyle w:val="Hyperlink"/>
                  <w:rFonts w:eastAsiaTheme="minorHAnsi"/>
                </w:rPr>
                <w:t>Student orientation and transition</w:t>
              </w:r>
            </w:hyperlink>
            <w:r w:rsidRPr="00CA5028">
              <w:rPr>
                <w:rFonts w:ascii="Calibri" w:eastAsia="Times New Roman" w:hAnsi="Calibri" w:cs="Calibri"/>
                <w:i/>
                <w:lang w:eastAsia="en-AU"/>
              </w:rPr>
              <w:t xml:space="preserve">; </w:t>
            </w:r>
            <w:hyperlink r:id="rId38" w:history="1">
              <w:r w:rsidRPr="00CA5028">
                <w:rPr>
                  <w:rFonts w:ascii="Calibri" w:eastAsia="Times New Roman" w:hAnsi="Calibri" w:cs="Calibri"/>
                  <w:i/>
                  <w:color w:val="0000FF"/>
                  <w:u w:val="single"/>
                  <w:lang w:eastAsia="en-AU"/>
                </w:rPr>
                <w:t>student life and development</w:t>
              </w:r>
            </w:hyperlink>
            <w:r w:rsidRPr="00CA5028">
              <w:rPr>
                <w:rFonts w:ascii="Calibri" w:eastAsia="Times New Roman" w:hAnsi="Calibri" w:cs="Calibri"/>
                <w:i/>
                <w:lang w:eastAsia="en-AU"/>
              </w:rPr>
              <w:t xml:space="preserve">; </w:t>
            </w:r>
            <w:hyperlink r:id="rId39" w:history="1">
              <w:r w:rsidRPr="00386B94">
                <w:rPr>
                  <w:rFonts w:ascii="Calibri" w:eastAsia="Times New Roman" w:hAnsi="Calibri" w:cs="Calibri"/>
                  <w:i/>
                  <w:color w:val="0000FF"/>
                  <w:u w:val="single"/>
                  <w:lang w:eastAsia="en-AU"/>
                </w:rPr>
                <w:t>Support for Students Polic</w:t>
              </w:r>
              <w:r w:rsidRPr="00386B94">
                <w:rPr>
                  <w:color w:val="0000FF"/>
                </w:rPr>
                <w:t>y</w:t>
              </w:r>
            </w:hyperlink>
            <w:r w:rsidR="008A0E9A">
              <w:t xml:space="preserve">; </w:t>
            </w:r>
            <w:hyperlink r:id="rId40" w:history="1">
              <w:proofErr w:type="spellStart"/>
              <w:r w:rsidR="008A0E9A" w:rsidRPr="00367514">
                <w:rPr>
                  <w:rFonts w:ascii="Calibri" w:eastAsia="Times New Roman" w:hAnsi="Calibri" w:cs="Calibri"/>
                  <w:i/>
                  <w:color w:val="0000FF"/>
                  <w:u w:val="single"/>
                  <w:lang w:eastAsia="en-AU"/>
                </w:rPr>
                <w:t>Questo</w:t>
              </w:r>
              <w:proofErr w:type="spellEnd"/>
            </w:hyperlink>
            <w:r w:rsidR="00310C6B">
              <w:t xml:space="preserve">, </w:t>
            </w:r>
            <w:hyperlink r:id="rId41" w:history="1">
              <w:r w:rsidRPr="00310C6B">
                <w:rPr>
                  <w:rStyle w:val="Hyperlink"/>
                  <w:rFonts w:asciiTheme="minorHAnsi" w:eastAsiaTheme="minorHAnsi" w:hAnsiTheme="minorHAnsi" w:cstheme="minorBidi"/>
                  <w:lang w:eastAsia="en-US"/>
                </w:rPr>
                <w:t>Keystones of Success</w:t>
              </w:r>
            </w:hyperlink>
            <w:r w:rsidR="00473091">
              <w:t xml:space="preserve">; </w:t>
            </w:r>
            <w:hyperlink r:id="rId42" w:history="1">
              <w:r w:rsidR="00FB4580" w:rsidRPr="000010A3">
                <w:rPr>
                  <w:rStyle w:val="Hyperlink"/>
                  <w:rFonts w:asciiTheme="minorHAnsi" w:eastAsiaTheme="minorHAnsi" w:hAnsiTheme="minorHAnsi" w:cstheme="minorBidi"/>
                  <w:lang w:eastAsia="en-US"/>
                </w:rPr>
                <w:t>Specialist disability advisors</w:t>
              </w:r>
            </w:hyperlink>
          </w:p>
          <w:p w14:paraId="556E13C3" w14:textId="5606959E" w:rsidR="00386B94" w:rsidRDefault="00386B94" w:rsidP="00BA45F4">
            <w:pPr>
              <w:spacing w:after="120"/>
            </w:pPr>
            <w:r>
              <w:t xml:space="preserve">The embedding of real-world learning experiences throughout QUT programs continues to be a focus to maintain positive graduate outcomes. We continue to perform strongly with high employment rates as well as positive support from respondents on how well their degree prepared them for employment.  Graduate outcomes will continue to be monitored through our KPIs. </w:t>
            </w:r>
          </w:p>
          <w:p w14:paraId="66F0C580" w14:textId="55A6ABD5" w:rsidR="00FA758B" w:rsidRDefault="00C216C3" w:rsidP="00BA45F4">
            <w:pPr>
              <w:spacing w:after="0"/>
            </w:pPr>
            <w:r w:rsidRPr="00C216C3">
              <w:rPr>
                <w:rFonts w:cstheme="minorHAnsi"/>
                <w:iCs/>
              </w:rPr>
              <w:t>With a broad range of coaching, mentoring and networking opportunities, we provide ways for students</w:t>
            </w:r>
            <w:r w:rsidR="00472158">
              <w:rPr>
                <w:rFonts w:cstheme="minorHAnsi"/>
                <w:iCs/>
              </w:rPr>
              <w:t xml:space="preserve"> to</w:t>
            </w:r>
            <w:r w:rsidRPr="00C216C3">
              <w:rPr>
                <w:rFonts w:cstheme="minorHAnsi"/>
                <w:iCs/>
              </w:rPr>
              <w:t xml:space="preserve"> </w:t>
            </w:r>
            <w:r w:rsidR="003E1081">
              <w:rPr>
                <w:rFonts w:cstheme="minorHAnsi"/>
                <w:iCs/>
              </w:rPr>
              <w:t>build meaningful networks</w:t>
            </w:r>
            <w:r w:rsidRPr="00C216C3">
              <w:rPr>
                <w:rFonts w:cstheme="minorHAnsi"/>
                <w:iCs/>
              </w:rPr>
              <w:t xml:space="preserve">. </w:t>
            </w:r>
            <w:r w:rsidR="00FA758B">
              <w:rPr>
                <w:rFonts w:cstheme="minorHAnsi"/>
                <w:iCs/>
              </w:rPr>
              <w:t xml:space="preserve">Our Career Mentoring </w:t>
            </w:r>
            <w:r w:rsidR="007D298D">
              <w:rPr>
                <w:rFonts w:cstheme="minorHAnsi"/>
                <w:iCs/>
              </w:rPr>
              <w:t>p</w:t>
            </w:r>
            <w:r w:rsidR="00FA758B">
              <w:rPr>
                <w:rFonts w:cstheme="minorHAnsi"/>
                <w:iCs/>
              </w:rPr>
              <w:t xml:space="preserve">rogram </w:t>
            </w:r>
            <w:r w:rsidR="00CA7004">
              <w:rPr>
                <w:rFonts w:cstheme="minorHAnsi"/>
                <w:iCs/>
              </w:rPr>
              <w:t xml:space="preserve">also </w:t>
            </w:r>
            <w:r w:rsidR="00946D5A">
              <w:rPr>
                <w:rFonts w:cstheme="minorHAnsi"/>
                <w:iCs/>
              </w:rPr>
              <w:t>connects students with alumni over a six-month program where students are encouraged to create</w:t>
            </w:r>
            <w:r w:rsidR="00872519">
              <w:rPr>
                <w:rFonts w:cstheme="minorHAnsi"/>
                <w:iCs/>
              </w:rPr>
              <w:t xml:space="preserve"> strong relationships during and after their studies, </w:t>
            </w:r>
            <w:r w:rsidR="00FA758B">
              <w:rPr>
                <w:rFonts w:cstheme="minorHAnsi"/>
                <w:iCs/>
              </w:rPr>
              <w:t>deepe</w:t>
            </w:r>
            <w:r w:rsidR="00872519">
              <w:rPr>
                <w:rFonts w:cstheme="minorHAnsi"/>
                <w:iCs/>
              </w:rPr>
              <w:t>ning</w:t>
            </w:r>
            <w:r w:rsidR="00FA758B">
              <w:rPr>
                <w:rFonts w:cstheme="minorHAnsi"/>
                <w:iCs/>
              </w:rPr>
              <w:t xml:space="preserve"> understanding of industry, expand</w:t>
            </w:r>
            <w:r w:rsidR="00872519">
              <w:rPr>
                <w:rFonts w:cstheme="minorHAnsi"/>
                <w:iCs/>
              </w:rPr>
              <w:t>ing</w:t>
            </w:r>
            <w:r w:rsidR="00FA758B">
              <w:rPr>
                <w:rFonts w:cstheme="minorHAnsi"/>
                <w:iCs/>
              </w:rPr>
              <w:t xml:space="preserve"> </w:t>
            </w:r>
            <w:r w:rsidR="00FA758B">
              <w:rPr>
                <w:rFonts w:cstheme="minorHAnsi"/>
                <w:iCs/>
              </w:rPr>
              <w:lastRenderedPageBreak/>
              <w:t>industry networks and enhanc</w:t>
            </w:r>
            <w:r w:rsidR="00872519">
              <w:rPr>
                <w:rFonts w:cstheme="minorHAnsi"/>
                <w:iCs/>
              </w:rPr>
              <w:t>ing</w:t>
            </w:r>
            <w:r w:rsidR="00FA758B">
              <w:rPr>
                <w:rFonts w:cstheme="minorHAnsi"/>
                <w:iCs/>
              </w:rPr>
              <w:t xml:space="preserve"> employability skills</w:t>
            </w:r>
            <w:r w:rsidR="00872519">
              <w:rPr>
                <w:rFonts w:cstheme="minorHAnsi"/>
                <w:iCs/>
              </w:rPr>
              <w:t>,</w:t>
            </w:r>
            <w:r w:rsidR="00FA758B">
              <w:rPr>
                <w:rFonts w:cstheme="minorHAnsi"/>
                <w:iCs/>
              </w:rPr>
              <w:t xml:space="preserve"> with over 3000 student interactions on </w:t>
            </w:r>
            <w:r w:rsidR="00872519">
              <w:rPr>
                <w:rFonts w:cstheme="minorHAnsi"/>
                <w:iCs/>
              </w:rPr>
              <w:t xml:space="preserve">our dedicated </w:t>
            </w:r>
            <w:r w:rsidR="00FA758B">
              <w:rPr>
                <w:rFonts w:cstheme="minorHAnsi"/>
                <w:iCs/>
              </w:rPr>
              <w:t>platform.</w:t>
            </w:r>
          </w:p>
          <w:p w14:paraId="7AF91001" w14:textId="2EBC6FD6" w:rsidR="00386B94" w:rsidRDefault="00386B94" w:rsidP="00BA45F4">
            <w:pPr>
              <w:pStyle w:val="NormalIndent"/>
              <w:spacing w:before="0" w:after="0" w:line="240" w:lineRule="auto"/>
              <w:ind w:left="0"/>
              <w:rPr>
                <w:rFonts w:cs="Calibri"/>
                <w:i/>
              </w:rPr>
            </w:pPr>
            <w:r w:rsidRPr="00CA5028">
              <w:rPr>
                <w:rFonts w:cs="Calibri"/>
                <w:i/>
              </w:rPr>
              <w:t xml:space="preserve">Further information: </w:t>
            </w:r>
            <w:hyperlink r:id="rId43" w:history="1">
              <w:r w:rsidRPr="00CA5028">
                <w:rPr>
                  <w:rFonts w:cs="Calibri"/>
                  <w:i/>
                  <w:color w:val="0000FF"/>
                  <w:u w:val="single"/>
                </w:rPr>
                <w:t>Work integrated learning</w:t>
              </w:r>
            </w:hyperlink>
            <w:r w:rsidRPr="00CA5028">
              <w:rPr>
                <w:rFonts w:cs="Calibri"/>
                <w:i/>
              </w:rPr>
              <w:t xml:space="preserve">; </w:t>
            </w:r>
            <w:hyperlink r:id="rId44" w:history="1">
              <w:r w:rsidRPr="00CA5028">
                <w:rPr>
                  <w:rFonts w:cs="Calibri"/>
                  <w:i/>
                  <w:color w:val="0000FF"/>
                  <w:u w:val="single"/>
                </w:rPr>
                <w:t>WIL &amp; international internships</w:t>
              </w:r>
            </w:hyperlink>
            <w:r w:rsidRPr="00CA5028">
              <w:rPr>
                <w:rFonts w:cs="Calibri"/>
                <w:i/>
              </w:rPr>
              <w:t>;</w:t>
            </w:r>
            <w:r w:rsidR="0027557D">
              <w:rPr>
                <w:rFonts w:cs="Calibri"/>
                <w:i/>
              </w:rPr>
              <w:t xml:space="preserve"> </w:t>
            </w:r>
            <w:hyperlink r:id="rId45" w:history="1">
              <w:r w:rsidR="00256445">
                <w:rPr>
                  <w:rStyle w:val="Hyperlink"/>
                </w:rPr>
                <w:t>Career mentoring</w:t>
              </w:r>
            </w:hyperlink>
          </w:p>
          <w:p w14:paraId="533F473E" w14:textId="761AF79F" w:rsidR="007A7EB0" w:rsidRPr="00BA45F4" w:rsidRDefault="007A7EB0" w:rsidP="00266C94">
            <w:pPr>
              <w:pStyle w:val="NormalIndent"/>
              <w:spacing w:after="0" w:line="240" w:lineRule="auto"/>
              <w:ind w:left="0"/>
              <w:rPr>
                <w:rFonts w:cs="Calibri"/>
                <w:b/>
                <w:bCs/>
                <w:iCs/>
              </w:rPr>
            </w:pPr>
            <w:r w:rsidRPr="00BA45F4">
              <w:rPr>
                <w:rFonts w:cs="Calibri"/>
                <w:b/>
                <w:bCs/>
                <w:iCs/>
              </w:rPr>
              <w:t>Teaching Quality</w:t>
            </w:r>
          </w:p>
          <w:p w14:paraId="444C1730" w14:textId="5A743699" w:rsidR="00A56484" w:rsidRDefault="00F85FD1" w:rsidP="00BA45F4">
            <w:pPr>
              <w:pStyle w:val="NormalIndent"/>
              <w:spacing w:before="0" w:line="240" w:lineRule="auto"/>
              <w:ind w:left="0"/>
              <w:rPr>
                <w:rFonts w:cs="Calibri"/>
                <w:iCs/>
              </w:rPr>
            </w:pPr>
            <w:r>
              <w:rPr>
                <w:rFonts w:cs="Calibri"/>
                <w:iCs/>
              </w:rPr>
              <w:t xml:space="preserve">The QUT Academy of Learning and Teaching </w:t>
            </w:r>
            <w:r w:rsidR="00AD6C97">
              <w:rPr>
                <w:rFonts w:cs="Calibri"/>
                <w:iCs/>
              </w:rPr>
              <w:t xml:space="preserve">provides a suite of scholarly, modularised professional development </w:t>
            </w:r>
            <w:r w:rsidR="00EC742A">
              <w:rPr>
                <w:rFonts w:cs="Calibri"/>
                <w:iCs/>
              </w:rPr>
              <w:t xml:space="preserve">for staff </w:t>
            </w:r>
            <w:r w:rsidR="008B5586">
              <w:rPr>
                <w:rFonts w:cs="Calibri"/>
                <w:iCs/>
              </w:rPr>
              <w:t>in</w:t>
            </w:r>
            <w:r w:rsidR="00EC742A">
              <w:rPr>
                <w:rFonts w:cs="Calibri"/>
                <w:iCs/>
              </w:rPr>
              <w:t xml:space="preserve"> foundation</w:t>
            </w:r>
            <w:r w:rsidR="008B5586">
              <w:rPr>
                <w:rFonts w:cs="Calibri"/>
                <w:iCs/>
              </w:rPr>
              <w:t xml:space="preserve">s of </w:t>
            </w:r>
            <w:r w:rsidR="00EC742A">
              <w:rPr>
                <w:rFonts w:cs="Calibri"/>
                <w:iCs/>
              </w:rPr>
              <w:t>learning</w:t>
            </w:r>
            <w:r w:rsidR="008B5586">
              <w:rPr>
                <w:rFonts w:cs="Calibri"/>
                <w:iCs/>
              </w:rPr>
              <w:t xml:space="preserve"> and teaching, real-time learning, and </w:t>
            </w:r>
            <w:r w:rsidR="003F7FD9">
              <w:rPr>
                <w:rFonts w:cs="Calibri"/>
                <w:iCs/>
              </w:rPr>
              <w:t>leadership in learning and teaching. In 2024-2025</w:t>
            </w:r>
            <w:r w:rsidR="00863FEE">
              <w:rPr>
                <w:rFonts w:cs="Calibri"/>
                <w:iCs/>
              </w:rPr>
              <w:t>,</w:t>
            </w:r>
            <w:r w:rsidR="00F4259C">
              <w:rPr>
                <w:rFonts w:cs="Calibri"/>
                <w:iCs/>
              </w:rPr>
              <w:t xml:space="preserve"> 17</w:t>
            </w:r>
            <w:r w:rsidR="00542C8E">
              <w:rPr>
                <w:rFonts w:cs="Calibri"/>
                <w:iCs/>
              </w:rPr>
              <w:t xml:space="preserve">63 </w:t>
            </w:r>
            <w:r w:rsidR="00FE2C8E">
              <w:rPr>
                <w:rFonts w:cs="Calibri"/>
                <w:iCs/>
              </w:rPr>
              <w:t>staff members participated in modules</w:t>
            </w:r>
            <w:r w:rsidR="00137237">
              <w:rPr>
                <w:rFonts w:cs="Calibri"/>
                <w:iCs/>
              </w:rPr>
              <w:t xml:space="preserve"> including in priorit</w:t>
            </w:r>
            <w:r w:rsidR="001846B2">
              <w:rPr>
                <w:rFonts w:cs="Calibri"/>
                <w:iCs/>
              </w:rPr>
              <w:t>y</w:t>
            </w:r>
            <w:r w:rsidR="00137237">
              <w:rPr>
                <w:rFonts w:cs="Calibri"/>
                <w:iCs/>
              </w:rPr>
              <w:t xml:space="preserve"> areas such as Artificial Intelligence </w:t>
            </w:r>
            <w:r w:rsidR="001758FC">
              <w:rPr>
                <w:rFonts w:cs="Calibri"/>
                <w:iCs/>
              </w:rPr>
              <w:t>and</w:t>
            </w:r>
            <w:r w:rsidR="00137237">
              <w:rPr>
                <w:rFonts w:cs="Calibri"/>
                <w:iCs/>
              </w:rPr>
              <w:t xml:space="preserve"> </w:t>
            </w:r>
            <w:r w:rsidR="002D086F">
              <w:rPr>
                <w:rFonts w:cs="Calibri"/>
                <w:iCs/>
              </w:rPr>
              <w:t>Assessment</w:t>
            </w:r>
            <w:r w:rsidR="001758FC">
              <w:rPr>
                <w:rFonts w:cs="Calibri"/>
                <w:iCs/>
              </w:rPr>
              <w:t xml:space="preserve"> Design</w:t>
            </w:r>
            <w:r w:rsidR="00137237">
              <w:rPr>
                <w:rFonts w:cs="Calibri"/>
                <w:iCs/>
              </w:rPr>
              <w:t xml:space="preserve">, </w:t>
            </w:r>
            <w:r w:rsidR="00AD5E52">
              <w:rPr>
                <w:rFonts w:cs="Calibri"/>
                <w:iCs/>
              </w:rPr>
              <w:t>Foundations of Academic Integrity, and Indigenous Knowledges and Perspectives in Learning and Teaching.</w:t>
            </w:r>
            <w:r w:rsidR="009838D3">
              <w:rPr>
                <w:rFonts w:cs="Calibri"/>
                <w:iCs/>
              </w:rPr>
              <w:t xml:space="preserve"> </w:t>
            </w:r>
          </w:p>
          <w:p w14:paraId="66069991" w14:textId="67CD89C9" w:rsidR="005C5923" w:rsidRDefault="009838D3" w:rsidP="00BA45F4">
            <w:pPr>
              <w:pStyle w:val="NormalIndent"/>
              <w:spacing w:before="0" w:line="240" w:lineRule="auto"/>
              <w:ind w:left="0"/>
              <w:rPr>
                <w:rFonts w:cs="Calibri"/>
                <w:i/>
                <w:color w:val="0000FF"/>
                <w:u w:val="single"/>
              </w:rPr>
            </w:pPr>
            <w:r>
              <w:rPr>
                <w:rFonts w:cs="Calibri"/>
                <w:iCs/>
              </w:rPr>
              <w:t>In 2024</w:t>
            </w:r>
            <w:r w:rsidR="0051061A">
              <w:rPr>
                <w:rFonts w:cs="Calibri"/>
                <w:iCs/>
              </w:rPr>
              <w:t>,</w:t>
            </w:r>
            <w:r>
              <w:rPr>
                <w:rFonts w:cs="Calibri"/>
                <w:iCs/>
              </w:rPr>
              <w:t xml:space="preserve"> QUT launched a new 12 month ‘Pathway to Academic Excellen</w:t>
            </w:r>
            <w:r w:rsidR="001758FC">
              <w:rPr>
                <w:rFonts w:cs="Calibri"/>
                <w:iCs/>
              </w:rPr>
              <w:t>c</w:t>
            </w:r>
            <w:r>
              <w:rPr>
                <w:rFonts w:cs="Calibri"/>
                <w:iCs/>
              </w:rPr>
              <w:t>e Program’ for early career and teaching intensive academics staff</w:t>
            </w:r>
            <w:r w:rsidR="00AA4ED9">
              <w:rPr>
                <w:rFonts w:cs="Calibri"/>
                <w:iCs/>
              </w:rPr>
              <w:t>, aligned with the globally recognised Advance HE Professional Standards Framework.</w:t>
            </w:r>
            <w:r w:rsidR="0080396F">
              <w:rPr>
                <w:rFonts w:cs="Calibri"/>
                <w:iCs/>
              </w:rPr>
              <w:t xml:space="preserve"> </w:t>
            </w:r>
            <w:r w:rsidR="00AA4ED9">
              <w:rPr>
                <w:rFonts w:cs="Calibri"/>
                <w:iCs/>
              </w:rPr>
              <w:t xml:space="preserve">A report on staff engagement with professional development in learning and teaching is provided to Faculties annually and reported at the University </w:t>
            </w:r>
            <w:r w:rsidR="002D086F">
              <w:rPr>
                <w:rFonts w:cs="Calibri"/>
                <w:iCs/>
              </w:rPr>
              <w:t>Learning</w:t>
            </w:r>
            <w:r w:rsidR="00AA4ED9">
              <w:rPr>
                <w:rFonts w:cs="Calibri"/>
                <w:iCs/>
              </w:rPr>
              <w:t xml:space="preserve"> and Teaching Committee.</w:t>
            </w:r>
          </w:p>
          <w:p w14:paraId="5FD2F813" w14:textId="375F7515" w:rsidR="007A7EB0" w:rsidRPr="005A4EEB" w:rsidRDefault="002D086F" w:rsidP="00BA45F4">
            <w:pPr>
              <w:pStyle w:val="NormalIndent"/>
              <w:spacing w:before="0" w:line="240" w:lineRule="auto"/>
              <w:ind w:left="0"/>
              <w:rPr>
                <w:rFonts w:cs="Calibri"/>
                <w:iCs/>
              </w:rPr>
            </w:pPr>
            <w:r>
              <w:t xml:space="preserve">QUT invests in sessional staff development </w:t>
            </w:r>
            <w:r w:rsidR="00A85418">
              <w:t>and provides</w:t>
            </w:r>
            <w:r>
              <w:t xml:space="preserve"> funding to enable sessional academics to </w:t>
            </w:r>
            <w:r w:rsidR="00160CFA">
              <w:t xml:space="preserve">be paid to complete </w:t>
            </w:r>
            <w:r w:rsidR="00611DE8">
              <w:t>up to two foundational modules in learning and teac</w:t>
            </w:r>
            <w:r w:rsidR="00A85418">
              <w:t>hing each year.</w:t>
            </w:r>
            <w:r w:rsidR="00F07CC8">
              <w:t xml:space="preserve"> </w:t>
            </w:r>
            <w:r w:rsidR="001B6A66">
              <w:t>In 2024-25, m</w:t>
            </w:r>
            <w:r w:rsidR="003F144E">
              <w:t>ore than 3</w:t>
            </w:r>
            <w:r w:rsidR="00F07CC8">
              <w:t xml:space="preserve">00 sessional staff were supported to undertake paid professional </w:t>
            </w:r>
            <w:r w:rsidR="00F07CC8" w:rsidRPr="005A4EEB">
              <w:rPr>
                <w:rFonts w:cs="Calibri"/>
                <w:iCs/>
              </w:rPr>
              <w:t>development.</w:t>
            </w:r>
          </w:p>
          <w:p w14:paraId="433F7893" w14:textId="054FAD68" w:rsidR="0062098E" w:rsidRPr="004E2A45" w:rsidRDefault="001B6A66" w:rsidP="00BA45F4">
            <w:pPr>
              <w:pStyle w:val="NormalIndent"/>
              <w:spacing w:before="0" w:line="240" w:lineRule="auto"/>
              <w:ind w:left="0"/>
              <w:rPr>
                <w:rFonts w:cs="Calibri"/>
                <w:iCs/>
              </w:rPr>
            </w:pPr>
            <w:r>
              <w:t>In 202</w:t>
            </w:r>
            <w:r w:rsidR="00C01F80">
              <w:t>5,</w:t>
            </w:r>
            <w:r w:rsidR="00B63708" w:rsidRPr="00B63708">
              <w:t xml:space="preserve"> </w:t>
            </w:r>
            <w:r w:rsidR="007A6F13">
              <w:t>QUT’s celebration of learning and teaching</w:t>
            </w:r>
            <w:r w:rsidR="00B63708" w:rsidRPr="00B63708">
              <w:t xml:space="preserve"> focused on two timely and thought-provoking themes: Creating Supportive Learning Environments and Integrating AI in Learning and Teaching</w:t>
            </w:r>
            <w:r w:rsidR="00A67710">
              <w:t xml:space="preserve"> with</w:t>
            </w:r>
            <w:r w:rsidR="00AE29C4" w:rsidRPr="00B86980">
              <w:t> </w:t>
            </w:r>
            <w:r w:rsidR="002516F8">
              <w:t>more than</w:t>
            </w:r>
            <w:r w:rsidR="003C23E9">
              <w:t xml:space="preserve"> 800 </w:t>
            </w:r>
            <w:r w:rsidR="00697892">
              <w:t xml:space="preserve">staff </w:t>
            </w:r>
            <w:r w:rsidR="003C23E9">
              <w:t>participa</w:t>
            </w:r>
            <w:r w:rsidR="00697892">
              <w:t>t</w:t>
            </w:r>
            <w:r w:rsidR="00A67710">
              <w:t>ing</w:t>
            </w:r>
            <w:r w:rsidR="005C4B49" w:rsidRPr="004E2A45">
              <w:rPr>
                <w:rFonts w:cs="Calibri"/>
                <w:iCs/>
              </w:rPr>
              <w:t xml:space="preserve"> </w:t>
            </w:r>
          </w:p>
          <w:p w14:paraId="3FE7F358" w14:textId="3AAE764D" w:rsidR="00386B94" w:rsidRPr="00BA45F4" w:rsidRDefault="00386B94" w:rsidP="00BA45F4">
            <w:pPr>
              <w:pStyle w:val="NormalIndent"/>
              <w:spacing w:before="0" w:after="0" w:line="240" w:lineRule="auto"/>
              <w:ind w:left="0"/>
              <w:rPr>
                <w:rFonts w:cs="Calibri"/>
                <w:b/>
                <w:bCs/>
                <w:iCs/>
              </w:rPr>
            </w:pPr>
            <w:r w:rsidRPr="00BA45F4">
              <w:rPr>
                <w:rFonts w:cs="Calibri"/>
                <w:b/>
                <w:bCs/>
                <w:iCs/>
              </w:rPr>
              <w:t>Student Belonging and Advocacy</w:t>
            </w:r>
          </w:p>
          <w:p w14:paraId="1064E6B6" w14:textId="3419B8E8" w:rsidR="001B109C" w:rsidRDefault="00FB55D3" w:rsidP="00BA45F4">
            <w:pPr>
              <w:pStyle w:val="NormalIndent"/>
              <w:spacing w:before="0" w:line="240" w:lineRule="auto"/>
              <w:ind w:left="0"/>
              <w:rPr>
                <w:rFonts w:cs="Calibri"/>
                <w:iCs/>
              </w:rPr>
            </w:pPr>
            <w:r>
              <w:rPr>
                <w:rFonts w:cs="Calibri"/>
                <w:iCs/>
              </w:rPr>
              <w:t>A</w:t>
            </w:r>
            <w:r w:rsidR="00386B94" w:rsidRPr="00A94AE3">
              <w:rPr>
                <w:rFonts w:cs="Calibri"/>
                <w:iCs/>
              </w:rPr>
              <w:t xml:space="preserve"> new university KPI </w:t>
            </w:r>
            <w:r w:rsidR="00DA3128">
              <w:rPr>
                <w:rFonts w:cs="Calibri"/>
                <w:iCs/>
              </w:rPr>
              <w:t>was</w:t>
            </w:r>
            <w:r w:rsidR="00386B94" w:rsidRPr="00A94AE3">
              <w:rPr>
                <w:rFonts w:cs="Calibri"/>
                <w:iCs/>
              </w:rPr>
              <w:t xml:space="preserve"> added on Student Sense of Belonging and Student Advocacy as we see these are two important ways to monitor engagement and support for program delivery.</w:t>
            </w:r>
            <w:r w:rsidR="00386B94">
              <w:rPr>
                <w:rFonts w:cs="Calibri"/>
                <w:iCs/>
              </w:rPr>
              <w:t xml:space="preserve"> </w:t>
            </w:r>
            <w:r w:rsidR="00386B94" w:rsidRPr="00A94AE3">
              <w:rPr>
                <w:rFonts w:cs="Calibri"/>
                <w:iCs/>
              </w:rPr>
              <w:t xml:space="preserve">These areas </w:t>
            </w:r>
            <w:r w:rsidR="008D432F">
              <w:rPr>
                <w:rFonts w:cs="Calibri"/>
                <w:iCs/>
              </w:rPr>
              <w:t>are</w:t>
            </w:r>
            <w:r w:rsidR="00386B94" w:rsidRPr="00A94AE3">
              <w:rPr>
                <w:rFonts w:cs="Calibri"/>
                <w:iCs/>
              </w:rPr>
              <w:t xml:space="preserve"> monitored through national survey data</w:t>
            </w:r>
            <w:r w:rsidR="00DC5D87">
              <w:rPr>
                <w:rFonts w:cs="Calibri"/>
                <w:iCs/>
              </w:rPr>
              <w:t xml:space="preserve"> and results are analysed at institutional, faculty and course levels to inform curriculum design and </w:t>
            </w:r>
            <w:r w:rsidR="007A7EB0">
              <w:rPr>
                <w:rFonts w:cs="Calibri"/>
                <w:iCs/>
              </w:rPr>
              <w:t>curricula and co-</w:t>
            </w:r>
            <w:r w:rsidR="002D086F">
              <w:rPr>
                <w:rFonts w:cs="Calibri"/>
                <w:iCs/>
              </w:rPr>
              <w:t>curricular</w:t>
            </w:r>
            <w:r w:rsidR="007A7EB0">
              <w:rPr>
                <w:rFonts w:cs="Calibri"/>
                <w:iCs/>
              </w:rPr>
              <w:t xml:space="preserve"> </w:t>
            </w:r>
            <w:r w:rsidR="00DC5D87">
              <w:rPr>
                <w:rFonts w:cs="Calibri"/>
                <w:iCs/>
              </w:rPr>
              <w:t>support services</w:t>
            </w:r>
            <w:r w:rsidR="00386B94" w:rsidRPr="00A94AE3">
              <w:rPr>
                <w:rFonts w:cs="Calibri"/>
                <w:iCs/>
              </w:rPr>
              <w:t>.</w:t>
            </w:r>
            <w:r w:rsidR="006D4FF2">
              <w:rPr>
                <w:rFonts w:cs="Calibri"/>
                <w:iCs/>
              </w:rPr>
              <w:t xml:space="preserve"> </w:t>
            </w:r>
          </w:p>
          <w:p w14:paraId="74D1FDC7" w14:textId="1D3829A4" w:rsidR="00F82A32" w:rsidRPr="00BC46F5" w:rsidRDefault="00DB7A3C" w:rsidP="00BA45F4">
            <w:pPr>
              <w:pStyle w:val="NormalIndent"/>
              <w:spacing w:before="0" w:line="240" w:lineRule="auto"/>
              <w:ind w:left="0"/>
              <w:rPr>
                <w:rFonts w:cs="Calibri"/>
                <w:iCs/>
              </w:rPr>
            </w:pPr>
            <w:r>
              <w:rPr>
                <w:rFonts w:cs="Calibri"/>
                <w:iCs/>
              </w:rPr>
              <w:t xml:space="preserve">QUT has introduced a new whole-of-university curricula initiative in all undergraduate degrees: </w:t>
            </w:r>
            <w:hyperlink r:id="rId46" w:history="1">
              <w:r w:rsidR="00B45F26" w:rsidRPr="00CD0DDF">
                <w:rPr>
                  <w:rStyle w:val="Hyperlink"/>
                  <w:iCs/>
                </w:rPr>
                <w:t>QUT You</w:t>
              </w:r>
            </w:hyperlink>
            <w:r w:rsidR="00B45F26" w:rsidRPr="00B45F26">
              <w:rPr>
                <w:rFonts w:cs="Calibri"/>
                <w:iCs/>
              </w:rPr>
              <w:t xml:space="preserve"> units offer the chance to work with students from diverse disciplines, mimicking real-world professional environments. </w:t>
            </w:r>
          </w:p>
        </w:tc>
      </w:tr>
      <w:tr w:rsidR="001B109C" w:rsidRPr="00E41388" w14:paraId="3EB68E1B" w14:textId="77777777" w:rsidTr="71523411">
        <w:tc>
          <w:tcPr>
            <w:tcW w:w="5000" w:type="pct"/>
          </w:tcPr>
          <w:p w14:paraId="54D9B30B" w14:textId="09B691CB" w:rsidR="001B109C" w:rsidRPr="00E169EE" w:rsidRDefault="001B109C" w:rsidP="00BA45F4">
            <w:pPr>
              <w:pStyle w:val="Heading4"/>
              <w:keepLines w:val="0"/>
              <w:spacing w:before="180" w:after="60" w:line="276" w:lineRule="auto"/>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71523411">
        <w:tc>
          <w:tcPr>
            <w:tcW w:w="5000" w:type="pct"/>
          </w:tcPr>
          <w:p w14:paraId="2BEE1DBF" w14:textId="0EA24083" w:rsidR="005A4737" w:rsidRDefault="005A4737" w:rsidP="00DD0A06">
            <w:pPr>
              <w:pStyle w:val="NormalIndent"/>
              <w:spacing w:before="0" w:line="240" w:lineRule="auto"/>
              <w:ind w:left="0"/>
              <w:contextualSpacing/>
              <w:rPr>
                <w:lang w:eastAsia="en-US"/>
              </w:rPr>
            </w:pPr>
            <w:r>
              <w:rPr>
                <w:lang w:eastAsia="en-US"/>
              </w:rPr>
              <w:t>U</w:t>
            </w:r>
            <w:r w:rsidRPr="00CA5028">
              <w:rPr>
                <w:lang w:eastAsia="en-US"/>
              </w:rPr>
              <w:t xml:space="preserve">niversity-level objectives, strategies and measures for </w:t>
            </w:r>
            <w:hyperlink r:id="rId47" w:history="1">
              <w:r w:rsidRPr="008B40E3">
                <w:rPr>
                  <w:rStyle w:val="Hyperlink"/>
                  <w:rFonts w:cs="Times New Roman"/>
                  <w:lang w:eastAsia="en-US"/>
                </w:rPr>
                <w:t>research, innovation and research training</w:t>
              </w:r>
            </w:hyperlink>
            <w:r w:rsidRPr="00CA5028">
              <w:rPr>
                <w:lang w:eastAsia="en-US"/>
              </w:rPr>
              <w:t xml:space="preserve"> </w:t>
            </w:r>
            <w:r>
              <w:rPr>
                <w:lang w:eastAsia="en-US"/>
              </w:rPr>
              <w:t xml:space="preserve">are in place under the new </w:t>
            </w:r>
            <w:r w:rsidR="000E3CF9">
              <w:rPr>
                <w:lang w:eastAsia="en-US"/>
              </w:rPr>
              <w:t xml:space="preserve">Connections </w:t>
            </w:r>
            <w:r>
              <w:rPr>
                <w:lang w:eastAsia="en-US"/>
              </w:rPr>
              <w:t>strategy</w:t>
            </w:r>
            <w:r w:rsidRPr="00CA5028">
              <w:rPr>
                <w:lang w:eastAsia="en-US"/>
              </w:rPr>
              <w:t xml:space="preserve">. Outcomes </w:t>
            </w:r>
            <w:r w:rsidR="00390704">
              <w:rPr>
                <w:lang w:eastAsia="en-US"/>
              </w:rPr>
              <w:t xml:space="preserve">are </w:t>
            </w:r>
            <w:r w:rsidRPr="00CA5028">
              <w:rPr>
                <w:lang w:eastAsia="en-US"/>
              </w:rPr>
              <w:t>measured at both the Faculty/Portfolio and university level.</w:t>
            </w:r>
            <w:r w:rsidR="00AB5EB0">
              <w:rPr>
                <w:lang w:eastAsia="en-US"/>
              </w:rPr>
              <w:t xml:space="preserve"> Three key areas of current focus:</w:t>
            </w:r>
          </w:p>
          <w:p w14:paraId="5A47B501" w14:textId="5E0EDCB6" w:rsidR="003C52B0" w:rsidRDefault="003C52B0" w:rsidP="00DD0A06">
            <w:pPr>
              <w:pStyle w:val="NormalIndent"/>
              <w:spacing w:before="0" w:line="240" w:lineRule="auto"/>
              <w:ind w:left="0"/>
              <w:contextualSpacing/>
              <w:rPr>
                <w:lang w:eastAsia="en-US"/>
              </w:rPr>
            </w:pPr>
            <w:r>
              <w:rPr>
                <w:b/>
                <w:bCs/>
                <w:lang w:eastAsia="en-US"/>
              </w:rPr>
              <w:t xml:space="preserve">Research uplift – </w:t>
            </w:r>
            <w:r>
              <w:rPr>
                <w:lang w:eastAsia="en-US"/>
              </w:rPr>
              <w:t>increase capacity for transformative research relevant to our communities – academic, end-user, government and industry</w:t>
            </w:r>
          </w:p>
          <w:p w14:paraId="7E4FDF3E" w14:textId="2180194F" w:rsidR="00C43867" w:rsidRDefault="00C43867" w:rsidP="00BA45F4">
            <w:pPr>
              <w:pStyle w:val="NormalIndent"/>
              <w:numPr>
                <w:ilvl w:val="1"/>
                <w:numId w:val="20"/>
              </w:numPr>
              <w:tabs>
                <w:tab w:val="clear" w:pos="1440"/>
                <w:tab w:val="num" w:pos="590"/>
              </w:tabs>
              <w:spacing w:before="0" w:line="240" w:lineRule="auto"/>
              <w:ind w:left="307" w:hanging="284"/>
              <w:contextualSpacing/>
              <w:rPr>
                <w:lang w:eastAsia="en-US"/>
              </w:rPr>
            </w:pPr>
            <w:r>
              <w:rPr>
                <w:lang w:eastAsia="en-US"/>
              </w:rPr>
              <w:t>Grow research income by diversifying sources of funding</w:t>
            </w:r>
          </w:p>
          <w:p w14:paraId="46DBA737" w14:textId="06FA6D58" w:rsidR="00C43867" w:rsidRDefault="00C43867" w:rsidP="00BA45F4">
            <w:pPr>
              <w:pStyle w:val="NormalIndent"/>
              <w:numPr>
                <w:ilvl w:val="1"/>
                <w:numId w:val="20"/>
              </w:numPr>
              <w:tabs>
                <w:tab w:val="clear" w:pos="1440"/>
                <w:tab w:val="num" w:pos="590"/>
              </w:tabs>
              <w:spacing w:before="0" w:line="240" w:lineRule="auto"/>
              <w:ind w:left="307" w:hanging="284"/>
              <w:contextualSpacing/>
              <w:rPr>
                <w:lang w:eastAsia="en-US"/>
              </w:rPr>
            </w:pPr>
            <w:r>
              <w:rPr>
                <w:lang w:eastAsia="en-US"/>
              </w:rPr>
              <w:t xml:space="preserve">Build on the importance of industry, government and community to QUT’s </w:t>
            </w:r>
            <w:proofErr w:type="gramStart"/>
            <w:r>
              <w:rPr>
                <w:lang w:eastAsia="en-US"/>
              </w:rPr>
              <w:t>real world</w:t>
            </w:r>
            <w:proofErr w:type="gramEnd"/>
            <w:r>
              <w:rPr>
                <w:lang w:eastAsia="en-US"/>
              </w:rPr>
              <w:t xml:space="preserve"> positioning and increase the number of mutually beneficial opportunities</w:t>
            </w:r>
          </w:p>
          <w:p w14:paraId="73AAB328" w14:textId="47FB15E5" w:rsidR="00C43867" w:rsidRDefault="00C43867" w:rsidP="00BA45F4">
            <w:pPr>
              <w:pStyle w:val="NormalIndent"/>
              <w:numPr>
                <w:ilvl w:val="1"/>
                <w:numId w:val="20"/>
              </w:numPr>
              <w:tabs>
                <w:tab w:val="clear" w:pos="1440"/>
                <w:tab w:val="num" w:pos="590"/>
              </w:tabs>
              <w:spacing w:before="0" w:line="240" w:lineRule="auto"/>
              <w:ind w:left="307" w:hanging="284"/>
              <w:contextualSpacing/>
              <w:rPr>
                <w:lang w:eastAsia="en-US"/>
              </w:rPr>
            </w:pPr>
            <w:r>
              <w:rPr>
                <w:lang w:eastAsia="en-US"/>
              </w:rPr>
              <w:t>Identify leading global research partners and actively pursue collaborative opportunities</w:t>
            </w:r>
          </w:p>
          <w:p w14:paraId="76A7FEFD" w14:textId="1DFFE8EE" w:rsidR="00C43867" w:rsidRDefault="00C43867" w:rsidP="00BA45F4">
            <w:pPr>
              <w:pStyle w:val="NormalIndent"/>
              <w:numPr>
                <w:ilvl w:val="1"/>
                <w:numId w:val="20"/>
              </w:numPr>
              <w:tabs>
                <w:tab w:val="clear" w:pos="1440"/>
                <w:tab w:val="num" w:pos="590"/>
              </w:tabs>
              <w:spacing w:before="0" w:line="240" w:lineRule="auto"/>
              <w:ind w:left="307" w:hanging="284"/>
              <w:contextualSpacing/>
              <w:rPr>
                <w:lang w:eastAsia="en-US"/>
              </w:rPr>
            </w:pPr>
            <w:r>
              <w:rPr>
                <w:lang w:eastAsia="en-US"/>
              </w:rPr>
              <w:t>Support high-quality research across the university and continue to support the evolution of research centres and other research structures as focus points for investment and transformative research</w:t>
            </w:r>
          </w:p>
          <w:p w14:paraId="6F31977D" w14:textId="221C34DB" w:rsidR="00B85481" w:rsidRDefault="00B85481" w:rsidP="00BA45F4">
            <w:pPr>
              <w:pStyle w:val="NormalIndent"/>
              <w:numPr>
                <w:ilvl w:val="1"/>
                <w:numId w:val="20"/>
              </w:numPr>
              <w:tabs>
                <w:tab w:val="clear" w:pos="1440"/>
                <w:tab w:val="num" w:pos="590"/>
              </w:tabs>
              <w:spacing w:before="0" w:line="240" w:lineRule="auto"/>
              <w:ind w:left="307" w:hanging="284"/>
              <w:contextualSpacing/>
              <w:rPr>
                <w:lang w:eastAsia="en-US"/>
              </w:rPr>
            </w:pPr>
            <w:r>
              <w:rPr>
                <w:lang w:eastAsia="en-US"/>
              </w:rPr>
              <w:t>Build capacity and capabilities of Indigenous Australian researchers as outlined in the Indigenous Australian Employment and Research Strategies</w:t>
            </w:r>
          </w:p>
          <w:p w14:paraId="42958169" w14:textId="77777777" w:rsidR="005A4737" w:rsidRDefault="005A4737" w:rsidP="00BA45F4">
            <w:pPr>
              <w:spacing w:after="0"/>
              <w:contextualSpacing/>
            </w:pPr>
            <w:r w:rsidRPr="71523411">
              <w:rPr>
                <w:b/>
                <w:bCs/>
              </w:rPr>
              <w:t xml:space="preserve">Research excellence, impact and relevance - </w:t>
            </w:r>
            <w:r>
              <w:t>Conduct high-quality fundamental and applied research to advance knowledge and address local, national and global problems and opportunities using the below strategies:</w:t>
            </w:r>
          </w:p>
          <w:p w14:paraId="7C926172" w14:textId="77777777" w:rsidR="005A4737" w:rsidRPr="00CA5028" w:rsidRDefault="005A4737" w:rsidP="00BA45F4">
            <w:pPr>
              <w:pStyle w:val="TableParagraph"/>
              <w:numPr>
                <w:ilvl w:val="0"/>
                <w:numId w:val="29"/>
              </w:numPr>
              <w:tabs>
                <w:tab w:val="left" w:pos="1903"/>
              </w:tabs>
              <w:ind w:left="357" w:right="-137" w:hanging="357"/>
              <w:contextualSpacing/>
              <w:rPr>
                <w:rFonts w:ascii="Calibri" w:hAnsi="Calibri" w:cs="Calibri"/>
                <w14:ligatures w14:val="standardContextual"/>
              </w:rPr>
            </w:pPr>
            <w:r w:rsidRPr="71523411">
              <w:rPr>
                <w:rFonts w:ascii="Calibri" w:hAnsi="Calibri" w:cs="Calibri"/>
                <w:color w:val="231F20"/>
              </w:rPr>
              <w:lastRenderedPageBreak/>
              <w:t>Leverage existing relationships and establish new partnerships – academic, end-user, government and industry – that enhance QUT’s real-world relevance and impact</w:t>
            </w:r>
          </w:p>
          <w:p w14:paraId="5F815EB6" w14:textId="77777777" w:rsidR="005A4737" w:rsidRPr="007E062D" w:rsidRDefault="005A4737" w:rsidP="00BA45F4">
            <w:pPr>
              <w:pStyle w:val="ListParagraph"/>
              <w:numPr>
                <w:ilvl w:val="0"/>
                <w:numId w:val="29"/>
              </w:numPr>
              <w:tabs>
                <w:tab w:val="left" w:pos="448"/>
                <w:tab w:val="left" w:pos="1903"/>
              </w:tabs>
              <w:autoSpaceDE w:val="0"/>
              <w:autoSpaceDN w:val="0"/>
              <w:ind w:left="357" w:right="-137" w:hanging="357"/>
              <w:rPr>
                <w:rFonts w:ascii="Calibri" w:hAnsi="Calibri" w:cs="Calibri"/>
                <w14:ligatures w14:val="standardContextual"/>
              </w:rPr>
            </w:pPr>
            <w:r w:rsidRPr="71523411">
              <w:rPr>
                <w:rFonts w:ascii="Calibri" w:hAnsi="Calibri" w:cs="Calibri"/>
              </w:rPr>
              <w:t>Build and support Indigenous-led research and research respectfully co-designed with Indigenous Australians</w:t>
            </w:r>
          </w:p>
          <w:p w14:paraId="13CD201A" w14:textId="474B3113" w:rsidR="008F2A8D" w:rsidRDefault="008F2A8D" w:rsidP="00BA45F4">
            <w:pPr>
              <w:pStyle w:val="ListParagraph"/>
              <w:numPr>
                <w:ilvl w:val="0"/>
                <w:numId w:val="29"/>
              </w:numPr>
              <w:tabs>
                <w:tab w:val="left" w:pos="448"/>
              </w:tabs>
              <w:ind w:left="357" w:hanging="357"/>
              <w:rPr>
                <w14:ligatures w14:val="standardContextual"/>
              </w:rPr>
            </w:pPr>
            <w:r>
              <w:rPr>
                <w14:ligatures w14:val="standardContextual"/>
              </w:rPr>
              <w:t>Facilitate knowledge transfer and commercialisation of QUT intellectual property within a supportive research commercialisation culture</w:t>
            </w:r>
          </w:p>
          <w:p w14:paraId="451D650E" w14:textId="7DFBCF0C" w:rsidR="00FB3717" w:rsidRPr="00A15C84" w:rsidRDefault="0073183D" w:rsidP="00A15C84">
            <w:pPr>
              <w:pStyle w:val="ListParagraph"/>
              <w:numPr>
                <w:ilvl w:val="0"/>
                <w:numId w:val="29"/>
              </w:numPr>
              <w:tabs>
                <w:tab w:val="left" w:pos="448"/>
              </w:tabs>
              <w:ind w:left="357" w:hanging="357"/>
              <w:rPr>
                <w14:ligatures w14:val="standardContextual"/>
              </w:rPr>
            </w:pPr>
            <w:r w:rsidRPr="0073183D">
              <w:rPr>
                <w14:ligatures w14:val="standardContextual"/>
              </w:rPr>
              <w:t>Increase Indigenous community engagement and partnerships, develop best-practice protocols for Indigenous research, conduct ethical and responsible research, and embed Indigenous Australian research</w:t>
            </w:r>
            <w:r w:rsidR="005E1780">
              <w:rPr>
                <w14:ligatures w14:val="standardContextual"/>
              </w:rPr>
              <w:t xml:space="preserve"> </w:t>
            </w:r>
            <w:r w:rsidRPr="0073183D">
              <w:rPr>
                <w14:ligatures w14:val="standardContextual"/>
              </w:rPr>
              <w:t>methods in the QUT teaching curriculum and research training</w:t>
            </w:r>
          </w:p>
          <w:p w14:paraId="78D1327A" w14:textId="77777777" w:rsidR="005A4737" w:rsidRDefault="005A4737" w:rsidP="00A15C84">
            <w:pPr>
              <w:spacing w:before="120" w:after="0"/>
            </w:pPr>
            <w:r w:rsidRPr="71523411">
              <w:rPr>
                <w:b/>
                <w:bCs/>
              </w:rPr>
              <w:t xml:space="preserve">Research training and development - </w:t>
            </w:r>
            <w:r>
              <w:t>Provide outstanding research training and development that supports employability and creation of the next generation of excellent researchers with the below strategies:</w:t>
            </w:r>
          </w:p>
          <w:p w14:paraId="200927A0" w14:textId="77777777" w:rsidR="003403FD" w:rsidRPr="00D90816" w:rsidRDefault="003403FD" w:rsidP="00DD0A06">
            <w:pPr>
              <w:pStyle w:val="TableParagraph"/>
              <w:numPr>
                <w:ilvl w:val="0"/>
                <w:numId w:val="24"/>
              </w:numPr>
              <w:tabs>
                <w:tab w:val="left" w:pos="1903"/>
              </w:tabs>
              <w:spacing w:after="120"/>
              <w:ind w:right="-137"/>
              <w:contextualSpacing/>
              <w:rPr>
                <w:rFonts w:ascii="Calibri" w:hAnsi="Calibri" w:cs="Calibri"/>
                <w14:ligatures w14:val="standardContextual"/>
              </w:rPr>
            </w:pPr>
            <w:r w:rsidRPr="003403FD">
              <w:rPr>
                <w:rFonts w:ascii="Calibri" w:hAnsi="Calibri" w:cs="Calibri"/>
                <w:color w:val="231F20"/>
              </w:rPr>
              <w:t xml:space="preserve">Establish QUT as a destination of choice for research students through exposure to cutting-edge research and sector-leading support </w:t>
            </w:r>
          </w:p>
          <w:p w14:paraId="0C8A5844" w14:textId="41E0EEC1" w:rsidR="005A4737" w:rsidRPr="00CA5028" w:rsidRDefault="005A4737" w:rsidP="00DD0A06">
            <w:pPr>
              <w:pStyle w:val="TableParagraph"/>
              <w:numPr>
                <w:ilvl w:val="0"/>
                <w:numId w:val="24"/>
              </w:numPr>
              <w:tabs>
                <w:tab w:val="left" w:pos="1903"/>
              </w:tabs>
              <w:spacing w:after="120"/>
              <w:ind w:right="-137"/>
              <w:contextualSpacing/>
              <w:rPr>
                <w:rFonts w:ascii="Calibri" w:hAnsi="Calibri" w:cs="Calibri"/>
                <w14:ligatures w14:val="standardContextual"/>
              </w:rPr>
            </w:pPr>
            <w:r w:rsidRPr="71523411">
              <w:rPr>
                <w:rFonts w:ascii="Calibri" w:hAnsi="Calibri" w:cs="Calibri"/>
                <w:color w:val="231F20"/>
              </w:rPr>
              <w:t>Deliver signature research training, professional development, infrastructure and support in a flexible, inclusive and academically rigorous learning environment</w:t>
            </w:r>
          </w:p>
          <w:p w14:paraId="40DA31C2" w14:textId="32944E82" w:rsidR="001B109C" w:rsidRPr="00583B49" w:rsidRDefault="004E389A" w:rsidP="00BA45F4">
            <w:pPr>
              <w:pStyle w:val="TableParagraph"/>
              <w:rPr>
                <w:i/>
              </w:rPr>
            </w:pPr>
            <w:r w:rsidRPr="71523411">
              <w:rPr>
                <w:rFonts w:ascii="Calibri" w:hAnsi="Calibri" w:cs="Calibri"/>
                <w:i/>
                <w:iCs/>
                <w14:ligatures w14:val="standardContextual"/>
              </w:rPr>
              <w:t>Measures</w:t>
            </w:r>
            <w:r>
              <w:rPr>
                <w:rFonts w:ascii="Calibri" w:hAnsi="Calibri" w:cs="Calibri"/>
                <w14:ligatures w14:val="standardContextual"/>
              </w:rPr>
              <w:t xml:space="preserve"> – external research income, research centre annual performance report</w:t>
            </w:r>
            <w:r w:rsidRPr="71523411">
              <w:rPr>
                <w:rFonts w:ascii="Calibri" w:hAnsi="Calibri" w:cs="Calibri"/>
              </w:rPr>
              <w:t>,</w:t>
            </w:r>
            <w:r>
              <w:rPr>
                <w:rFonts w:ascii="Calibri" w:hAnsi="Calibri" w:cs="Calibri"/>
                <w14:ligatures w14:val="standardContextual"/>
              </w:rPr>
              <w:t xml:space="preserve"> research infrastructure utilisations/external investment, r</w:t>
            </w:r>
            <w:r w:rsidRPr="0096723F">
              <w:rPr>
                <w:rFonts w:ascii="Calibri" w:hAnsi="Calibri" w:cs="Calibri"/>
                <w14:ligatures w14:val="standardContextual"/>
              </w:rPr>
              <w:t>esearch commercialisation event/workshop attendance and offerings</w:t>
            </w:r>
            <w:r>
              <w:rPr>
                <w:rFonts w:ascii="Calibri" w:hAnsi="Calibri" w:cs="Calibri"/>
                <w14:ligatures w14:val="standardContextual"/>
              </w:rPr>
              <w:t xml:space="preserve"> and outcomes,</w:t>
            </w:r>
            <w:r>
              <w:rPr>
                <w:rFonts w:asciiTheme="minorHAnsi" w:hAnsiTheme="minorHAnsi" w:cstheme="minorHAnsi"/>
                <w:color w:val="231F20"/>
                <w14:ligatures w14:val="standardContextual"/>
              </w:rPr>
              <w:t xml:space="preserve"> r</w:t>
            </w:r>
            <w:r w:rsidRPr="00EA6F80">
              <w:rPr>
                <w:rFonts w:asciiTheme="minorHAnsi" w:hAnsiTheme="minorHAnsi" w:cstheme="minorHAnsi"/>
                <w:color w:val="231F20"/>
                <w14:ligatures w14:val="standardContextual"/>
              </w:rPr>
              <w:t>esearc</w:t>
            </w:r>
            <w:r w:rsidRPr="00CA5028">
              <w:rPr>
                <w:rFonts w:ascii="Calibri" w:hAnsi="Calibri" w:cs="Calibri"/>
                <w:color w:val="231F20"/>
                <w14:ligatures w14:val="standardContextual"/>
              </w:rPr>
              <w:t>h publication quality</w:t>
            </w:r>
            <w:r>
              <w:rPr>
                <w:rFonts w:ascii="Calibri" w:hAnsi="Calibri" w:cs="Calibri"/>
                <w:color w:val="231F20"/>
                <w14:ligatures w14:val="standardContextual"/>
              </w:rPr>
              <w:t xml:space="preserve">, </w:t>
            </w:r>
            <w:r w:rsidRPr="00CA5028">
              <w:rPr>
                <w:rFonts w:ascii="Calibri" w:hAnsi="Calibri" w:cs="Calibri"/>
                <w:color w:val="231F20"/>
                <w14:ligatures w14:val="standardContextual"/>
              </w:rPr>
              <w:t>impact</w:t>
            </w:r>
            <w:r>
              <w:rPr>
                <w:rFonts w:ascii="Calibri" w:hAnsi="Calibri" w:cs="Calibri"/>
                <w:color w:val="231F20"/>
                <w14:ligatures w14:val="standardContextual"/>
              </w:rPr>
              <w:t xml:space="preserve"> e</w:t>
            </w:r>
            <w:r w:rsidRPr="00CA5028">
              <w:rPr>
                <w:rFonts w:ascii="Calibri" w:hAnsi="Calibri" w:cs="Calibri"/>
                <w:color w:val="231F20"/>
                <w14:ligatures w14:val="standardContextual"/>
              </w:rPr>
              <w:t>vidence</w:t>
            </w:r>
            <w:r w:rsidR="00F77456" w:rsidRPr="00F77456" w:rsidDel="00F765C4">
              <w:rPr>
                <w:rFonts w:ascii="Calibri" w:hAnsi="Calibri" w:cs="Calibri"/>
                <w14:ligatures w14:val="standardContextual"/>
              </w:rPr>
              <w:t xml:space="preserve"> </w:t>
            </w:r>
          </w:p>
        </w:tc>
      </w:tr>
      <w:tr w:rsidR="001B109C" w:rsidRPr="00E41388" w14:paraId="23C06863" w14:textId="77777777" w:rsidTr="71523411">
        <w:tc>
          <w:tcPr>
            <w:tcW w:w="5000" w:type="pct"/>
          </w:tcPr>
          <w:p w14:paraId="451DCFF9" w14:textId="3BDD3562" w:rsidR="001B109C" w:rsidRPr="00E169EE" w:rsidRDefault="00F30BFA" w:rsidP="00BA45F4">
            <w:pPr>
              <w:pStyle w:val="Heading4"/>
              <w:keepLines w:val="0"/>
              <w:spacing w:before="180" w:after="60" w:line="276" w:lineRule="auto"/>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71523411">
        <w:trPr>
          <w:trHeight w:val="692"/>
        </w:trPr>
        <w:tc>
          <w:tcPr>
            <w:tcW w:w="5000" w:type="pct"/>
          </w:tcPr>
          <w:p w14:paraId="1E1B952B" w14:textId="5AB70710" w:rsidR="005A4737" w:rsidRPr="009F25E8" w:rsidRDefault="005A4737" w:rsidP="00B13B85">
            <w:pPr>
              <w:pStyle w:val="NormalIndent"/>
              <w:spacing w:before="0" w:after="0" w:line="240" w:lineRule="auto"/>
              <w:ind w:left="0"/>
              <w:rPr>
                <w:rFonts w:asciiTheme="minorHAnsi" w:hAnsiTheme="minorHAnsi" w:cstheme="minorHAnsi"/>
                <w:iCs/>
                <w:szCs w:val="22"/>
              </w:rPr>
            </w:pPr>
            <w:bookmarkStart w:id="4" w:name="_Hlk157524543"/>
            <w:r w:rsidRPr="009F25E8">
              <w:rPr>
                <w:rFonts w:asciiTheme="minorHAnsi" w:hAnsiTheme="minorHAnsi" w:cstheme="minorHAnsi"/>
                <w:iCs/>
                <w:szCs w:val="22"/>
              </w:rPr>
              <w:t xml:space="preserve">QUT utilises various mechanisms to both deepen existing </w:t>
            </w:r>
            <w:hyperlink r:id="rId48" w:history="1">
              <w:r w:rsidRPr="007819F6">
                <w:rPr>
                  <w:rStyle w:val="Hyperlink"/>
                  <w:rFonts w:asciiTheme="minorHAnsi" w:hAnsiTheme="minorHAnsi" w:cstheme="minorHAnsi"/>
                  <w:iCs/>
                  <w:szCs w:val="22"/>
                </w:rPr>
                <w:t>engagement with industry</w:t>
              </w:r>
            </w:hyperlink>
            <w:r w:rsidRPr="009F25E8">
              <w:rPr>
                <w:rFonts w:asciiTheme="minorHAnsi" w:hAnsiTheme="minorHAnsi" w:cstheme="minorHAnsi"/>
                <w:iCs/>
                <w:szCs w:val="22"/>
              </w:rPr>
              <w:t xml:space="preserve"> as well as identify and foster new collaborations</w:t>
            </w:r>
            <w:r w:rsidR="00C85850">
              <w:rPr>
                <w:rFonts w:asciiTheme="minorHAnsi" w:hAnsiTheme="minorHAnsi" w:cstheme="minorHAnsi"/>
                <w:iCs/>
                <w:szCs w:val="22"/>
              </w:rPr>
              <w:t xml:space="preserve"> such as the</w:t>
            </w:r>
            <w:r w:rsidR="00A96D43">
              <w:rPr>
                <w:rFonts w:asciiTheme="minorHAnsi" w:hAnsiTheme="minorHAnsi" w:cstheme="minorHAnsi"/>
                <w:iCs/>
                <w:szCs w:val="22"/>
              </w:rPr>
              <w:t xml:space="preserve"> project with partner organisations Lava Blue and James Cook University to develop and </w:t>
            </w:r>
            <w:r w:rsidR="001D655E">
              <w:rPr>
                <w:rFonts w:asciiTheme="minorHAnsi" w:hAnsiTheme="minorHAnsi" w:cstheme="minorHAnsi"/>
                <w:iCs/>
                <w:szCs w:val="22"/>
              </w:rPr>
              <w:t>commercialise</w:t>
            </w:r>
            <w:r w:rsidR="00A96D43">
              <w:rPr>
                <w:rFonts w:asciiTheme="minorHAnsi" w:hAnsiTheme="minorHAnsi" w:cstheme="minorHAnsi"/>
                <w:iCs/>
                <w:szCs w:val="22"/>
              </w:rPr>
              <w:t xml:space="preserve"> specialty, high-purity al</w:t>
            </w:r>
            <w:r w:rsidR="001D655E">
              <w:rPr>
                <w:rFonts w:asciiTheme="minorHAnsi" w:hAnsiTheme="minorHAnsi" w:cstheme="minorHAnsi"/>
                <w:iCs/>
                <w:szCs w:val="22"/>
              </w:rPr>
              <w:t>u</w:t>
            </w:r>
            <w:r w:rsidR="00A96D43">
              <w:rPr>
                <w:rFonts w:asciiTheme="minorHAnsi" w:hAnsiTheme="minorHAnsi" w:cstheme="minorHAnsi"/>
                <w:iCs/>
                <w:szCs w:val="22"/>
              </w:rPr>
              <w:t>mina materials for adva</w:t>
            </w:r>
            <w:r w:rsidR="003E3CB9">
              <w:rPr>
                <w:rFonts w:asciiTheme="minorHAnsi" w:hAnsiTheme="minorHAnsi" w:cstheme="minorHAnsi"/>
                <w:iCs/>
                <w:szCs w:val="22"/>
              </w:rPr>
              <w:t>nced applications, supporting Australia’s strategic goal of securing critical miner</w:t>
            </w:r>
            <w:r w:rsidR="001D655E">
              <w:rPr>
                <w:rFonts w:asciiTheme="minorHAnsi" w:hAnsiTheme="minorHAnsi" w:cstheme="minorHAnsi"/>
                <w:iCs/>
                <w:szCs w:val="22"/>
              </w:rPr>
              <w:t>al supply chains and advancing renewable energy technologies</w:t>
            </w:r>
            <w:r w:rsidRPr="009F25E8">
              <w:rPr>
                <w:rFonts w:asciiTheme="minorHAnsi" w:hAnsiTheme="minorHAnsi" w:cstheme="minorHAnsi"/>
                <w:iCs/>
                <w:szCs w:val="22"/>
              </w:rPr>
              <w:t>. These include:</w:t>
            </w:r>
          </w:p>
          <w:p w14:paraId="23364653" w14:textId="3A410586" w:rsidR="005A4737" w:rsidRPr="009F25E8" w:rsidRDefault="005A4737" w:rsidP="00BA45F4">
            <w:pPr>
              <w:pStyle w:val="NormalIndent"/>
              <w:numPr>
                <w:ilvl w:val="0"/>
                <w:numId w:val="28"/>
              </w:numPr>
              <w:spacing w:before="0" w:after="0" w:line="240" w:lineRule="auto"/>
              <w:ind w:left="323"/>
              <w:rPr>
                <w:rFonts w:asciiTheme="minorHAnsi" w:hAnsiTheme="minorHAnsi" w:cstheme="minorHAnsi"/>
                <w:iCs/>
                <w:szCs w:val="22"/>
              </w:rPr>
            </w:pPr>
            <w:r w:rsidRPr="009F25E8">
              <w:rPr>
                <w:rFonts w:asciiTheme="minorHAnsi" w:hAnsiTheme="minorHAnsi" w:cstheme="minorHAnsi"/>
                <w:iCs/>
                <w:szCs w:val="22"/>
              </w:rPr>
              <w:t>The Office of Industry Engagement</w:t>
            </w:r>
            <w:r>
              <w:rPr>
                <w:rFonts w:asciiTheme="minorHAnsi" w:hAnsiTheme="minorHAnsi" w:cstheme="minorHAnsi"/>
                <w:iCs/>
                <w:szCs w:val="22"/>
              </w:rPr>
              <w:t xml:space="preserve"> </w:t>
            </w:r>
            <w:r w:rsidRPr="009F25E8">
              <w:rPr>
                <w:rFonts w:asciiTheme="minorHAnsi" w:hAnsiTheme="minorHAnsi" w:cstheme="minorHAnsi"/>
                <w:iCs/>
                <w:szCs w:val="22"/>
              </w:rPr>
              <w:t>facilitate</w:t>
            </w:r>
            <w:r w:rsidR="00B67461">
              <w:rPr>
                <w:rFonts w:asciiTheme="minorHAnsi" w:hAnsiTheme="minorHAnsi" w:cstheme="minorHAnsi"/>
                <w:iCs/>
                <w:szCs w:val="22"/>
              </w:rPr>
              <w:t>s</w:t>
            </w:r>
            <w:r w:rsidRPr="009F25E8">
              <w:rPr>
                <w:rFonts w:asciiTheme="minorHAnsi" w:hAnsiTheme="minorHAnsi" w:cstheme="minorHAnsi"/>
                <w:iCs/>
                <w:szCs w:val="22"/>
              </w:rPr>
              <w:t xml:space="preserve"> and enhance</w:t>
            </w:r>
            <w:r w:rsidR="00B67461">
              <w:rPr>
                <w:rFonts w:asciiTheme="minorHAnsi" w:hAnsiTheme="minorHAnsi" w:cstheme="minorHAnsi"/>
                <w:iCs/>
                <w:szCs w:val="22"/>
              </w:rPr>
              <w:t>s</w:t>
            </w:r>
            <w:r w:rsidRPr="009F25E8">
              <w:rPr>
                <w:rFonts w:asciiTheme="minorHAnsi" w:hAnsiTheme="minorHAnsi" w:cstheme="minorHAnsi"/>
                <w:iCs/>
                <w:szCs w:val="22"/>
              </w:rPr>
              <w:t xml:space="preserve"> interactions between researchers and external partners to support the development of research projects, commercialisation of IP</w:t>
            </w:r>
            <w:r>
              <w:rPr>
                <w:rFonts w:asciiTheme="minorHAnsi" w:hAnsiTheme="minorHAnsi" w:cstheme="minorHAnsi"/>
                <w:iCs/>
                <w:szCs w:val="22"/>
              </w:rPr>
              <w:t>,</w:t>
            </w:r>
            <w:r w:rsidRPr="009F25E8">
              <w:rPr>
                <w:rFonts w:asciiTheme="minorHAnsi" w:hAnsiTheme="minorHAnsi" w:cstheme="minorHAnsi"/>
                <w:iCs/>
                <w:szCs w:val="22"/>
              </w:rPr>
              <w:t xml:space="preserve"> and establishing start-ups and spin off companies.</w:t>
            </w:r>
          </w:p>
          <w:p w14:paraId="74349E5D" w14:textId="480263B2" w:rsidR="005A4737" w:rsidRPr="009F25E8" w:rsidRDefault="00462E14" w:rsidP="00DD0A06">
            <w:pPr>
              <w:pStyle w:val="NormalIndent"/>
              <w:numPr>
                <w:ilvl w:val="0"/>
                <w:numId w:val="28"/>
              </w:numPr>
              <w:spacing w:before="0" w:after="0" w:line="240" w:lineRule="auto"/>
              <w:ind w:left="323"/>
              <w:rPr>
                <w:rFonts w:asciiTheme="minorHAnsi" w:hAnsiTheme="minorHAnsi" w:cstheme="minorBidi"/>
              </w:rPr>
            </w:pPr>
            <w:r w:rsidRPr="00462E14">
              <w:rPr>
                <w:rFonts w:asciiTheme="minorHAnsi" w:hAnsiTheme="minorHAnsi" w:cstheme="minorBidi"/>
              </w:rPr>
              <w:t xml:space="preserve">QUT appoints jointly funded Industry Chairs to actively promote engagement with </w:t>
            </w:r>
            <w:r w:rsidR="00947C77" w:rsidRPr="00462E14">
              <w:rPr>
                <w:rFonts w:asciiTheme="minorHAnsi" w:hAnsiTheme="minorHAnsi" w:cstheme="minorBidi"/>
              </w:rPr>
              <w:t>industry.</w:t>
            </w:r>
          </w:p>
          <w:p w14:paraId="21AC492D" w14:textId="503D991A" w:rsidR="005A4737" w:rsidRPr="009F25E8" w:rsidRDefault="005A4737" w:rsidP="00DD0A06">
            <w:pPr>
              <w:pStyle w:val="NormalIndent"/>
              <w:numPr>
                <w:ilvl w:val="0"/>
                <w:numId w:val="28"/>
              </w:numPr>
              <w:spacing w:before="0" w:after="0" w:line="240" w:lineRule="auto"/>
              <w:ind w:left="323"/>
              <w:rPr>
                <w:rFonts w:asciiTheme="minorHAnsi" w:hAnsiTheme="minorHAnsi" w:cstheme="minorHAnsi"/>
                <w:iCs/>
                <w:szCs w:val="22"/>
              </w:rPr>
            </w:pPr>
            <w:r w:rsidRPr="009F25E8">
              <w:rPr>
                <w:rFonts w:asciiTheme="minorHAnsi" w:hAnsiTheme="minorHAnsi" w:cstheme="minorHAnsi"/>
                <w:iCs/>
                <w:szCs w:val="22"/>
              </w:rPr>
              <w:t>QUT partners with industry and the community to provide student</w:t>
            </w:r>
            <w:r>
              <w:rPr>
                <w:rFonts w:asciiTheme="minorHAnsi" w:hAnsiTheme="minorHAnsi" w:cstheme="minorHAnsi"/>
                <w:iCs/>
                <w:szCs w:val="22"/>
              </w:rPr>
              <w:t>s</w:t>
            </w:r>
            <w:r w:rsidRPr="009F25E8">
              <w:rPr>
                <w:rFonts w:asciiTheme="minorHAnsi" w:hAnsiTheme="minorHAnsi" w:cstheme="minorHAnsi"/>
                <w:iCs/>
                <w:szCs w:val="22"/>
              </w:rPr>
              <w:t xml:space="preserve"> with opportunities to learn in and through work, internships, professional placements and industry projects, known as Work Integrated Learning (WIL). </w:t>
            </w:r>
            <w:r w:rsidR="00320BD0">
              <w:rPr>
                <w:rFonts w:asciiTheme="minorHAnsi" w:hAnsiTheme="minorHAnsi" w:cstheme="minorHAnsi"/>
                <w:iCs/>
                <w:szCs w:val="22"/>
              </w:rPr>
              <w:t>More than</w:t>
            </w:r>
            <w:r w:rsidR="00320BD0" w:rsidRPr="009F25E8">
              <w:rPr>
                <w:rFonts w:asciiTheme="minorHAnsi" w:hAnsiTheme="minorHAnsi" w:cstheme="minorHAnsi"/>
                <w:iCs/>
                <w:szCs w:val="22"/>
              </w:rPr>
              <w:t xml:space="preserve"> </w:t>
            </w:r>
            <w:r w:rsidRPr="009F25E8">
              <w:rPr>
                <w:rFonts w:asciiTheme="minorHAnsi" w:hAnsiTheme="minorHAnsi" w:cstheme="minorHAnsi"/>
                <w:iCs/>
                <w:szCs w:val="22"/>
              </w:rPr>
              <w:t>90% of QUT’s students are involved in WIL opportunities, and can include internships, work placements and projects across a variety of disciplines such as engineering, law and applied health.</w:t>
            </w:r>
          </w:p>
          <w:p w14:paraId="698012B2" w14:textId="3FFA6E12" w:rsidR="005A4737" w:rsidRPr="009E3CAE" w:rsidRDefault="005A4737" w:rsidP="00DD0A06">
            <w:pPr>
              <w:pStyle w:val="NormalIndent"/>
              <w:numPr>
                <w:ilvl w:val="0"/>
                <w:numId w:val="28"/>
              </w:numPr>
              <w:spacing w:before="0" w:after="0" w:line="240" w:lineRule="auto"/>
              <w:ind w:left="323"/>
              <w:rPr>
                <w:rFonts w:asciiTheme="minorHAnsi" w:hAnsiTheme="minorHAnsi" w:cstheme="minorHAnsi"/>
              </w:rPr>
            </w:pPr>
            <w:r w:rsidRPr="4F96F83B">
              <w:rPr>
                <w:rFonts w:asciiTheme="minorHAnsi" w:hAnsiTheme="minorHAnsi" w:cstheme="minorBidi"/>
              </w:rPr>
              <w:t xml:space="preserve">QUT is </w:t>
            </w:r>
            <w:r w:rsidR="62C306B4" w:rsidRPr="4F96F83B">
              <w:rPr>
                <w:rFonts w:asciiTheme="minorHAnsi" w:hAnsiTheme="minorHAnsi" w:cstheme="minorBidi"/>
              </w:rPr>
              <w:t>a significant participant</w:t>
            </w:r>
            <w:r w:rsidRPr="4F96F83B">
              <w:rPr>
                <w:rFonts w:asciiTheme="minorHAnsi" w:hAnsiTheme="minorHAnsi" w:cstheme="minorBidi"/>
              </w:rPr>
              <w:t xml:space="preserve"> in the Cooperative Research Centres (CRC) </w:t>
            </w:r>
            <w:r w:rsidRPr="00CD2E6C">
              <w:rPr>
                <w:rFonts w:asciiTheme="minorHAnsi" w:hAnsiTheme="minorHAnsi" w:cstheme="minorHAnsi"/>
              </w:rPr>
              <w:t>Grants program which provide</w:t>
            </w:r>
            <w:r w:rsidR="00791AC0">
              <w:rPr>
                <w:rFonts w:asciiTheme="minorHAnsi" w:hAnsiTheme="minorHAnsi" w:cstheme="minorHAnsi"/>
              </w:rPr>
              <w:t>s</w:t>
            </w:r>
            <w:r w:rsidRPr="00CD2E6C">
              <w:rPr>
                <w:rFonts w:asciiTheme="minorHAnsi" w:hAnsiTheme="minorHAnsi" w:cstheme="minorHAnsi"/>
              </w:rPr>
              <w:t xml:space="preserve"> funding for industry-led research </w:t>
            </w:r>
            <w:r w:rsidRPr="009E3CAE">
              <w:rPr>
                <w:rFonts w:asciiTheme="minorHAnsi" w:hAnsiTheme="minorHAnsi" w:cstheme="minorHAnsi"/>
              </w:rPr>
              <w:t>collaborations. QUT is active in 1</w:t>
            </w:r>
            <w:r w:rsidR="00E86D68">
              <w:rPr>
                <w:rFonts w:asciiTheme="minorHAnsi" w:hAnsiTheme="minorHAnsi" w:cstheme="minorHAnsi"/>
              </w:rPr>
              <w:t>1</w:t>
            </w:r>
            <w:r w:rsidRPr="009E3CAE">
              <w:rPr>
                <w:rFonts w:asciiTheme="minorHAnsi" w:hAnsiTheme="minorHAnsi" w:cstheme="minorHAnsi"/>
              </w:rPr>
              <w:t xml:space="preserve"> CRCs.</w:t>
            </w:r>
          </w:p>
          <w:p w14:paraId="05AD1698" w14:textId="31216B5F" w:rsidR="37657924" w:rsidRPr="00CD2E6C" w:rsidRDefault="621971B3" w:rsidP="00DD0A06">
            <w:pPr>
              <w:pStyle w:val="NormalIndent"/>
              <w:numPr>
                <w:ilvl w:val="0"/>
                <w:numId w:val="28"/>
              </w:numPr>
              <w:spacing w:before="0" w:after="0" w:line="240" w:lineRule="auto"/>
              <w:ind w:left="323"/>
              <w:rPr>
                <w:rFonts w:asciiTheme="minorHAnsi" w:hAnsiTheme="minorHAnsi" w:cstheme="minorHAnsi"/>
              </w:rPr>
            </w:pPr>
            <w:r w:rsidRPr="00CD2E6C">
              <w:rPr>
                <w:rFonts w:asciiTheme="minorHAnsi" w:hAnsiTheme="minorHAnsi" w:cstheme="minorHAnsi"/>
              </w:rPr>
              <w:t xml:space="preserve">QUT prioritises industry partnerships through successful participation in 11 ARC Industrial Transformation Research Hubs, </w:t>
            </w:r>
            <w:r w:rsidR="000E3CF9">
              <w:rPr>
                <w:rFonts w:asciiTheme="minorHAnsi" w:hAnsiTheme="minorHAnsi" w:cstheme="minorHAnsi"/>
              </w:rPr>
              <w:t>10</w:t>
            </w:r>
            <w:r w:rsidR="1CD8094A" w:rsidRPr="00CD2E6C">
              <w:rPr>
                <w:rFonts w:asciiTheme="minorHAnsi" w:hAnsiTheme="minorHAnsi" w:cstheme="minorHAnsi"/>
              </w:rPr>
              <w:t xml:space="preserve"> ARC Industrial Transformation Training Centres and seven NHMRC Centres of Research Excellence.</w:t>
            </w:r>
          </w:p>
          <w:p w14:paraId="0147F883" w14:textId="2602BB13" w:rsidR="71523411" w:rsidRPr="0090335F" w:rsidRDefault="752A9024" w:rsidP="00DD0A06">
            <w:pPr>
              <w:pStyle w:val="NormalIndent"/>
              <w:numPr>
                <w:ilvl w:val="0"/>
                <w:numId w:val="28"/>
              </w:numPr>
              <w:spacing w:before="0" w:after="0" w:line="240" w:lineRule="auto"/>
              <w:ind w:left="323"/>
              <w:rPr>
                <w:rFonts w:asciiTheme="minorHAnsi" w:hAnsiTheme="minorHAnsi" w:cstheme="minorHAnsi"/>
              </w:rPr>
            </w:pPr>
            <w:r w:rsidRPr="00D90816">
              <w:rPr>
                <w:rFonts w:asciiTheme="minorHAnsi" w:eastAsia="Aptos" w:hAnsiTheme="minorHAnsi" w:cstheme="minorHAnsi"/>
                <w:szCs w:val="22"/>
              </w:rPr>
              <w:t xml:space="preserve">QUT supports HDR Students engaging with industry partners, including by industry co-supervision, industry-embedded internships and industry scholarships, with projects co-designed by QUT and the partner. Around 45% of QUT HDR students have some form of industry engagement as part of their studies at </w:t>
            </w:r>
            <w:r w:rsidRPr="00BC46F5">
              <w:rPr>
                <w:rFonts w:cstheme="minorHAnsi"/>
              </w:rPr>
              <w:t>QUT.</w:t>
            </w:r>
          </w:p>
          <w:p w14:paraId="65CBEC65" w14:textId="7F0620E8" w:rsidR="0090335F" w:rsidRPr="0090335F" w:rsidRDefault="2B8C5D44" w:rsidP="00DD0A06">
            <w:pPr>
              <w:pStyle w:val="NormalIndent"/>
              <w:numPr>
                <w:ilvl w:val="0"/>
                <w:numId w:val="28"/>
              </w:numPr>
              <w:spacing w:before="0" w:after="0" w:line="240" w:lineRule="auto"/>
              <w:ind w:left="323"/>
              <w:rPr>
                <w:rFonts w:asciiTheme="minorHAnsi" w:hAnsiTheme="minorHAnsi" w:cstheme="minorHAnsi"/>
              </w:rPr>
            </w:pPr>
            <w:r w:rsidRPr="00BC46F5">
              <w:rPr>
                <w:rFonts w:asciiTheme="minorHAnsi" w:hAnsiTheme="minorHAnsi" w:cstheme="minorHAnsi"/>
              </w:rPr>
              <w:t xml:space="preserve">QUT has established </w:t>
            </w:r>
            <w:r w:rsidR="00315DF6">
              <w:rPr>
                <w:rFonts w:asciiTheme="minorHAnsi" w:hAnsiTheme="minorHAnsi" w:cstheme="minorHAnsi"/>
              </w:rPr>
              <w:t>a</w:t>
            </w:r>
            <w:r w:rsidR="00315DF6" w:rsidRPr="00BC46F5">
              <w:rPr>
                <w:rFonts w:asciiTheme="minorHAnsi" w:hAnsiTheme="minorHAnsi" w:cstheme="minorHAnsi"/>
              </w:rPr>
              <w:t xml:space="preserve"> </w:t>
            </w:r>
            <w:r w:rsidRPr="00BC46F5">
              <w:rPr>
                <w:rFonts w:asciiTheme="minorHAnsi" w:hAnsiTheme="minorHAnsi" w:cstheme="minorHAnsi"/>
              </w:rPr>
              <w:t xml:space="preserve">Games Engagement supporting office to coordinate industry engagement, enabling partnerships that deliver research, innovation, and workforce outcomes aligned with the 2032 Brisbane Olympic and Paralympic </w:t>
            </w:r>
            <w:r w:rsidR="000E3CF9" w:rsidRPr="00BC46F5">
              <w:rPr>
                <w:rFonts w:asciiTheme="minorHAnsi" w:hAnsiTheme="minorHAnsi" w:cstheme="minorHAnsi"/>
              </w:rPr>
              <w:t>G</w:t>
            </w:r>
            <w:r w:rsidRPr="00BC46F5">
              <w:rPr>
                <w:rFonts w:asciiTheme="minorHAnsi" w:hAnsiTheme="minorHAnsi" w:cstheme="minorHAnsi"/>
              </w:rPr>
              <w:t>ames.</w:t>
            </w:r>
          </w:p>
          <w:p w14:paraId="6465FC91" w14:textId="715A1E36" w:rsidR="001B109C" w:rsidRPr="0090335F" w:rsidRDefault="005A4737" w:rsidP="00DD0A06">
            <w:pPr>
              <w:pStyle w:val="NormalIndent"/>
              <w:numPr>
                <w:ilvl w:val="0"/>
                <w:numId w:val="28"/>
              </w:numPr>
              <w:spacing w:before="0" w:after="0" w:line="240" w:lineRule="auto"/>
              <w:ind w:left="323"/>
              <w:rPr>
                <w:rFonts w:asciiTheme="minorHAnsi" w:hAnsiTheme="minorHAnsi" w:cstheme="minorHAnsi"/>
                <w:i/>
                <w:color w:val="FF0000"/>
                <w:szCs w:val="22"/>
              </w:rPr>
            </w:pPr>
            <w:r w:rsidRPr="009C3C16">
              <w:rPr>
                <w:rFonts w:asciiTheme="minorHAnsi" w:hAnsiTheme="minorHAnsi" w:cstheme="minorHAnsi"/>
              </w:rPr>
              <w:t>F</w:t>
            </w:r>
            <w:r w:rsidRPr="0090335F">
              <w:rPr>
                <w:rFonts w:asciiTheme="minorHAnsi" w:hAnsiTheme="minorHAnsi" w:cstheme="minorHAnsi"/>
              </w:rPr>
              <w:t>aculties establish Industry Advisory Boards that provide advice in relation to courses for students</w:t>
            </w:r>
            <w:r w:rsidRPr="0090335F">
              <w:rPr>
                <w:rFonts w:asciiTheme="minorHAnsi" w:hAnsiTheme="minorHAnsi" w:cstheme="minorHAnsi"/>
                <w:iCs/>
                <w:szCs w:val="22"/>
              </w:rPr>
              <w:t xml:space="preserve"> and identify opportunities for engagement with industry.</w:t>
            </w:r>
            <w:bookmarkEnd w:id="4"/>
          </w:p>
        </w:tc>
      </w:tr>
    </w:tbl>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15E16B87" w:rsidR="001B109C" w:rsidRPr="00E114B4" w:rsidRDefault="006B41C6">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524A3EDB" w:rsidR="001B109C" w:rsidRPr="00E114B4" w:rsidRDefault="004D2518">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2D587174" w:rsidR="001B109C" w:rsidRPr="00E114B4" w:rsidRDefault="00D63B9B">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00A2A126" w:rsidR="001B109C" w:rsidRPr="00E114B4" w:rsidRDefault="001257EA">
            <w:pPr>
              <w:pBdr>
                <w:bottom w:val="single" w:sz="12" w:space="1" w:color="auto"/>
              </w:pBdr>
              <w:rPr>
                <w:rFonts w:cstheme="minorHAnsi"/>
                <w:b/>
                <w:bCs/>
              </w:rPr>
            </w:pPr>
            <w:r>
              <w:rPr>
                <w:rFonts w:cstheme="minorHAnsi"/>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0920C377" w:rsidR="001B109C" w:rsidRPr="006D0F42" w:rsidRDefault="006D0F42">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E54C58D" w:rsidR="001B109C" w:rsidRPr="00E169EE" w:rsidRDefault="00220A0A">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QUEENSLAND UNIVERSITY OF TECHNOLOGY</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7901D3A6" w:rsidR="001B109C" w:rsidRPr="00E169EE" w:rsidRDefault="00F61526">
            <w:pPr>
              <w:pBdr>
                <w:bottom w:val="single" w:sz="12" w:space="1" w:color="auto"/>
              </w:pBdr>
              <w:rPr>
                <w:rFonts w:cstheme="minorHAnsi"/>
                <w:b/>
                <w:bCs/>
              </w:rPr>
            </w:pPr>
            <w:r>
              <w:rPr>
                <w:rFonts w:cstheme="minorHAnsi"/>
                <w:b/>
                <w:bCs/>
              </w:rPr>
              <w:t>Margaret Sheil</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3C7B57AB" w:rsidR="001B109C" w:rsidRPr="002F4604" w:rsidRDefault="00F61526">
            <w:pPr>
              <w:pBdr>
                <w:bottom w:val="single" w:sz="12" w:space="1" w:color="auto"/>
              </w:pBdr>
              <w:rPr>
                <w:rFonts w:cstheme="minorHAnsi"/>
                <w:b/>
                <w:bCs/>
              </w:rPr>
            </w:pPr>
            <w:r>
              <w:rPr>
                <w:rFonts w:cstheme="minorHAnsi"/>
                <w:b/>
                <w:bCs/>
              </w:rPr>
              <w:t>Kym Woods</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520B75FC" w14:textId="77777777" w:rsidR="00315F21" w:rsidRDefault="00315F21">
            <w:pPr>
              <w:pBdr>
                <w:bottom w:val="single" w:sz="12" w:space="1" w:color="auto"/>
              </w:pBdr>
              <w:spacing w:after="0"/>
              <w:rPr>
                <w:rFonts w:cstheme="minorHAnsi"/>
                <w:b/>
                <w:bCs/>
              </w:rPr>
            </w:pPr>
          </w:p>
          <w:p w14:paraId="7D9047AD" w14:textId="1D25E694" w:rsidR="001B109C" w:rsidRPr="00E169EE" w:rsidRDefault="00F61526">
            <w:pPr>
              <w:pBdr>
                <w:bottom w:val="single" w:sz="12" w:space="1" w:color="auto"/>
              </w:pBdr>
              <w:spacing w:after="0"/>
              <w:rPr>
                <w:rFonts w:cstheme="minorHAnsi"/>
                <w:b/>
                <w:bCs/>
              </w:rPr>
            </w:pPr>
            <w:r>
              <w:rPr>
                <w:rFonts w:cstheme="minorHAnsi"/>
                <w:b/>
                <w:bCs/>
              </w:rPr>
              <w:t>Vice-Chancellor and President</w:t>
            </w:r>
          </w:p>
          <w:p w14:paraId="231ABA73" w14:textId="77777777" w:rsidR="001B109C" w:rsidRPr="00E169EE" w:rsidRDefault="001B109C">
            <w:pPr>
              <w:spacing w:after="0"/>
              <w:rPr>
                <w:rFonts w:cstheme="minorHAnsi"/>
              </w:rPr>
            </w:pPr>
            <w:r w:rsidRPr="00E169EE">
              <w:rPr>
                <w:rFonts w:cstheme="minorHAnsi"/>
              </w:rPr>
              <w:t>Position</w:t>
            </w:r>
          </w:p>
          <w:p w14:paraId="536F9855" w14:textId="34353E4D" w:rsidR="001B109C" w:rsidRPr="00E169EE" w:rsidRDefault="001B109C">
            <w:pPr>
              <w:spacing w:after="0"/>
              <w:rPr>
                <w:rFonts w:cstheme="minorHAnsi"/>
              </w:rPr>
            </w:pPr>
          </w:p>
        </w:tc>
        <w:tc>
          <w:tcPr>
            <w:tcW w:w="4508" w:type="dxa"/>
          </w:tcPr>
          <w:p w14:paraId="7B33C473" w14:textId="078541EB" w:rsidR="001B109C" w:rsidRPr="002F4604" w:rsidRDefault="00F61526">
            <w:pPr>
              <w:pBdr>
                <w:bottom w:val="single" w:sz="12" w:space="1" w:color="auto"/>
              </w:pBdr>
              <w:spacing w:after="0"/>
              <w:rPr>
                <w:rFonts w:cstheme="minorHAnsi"/>
                <w:b/>
                <w:bCs/>
              </w:rPr>
            </w:pPr>
            <w:r>
              <w:rPr>
                <w:rFonts w:cstheme="minorHAnsi"/>
                <w:b/>
                <w:bCs/>
              </w:rPr>
              <w:t>Executive Assistant to Vice-Chancellor and President</w:t>
            </w:r>
          </w:p>
          <w:p w14:paraId="0C046C3D" w14:textId="79A3D4C1" w:rsidR="001B109C" w:rsidRPr="002F4604" w:rsidRDefault="001B109C">
            <w:pPr>
              <w:spacing w:after="0"/>
              <w:rPr>
                <w:rFonts w:cstheme="minorHAnsi"/>
              </w:rPr>
            </w:pPr>
            <w:r w:rsidRPr="002F4604">
              <w:rPr>
                <w:rFonts w:cstheme="minorHAnsi"/>
              </w:rPr>
              <w:t>Position or profession of witness (please print)</w:t>
            </w:r>
            <w:r w:rsidR="00F61526" w:rsidRPr="00F61526">
              <w:rPr>
                <w:rFonts w:cstheme="minorHAnsi"/>
              </w:rPr>
              <w:t xml:space="preserve"> </w:t>
            </w:r>
          </w:p>
        </w:tc>
      </w:tr>
      <w:tr w:rsidR="001B109C" w:rsidRPr="00E169EE" w14:paraId="51440CFB" w14:textId="77777777">
        <w:trPr>
          <w:trHeight w:val="80"/>
        </w:trPr>
        <w:tc>
          <w:tcPr>
            <w:tcW w:w="4508" w:type="dxa"/>
          </w:tcPr>
          <w:p w14:paraId="7583F948" w14:textId="77777777"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77777777"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49"/>
      <w:footerReference w:type="first" r:id="rId5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011D" w14:textId="77777777" w:rsidR="002014A0" w:rsidRDefault="002014A0" w:rsidP="000A6228">
      <w:pPr>
        <w:spacing w:after="0" w:line="240" w:lineRule="auto"/>
      </w:pPr>
      <w:r>
        <w:separator/>
      </w:r>
    </w:p>
  </w:endnote>
  <w:endnote w:type="continuationSeparator" w:id="0">
    <w:p w14:paraId="7499001E" w14:textId="77777777" w:rsidR="002014A0" w:rsidRDefault="002014A0" w:rsidP="000A6228">
      <w:pPr>
        <w:spacing w:after="0" w:line="240" w:lineRule="auto"/>
      </w:pPr>
      <w:r>
        <w:continuationSeparator/>
      </w:r>
    </w:p>
  </w:endnote>
  <w:endnote w:type="continuationNotice" w:id="1">
    <w:p w14:paraId="06F18207" w14:textId="77777777" w:rsidR="002014A0" w:rsidRDefault="00201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64FA" w14:textId="77777777" w:rsidR="002014A0" w:rsidRDefault="002014A0" w:rsidP="000A6228">
      <w:pPr>
        <w:spacing w:after="0" w:line="240" w:lineRule="auto"/>
      </w:pPr>
      <w:r>
        <w:separator/>
      </w:r>
    </w:p>
  </w:footnote>
  <w:footnote w:type="continuationSeparator" w:id="0">
    <w:p w14:paraId="43DB27FF" w14:textId="77777777" w:rsidR="002014A0" w:rsidRDefault="002014A0" w:rsidP="000A6228">
      <w:pPr>
        <w:spacing w:after="0" w:line="240" w:lineRule="auto"/>
      </w:pPr>
      <w:r>
        <w:continuationSeparator/>
      </w:r>
    </w:p>
  </w:footnote>
  <w:footnote w:type="continuationNotice" w:id="1">
    <w:p w14:paraId="3BCED5AB" w14:textId="77777777" w:rsidR="002014A0" w:rsidRDefault="002014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6E5AFF"/>
    <w:multiLevelType w:val="hybridMultilevel"/>
    <w:tmpl w:val="697A0D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6907308"/>
    <w:multiLevelType w:val="multilevel"/>
    <w:tmpl w:val="6FD48CF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8F963EE"/>
    <w:multiLevelType w:val="hybridMultilevel"/>
    <w:tmpl w:val="DA84A01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FE32A60"/>
    <w:multiLevelType w:val="hybridMultilevel"/>
    <w:tmpl w:val="E2045E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0477E4A"/>
    <w:multiLevelType w:val="hybridMultilevel"/>
    <w:tmpl w:val="85325150"/>
    <w:lvl w:ilvl="0" w:tplc="268AC18A">
      <w:start w:val="1"/>
      <w:numFmt w:val="decimal"/>
      <w:lvlText w:val="%1."/>
      <w:lvlJc w:val="left"/>
      <w:pPr>
        <w:ind w:left="360" w:hanging="360"/>
      </w:pPr>
      <w:rPr>
        <w:rFonts w:ascii="Calibri" w:hAnsi="Calibri" w:cs="Calibri"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2F25B0"/>
    <w:multiLevelType w:val="hybridMultilevel"/>
    <w:tmpl w:val="4CDE55FC"/>
    <w:lvl w:ilvl="0" w:tplc="268AC18A">
      <w:start w:val="1"/>
      <w:numFmt w:val="decimal"/>
      <w:lvlText w:val="%1."/>
      <w:lvlJc w:val="left"/>
      <w:pPr>
        <w:ind w:left="360" w:hanging="360"/>
      </w:pPr>
      <w:rPr>
        <w:rFonts w:ascii="Calibri" w:hAnsi="Calibri" w:cs="Calibri" w:hint="default"/>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8D5526"/>
    <w:multiLevelType w:val="hybridMultilevel"/>
    <w:tmpl w:val="AD10F104"/>
    <w:lvl w:ilvl="0" w:tplc="2398C2A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D24AAF"/>
    <w:multiLevelType w:val="hybridMultilevel"/>
    <w:tmpl w:val="B28EA2CA"/>
    <w:lvl w:ilvl="0" w:tplc="933CDB60">
      <w:start w:val="1"/>
      <w:numFmt w:val="bullet"/>
      <w:lvlText w:val=""/>
      <w:lvlJc w:val="left"/>
      <w:pPr>
        <w:ind w:left="607" w:hanging="360"/>
      </w:pPr>
      <w:rPr>
        <w:rFonts w:ascii="Symbol" w:hAnsi="Symbol" w:hint="default"/>
        <w:color w:val="auto"/>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6137F19"/>
    <w:multiLevelType w:val="hybridMultilevel"/>
    <w:tmpl w:val="566A7082"/>
    <w:lvl w:ilvl="0" w:tplc="268AC18A">
      <w:start w:val="1"/>
      <w:numFmt w:val="decimal"/>
      <w:lvlText w:val="%1."/>
      <w:lvlJc w:val="left"/>
      <w:pPr>
        <w:ind w:left="360" w:hanging="360"/>
      </w:pPr>
      <w:rPr>
        <w:rFonts w:ascii="Calibri" w:hAnsi="Calibri" w:cs="Calibri"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28738E"/>
    <w:multiLevelType w:val="multilevel"/>
    <w:tmpl w:val="EECE1392"/>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79560429">
    <w:abstractNumId w:val="15"/>
  </w:num>
  <w:num w:numId="2" w16cid:durableId="1141925489">
    <w:abstractNumId w:val="5"/>
  </w:num>
  <w:num w:numId="3" w16cid:durableId="1430395506">
    <w:abstractNumId w:val="4"/>
  </w:num>
  <w:num w:numId="4" w16cid:durableId="1762024761">
    <w:abstractNumId w:val="3"/>
  </w:num>
  <w:num w:numId="5" w16cid:durableId="861433996">
    <w:abstractNumId w:val="18"/>
  </w:num>
  <w:num w:numId="6" w16cid:durableId="120733662">
    <w:abstractNumId w:val="2"/>
  </w:num>
  <w:num w:numId="7" w16cid:durableId="2022584168">
    <w:abstractNumId w:val="1"/>
  </w:num>
  <w:num w:numId="8" w16cid:durableId="534267804">
    <w:abstractNumId w:val="0"/>
  </w:num>
  <w:num w:numId="9" w16cid:durableId="1265042610">
    <w:abstractNumId w:val="17"/>
  </w:num>
  <w:num w:numId="10" w16cid:durableId="1943879001">
    <w:abstractNumId w:val="7"/>
  </w:num>
  <w:num w:numId="11" w16cid:durableId="419833051">
    <w:abstractNumId w:val="23"/>
  </w:num>
  <w:num w:numId="12" w16cid:durableId="1758015391">
    <w:abstractNumId w:val="14"/>
  </w:num>
  <w:num w:numId="13" w16cid:durableId="1395660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2"/>
  </w:num>
  <w:num w:numId="15" w16cid:durableId="928125744">
    <w:abstractNumId w:val="6"/>
  </w:num>
  <w:num w:numId="16" w16cid:durableId="1172835113">
    <w:abstractNumId w:val="25"/>
  </w:num>
  <w:num w:numId="17" w16cid:durableId="1022434231">
    <w:abstractNumId w:val="19"/>
  </w:num>
  <w:num w:numId="18" w16cid:durableId="618417265">
    <w:abstractNumId w:val="11"/>
  </w:num>
  <w:num w:numId="19" w16cid:durableId="271010807">
    <w:abstractNumId w:val="21"/>
  </w:num>
  <w:num w:numId="20" w16cid:durableId="149712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866359">
    <w:abstractNumId w:val="8"/>
  </w:num>
  <w:num w:numId="22" w16cid:durableId="1563522482">
    <w:abstractNumId w:val="13"/>
  </w:num>
  <w:num w:numId="23" w16cid:durableId="2055425239">
    <w:abstractNumId w:val="10"/>
  </w:num>
  <w:num w:numId="24" w16cid:durableId="1345747577">
    <w:abstractNumId w:val="20"/>
  </w:num>
  <w:num w:numId="25" w16cid:durableId="2039428823">
    <w:abstractNumId w:val="22"/>
  </w:num>
  <w:num w:numId="26" w16cid:durableId="837187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0088744">
    <w:abstractNumId w:val="27"/>
  </w:num>
  <w:num w:numId="28" w16cid:durableId="264116134">
    <w:abstractNumId w:val="24"/>
  </w:num>
  <w:num w:numId="29" w16cid:durableId="1817526098">
    <w:abstractNumId w:val="26"/>
  </w:num>
  <w:num w:numId="30" w16cid:durableId="434517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B7"/>
    <w:rsid w:val="00004E1A"/>
    <w:rsid w:val="00012366"/>
    <w:rsid w:val="00013E35"/>
    <w:rsid w:val="00021FBE"/>
    <w:rsid w:val="000276AF"/>
    <w:rsid w:val="00040F29"/>
    <w:rsid w:val="00044EBB"/>
    <w:rsid w:val="00045E1D"/>
    <w:rsid w:val="000521D7"/>
    <w:rsid w:val="00063FD8"/>
    <w:rsid w:val="00065D44"/>
    <w:rsid w:val="00070E58"/>
    <w:rsid w:val="00075939"/>
    <w:rsid w:val="0008260F"/>
    <w:rsid w:val="00084431"/>
    <w:rsid w:val="000845AE"/>
    <w:rsid w:val="00087CE1"/>
    <w:rsid w:val="00092E97"/>
    <w:rsid w:val="000960CF"/>
    <w:rsid w:val="000A0B58"/>
    <w:rsid w:val="000A1132"/>
    <w:rsid w:val="000A386C"/>
    <w:rsid w:val="000A3A19"/>
    <w:rsid w:val="000A6228"/>
    <w:rsid w:val="000B1744"/>
    <w:rsid w:val="000B5D40"/>
    <w:rsid w:val="000B71CB"/>
    <w:rsid w:val="000B79D6"/>
    <w:rsid w:val="000B7EC6"/>
    <w:rsid w:val="000C05B4"/>
    <w:rsid w:val="000D3124"/>
    <w:rsid w:val="000E3C4C"/>
    <w:rsid w:val="000E3CF9"/>
    <w:rsid w:val="000F4F47"/>
    <w:rsid w:val="000F6F9C"/>
    <w:rsid w:val="0010150D"/>
    <w:rsid w:val="00107D87"/>
    <w:rsid w:val="00107DD5"/>
    <w:rsid w:val="00113D93"/>
    <w:rsid w:val="00114DFE"/>
    <w:rsid w:val="00117D32"/>
    <w:rsid w:val="0012148C"/>
    <w:rsid w:val="0012341A"/>
    <w:rsid w:val="0012343A"/>
    <w:rsid w:val="001257EA"/>
    <w:rsid w:val="00133B8D"/>
    <w:rsid w:val="00136020"/>
    <w:rsid w:val="0013611E"/>
    <w:rsid w:val="00137237"/>
    <w:rsid w:val="001378A2"/>
    <w:rsid w:val="00140E13"/>
    <w:rsid w:val="00146C80"/>
    <w:rsid w:val="00151233"/>
    <w:rsid w:val="001515BF"/>
    <w:rsid w:val="001515FD"/>
    <w:rsid w:val="00152376"/>
    <w:rsid w:val="001523CD"/>
    <w:rsid w:val="0015419D"/>
    <w:rsid w:val="001543A1"/>
    <w:rsid w:val="00154A58"/>
    <w:rsid w:val="0015549C"/>
    <w:rsid w:val="0015799E"/>
    <w:rsid w:val="00160CFA"/>
    <w:rsid w:val="0016583D"/>
    <w:rsid w:val="00167ABA"/>
    <w:rsid w:val="00170B91"/>
    <w:rsid w:val="0017134D"/>
    <w:rsid w:val="00174ED0"/>
    <w:rsid w:val="001758FC"/>
    <w:rsid w:val="00180EA5"/>
    <w:rsid w:val="0018275C"/>
    <w:rsid w:val="001846B2"/>
    <w:rsid w:val="00185D85"/>
    <w:rsid w:val="00194BF8"/>
    <w:rsid w:val="001950C2"/>
    <w:rsid w:val="00196CDA"/>
    <w:rsid w:val="001B109C"/>
    <w:rsid w:val="001B49C4"/>
    <w:rsid w:val="001B5D5E"/>
    <w:rsid w:val="001B6A66"/>
    <w:rsid w:val="001C1523"/>
    <w:rsid w:val="001D1108"/>
    <w:rsid w:val="001D3ED3"/>
    <w:rsid w:val="001D5542"/>
    <w:rsid w:val="001D655E"/>
    <w:rsid w:val="001D6BA7"/>
    <w:rsid w:val="001D6EFC"/>
    <w:rsid w:val="001D7C3D"/>
    <w:rsid w:val="001E3BF1"/>
    <w:rsid w:val="001E6DBC"/>
    <w:rsid w:val="001F7C72"/>
    <w:rsid w:val="002014A0"/>
    <w:rsid w:val="0020224A"/>
    <w:rsid w:val="00202CA8"/>
    <w:rsid w:val="002039F0"/>
    <w:rsid w:val="002074D4"/>
    <w:rsid w:val="00214010"/>
    <w:rsid w:val="00215740"/>
    <w:rsid w:val="00217414"/>
    <w:rsid w:val="00217712"/>
    <w:rsid w:val="00217825"/>
    <w:rsid w:val="00220A0A"/>
    <w:rsid w:val="00220AC4"/>
    <w:rsid w:val="00221D8F"/>
    <w:rsid w:val="00224218"/>
    <w:rsid w:val="002249D0"/>
    <w:rsid w:val="0022537C"/>
    <w:rsid w:val="002272DB"/>
    <w:rsid w:val="00235139"/>
    <w:rsid w:val="00235752"/>
    <w:rsid w:val="00241CF3"/>
    <w:rsid w:val="002507BA"/>
    <w:rsid w:val="002511D7"/>
    <w:rsid w:val="0025127F"/>
    <w:rsid w:val="002516F8"/>
    <w:rsid w:val="00256445"/>
    <w:rsid w:val="002617AF"/>
    <w:rsid w:val="002617CD"/>
    <w:rsid w:val="0026250F"/>
    <w:rsid w:val="00266C94"/>
    <w:rsid w:val="0027216D"/>
    <w:rsid w:val="0027557D"/>
    <w:rsid w:val="00276047"/>
    <w:rsid w:val="0027731C"/>
    <w:rsid w:val="002775F3"/>
    <w:rsid w:val="00281ECA"/>
    <w:rsid w:val="002867A1"/>
    <w:rsid w:val="002877EB"/>
    <w:rsid w:val="002878EF"/>
    <w:rsid w:val="0029148C"/>
    <w:rsid w:val="0029618B"/>
    <w:rsid w:val="002977BB"/>
    <w:rsid w:val="002A3048"/>
    <w:rsid w:val="002A3A43"/>
    <w:rsid w:val="002A4458"/>
    <w:rsid w:val="002A4704"/>
    <w:rsid w:val="002A50D1"/>
    <w:rsid w:val="002A5A29"/>
    <w:rsid w:val="002B08E2"/>
    <w:rsid w:val="002B103A"/>
    <w:rsid w:val="002B4E3E"/>
    <w:rsid w:val="002C0D56"/>
    <w:rsid w:val="002C1F0F"/>
    <w:rsid w:val="002D086F"/>
    <w:rsid w:val="002D3EFA"/>
    <w:rsid w:val="002D589A"/>
    <w:rsid w:val="002D6EC5"/>
    <w:rsid w:val="002D7029"/>
    <w:rsid w:val="002E491A"/>
    <w:rsid w:val="002E6FE5"/>
    <w:rsid w:val="002F14E3"/>
    <w:rsid w:val="002F4604"/>
    <w:rsid w:val="00304890"/>
    <w:rsid w:val="00310C6B"/>
    <w:rsid w:val="00312E9C"/>
    <w:rsid w:val="00315DF6"/>
    <w:rsid w:val="00315F21"/>
    <w:rsid w:val="00317EEC"/>
    <w:rsid w:val="00320BD0"/>
    <w:rsid w:val="003213E9"/>
    <w:rsid w:val="00321F5D"/>
    <w:rsid w:val="00324527"/>
    <w:rsid w:val="00333F7B"/>
    <w:rsid w:val="00334D72"/>
    <w:rsid w:val="00337814"/>
    <w:rsid w:val="003403FD"/>
    <w:rsid w:val="00340CD4"/>
    <w:rsid w:val="00341C40"/>
    <w:rsid w:val="003435E6"/>
    <w:rsid w:val="00346734"/>
    <w:rsid w:val="00362C3B"/>
    <w:rsid w:val="00367514"/>
    <w:rsid w:val="003718E1"/>
    <w:rsid w:val="00371995"/>
    <w:rsid w:val="003729D1"/>
    <w:rsid w:val="00380DD4"/>
    <w:rsid w:val="0038231D"/>
    <w:rsid w:val="00386B94"/>
    <w:rsid w:val="00390704"/>
    <w:rsid w:val="00391F5C"/>
    <w:rsid w:val="00397385"/>
    <w:rsid w:val="003A675E"/>
    <w:rsid w:val="003B2A5F"/>
    <w:rsid w:val="003B358D"/>
    <w:rsid w:val="003B39DA"/>
    <w:rsid w:val="003B4A14"/>
    <w:rsid w:val="003C23E9"/>
    <w:rsid w:val="003C2572"/>
    <w:rsid w:val="003C41CB"/>
    <w:rsid w:val="003C52B0"/>
    <w:rsid w:val="003C7494"/>
    <w:rsid w:val="003D5370"/>
    <w:rsid w:val="003D7E57"/>
    <w:rsid w:val="003E0BEE"/>
    <w:rsid w:val="003E1081"/>
    <w:rsid w:val="003E3CB9"/>
    <w:rsid w:val="003F144E"/>
    <w:rsid w:val="003F5B9A"/>
    <w:rsid w:val="003F7FD9"/>
    <w:rsid w:val="0040155D"/>
    <w:rsid w:val="0040485B"/>
    <w:rsid w:val="00407E29"/>
    <w:rsid w:val="00413CD5"/>
    <w:rsid w:val="004167FD"/>
    <w:rsid w:val="00416AA2"/>
    <w:rsid w:val="0041713E"/>
    <w:rsid w:val="00421D3F"/>
    <w:rsid w:val="00422BAD"/>
    <w:rsid w:val="00423785"/>
    <w:rsid w:val="0042692C"/>
    <w:rsid w:val="004309F3"/>
    <w:rsid w:val="00433F4B"/>
    <w:rsid w:val="004447F8"/>
    <w:rsid w:val="00444906"/>
    <w:rsid w:val="00444BD1"/>
    <w:rsid w:val="00446163"/>
    <w:rsid w:val="00452D26"/>
    <w:rsid w:val="00456E56"/>
    <w:rsid w:val="00457B9F"/>
    <w:rsid w:val="00462848"/>
    <w:rsid w:val="00462E14"/>
    <w:rsid w:val="00463568"/>
    <w:rsid w:val="00464B52"/>
    <w:rsid w:val="0046756E"/>
    <w:rsid w:val="004708F9"/>
    <w:rsid w:val="00472158"/>
    <w:rsid w:val="004728D3"/>
    <w:rsid w:val="00473091"/>
    <w:rsid w:val="00475E32"/>
    <w:rsid w:val="00477554"/>
    <w:rsid w:val="00481D9F"/>
    <w:rsid w:val="0048234C"/>
    <w:rsid w:val="0048278A"/>
    <w:rsid w:val="004828CA"/>
    <w:rsid w:val="004874EB"/>
    <w:rsid w:val="0049170C"/>
    <w:rsid w:val="0049333E"/>
    <w:rsid w:val="00493EB5"/>
    <w:rsid w:val="004956F9"/>
    <w:rsid w:val="004A06CD"/>
    <w:rsid w:val="004A4A1E"/>
    <w:rsid w:val="004A4B6F"/>
    <w:rsid w:val="004A4CF9"/>
    <w:rsid w:val="004B6662"/>
    <w:rsid w:val="004B7E2C"/>
    <w:rsid w:val="004C49E4"/>
    <w:rsid w:val="004D0964"/>
    <w:rsid w:val="004D09AB"/>
    <w:rsid w:val="004D2518"/>
    <w:rsid w:val="004D2965"/>
    <w:rsid w:val="004D2D9D"/>
    <w:rsid w:val="004D4730"/>
    <w:rsid w:val="004D635E"/>
    <w:rsid w:val="004D6BEF"/>
    <w:rsid w:val="004E1576"/>
    <w:rsid w:val="004E2A45"/>
    <w:rsid w:val="004E389A"/>
    <w:rsid w:val="004E6C1C"/>
    <w:rsid w:val="004F24E9"/>
    <w:rsid w:val="004F3921"/>
    <w:rsid w:val="004F57A1"/>
    <w:rsid w:val="004F7BA7"/>
    <w:rsid w:val="00502311"/>
    <w:rsid w:val="0051061A"/>
    <w:rsid w:val="00510989"/>
    <w:rsid w:val="00512E1F"/>
    <w:rsid w:val="005159D9"/>
    <w:rsid w:val="00520BA6"/>
    <w:rsid w:val="0052798B"/>
    <w:rsid w:val="005304A9"/>
    <w:rsid w:val="00535219"/>
    <w:rsid w:val="005360E8"/>
    <w:rsid w:val="005374BB"/>
    <w:rsid w:val="00541139"/>
    <w:rsid w:val="005424D4"/>
    <w:rsid w:val="00542C8E"/>
    <w:rsid w:val="00544BA3"/>
    <w:rsid w:val="00547FB7"/>
    <w:rsid w:val="00554240"/>
    <w:rsid w:val="00562211"/>
    <w:rsid w:val="00566FE3"/>
    <w:rsid w:val="0057028F"/>
    <w:rsid w:val="005736F7"/>
    <w:rsid w:val="005828D1"/>
    <w:rsid w:val="00591F57"/>
    <w:rsid w:val="00593544"/>
    <w:rsid w:val="00594815"/>
    <w:rsid w:val="005A0B2C"/>
    <w:rsid w:val="005A4737"/>
    <w:rsid w:val="005A4EEB"/>
    <w:rsid w:val="005A5064"/>
    <w:rsid w:val="005A75C9"/>
    <w:rsid w:val="005B187D"/>
    <w:rsid w:val="005B1CCE"/>
    <w:rsid w:val="005B2750"/>
    <w:rsid w:val="005B33FD"/>
    <w:rsid w:val="005B3D23"/>
    <w:rsid w:val="005C1CF6"/>
    <w:rsid w:val="005C4AFE"/>
    <w:rsid w:val="005C4B49"/>
    <w:rsid w:val="005C5923"/>
    <w:rsid w:val="005C62FC"/>
    <w:rsid w:val="005D572B"/>
    <w:rsid w:val="005D5851"/>
    <w:rsid w:val="005E1780"/>
    <w:rsid w:val="005E4029"/>
    <w:rsid w:val="005E7028"/>
    <w:rsid w:val="005F015E"/>
    <w:rsid w:val="005F0D52"/>
    <w:rsid w:val="005F35D6"/>
    <w:rsid w:val="005F4E54"/>
    <w:rsid w:val="005F6C9C"/>
    <w:rsid w:val="005F77E9"/>
    <w:rsid w:val="0060216B"/>
    <w:rsid w:val="00611DE8"/>
    <w:rsid w:val="00616612"/>
    <w:rsid w:val="0062098E"/>
    <w:rsid w:val="006232DC"/>
    <w:rsid w:val="006236F6"/>
    <w:rsid w:val="0062412F"/>
    <w:rsid w:val="0063094F"/>
    <w:rsid w:val="00631849"/>
    <w:rsid w:val="006347DE"/>
    <w:rsid w:val="00635AA3"/>
    <w:rsid w:val="00636B5D"/>
    <w:rsid w:val="0064650A"/>
    <w:rsid w:val="00660E48"/>
    <w:rsid w:val="00661F84"/>
    <w:rsid w:val="00670845"/>
    <w:rsid w:val="00673DE8"/>
    <w:rsid w:val="0068398A"/>
    <w:rsid w:val="00691ED5"/>
    <w:rsid w:val="00692720"/>
    <w:rsid w:val="006927AC"/>
    <w:rsid w:val="00694574"/>
    <w:rsid w:val="00694DDD"/>
    <w:rsid w:val="006957E6"/>
    <w:rsid w:val="00696A73"/>
    <w:rsid w:val="00697892"/>
    <w:rsid w:val="006A10C7"/>
    <w:rsid w:val="006A11A6"/>
    <w:rsid w:val="006A6825"/>
    <w:rsid w:val="006B20B6"/>
    <w:rsid w:val="006B2B77"/>
    <w:rsid w:val="006B41C6"/>
    <w:rsid w:val="006C1BBB"/>
    <w:rsid w:val="006C330E"/>
    <w:rsid w:val="006C47AB"/>
    <w:rsid w:val="006C4C19"/>
    <w:rsid w:val="006C69D8"/>
    <w:rsid w:val="006D0F42"/>
    <w:rsid w:val="006D4FF2"/>
    <w:rsid w:val="006D655F"/>
    <w:rsid w:val="006D67F3"/>
    <w:rsid w:val="006D7970"/>
    <w:rsid w:val="006E6078"/>
    <w:rsid w:val="006F1FFF"/>
    <w:rsid w:val="006F2406"/>
    <w:rsid w:val="006F6319"/>
    <w:rsid w:val="006F6D10"/>
    <w:rsid w:val="00700A55"/>
    <w:rsid w:val="00702837"/>
    <w:rsid w:val="00703F0B"/>
    <w:rsid w:val="0070545C"/>
    <w:rsid w:val="007061E2"/>
    <w:rsid w:val="0071269B"/>
    <w:rsid w:val="00712B94"/>
    <w:rsid w:val="007139FB"/>
    <w:rsid w:val="00717352"/>
    <w:rsid w:val="00721A38"/>
    <w:rsid w:val="00730450"/>
    <w:rsid w:val="0073183D"/>
    <w:rsid w:val="007326F7"/>
    <w:rsid w:val="0073470A"/>
    <w:rsid w:val="00737867"/>
    <w:rsid w:val="00746882"/>
    <w:rsid w:val="007517BA"/>
    <w:rsid w:val="007523ED"/>
    <w:rsid w:val="00761DA1"/>
    <w:rsid w:val="007671A8"/>
    <w:rsid w:val="007675C1"/>
    <w:rsid w:val="007742D5"/>
    <w:rsid w:val="0077782B"/>
    <w:rsid w:val="007819F6"/>
    <w:rsid w:val="00791AC0"/>
    <w:rsid w:val="00791ECC"/>
    <w:rsid w:val="00792C50"/>
    <w:rsid w:val="00796808"/>
    <w:rsid w:val="007A41EF"/>
    <w:rsid w:val="007A6F13"/>
    <w:rsid w:val="007A7EB0"/>
    <w:rsid w:val="007B2CA1"/>
    <w:rsid w:val="007B6008"/>
    <w:rsid w:val="007B7DA1"/>
    <w:rsid w:val="007C76AA"/>
    <w:rsid w:val="007D0030"/>
    <w:rsid w:val="007D0ABC"/>
    <w:rsid w:val="007D0DE5"/>
    <w:rsid w:val="007D24DC"/>
    <w:rsid w:val="007D298D"/>
    <w:rsid w:val="007D2B05"/>
    <w:rsid w:val="007E1D68"/>
    <w:rsid w:val="007E7EB5"/>
    <w:rsid w:val="007F5117"/>
    <w:rsid w:val="008034C4"/>
    <w:rsid w:val="0080396F"/>
    <w:rsid w:val="008042F5"/>
    <w:rsid w:val="00804399"/>
    <w:rsid w:val="00806E5A"/>
    <w:rsid w:val="00816D00"/>
    <w:rsid w:val="008170FD"/>
    <w:rsid w:val="00817FB8"/>
    <w:rsid w:val="008554B6"/>
    <w:rsid w:val="00860A6B"/>
    <w:rsid w:val="0086357D"/>
    <w:rsid w:val="00863FEE"/>
    <w:rsid w:val="0086428D"/>
    <w:rsid w:val="0086460E"/>
    <w:rsid w:val="00865686"/>
    <w:rsid w:val="008706E6"/>
    <w:rsid w:val="00872519"/>
    <w:rsid w:val="008756EC"/>
    <w:rsid w:val="00880203"/>
    <w:rsid w:val="00881E08"/>
    <w:rsid w:val="00886959"/>
    <w:rsid w:val="00886C2D"/>
    <w:rsid w:val="00893A34"/>
    <w:rsid w:val="008A0E9A"/>
    <w:rsid w:val="008A36E1"/>
    <w:rsid w:val="008A37A7"/>
    <w:rsid w:val="008A7AB4"/>
    <w:rsid w:val="008B0176"/>
    <w:rsid w:val="008B0736"/>
    <w:rsid w:val="008B3D04"/>
    <w:rsid w:val="008B40E3"/>
    <w:rsid w:val="008B5586"/>
    <w:rsid w:val="008B5CFE"/>
    <w:rsid w:val="008B67CC"/>
    <w:rsid w:val="008C1F5A"/>
    <w:rsid w:val="008D30B9"/>
    <w:rsid w:val="008D385B"/>
    <w:rsid w:val="008D432F"/>
    <w:rsid w:val="008D4FA9"/>
    <w:rsid w:val="008E0880"/>
    <w:rsid w:val="008E1A0D"/>
    <w:rsid w:val="008E5814"/>
    <w:rsid w:val="008E6359"/>
    <w:rsid w:val="008F1ACC"/>
    <w:rsid w:val="008F2A8D"/>
    <w:rsid w:val="009027CF"/>
    <w:rsid w:val="0090335F"/>
    <w:rsid w:val="009054C8"/>
    <w:rsid w:val="00907EBF"/>
    <w:rsid w:val="00913D0F"/>
    <w:rsid w:val="00914FFB"/>
    <w:rsid w:val="00926984"/>
    <w:rsid w:val="009321EA"/>
    <w:rsid w:val="00933D7A"/>
    <w:rsid w:val="009354D0"/>
    <w:rsid w:val="009363E0"/>
    <w:rsid w:val="009412FE"/>
    <w:rsid w:val="009429D7"/>
    <w:rsid w:val="00943C92"/>
    <w:rsid w:val="00943D04"/>
    <w:rsid w:val="00946D5A"/>
    <w:rsid w:val="00947C77"/>
    <w:rsid w:val="00950B06"/>
    <w:rsid w:val="00951B38"/>
    <w:rsid w:val="0095315B"/>
    <w:rsid w:val="00954F53"/>
    <w:rsid w:val="009611CB"/>
    <w:rsid w:val="00964CF6"/>
    <w:rsid w:val="00967533"/>
    <w:rsid w:val="00970069"/>
    <w:rsid w:val="00970D8C"/>
    <w:rsid w:val="00971465"/>
    <w:rsid w:val="009721EB"/>
    <w:rsid w:val="009741FE"/>
    <w:rsid w:val="00974412"/>
    <w:rsid w:val="009769D1"/>
    <w:rsid w:val="009779D3"/>
    <w:rsid w:val="00980B05"/>
    <w:rsid w:val="009838D3"/>
    <w:rsid w:val="00992E62"/>
    <w:rsid w:val="00994D60"/>
    <w:rsid w:val="00996C62"/>
    <w:rsid w:val="009979BE"/>
    <w:rsid w:val="009A08CE"/>
    <w:rsid w:val="009A3336"/>
    <w:rsid w:val="009B11EA"/>
    <w:rsid w:val="009B413E"/>
    <w:rsid w:val="009B4355"/>
    <w:rsid w:val="009B706E"/>
    <w:rsid w:val="009C1E72"/>
    <w:rsid w:val="009C3C16"/>
    <w:rsid w:val="009C423A"/>
    <w:rsid w:val="009C4B7E"/>
    <w:rsid w:val="009C73DA"/>
    <w:rsid w:val="009D44F1"/>
    <w:rsid w:val="009D5002"/>
    <w:rsid w:val="009D6022"/>
    <w:rsid w:val="009E0031"/>
    <w:rsid w:val="009E3CAE"/>
    <w:rsid w:val="009E6F27"/>
    <w:rsid w:val="009E79ED"/>
    <w:rsid w:val="009F2B04"/>
    <w:rsid w:val="009F51E3"/>
    <w:rsid w:val="009F7EF3"/>
    <w:rsid w:val="00A0067B"/>
    <w:rsid w:val="00A07596"/>
    <w:rsid w:val="00A07FE6"/>
    <w:rsid w:val="00A13126"/>
    <w:rsid w:val="00A13B71"/>
    <w:rsid w:val="00A15C84"/>
    <w:rsid w:val="00A167BA"/>
    <w:rsid w:val="00A17A08"/>
    <w:rsid w:val="00A17A18"/>
    <w:rsid w:val="00A2072C"/>
    <w:rsid w:val="00A25212"/>
    <w:rsid w:val="00A314D3"/>
    <w:rsid w:val="00A3472B"/>
    <w:rsid w:val="00A3552B"/>
    <w:rsid w:val="00A37B26"/>
    <w:rsid w:val="00A405FA"/>
    <w:rsid w:val="00A419AB"/>
    <w:rsid w:val="00A51B51"/>
    <w:rsid w:val="00A54D9A"/>
    <w:rsid w:val="00A56484"/>
    <w:rsid w:val="00A572EB"/>
    <w:rsid w:val="00A60673"/>
    <w:rsid w:val="00A6455F"/>
    <w:rsid w:val="00A67710"/>
    <w:rsid w:val="00A700BE"/>
    <w:rsid w:val="00A75A15"/>
    <w:rsid w:val="00A76DF6"/>
    <w:rsid w:val="00A77B26"/>
    <w:rsid w:val="00A818DE"/>
    <w:rsid w:val="00A82519"/>
    <w:rsid w:val="00A83B3B"/>
    <w:rsid w:val="00A83BC3"/>
    <w:rsid w:val="00A84828"/>
    <w:rsid w:val="00A85418"/>
    <w:rsid w:val="00A87BFC"/>
    <w:rsid w:val="00A9320A"/>
    <w:rsid w:val="00A9413E"/>
    <w:rsid w:val="00A95479"/>
    <w:rsid w:val="00A96D43"/>
    <w:rsid w:val="00A97832"/>
    <w:rsid w:val="00AA2B7E"/>
    <w:rsid w:val="00AA4ED9"/>
    <w:rsid w:val="00AA7369"/>
    <w:rsid w:val="00AB23A2"/>
    <w:rsid w:val="00AB2A61"/>
    <w:rsid w:val="00AB2FF0"/>
    <w:rsid w:val="00AB398B"/>
    <w:rsid w:val="00AB45E0"/>
    <w:rsid w:val="00AB5EB0"/>
    <w:rsid w:val="00AB7FC7"/>
    <w:rsid w:val="00AC1872"/>
    <w:rsid w:val="00AC21EE"/>
    <w:rsid w:val="00AC350C"/>
    <w:rsid w:val="00AD13D0"/>
    <w:rsid w:val="00AD5E52"/>
    <w:rsid w:val="00AD631F"/>
    <w:rsid w:val="00AD6C97"/>
    <w:rsid w:val="00AE061A"/>
    <w:rsid w:val="00AE21FF"/>
    <w:rsid w:val="00AE227D"/>
    <w:rsid w:val="00AE29C4"/>
    <w:rsid w:val="00AE7BA5"/>
    <w:rsid w:val="00AF1F18"/>
    <w:rsid w:val="00AF4220"/>
    <w:rsid w:val="00AF44BD"/>
    <w:rsid w:val="00B02584"/>
    <w:rsid w:val="00B04FA8"/>
    <w:rsid w:val="00B0726E"/>
    <w:rsid w:val="00B103B1"/>
    <w:rsid w:val="00B10B7A"/>
    <w:rsid w:val="00B110F0"/>
    <w:rsid w:val="00B13B85"/>
    <w:rsid w:val="00B1553F"/>
    <w:rsid w:val="00B1763E"/>
    <w:rsid w:val="00B219D1"/>
    <w:rsid w:val="00B226E4"/>
    <w:rsid w:val="00B262BF"/>
    <w:rsid w:val="00B26998"/>
    <w:rsid w:val="00B26BCF"/>
    <w:rsid w:val="00B33689"/>
    <w:rsid w:val="00B378A5"/>
    <w:rsid w:val="00B37F99"/>
    <w:rsid w:val="00B45F26"/>
    <w:rsid w:val="00B52095"/>
    <w:rsid w:val="00B55931"/>
    <w:rsid w:val="00B63708"/>
    <w:rsid w:val="00B64B3D"/>
    <w:rsid w:val="00B67461"/>
    <w:rsid w:val="00B72125"/>
    <w:rsid w:val="00B81FA4"/>
    <w:rsid w:val="00B85481"/>
    <w:rsid w:val="00B86980"/>
    <w:rsid w:val="00B8794C"/>
    <w:rsid w:val="00B87C41"/>
    <w:rsid w:val="00B90ADB"/>
    <w:rsid w:val="00B93692"/>
    <w:rsid w:val="00B95EF4"/>
    <w:rsid w:val="00BA45F4"/>
    <w:rsid w:val="00BB6509"/>
    <w:rsid w:val="00BB7428"/>
    <w:rsid w:val="00BB7720"/>
    <w:rsid w:val="00BC0FF6"/>
    <w:rsid w:val="00BC248C"/>
    <w:rsid w:val="00BC46F5"/>
    <w:rsid w:val="00BC6264"/>
    <w:rsid w:val="00BD242B"/>
    <w:rsid w:val="00BD2A09"/>
    <w:rsid w:val="00BD4780"/>
    <w:rsid w:val="00BF50E0"/>
    <w:rsid w:val="00C01EC0"/>
    <w:rsid w:val="00C01F80"/>
    <w:rsid w:val="00C02BA0"/>
    <w:rsid w:val="00C04877"/>
    <w:rsid w:val="00C140F5"/>
    <w:rsid w:val="00C1504D"/>
    <w:rsid w:val="00C212D2"/>
    <w:rsid w:val="00C216C3"/>
    <w:rsid w:val="00C2270F"/>
    <w:rsid w:val="00C22BA0"/>
    <w:rsid w:val="00C23CB1"/>
    <w:rsid w:val="00C244EE"/>
    <w:rsid w:val="00C263C6"/>
    <w:rsid w:val="00C30DC1"/>
    <w:rsid w:val="00C319A4"/>
    <w:rsid w:val="00C32AE5"/>
    <w:rsid w:val="00C33460"/>
    <w:rsid w:val="00C379D9"/>
    <w:rsid w:val="00C4171E"/>
    <w:rsid w:val="00C43867"/>
    <w:rsid w:val="00C4586D"/>
    <w:rsid w:val="00C46556"/>
    <w:rsid w:val="00C64EA3"/>
    <w:rsid w:val="00C72224"/>
    <w:rsid w:val="00C75706"/>
    <w:rsid w:val="00C76451"/>
    <w:rsid w:val="00C81805"/>
    <w:rsid w:val="00C85850"/>
    <w:rsid w:val="00C95E9F"/>
    <w:rsid w:val="00CA0FDC"/>
    <w:rsid w:val="00CA4815"/>
    <w:rsid w:val="00CA6009"/>
    <w:rsid w:val="00CA7004"/>
    <w:rsid w:val="00CB0A54"/>
    <w:rsid w:val="00CB57C3"/>
    <w:rsid w:val="00CB7D97"/>
    <w:rsid w:val="00CC1725"/>
    <w:rsid w:val="00CC18E9"/>
    <w:rsid w:val="00CC2110"/>
    <w:rsid w:val="00CC278F"/>
    <w:rsid w:val="00CC5C12"/>
    <w:rsid w:val="00CD0DDF"/>
    <w:rsid w:val="00CD2E6C"/>
    <w:rsid w:val="00CD3FD4"/>
    <w:rsid w:val="00CD5240"/>
    <w:rsid w:val="00CD7E01"/>
    <w:rsid w:val="00CE0375"/>
    <w:rsid w:val="00CE0501"/>
    <w:rsid w:val="00CE10FE"/>
    <w:rsid w:val="00CE452E"/>
    <w:rsid w:val="00CE54B2"/>
    <w:rsid w:val="00CE557D"/>
    <w:rsid w:val="00CF296D"/>
    <w:rsid w:val="00CF3A19"/>
    <w:rsid w:val="00CF40A7"/>
    <w:rsid w:val="00CF6562"/>
    <w:rsid w:val="00D032E9"/>
    <w:rsid w:val="00D043F1"/>
    <w:rsid w:val="00D055A6"/>
    <w:rsid w:val="00D067F5"/>
    <w:rsid w:val="00D15833"/>
    <w:rsid w:val="00D1586A"/>
    <w:rsid w:val="00D1623F"/>
    <w:rsid w:val="00D22F93"/>
    <w:rsid w:val="00D23ABC"/>
    <w:rsid w:val="00D248D4"/>
    <w:rsid w:val="00D27DB1"/>
    <w:rsid w:val="00D360E6"/>
    <w:rsid w:val="00D403D3"/>
    <w:rsid w:val="00D52E88"/>
    <w:rsid w:val="00D549C1"/>
    <w:rsid w:val="00D553CC"/>
    <w:rsid w:val="00D5688A"/>
    <w:rsid w:val="00D56CDB"/>
    <w:rsid w:val="00D6277F"/>
    <w:rsid w:val="00D63B9B"/>
    <w:rsid w:val="00D65E8B"/>
    <w:rsid w:val="00D7425C"/>
    <w:rsid w:val="00D7558A"/>
    <w:rsid w:val="00D75CB8"/>
    <w:rsid w:val="00D7766D"/>
    <w:rsid w:val="00D82BFE"/>
    <w:rsid w:val="00D83B80"/>
    <w:rsid w:val="00D853A1"/>
    <w:rsid w:val="00D86284"/>
    <w:rsid w:val="00D8697B"/>
    <w:rsid w:val="00D90816"/>
    <w:rsid w:val="00D95CD6"/>
    <w:rsid w:val="00DA3128"/>
    <w:rsid w:val="00DB00DC"/>
    <w:rsid w:val="00DB2992"/>
    <w:rsid w:val="00DB4E6F"/>
    <w:rsid w:val="00DB69BA"/>
    <w:rsid w:val="00DB7A3C"/>
    <w:rsid w:val="00DC0850"/>
    <w:rsid w:val="00DC2BE9"/>
    <w:rsid w:val="00DC2D50"/>
    <w:rsid w:val="00DC305B"/>
    <w:rsid w:val="00DC5980"/>
    <w:rsid w:val="00DC5D87"/>
    <w:rsid w:val="00DD0A06"/>
    <w:rsid w:val="00DD2501"/>
    <w:rsid w:val="00DD27BF"/>
    <w:rsid w:val="00DD2B46"/>
    <w:rsid w:val="00DD3400"/>
    <w:rsid w:val="00DD3642"/>
    <w:rsid w:val="00DE3626"/>
    <w:rsid w:val="00DF3F63"/>
    <w:rsid w:val="00DF4189"/>
    <w:rsid w:val="00E02E80"/>
    <w:rsid w:val="00E05E4D"/>
    <w:rsid w:val="00E05EAD"/>
    <w:rsid w:val="00E0644A"/>
    <w:rsid w:val="00E06ED6"/>
    <w:rsid w:val="00E0752E"/>
    <w:rsid w:val="00E114B4"/>
    <w:rsid w:val="00E1655B"/>
    <w:rsid w:val="00E16E10"/>
    <w:rsid w:val="00E23C2E"/>
    <w:rsid w:val="00E26F99"/>
    <w:rsid w:val="00E27964"/>
    <w:rsid w:val="00E30B4D"/>
    <w:rsid w:val="00E35AB6"/>
    <w:rsid w:val="00E36C0A"/>
    <w:rsid w:val="00E377E0"/>
    <w:rsid w:val="00E435F2"/>
    <w:rsid w:val="00E44681"/>
    <w:rsid w:val="00E44C42"/>
    <w:rsid w:val="00E451CD"/>
    <w:rsid w:val="00E526D9"/>
    <w:rsid w:val="00E529E5"/>
    <w:rsid w:val="00E55C8C"/>
    <w:rsid w:val="00E61015"/>
    <w:rsid w:val="00E62455"/>
    <w:rsid w:val="00E65425"/>
    <w:rsid w:val="00E65E11"/>
    <w:rsid w:val="00E71B4E"/>
    <w:rsid w:val="00E73B1A"/>
    <w:rsid w:val="00E82049"/>
    <w:rsid w:val="00E86D68"/>
    <w:rsid w:val="00E878D9"/>
    <w:rsid w:val="00E90496"/>
    <w:rsid w:val="00E92356"/>
    <w:rsid w:val="00E93C3C"/>
    <w:rsid w:val="00E95747"/>
    <w:rsid w:val="00E97238"/>
    <w:rsid w:val="00EA796E"/>
    <w:rsid w:val="00EB20BF"/>
    <w:rsid w:val="00EB2524"/>
    <w:rsid w:val="00EB4C2F"/>
    <w:rsid w:val="00EB6C3B"/>
    <w:rsid w:val="00EC40A1"/>
    <w:rsid w:val="00EC4201"/>
    <w:rsid w:val="00EC742A"/>
    <w:rsid w:val="00ED0DDF"/>
    <w:rsid w:val="00ED272B"/>
    <w:rsid w:val="00EE2E52"/>
    <w:rsid w:val="00EE4676"/>
    <w:rsid w:val="00EE5FEE"/>
    <w:rsid w:val="00EF01F4"/>
    <w:rsid w:val="00EF2A55"/>
    <w:rsid w:val="00EF36EA"/>
    <w:rsid w:val="00EF5C61"/>
    <w:rsid w:val="00F039E0"/>
    <w:rsid w:val="00F05A5B"/>
    <w:rsid w:val="00F07246"/>
    <w:rsid w:val="00F07CC8"/>
    <w:rsid w:val="00F1000D"/>
    <w:rsid w:val="00F11041"/>
    <w:rsid w:val="00F13405"/>
    <w:rsid w:val="00F15234"/>
    <w:rsid w:val="00F17BC7"/>
    <w:rsid w:val="00F30BFA"/>
    <w:rsid w:val="00F311A4"/>
    <w:rsid w:val="00F366A0"/>
    <w:rsid w:val="00F400C8"/>
    <w:rsid w:val="00F40E91"/>
    <w:rsid w:val="00F4259C"/>
    <w:rsid w:val="00F60B66"/>
    <w:rsid w:val="00F61526"/>
    <w:rsid w:val="00F64265"/>
    <w:rsid w:val="00F64AE6"/>
    <w:rsid w:val="00F7299A"/>
    <w:rsid w:val="00F765C4"/>
    <w:rsid w:val="00F77456"/>
    <w:rsid w:val="00F82A32"/>
    <w:rsid w:val="00F82C2C"/>
    <w:rsid w:val="00F840D0"/>
    <w:rsid w:val="00F85913"/>
    <w:rsid w:val="00F85FD1"/>
    <w:rsid w:val="00F94F65"/>
    <w:rsid w:val="00F95861"/>
    <w:rsid w:val="00FA0A81"/>
    <w:rsid w:val="00FA38BF"/>
    <w:rsid w:val="00FA4663"/>
    <w:rsid w:val="00FA49D8"/>
    <w:rsid w:val="00FA7392"/>
    <w:rsid w:val="00FA758B"/>
    <w:rsid w:val="00FB3717"/>
    <w:rsid w:val="00FB42A7"/>
    <w:rsid w:val="00FB4580"/>
    <w:rsid w:val="00FB55D3"/>
    <w:rsid w:val="00FB7EFE"/>
    <w:rsid w:val="00FC2B31"/>
    <w:rsid w:val="00FC3DBE"/>
    <w:rsid w:val="00FC42E3"/>
    <w:rsid w:val="00FC42EA"/>
    <w:rsid w:val="00FD1F5C"/>
    <w:rsid w:val="00FD4D6E"/>
    <w:rsid w:val="00FD6383"/>
    <w:rsid w:val="00FD7543"/>
    <w:rsid w:val="00FD7A94"/>
    <w:rsid w:val="00FE2A76"/>
    <w:rsid w:val="00FE2C8E"/>
    <w:rsid w:val="00FE5640"/>
    <w:rsid w:val="00FF0378"/>
    <w:rsid w:val="00FF4F85"/>
    <w:rsid w:val="00FF5BC8"/>
    <w:rsid w:val="00FF5D3D"/>
    <w:rsid w:val="0256F941"/>
    <w:rsid w:val="07E9BF4B"/>
    <w:rsid w:val="0B3E3A08"/>
    <w:rsid w:val="0B6B9904"/>
    <w:rsid w:val="15C73CC3"/>
    <w:rsid w:val="17E34CF7"/>
    <w:rsid w:val="19BF6DC9"/>
    <w:rsid w:val="1A366248"/>
    <w:rsid w:val="1CD8094A"/>
    <w:rsid w:val="1DE3DB96"/>
    <w:rsid w:val="25E15552"/>
    <w:rsid w:val="2B8C5D44"/>
    <w:rsid w:val="3322E225"/>
    <w:rsid w:val="37657924"/>
    <w:rsid w:val="3C23170B"/>
    <w:rsid w:val="47F46348"/>
    <w:rsid w:val="4AA78B6F"/>
    <w:rsid w:val="4C7C4B7E"/>
    <w:rsid w:val="4EBF34DA"/>
    <w:rsid w:val="4F96F83B"/>
    <w:rsid w:val="5251AEE3"/>
    <w:rsid w:val="54C8AF90"/>
    <w:rsid w:val="5C3A5C3B"/>
    <w:rsid w:val="5F1E9E9A"/>
    <w:rsid w:val="5FE19D14"/>
    <w:rsid w:val="621971B3"/>
    <w:rsid w:val="62C306B4"/>
    <w:rsid w:val="62E47E4A"/>
    <w:rsid w:val="668649DD"/>
    <w:rsid w:val="69E4F5A0"/>
    <w:rsid w:val="6DCF43EC"/>
    <w:rsid w:val="6EED2F42"/>
    <w:rsid w:val="7145BA04"/>
    <w:rsid w:val="71523411"/>
    <w:rsid w:val="752A9024"/>
    <w:rsid w:val="7739E2F6"/>
    <w:rsid w:val="7A5B6162"/>
    <w:rsid w:val="7CF943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D12F490-BB1F-48BA-8F53-6D2D9B99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uiPriority w:val="98"/>
    <w:unhideWhenUsed/>
    <w:qFormat/>
    <w:rsid w:val="00694574"/>
    <w:rPr>
      <w:rFonts w:ascii="Calibri" w:eastAsia="Times New Roman" w:hAnsi="Calibri" w:cs="Calibri"/>
      <w:i/>
      <w:color w:val="0000FF"/>
      <w:u w:val="single"/>
      <w:lang w:eastAsia="en-AU"/>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character" w:customStyle="1" w:styleId="ListParagraphChar">
    <w:name w:val="List Paragraph Char"/>
    <w:basedOn w:val="DefaultParagraphFont"/>
    <w:link w:val="ListParagraph"/>
    <w:uiPriority w:val="34"/>
    <w:locked/>
    <w:rsid w:val="005A4737"/>
  </w:style>
  <w:style w:type="paragraph" w:styleId="ListParagraph">
    <w:name w:val="List Paragraph"/>
    <w:basedOn w:val="Normal"/>
    <w:link w:val="ListParagraphChar"/>
    <w:uiPriority w:val="34"/>
    <w:qFormat/>
    <w:rsid w:val="005A4737"/>
    <w:pPr>
      <w:numPr>
        <w:numId w:val="20"/>
      </w:numPr>
      <w:spacing w:after="0" w:line="240" w:lineRule="auto"/>
      <w:contextualSpacing/>
    </w:pPr>
  </w:style>
  <w:style w:type="paragraph" w:customStyle="1" w:styleId="TableParagraph">
    <w:name w:val="Table Paragraph"/>
    <w:basedOn w:val="Normal"/>
    <w:uiPriority w:val="1"/>
    <w:qFormat/>
    <w:rsid w:val="005A4737"/>
    <w:pPr>
      <w:autoSpaceDE w:val="0"/>
      <w:autoSpaceDN w:val="0"/>
      <w:spacing w:after="0" w:line="240" w:lineRule="auto"/>
    </w:pPr>
    <w:rPr>
      <w:rFonts w:ascii="Arial" w:hAnsi="Arial" w:cs="Arial"/>
    </w:rPr>
  </w:style>
  <w:style w:type="character" w:styleId="Mention">
    <w:name w:val="Mention"/>
    <w:basedOn w:val="DefaultParagraphFont"/>
    <w:uiPriority w:val="99"/>
    <w:unhideWhenUsed/>
    <w:rsid w:val="00F64265"/>
    <w:rPr>
      <w:color w:val="2B579A"/>
      <w:shd w:val="clear" w:color="auto" w:fill="E1DFDD"/>
    </w:rPr>
  </w:style>
  <w:style w:type="character" w:styleId="FollowedHyperlink">
    <w:name w:val="FollowedHyperlink"/>
    <w:basedOn w:val="DefaultParagraphFont"/>
    <w:uiPriority w:val="99"/>
    <w:semiHidden/>
    <w:unhideWhenUsed/>
    <w:rsid w:val="00BF50E0"/>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qut.edu.au/about/oodgeroo" TargetMode="External"/><Relationship Id="rId26" Type="http://schemas.openxmlformats.org/officeDocument/2006/relationships/hyperlink" Target="https://qutvirtual4.qut.edu.au/group/student/study/academic-help-and-workshops/maths-science-and-it-skills" TargetMode="External"/><Relationship Id="rId39" Type="http://schemas.openxmlformats.org/officeDocument/2006/relationships/hyperlink" Target="https://mopp.qut.edu.au/document/view.php?id=207" TargetMode="External"/><Relationship Id="rId21" Type="http://schemas.openxmlformats.org/officeDocument/2006/relationships/hyperlink" Target="https://www.qut.edu.au/study/applying/adjustment-schemes" TargetMode="External"/><Relationship Id="rId34" Type="http://schemas.openxmlformats.org/officeDocument/2006/relationships/hyperlink" Target="https://qutvirtual4.qut.edu.au/group/staff/student-support/enabling-student-success/peer-mentoring-and-support" TargetMode="External"/><Relationship Id="rId42" Type="http://schemas.openxmlformats.org/officeDocument/2006/relationships/hyperlink" Target="https://www.qut.edu.au/study/student-life/support/disability-accessibility-services" TargetMode="External"/><Relationship Id="rId47" Type="http://schemas.openxmlformats.org/officeDocument/2006/relationships/hyperlink" Target="https://www.qut.edu.au/research/why-qut/research-and-innovation"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ut.edu.au/about/our-university/safety-on-campus" TargetMode="External"/><Relationship Id="rId29" Type="http://schemas.openxmlformats.org/officeDocument/2006/relationships/hyperlink" Target="https://www.qut.edu.au/study/student-life/support" TargetMode="External"/><Relationship Id="rId11" Type="http://schemas.openxmlformats.org/officeDocument/2006/relationships/image" Target="media/image1.jpeg"/><Relationship Id="rId24" Type="http://schemas.openxmlformats.org/officeDocument/2006/relationships/hyperlink" Target="https://qutvirtual4.qut.edu.au/group/student/study/academic-help-and-workshops" TargetMode="External"/><Relationship Id="rId32" Type="http://schemas.openxmlformats.org/officeDocument/2006/relationships/hyperlink" Target="https://www.medical-centre.qut.edu.au/services-offered/mental-health" TargetMode="External"/><Relationship Id="rId37" Type="http://schemas.openxmlformats.org/officeDocument/2006/relationships/hyperlink" Target="https://qutvirtual4.qut.edu.au/group/staff/student-support/orientation" TargetMode="External"/><Relationship Id="rId40" Type="http://schemas.openxmlformats.org/officeDocument/2006/relationships/hyperlink" Target="https://questo.qut.edu.au/" TargetMode="External"/><Relationship Id="rId45" Type="http://schemas.openxmlformats.org/officeDocument/2006/relationships/hyperlink" Target="https://www.qut.edu.au/engage/industry-and-partnerships/work-with-students/mentor-our-students" TargetMode="External"/><Relationship Id="rId5" Type="http://schemas.openxmlformats.org/officeDocument/2006/relationships/numbering" Target="numbering.xml"/><Relationship Id="rId15" Type="http://schemas.openxmlformats.org/officeDocument/2006/relationships/hyperlink" Target="https://cms.qut.edu.au/__data/assets/pdf_file/0019/1520092/qut-sexual-harm-prevention-and-response-action-plan.pdf" TargetMode="External"/><Relationship Id="rId23" Type="http://schemas.openxmlformats.org/officeDocument/2006/relationships/hyperlink" Target="https://www.qut.edu.au/study/student-life/support/disability-support" TargetMode="External"/><Relationship Id="rId28" Type="http://schemas.openxmlformats.org/officeDocument/2006/relationships/hyperlink" Target="https://www.qut.edu.au/study/applying/centralised-assessment-and-selection-program" TargetMode="External"/><Relationship Id="rId36" Type="http://schemas.openxmlformats.org/officeDocument/2006/relationships/hyperlink" Target="https://qutvirtual4.qut.edu.au/group/staff/student-support/enabling-student-success/language-and-learning-skill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qut.edu.au/about/equity/equity-scholarships-scheme" TargetMode="External"/><Relationship Id="rId31" Type="http://schemas.openxmlformats.org/officeDocument/2006/relationships/hyperlink" Target="https://www.qut.edu.au/study/student-life/support/disability-accessibility-services" TargetMode="External"/><Relationship Id="rId44" Type="http://schemas.openxmlformats.org/officeDocument/2006/relationships/hyperlink" Target="https://qutvirtual4.qut.edu.au/group/student/jobs-and-careers/get-work-experience/work-integrated-learning-wil-placement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versitiesaustralia.edu.au/policy-submissions/safety-wellbeing/universities-australia-charter-on-sexual-harm/" TargetMode="External"/><Relationship Id="rId22" Type="http://schemas.openxmlformats.org/officeDocument/2006/relationships/hyperlink" Target="https://www.qut.edu.au/about/equity/widening-participation" TargetMode="External"/><Relationship Id="rId27" Type="http://schemas.openxmlformats.org/officeDocument/2006/relationships/hyperlink" Target="https://qutvirtual4.qut.edu.au/group/student/jobs-and-careers/career-support-advice-training" TargetMode="External"/><Relationship Id="rId30" Type="http://schemas.openxmlformats.org/officeDocument/2006/relationships/hyperlink" Target="https://www.qut.edu.au/study/student-life/living-in-brisbane/accommodation-in-brisbane" TargetMode="External"/><Relationship Id="rId35" Type="http://schemas.openxmlformats.org/officeDocument/2006/relationships/hyperlink" Target="https://qutvirtual4.qut.edu.au/group/staff/student-support/enabling-student-success/msit" TargetMode="External"/><Relationship Id="rId43" Type="http://schemas.openxmlformats.org/officeDocument/2006/relationships/hyperlink" Target="https://www.qut.edu.au/engage/industry-and-partnerships/work-with-students/host-student-internships-placements-projects" TargetMode="External"/><Relationship Id="rId48" Type="http://schemas.openxmlformats.org/officeDocument/2006/relationships/hyperlink" Target="https://www.qut.edu.au/engage/industry-and-partnership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opp.qut.edu.au/A/A_01_07.jsp" TargetMode="External"/><Relationship Id="rId25" Type="http://schemas.openxmlformats.org/officeDocument/2006/relationships/hyperlink" Target="https://qutvirtual4.qut.edu.au/group/student/study/academic-help-and-workshops/writing-and-speaking-skills" TargetMode="External"/><Relationship Id="rId33" Type="http://schemas.openxmlformats.org/officeDocument/2006/relationships/hyperlink" Target="https://qutvirtual4.qut.edu.au/group/staff/student-support/enabling-student-success" TargetMode="External"/><Relationship Id="rId38" Type="http://schemas.openxmlformats.org/officeDocument/2006/relationships/hyperlink" Target="https://qutvirtual4.qut.edu.au/group/staff/student-support/student-life-development" TargetMode="External"/><Relationship Id="rId46" Type="http://schemas.openxmlformats.org/officeDocument/2006/relationships/hyperlink" Target="https://www.qut.edu.au/study/qut-you" TargetMode="External"/><Relationship Id="rId20" Type="http://schemas.openxmlformats.org/officeDocument/2006/relationships/hyperlink" Target="https://qutvirtual4.qut.edu.au/group/student/health-and-wellbeing/financial-help-and-support/financial-help-and-equity-support" TargetMode="External"/><Relationship Id="rId41" Type="http://schemas.openxmlformats.org/officeDocument/2006/relationships/hyperlink" Target="https://www.qut.edu.au/about/oodgeroo/keystones-of-succes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91296BB6-1B61-4F2D-8FD3-FF69DFAF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00D3BA83-B09F-42A8-8EBB-06E9AA52F12A}">
  <ds:schemaRefs>
    <ds:schemaRef ds:uri="http://schemas.microsoft.com/sharepoint/v3/contenttype/forms"/>
  </ds:schemaRefs>
</ds:datastoreItem>
</file>

<file path=customXml/itemProps4.xml><?xml version="1.0" encoding="utf-8"?>
<ds:datastoreItem xmlns:ds="http://schemas.openxmlformats.org/officeDocument/2006/customXml" ds:itemID="{078AF770-79B3-43C7-862C-0F123C779A8E}">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3013</Words>
  <Characters>18784</Characters>
  <Application>Microsoft Office Word</Application>
  <DocSecurity>0</DocSecurity>
  <Lines>316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Links>
    <vt:vector size="174" baseType="variant">
      <vt:variant>
        <vt:i4>5308508</vt:i4>
      </vt:variant>
      <vt:variant>
        <vt:i4>75</vt:i4>
      </vt:variant>
      <vt:variant>
        <vt:i4>0</vt:i4>
      </vt:variant>
      <vt:variant>
        <vt:i4>5</vt:i4>
      </vt:variant>
      <vt:variant>
        <vt:lpwstr>https://qutvirtual4.qut.edu.au/group/student/jobs-and-careers/get-work-experience/work-integrated-learning-wil-placements</vt:lpwstr>
      </vt:variant>
      <vt:variant>
        <vt:lpwstr/>
      </vt:variant>
      <vt:variant>
        <vt:i4>4128802</vt:i4>
      </vt:variant>
      <vt:variant>
        <vt:i4>72</vt:i4>
      </vt:variant>
      <vt:variant>
        <vt:i4>0</vt:i4>
      </vt:variant>
      <vt:variant>
        <vt:i4>5</vt:i4>
      </vt:variant>
      <vt:variant>
        <vt:lpwstr>https://www.qut.edu.au/engage/industry-and-partnerships/work-with-students/host-student-internships-placements-projects</vt:lpwstr>
      </vt:variant>
      <vt:variant>
        <vt:lpwstr/>
      </vt:variant>
      <vt:variant>
        <vt:i4>5570630</vt:i4>
      </vt:variant>
      <vt:variant>
        <vt:i4>69</vt:i4>
      </vt:variant>
      <vt:variant>
        <vt:i4>0</vt:i4>
      </vt:variant>
      <vt:variant>
        <vt:i4>5</vt:i4>
      </vt:variant>
      <vt:variant>
        <vt:lpwstr>https://mopp.qut.edu.au/document/view.php?id=207</vt:lpwstr>
      </vt:variant>
      <vt:variant>
        <vt:lpwstr/>
      </vt:variant>
      <vt:variant>
        <vt:i4>7078012</vt:i4>
      </vt:variant>
      <vt:variant>
        <vt:i4>66</vt:i4>
      </vt:variant>
      <vt:variant>
        <vt:i4>0</vt:i4>
      </vt:variant>
      <vt:variant>
        <vt:i4>5</vt:i4>
      </vt:variant>
      <vt:variant>
        <vt:lpwstr>https://qutvirtual4.qut.edu.au/group/staff/student-support/student-life-development</vt:lpwstr>
      </vt:variant>
      <vt:variant>
        <vt:lpwstr/>
      </vt:variant>
      <vt:variant>
        <vt:i4>4063280</vt:i4>
      </vt:variant>
      <vt:variant>
        <vt:i4>63</vt:i4>
      </vt:variant>
      <vt:variant>
        <vt:i4>0</vt:i4>
      </vt:variant>
      <vt:variant>
        <vt:i4>5</vt:i4>
      </vt:variant>
      <vt:variant>
        <vt:lpwstr>https://qutvirtual4.qut.edu.au/group/staff/student-support/orientation</vt:lpwstr>
      </vt:variant>
      <vt:variant>
        <vt:lpwstr/>
      </vt:variant>
      <vt:variant>
        <vt:i4>5308490</vt:i4>
      </vt:variant>
      <vt:variant>
        <vt:i4>60</vt:i4>
      </vt:variant>
      <vt:variant>
        <vt:i4>0</vt:i4>
      </vt:variant>
      <vt:variant>
        <vt:i4>5</vt:i4>
      </vt:variant>
      <vt:variant>
        <vt:lpwstr>https://qutvirtual4.qut.edu.au/group/staff/student-support/enabling-student-success/language-and-learning-skills</vt:lpwstr>
      </vt:variant>
      <vt:variant>
        <vt:lpwstr/>
      </vt:variant>
      <vt:variant>
        <vt:i4>327775</vt:i4>
      </vt:variant>
      <vt:variant>
        <vt:i4>57</vt:i4>
      </vt:variant>
      <vt:variant>
        <vt:i4>0</vt:i4>
      </vt:variant>
      <vt:variant>
        <vt:i4>5</vt:i4>
      </vt:variant>
      <vt:variant>
        <vt:lpwstr>https://qutvirtual4.qut.edu.au/group/staff/student-support/enabling-student-success/msit</vt:lpwstr>
      </vt:variant>
      <vt:variant>
        <vt:lpwstr/>
      </vt:variant>
      <vt:variant>
        <vt:i4>6946935</vt:i4>
      </vt:variant>
      <vt:variant>
        <vt:i4>54</vt:i4>
      </vt:variant>
      <vt:variant>
        <vt:i4>0</vt:i4>
      </vt:variant>
      <vt:variant>
        <vt:i4>5</vt:i4>
      </vt:variant>
      <vt:variant>
        <vt:lpwstr>https://qutvirtual4.qut.edu.au/group/staff/student-support/enabling-student-success/peer-mentoring-and-support</vt:lpwstr>
      </vt:variant>
      <vt:variant>
        <vt:lpwstr/>
      </vt:variant>
      <vt:variant>
        <vt:i4>2949160</vt:i4>
      </vt:variant>
      <vt:variant>
        <vt:i4>51</vt:i4>
      </vt:variant>
      <vt:variant>
        <vt:i4>0</vt:i4>
      </vt:variant>
      <vt:variant>
        <vt:i4>5</vt:i4>
      </vt:variant>
      <vt:variant>
        <vt:lpwstr>https://qutvirtual4.qut.edu.au/group/staff/student-support/enabling-student-success</vt:lpwstr>
      </vt:variant>
      <vt:variant>
        <vt:lpwstr/>
      </vt:variant>
      <vt:variant>
        <vt:i4>6291518</vt:i4>
      </vt:variant>
      <vt:variant>
        <vt:i4>48</vt:i4>
      </vt:variant>
      <vt:variant>
        <vt:i4>0</vt:i4>
      </vt:variant>
      <vt:variant>
        <vt:i4>5</vt:i4>
      </vt:variant>
      <vt:variant>
        <vt:lpwstr>https://www.qut.edu.au/study/student-life/living-in-brisbane/accommodation-in-brisbane</vt:lpwstr>
      </vt:variant>
      <vt:variant>
        <vt:lpwstr/>
      </vt:variant>
      <vt:variant>
        <vt:i4>1441815</vt:i4>
      </vt:variant>
      <vt:variant>
        <vt:i4>45</vt:i4>
      </vt:variant>
      <vt:variant>
        <vt:i4>0</vt:i4>
      </vt:variant>
      <vt:variant>
        <vt:i4>5</vt:i4>
      </vt:variant>
      <vt:variant>
        <vt:lpwstr>https://www.qut.edu.au/study/student-life/support</vt:lpwstr>
      </vt:variant>
      <vt:variant>
        <vt:lpwstr/>
      </vt:variant>
      <vt:variant>
        <vt:i4>4259919</vt:i4>
      </vt:variant>
      <vt:variant>
        <vt:i4>42</vt:i4>
      </vt:variant>
      <vt:variant>
        <vt:i4>0</vt:i4>
      </vt:variant>
      <vt:variant>
        <vt:i4>5</vt:i4>
      </vt:variant>
      <vt:variant>
        <vt:lpwstr>https://qutvirtual4.qut.edu.au/group/student/jobs-and-careers/career-support-advice-training</vt:lpwstr>
      </vt:variant>
      <vt:variant>
        <vt:lpwstr/>
      </vt:variant>
      <vt:variant>
        <vt:i4>8257578</vt:i4>
      </vt:variant>
      <vt:variant>
        <vt:i4>39</vt:i4>
      </vt:variant>
      <vt:variant>
        <vt:i4>0</vt:i4>
      </vt:variant>
      <vt:variant>
        <vt:i4>5</vt:i4>
      </vt:variant>
      <vt:variant>
        <vt:lpwstr>https://qutvirtual4.qut.edu.au/group/student/study/academic-help-and-workshops</vt:lpwstr>
      </vt:variant>
      <vt:variant>
        <vt:lpwstr>h2-4</vt:lpwstr>
      </vt:variant>
      <vt:variant>
        <vt:i4>2555951</vt:i4>
      </vt:variant>
      <vt:variant>
        <vt:i4>36</vt:i4>
      </vt:variant>
      <vt:variant>
        <vt:i4>0</vt:i4>
      </vt:variant>
      <vt:variant>
        <vt:i4>5</vt:i4>
      </vt:variant>
      <vt:variant>
        <vt:lpwstr>https://qutvirtual4.qut.edu.au/group/student/study/academic-help-and-workshops/writing-and-speaking-skills</vt:lpwstr>
      </vt:variant>
      <vt:variant>
        <vt:lpwstr/>
      </vt:variant>
      <vt:variant>
        <vt:i4>8257578</vt:i4>
      </vt:variant>
      <vt:variant>
        <vt:i4>33</vt:i4>
      </vt:variant>
      <vt:variant>
        <vt:i4>0</vt:i4>
      </vt:variant>
      <vt:variant>
        <vt:i4>5</vt:i4>
      </vt:variant>
      <vt:variant>
        <vt:lpwstr>https://qutvirtual4.qut.edu.au/group/student/study/academic-help-and-workshops</vt:lpwstr>
      </vt:variant>
      <vt:variant>
        <vt:lpwstr>h2-4</vt:lpwstr>
      </vt:variant>
      <vt:variant>
        <vt:i4>5242964</vt:i4>
      </vt:variant>
      <vt:variant>
        <vt:i4>30</vt:i4>
      </vt:variant>
      <vt:variant>
        <vt:i4>0</vt:i4>
      </vt:variant>
      <vt:variant>
        <vt:i4>5</vt:i4>
      </vt:variant>
      <vt:variant>
        <vt:lpwstr>https://www.qut.edu.au/study/student-life/support/disability-support</vt:lpwstr>
      </vt:variant>
      <vt:variant>
        <vt:lpwstr/>
      </vt:variant>
      <vt:variant>
        <vt:i4>8061025</vt:i4>
      </vt:variant>
      <vt:variant>
        <vt:i4>27</vt:i4>
      </vt:variant>
      <vt:variant>
        <vt:i4>0</vt:i4>
      </vt:variant>
      <vt:variant>
        <vt:i4>5</vt:i4>
      </vt:variant>
      <vt:variant>
        <vt:lpwstr>https://www.qut.edu.au/about/equity/widening-participation</vt:lpwstr>
      </vt:variant>
      <vt:variant>
        <vt:lpwstr/>
      </vt:variant>
      <vt:variant>
        <vt:i4>3997796</vt:i4>
      </vt:variant>
      <vt:variant>
        <vt:i4>24</vt:i4>
      </vt:variant>
      <vt:variant>
        <vt:i4>0</vt:i4>
      </vt:variant>
      <vt:variant>
        <vt:i4>5</vt:i4>
      </vt:variant>
      <vt:variant>
        <vt:lpwstr>https://qutvirtual4.qut.edu.au/group/student/health-and-wellbeing/financial-help-and-support/financial-help-and-equity-support</vt:lpwstr>
      </vt:variant>
      <vt:variant>
        <vt:lpwstr/>
      </vt:variant>
      <vt:variant>
        <vt:i4>3080313</vt:i4>
      </vt:variant>
      <vt:variant>
        <vt:i4>21</vt:i4>
      </vt:variant>
      <vt:variant>
        <vt:i4>0</vt:i4>
      </vt:variant>
      <vt:variant>
        <vt:i4>5</vt:i4>
      </vt:variant>
      <vt:variant>
        <vt:lpwstr>https://www.qut.edu.au/about/equity/equity-scholarships-scheme</vt:lpwstr>
      </vt:variant>
      <vt:variant>
        <vt:lpwstr/>
      </vt:variant>
      <vt:variant>
        <vt:i4>5701721</vt:i4>
      </vt:variant>
      <vt:variant>
        <vt:i4>18</vt:i4>
      </vt:variant>
      <vt:variant>
        <vt:i4>0</vt:i4>
      </vt:variant>
      <vt:variant>
        <vt:i4>5</vt:i4>
      </vt:variant>
      <vt:variant>
        <vt:lpwstr>https://www.qut.edu.au/about/oodgeroo</vt:lpwstr>
      </vt:variant>
      <vt:variant>
        <vt:lpwstr/>
      </vt:variant>
      <vt:variant>
        <vt:i4>2097189</vt:i4>
      </vt:variant>
      <vt:variant>
        <vt:i4>15</vt:i4>
      </vt:variant>
      <vt:variant>
        <vt:i4>0</vt:i4>
      </vt:variant>
      <vt:variant>
        <vt:i4>5</vt:i4>
      </vt:variant>
      <vt:variant>
        <vt:lpwstr>https://www.mopp.qut.edu.au/A/A_01_07.jsp</vt:lpwstr>
      </vt:variant>
      <vt:variant>
        <vt:lpwstr/>
      </vt:variant>
      <vt:variant>
        <vt:i4>4653144</vt:i4>
      </vt:variant>
      <vt:variant>
        <vt:i4>9</vt:i4>
      </vt:variant>
      <vt:variant>
        <vt:i4>0</vt:i4>
      </vt:variant>
      <vt:variant>
        <vt:i4>5</vt:i4>
      </vt:variant>
      <vt:variant>
        <vt:lpwstr>https://www.qut.edu.au/about/our-university/safety-on-campus</vt:lpwstr>
      </vt:variant>
      <vt:variant>
        <vt:lpwstr/>
      </vt:variant>
      <vt:variant>
        <vt:i4>4259881</vt:i4>
      </vt:variant>
      <vt:variant>
        <vt:i4>6</vt:i4>
      </vt:variant>
      <vt:variant>
        <vt:i4>0</vt:i4>
      </vt:variant>
      <vt:variant>
        <vt:i4>5</vt:i4>
      </vt:variant>
      <vt:variant>
        <vt:lpwstr>https://cms.qut.edu.au/__data/assets/pdf_file/0019/1520092/qut-sexual-harm-prevention-action-plan.pdf?_gl=1*17j3vw6*_ga*MTcyMDYyNDM4OC4xNzU3NTQ4NDQ5*_ga_S1B55LT1H8*czE3NTg0OTE3OTUkbzMkZzEkdDE3NTg0OTE4NzEkajYwJGwwJGgw</vt:lpwstr>
      </vt:variant>
      <vt:variant>
        <vt:lpwstr/>
      </vt:variant>
      <vt:variant>
        <vt:i4>7209013</vt:i4>
      </vt:variant>
      <vt:variant>
        <vt:i4>3</vt:i4>
      </vt:variant>
      <vt:variant>
        <vt:i4>0</vt:i4>
      </vt:variant>
      <vt:variant>
        <vt:i4>5</vt:i4>
      </vt:variant>
      <vt:variant>
        <vt:lpwstr>https://universitiesaustralia.edu.au/policy-submissions/safety-wellbeing/universities-australia-charter-on-sexual-harm/</vt:lpwstr>
      </vt:variant>
      <vt:variant>
        <vt:lpwstr/>
      </vt:variant>
      <vt:variant>
        <vt:i4>1572968</vt:i4>
      </vt:variant>
      <vt:variant>
        <vt:i4>0</vt:i4>
      </vt:variant>
      <vt:variant>
        <vt:i4>0</vt:i4>
      </vt:variant>
      <vt:variant>
        <vt:i4>5</vt:i4>
      </vt:variant>
      <vt:variant>
        <vt:lpwstr>https://cms.qut.edu.au/__data/assets/pdf_file/0006/1190247/qut-connections.pdf</vt:lpwstr>
      </vt:variant>
      <vt:variant>
        <vt:lpwstr/>
      </vt:variant>
      <vt:variant>
        <vt:i4>2097217</vt:i4>
      </vt:variant>
      <vt:variant>
        <vt:i4>9</vt:i4>
      </vt:variant>
      <vt:variant>
        <vt:i4>0</vt:i4>
      </vt:variant>
      <vt:variant>
        <vt:i4>5</vt:i4>
      </vt:variant>
      <vt:variant>
        <vt:lpwstr>mailto:leeton@qut.edu.au</vt:lpwstr>
      </vt:variant>
      <vt:variant>
        <vt:lpwstr/>
      </vt:variant>
      <vt:variant>
        <vt:i4>6029369</vt:i4>
      </vt:variant>
      <vt:variant>
        <vt:i4>6</vt:i4>
      </vt:variant>
      <vt:variant>
        <vt:i4>0</vt:i4>
      </vt:variant>
      <vt:variant>
        <vt:i4>5</vt:i4>
      </vt:variant>
      <vt:variant>
        <vt:lpwstr>mailto:raymente@qut.edu.au</vt:lpwstr>
      </vt:variant>
      <vt:variant>
        <vt:lpwstr/>
      </vt:variant>
      <vt:variant>
        <vt:i4>4653144</vt:i4>
      </vt:variant>
      <vt:variant>
        <vt:i4>3</vt:i4>
      </vt:variant>
      <vt:variant>
        <vt:i4>0</vt:i4>
      </vt:variant>
      <vt:variant>
        <vt:i4>5</vt:i4>
      </vt:variant>
      <vt:variant>
        <vt:lpwstr>https://www.qut.edu.au/about/our-university/safety-on-campus</vt:lpwstr>
      </vt:variant>
      <vt:variant>
        <vt:lpwstr/>
      </vt:variant>
      <vt:variant>
        <vt:i4>3276881</vt:i4>
      </vt:variant>
      <vt:variant>
        <vt:i4>0</vt:i4>
      </vt:variant>
      <vt:variant>
        <vt:i4>0</vt:i4>
      </vt:variant>
      <vt:variant>
        <vt:i4>5</vt:i4>
      </vt:variant>
      <vt:variant>
        <vt:lpwstr>mailto:levinc@qut.edu.au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AJAJ,Rima</dc:creator>
  <cp:keywords/>
  <dc:description/>
  <cp:lastModifiedBy>LEAP,Andrew</cp:lastModifiedBy>
  <cp:revision>11</cp:revision>
  <cp:lastPrinted>2025-12-01T05:21:00Z</cp:lastPrinted>
  <dcterms:created xsi:type="dcterms:W3CDTF">2025-11-23T22:43:00Z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0x0101001E36138AF4CB284D930A08DC3809C1D3</vt:lpwstr>
  </property>
  <property fmtid="{D5CDD505-2E9C-101B-9397-08002B2CF9AE}" pid="3" name="MSIP_Label_79d889eb-932f-4752-8739-64d25806ef64_Enabled">
    <vt:lpwstr>true</vt:lpwstr>
  </property>
  <property fmtid="{D5CDD505-2E9C-101B-9397-08002B2CF9AE}" pid="4" name="MSIP_Label_79d889eb-932f-4752-8739-64d25806ef64_SetDate">
    <vt:lpwstr>2025-11-23T22:43:48Z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47c16610-c3ec-4729-8d9f-59345a7e8fcb</vt:lpwstr>
  </property>
  <property fmtid="{D5CDD505-2E9C-101B-9397-08002B2CF9AE}" pid="9" name="MSIP_Label_79d889eb-932f-4752-8739-64d25806ef64_ContentBits">
    <vt:lpwstr>0</vt:lpwstr>
  </property>
  <property fmtid="{D5CDD505-2E9C-101B-9397-08002B2CF9AE}" pid="10" name="MSIP_Label_79d889eb-932f-4752-8739-64d25806ef64_Tag">
    <vt:lpwstr>10, 0, 1, 1</vt:lpwstr>
  </property>
  <property fmtid="{D5CDD505-2E9C-101B-9397-08002B2CF9AE}" pid="11" name="MediaServiceImageTags">
    <vt:lpwstr/>
  </property>
</Properties>
</file>