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30A8B403">
        <w:trPr>
          <w:cantSplit/>
        </w:trPr>
        <w:tc>
          <w:tcPr>
            <w:tcW w:w="5000" w:type="pct"/>
            <w:tcBorders>
              <w:bottom w:val="single" w:sz="4" w:space="0" w:color="auto"/>
            </w:tcBorders>
          </w:tcPr>
          <w:p w14:paraId="2DC984E7" w14:textId="377F55A5" w:rsidR="001B109C" w:rsidRPr="00F34B1E" w:rsidRDefault="001B109C">
            <w:pPr>
              <w:pStyle w:val="Heading4"/>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CC2FB5">
              <w:t>MURDOCH</w:t>
            </w:r>
            <w:r w:rsidRPr="00F34B1E">
              <w:t xml:space="preserve"> UNIVERSITY</w:t>
            </w:r>
          </w:p>
          <w:p w14:paraId="26FC6577" w14:textId="43AFD5AD" w:rsidR="001B109C" w:rsidRPr="0007338F" w:rsidRDefault="001B109C">
            <w:pPr>
              <w:rPr>
                <w:rFonts w:cstheme="minorHAnsi"/>
                <w:i/>
                <w:iCs/>
                <w:sz w:val="24"/>
                <w:szCs w:val="24"/>
              </w:rPr>
            </w:pPr>
          </w:p>
        </w:tc>
      </w:tr>
      <w:tr w:rsidR="001B109C" w:rsidRPr="00E41388" w14:paraId="2126955C" w14:textId="77777777" w:rsidTr="30A8B403">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30A8B403">
        <w:trPr>
          <w:cantSplit/>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30A8B403">
        <w:tc>
          <w:tcPr>
            <w:tcW w:w="5000" w:type="pct"/>
          </w:tcPr>
          <w:p w14:paraId="43C124C8" w14:textId="55208677" w:rsidR="001B109C" w:rsidRPr="00E169EE" w:rsidRDefault="00F30BFA" w:rsidP="00F30BFA">
            <w:pPr>
              <w:pStyle w:val="Heading4"/>
              <w:keepLines w:val="0"/>
              <w:spacing w:before="180" w:after="60"/>
            </w:pPr>
            <w:r w:rsidRPr="00F30BFA">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30A8B403">
        <w:trPr>
          <w:trHeight w:val="1123"/>
        </w:trPr>
        <w:tc>
          <w:tcPr>
            <w:tcW w:w="5000" w:type="pct"/>
            <w:tcBorders>
              <w:bottom w:val="single" w:sz="4" w:space="0" w:color="auto"/>
            </w:tcBorders>
          </w:tcPr>
          <w:p w14:paraId="6B5C84B7" w14:textId="77777777" w:rsidR="003F4819" w:rsidRDefault="003F4819">
            <w:pPr>
              <w:pStyle w:val="NormalIndent"/>
              <w:spacing w:before="0" w:after="0"/>
              <w:ind w:left="0"/>
              <w:rPr>
                <w:rFonts w:asciiTheme="minorHAnsi" w:hAnsiTheme="minorHAnsi" w:cstheme="minorHAnsi"/>
                <w:i/>
                <w:color w:val="FF0000"/>
                <w:szCs w:val="22"/>
              </w:rPr>
            </w:pPr>
          </w:p>
          <w:p w14:paraId="0C409EE9" w14:textId="689ECF4A" w:rsidR="00CC2FB5" w:rsidRDefault="00CC2FB5" w:rsidP="00CC2FB5">
            <w:hyperlink r:id="rId14" w:history="1">
              <w:r w:rsidRPr="00A41B2F">
                <w:rPr>
                  <w:rStyle w:val="Hyperlink"/>
                  <w:b/>
                  <w:bCs/>
                </w:rPr>
                <w:t xml:space="preserve">Murdoch University’s </w:t>
              </w:r>
              <w:r w:rsidR="00F06557">
                <w:rPr>
                  <w:rStyle w:val="Hyperlink"/>
                  <w:b/>
                  <w:bCs/>
                </w:rPr>
                <w:t>Strategy</w:t>
              </w:r>
              <w:r w:rsidRPr="00A41B2F">
                <w:rPr>
                  <w:rStyle w:val="Hyperlink"/>
                  <w:b/>
                  <w:bCs/>
                </w:rPr>
                <w:t xml:space="preserve"> 2023–2030</w:t>
              </w:r>
            </w:hyperlink>
            <w:r w:rsidRPr="005410C8">
              <w:t xml:space="preserve">, titled </w:t>
            </w:r>
            <w:r w:rsidRPr="00EF348F">
              <w:rPr>
                <w:i/>
                <w:iCs/>
              </w:rPr>
              <w:t xml:space="preserve">Ngala </w:t>
            </w:r>
            <w:proofErr w:type="spellStart"/>
            <w:r w:rsidRPr="00EF348F">
              <w:rPr>
                <w:i/>
                <w:iCs/>
              </w:rPr>
              <w:t>Kwop</w:t>
            </w:r>
            <w:proofErr w:type="spellEnd"/>
            <w:r w:rsidRPr="00EF348F">
              <w:rPr>
                <w:i/>
                <w:iCs/>
              </w:rPr>
              <w:t xml:space="preserve"> Biddi</w:t>
            </w:r>
            <w:r w:rsidR="00C45279">
              <w:rPr>
                <w:i/>
                <w:iCs/>
              </w:rPr>
              <w:t>: Building a Brighter Future, Together</w:t>
            </w:r>
            <w:r w:rsidRPr="005410C8">
              <w:t>, lays out a clear direction for the University’s future, building on its legacy of inclusive education, impactful research, and meaningful engagement. The plan is guided by a vision to deliver social and environmental good through transformative learning and research, while amplifying the voices and knowledge of First Nations peoples.</w:t>
            </w:r>
          </w:p>
          <w:p w14:paraId="261D1368" w14:textId="2F833CC0" w:rsidR="00CC2FB5" w:rsidRPr="00EF348F" w:rsidRDefault="00192ECA" w:rsidP="00CC2FB5">
            <w:pPr>
              <w:pStyle w:val="Heading1"/>
              <w:spacing w:before="0" w:line="360" w:lineRule="auto"/>
              <w:rPr>
                <w:sz w:val="22"/>
                <w:szCs w:val="22"/>
              </w:rPr>
            </w:pPr>
            <w:r>
              <w:rPr>
                <w:sz w:val="22"/>
                <w:szCs w:val="22"/>
              </w:rPr>
              <w:t>Purpose</w:t>
            </w:r>
            <w:r w:rsidRPr="00EF348F">
              <w:rPr>
                <w:sz w:val="22"/>
                <w:szCs w:val="22"/>
              </w:rPr>
              <w:t xml:space="preserve"> </w:t>
            </w:r>
            <w:r w:rsidR="00CC2FB5" w:rsidRPr="00EF348F">
              <w:rPr>
                <w:sz w:val="22"/>
                <w:szCs w:val="22"/>
              </w:rPr>
              <w:t>and Vision</w:t>
            </w:r>
          </w:p>
          <w:p w14:paraId="447E508D" w14:textId="5E292E06" w:rsidR="00CC2FB5" w:rsidRDefault="00CC2FB5" w:rsidP="00CC2FB5">
            <w:r w:rsidRPr="005410C8">
              <w:t xml:space="preserve">Murdoch University’s </w:t>
            </w:r>
            <w:r w:rsidR="00166680">
              <w:t>purpose</w:t>
            </w:r>
            <w:r w:rsidR="00166680" w:rsidRPr="005410C8">
              <w:t xml:space="preserve"> </w:t>
            </w:r>
            <w:r w:rsidRPr="005410C8">
              <w:t xml:space="preserve">is to </w:t>
            </w:r>
            <w:r w:rsidR="00A00C73">
              <w:t xml:space="preserve">change lives and society for the better through accessible </w:t>
            </w:r>
            <w:proofErr w:type="spellStart"/>
            <w:r w:rsidR="00A00C73">
              <w:t>eduction</w:t>
            </w:r>
            <w:proofErr w:type="spellEnd"/>
            <w:r w:rsidR="00A00C73">
              <w:t xml:space="preserve"> and research</w:t>
            </w:r>
            <w:r w:rsidR="0096443E">
              <w:t xml:space="preserve">, contributing to the solution of societal and </w:t>
            </w:r>
            <w:r w:rsidR="00C54C20">
              <w:t>environmental challenges and providing an inclusive, caring community in which everyone can realise their potential</w:t>
            </w:r>
            <w:r w:rsidRPr="005410C8">
              <w:t xml:space="preserve">. </w:t>
            </w:r>
            <w:r w:rsidR="006904E4">
              <w:t>Our</w:t>
            </w:r>
            <w:r w:rsidR="006904E4" w:rsidRPr="005410C8">
              <w:t xml:space="preserve"> </w:t>
            </w:r>
            <w:r w:rsidRPr="005410C8">
              <w:t xml:space="preserve">overarching vision is to be </w:t>
            </w:r>
            <w:r w:rsidR="00ED3E14">
              <w:t xml:space="preserve">widely </w:t>
            </w:r>
            <w:r w:rsidRPr="005410C8">
              <w:t xml:space="preserve">recognised </w:t>
            </w:r>
            <w:r w:rsidR="00ED3E14">
              <w:t xml:space="preserve">as </w:t>
            </w:r>
            <w:r w:rsidR="0089053D">
              <w:t>the university of choice for people who care</w:t>
            </w:r>
            <w:r w:rsidR="0062658F">
              <w:t>, who value inclu</w:t>
            </w:r>
            <w:r w:rsidR="00D02B54">
              <w:t>sion, curio</w:t>
            </w:r>
            <w:r w:rsidR="00C969A9">
              <w:t>sity and innovation</w:t>
            </w:r>
            <w:r w:rsidR="00BA3582">
              <w:t xml:space="preserve">, and who </w:t>
            </w:r>
            <w:r w:rsidR="004F0923">
              <w:t>desire to make a positive social impact.</w:t>
            </w:r>
            <w:r w:rsidR="00BE62BD">
              <w:t xml:space="preserve"> We will be a leadi</w:t>
            </w:r>
            <w:r w:rsidR="00D33E0B">
              <w:t>ng university</w:t>
            </w:r>
            <w:r w:rsidR="00ED3E14" w:rsidRPr="005410C8">
              <w:t xml:space="preserve"> </w:t>
            </w:r>
            <w:r w:rsidR="00D33E0B">
              <w:t>in</w:t>
            </w:r>
            <w:r w:rsidRPr="005410C8">
              <w:t xml:space="preserve"> inclusivity, sustainability, and First Nations engagement, ensuring that every student and staff member is empowered to make a positive impact.</w:t>
            </w:r>
          </w:p>
          <w:p w14:paraId="3CE50DE9" w14:textId="77777777" w:rsidR="00CC2FB5" w:rsidRPr="00EF348F" w:rsidRDefault="00CC2FB5" w:rsidP="00CC2FB5">
            <w:pPr>
              <w:pStyle w:val="Heading1"/>
              <w:spacing w:before="0" w:line="360" w:lineRule="auto"/>
              <w:rPr>
                <w:sz w:val="22"/>
                <w:szCs w:val="22"/>
              </w:rPr>
            </w:pPr>
            <w:r w:rsidRPr="00EF348F">
              <w:rPr>
                <w:sz w:val="22"/>
                <w:szCs w:val="22"/>
              </w:rPr>
              <w:t>Three Strategic Themes</w:t>
            </w:r>
          </w:p>
          <w:p w14:paraId="3A537192" w14:textId="77777777" w:rsidR="00CC2FB5" w:rsidRDefault="00CC2FB5" w:rsidP="00CC2FB5">
            <w:r w:rsidRPr="005410C8">
              <w:t>Central to the plan are three strategic themes that underpin all University activities:</w:t>
            </w:r>
          </w:p>
          <w:p w14:paraId="2E38C448" w14:textId="77777777" w:rsidR="00CC2FB5" w:rsidRPr="00EF348F" w:rsidRDefault="00CC2FB5" w:rsidP="00CC2FB5">
            <w:pPr>
              <w:pStyle w:val="ListParagraph"/>
              <w:numPr>
                <w:ilvl w:val="0"/>
                <w:numId w:val="24"/>
              </w:numPr>
              <w:rPr>
                <w:sz w:val="22"/>
                <w:szCs w:val="22"/>
              </w:rPr>
            </w:pPr>
            <w:r w:rsidRPr="00EF348F">
              <w:rPr>
                <w:b/>
                <w:bCs/>
                <w:sz w:val="22"/>
                <w:szCs w:val="22"/>
              </w:rPr>
              <w:t>Sustainability</w:t>
            </w:r>
            <w:r w:rsidRPr="00EF348F">
              <w:rPr>
                <w:sz w:val="22"/>
                <w:szCs w:val="22"/>
              </w:rPr>
              <w:t>: Murdoch is committed to embedding sustainability across its teaching, research, and operations. This includes climate action, resource management, and promoting innovation that supports the long-term wellbeing of people and the planet.</w:t>
            </w:r>
          </w:p>
          <w:p w14:paraId="52CEDA9E" w14:textId="77777777" w:rsidR="00CC2FB5" w:rsidRPr="00EF348F" w:rsidRDefault="00CC2FB5" w:rsidP="00CC2FB5">
            <w:pPr>
              <w:pStyle w:val="ListParagraph"/>
              <w:numPr>
                <w:ilvl w:val="0"/>
                <w:numId w:val="24"/>
              </w:numPr>
              <w:rPr>
                <w:sz w:val="22"/>
                <w:szCs w:val="22"/>
              </w:rPr>
            </w:pPr>
            <w:r w:rsidRPr="00EF348F">
              <w:rPr>
                <w:b/>
                <w:bCs/>
                <w:sz w:val="22"/>
                <w:szCs w:val="22"/>
              </w:rPr>
              <w:lastRenderedPageBreak/>
              <w:t>Equity, Diversity and Inclusion</w:t>
            </w:r>
            <w:r w:rsidRPr="00EF348F">
              <w:rPr>
                <w:sz w:val="22"/>
                <w:szCs w:val="22"/>
              </w:rPr>
              <w:t>: The University strives to create an environment where everyone has access to opportunity, regardless of background. Removing barriers, promoting fairness, and celebrating diversity are at the heart of Murdoch’s culture.</w:t>
            </w:r>
          </w:p>
          <w:p w14:paraId="64A5BEC8" w14:textId="77777777" w:rsidR="00CC2FB5" w:rsidRPr="00EF348F" w:rsidRDefault="00CC2FB5" w:rsidP="00CC2FB5">
            <w:pPr>
              <w:pStyle w:val="ListParagraph"/>
              <w:numPr>
                <w:ilvl w:val="0"/>
                <w:numId w:val="24"/>
              </w:numPr>
              <w:rPr>
                <w:sz w:val="22"/>
                <w:szCs w:val="22"/>
              </w:rPr>
            </w:pPr>
            <w:r w:rsidRPr="00EF348F">
              <w:rPr>
                <w:b/>
                <w:bCs/>
                <w:sz w:val="22"/>
                <w:szCs w:val="22"/>
              </w:rPr>
              <w:t>First Nations</w:t>
            </w:r>
            <w:r w:rsidRPr="00EF348F">
              <w:rPr>
                <w:sz w:val="22"/>
                <w:szCs w:val="22"/>
              </w:rPr>
              <w:t>: Genuine partnership with First Nations communities is a cornerstone. Murdoch prioritises First Nations leadership, integrates Indigenous knowledge across curricula, and actively seeks ways to elevate First Nations participation and success.</w:t>
            </w:r>
          </w:p>
          <w:p w14:paraId="4594E143" w14:textId="6CD788E6" w:rsidR="00CC2FB5" w:rsidRPr="00EF348F" w:rsidRDefault="00CC2FB5" w:rsidP="00CC2FB5">
            <w:pPr>
              <w:pStyle w:val="Heading1"/>
              <w:spacing w:before="0" w:line="360" w:lineRule="auto"/>
              <w:rPr>
                <w:sz w:val="22"/>
                <w:szCs w:val="22"/>
              </w:rPr>
            </w:pPr>
            <w:r w:rsidRPr="00EF348F">
              <w:rPr>
                <w:sz w:val="22"/>
                <w:szCs w:val="22"/>
              </w:rPr>
              <w:t xml:space="preserve">Three </w:t>
            </w:r>
            <w:r w:rsidR="000A4C7B">
              <w:rPr>
                <w:sz w:val="22"/>
                <w:szCs w:val="22"/>
              </w:rPr>
              <w:t>Core Activitie</w:t>
            </w:r>
            <w:r w:rsidRPr="00EF348F">
              <w:rPr>
                <w:sz w:val="22"/>
                <w:szCs w:val="22"/>
              </w:rPr>
              <w:t>s</w:t>
            </w:r>
          </w:p>
          <w:p w14:paraId="7B92A2AD" w14:textId="23ABCEE6" w:rsidR="00CC2FB5" w:rsidRDefault="00CC2FB5" w:rsidP="00CC2FB5">
            <w:r w:rsidRPr="005410C8">
              <w:t>The plan is delivered through three core activities:</w:t>
            </w:r>
          </w:p>
          <w:p w14:paraId="4377B0CC" w14:textId="77777777" w:rsidR="00CC2FB5" w:rsidRPr="00EF348F" w:rsidRDefault="00CC2FB5" w:rsidP="00CC2FB5">
            <w:pPr>
              <w:pStyle w:val="ListParagraph"/>
              <w:numPr>
                <w:ilvl w:val="0"/>
                <w:numId w:val="25"/>
              </w:numPr>
              <w:rPr>
                <w:sz w:val="22"/>
                <w:szCs w:val="22"/>
              </w:rPr>
            </w:pPr>
            <w:r w:rsidRPr="00EF348F">
              <w:rPr>
                <w:b/>
                <w:bCs/>
                <w:sz w:val="22"/>
                <w:szCs w:val="22"/>
              </w:rPr>
              <w:t>Education</w:t>
            </w:r>
            <w:r w:rsidRPr="00EF348F">
              <w:rPr>
                <w:sz w:val="22"/>
                <w:szCs w:val="22"/>
              </w:rPr>
              <w:t>: Murdoch provides innovative, industry-informed programs that prepare graduates for the evolving workforce. Future-focused curricula respond directly to national skill shortages, with practical learning experiences and strong links to employers.</w:t>
            </w:r>
          </w:p>
          <w:p w14:paraId="61C655F4" w14:textId="77777777" w:rsidR="00CC2FB5" w:rsidRPr="00EF348F" w:rsidRDefault="00CC2FB5" w:rsidP="00CC2FB5">
            <w:pPr>
              <w:pStyle w:val="ListParagraph"/>
              <w:numPr>
                <w:ilvl w:val="0"/>
                <w:numId w:val="25"/>
              </w:numPr>
              <w:rPr>
                <w:sz w:val="22"/>
                <w:szCs w:val="22"/>
              </w:rPr>
            </w:pPr>
            <w:r w:rsidRPr="00EF348F">
              <w:rPr>
                <w:b/>
                <w:bCs/>
                <w:sz w:val="22"/>
                <w:szCs w:val="22"/>
              </w:rPr>
              <w:t>Research and Innovation</w:t>
            </w:r>
            <w:r w:rsidRPr="00EF348F">
              <w:rPr>
                <w:sz w:val="22"/>
                <w:szCs w:val="22"/>
              </w:rPr>
              <w:t>: Interdisciplinary research tackles global and local challenges, especially those aligned with sustainability, equity, and First Nations advancement. The University supports research excellence and impact, engaging with partners to deliver real benefits.</w:t>
            </w:r>
          </w:p>
          <w:p w14:paraId="10DC554C" w14:textId="77777777" w:rsidR="00CC2FB5" w:rsidRPr="00EF348F" w:rsidRDefault="00CC2FB5" w:rsidP="00CC2FB5">
            <w:pPr>
              <w:pStyle w:val="ListParagraph"/>
              <w:numPr>
                <w:ilvl w:val="0"/>
                <w:numId w:val="25"/>
              </w:numPr>
              <w:rPr>
                <w:sz w:val="22"/>
                <w:szCs w:val="22"/>
              </w:rPr>
            </w:pPr>
            <w:r w:rsidRPr="00EF348F">
              <w:rPr>
                <w:b/>
                <w:bCs/>
                <w:sz w:val="22"/>
                <w:szCs w:val="22"/>
              </w:rPr>
              <w:t>Engagement and Partnerships</w:t>
            </w:r>
            <w:r w:rsidRPr="00EF348F">
              <w:rPr>
                <w:sz w:val="22"/>
                <w:szCs w:val="22"/>
              </w:rPr>
              <w:t>: Murdoch works closely with industry, community, and government to ensure its teaching and research remain relevant. Partnerships are leveraged to co-create solutions, foster innovation, and amplify the University’s social contribution.</w:t>
            </w:r>
          </w:p>
          <w:p w14:paraId="092B3CB4" w14:textId="77777777" w:rsidR="00CC2FB5" w:rsidRPr="00EF348F" w:rsidRDefault="00CC2FB5" w:rsidP="00CC2FB5">
            <w:pPr>
              <w:pStyle w:val="Heading1"/>
              <w:spacing w:before="0" w:line="360" w:lineRule="auto"/>
              <w:rPr>
                <w:sz w:val="22"/>
                <w:szCs w:val="22"/>
              </w:rPr>
            </w:pPr>
            <w:r w:rsidRPr="00EF348F">
              <w:rPr>
                <w:sz w:val="22"/>
                <w:szCs w:val="22"/>
              </w:rPr>
              <w:t>Key Outcomes (2023–2030)</w:t>
            </w:r>
          </w:p>
          <w:p w14:paraId="5AC488C0" w14:textId="77777777" w:rsidR="00CC2FB5" w:rsidRDefault="00CC2FB5" w:rsidP="00CC2FB5">
            <w:r w:rsidRPr="005410C8">
              <w:t xml:space="preserve">Over the compact </w:t>
            </w:r>
            <w:r>
              <w:t>and strategic plan periods</w:t>
            </w:r>
            <w:r w:rsidRPr="005410C8">
              <w:t>, Murdoch seeks these major outcomes:</w:t>
            </w:r>
          </w:p>
          <w:p w14:paraId="40BF12E7" w14:textId="77777777" w:rsidR="00CC2FB5" w:rsidRPr="00EF348F" w:rsidRDefault="00CC2FB5" w:rsidP="00CC2FB5">
            <w:pPr>
              <w:pStyle w:val="ListParagraph"/>
              <w:numPr>
                <w:ilvl w:val="0"/>
                <w:numId w:val="27"/>
              </w:numPr>
              <w:rPr>
                <w:sz w:val="22"/>
                <w:szCs w:val="22"/>
              </w:rPr>
            </w:pPr>
            <w:r w:rsidRPr="00EF348F">
              <w:rPr>
                <w:sz w:val="22"/>
                <w:szCs w:val="22"/>
              </w:rPr>
              <w:t>Graduates with skills directly aligned to workforce and sector priorities</w:t>
            </w:r>
          </w:p>
          <w:p w14:paraId="7D4509FF" w14:textId="0FF142A4" w:rsidR="00CC2FB5" w:rsidRPr="00EF348F" w:rsidRDefault="00CC2FB5" w:rsidP="00CC2FB5">
            <w:pPr>
              <w:pStyle w:val="ListParagraph"/>
              <w:numPr>
                <w:ilvl w:val="0"/>
                <w:numId w:val="27"/>
              </w:numPr>
              <w:rPr>
                <w:sz w:val="22"/>
                <w:szCs w:val="22"/>
              </w:rPr>
            </w:pPr>
            <w:r w:rsidRPr="00EF348F">
              <w:rPr>
                <w:sz w:val="22"/>
                <w:szCs w:val="22"/>
              </w:rPr>
              <w:t xml:space="preserve">A campus culture that </w:t>
            </w:r>
            <w:r w:rsidR="003F4819" w:rsidRPr="003F4819">
              <w:rPr>
                <w:sz w:val="22"/>
                <w:szCs w:val="22"/>
              </w:rPr>
              <w:t>uphold</w:t>
            </w:r>
            <w:r w:rsidR="003F4819">
              <w:rPr>
                <w:sz w:val="22"/>
                <w:szCs w:val="22"/>
              </w:rPr>
              <w:t>s</w:t>
            </w:r>
            <w:r w:rsidR="003F4819" w:rsidRPr="003F4819">
              <w:rPr>
                <w:sz w:val="22"/>
                <w:szCs w:val="22"/>
              </w:rPr>
              <w:t xml:space="preserve"> freedom of speech and academic freedom</w:t>
            </w:r>
            <w:r w:rsidR="003F4819">
              <w:rPr>
                <w:sz w:val="22"/>
                <w:szCs w:val="22"/>
              </w:rPr>
              <w:t xml:space="preserve"> and</w:t>
            </w:r>
            <w:r w:rsidR="003F4819" w:rsidRPr="003F4819">
              <w:rPr>
                <w:sz w:val="22"/>
                <w:szCs w:val="22"/>
              </w:rPr>
              <w:t xml:space="preserve"> </w:t>
            </w:r>
            <w:r w:rsidRPr="00EF348F">
              <w:rPr>
                <w:sz w:val="22"/>
                <w:szCs w:val="22"/>
              </w:rPr>
              <w:t>is safe, inclusive, and supportive for al</w:t>
            </w:r>
            <w:r w:rsidR="003F4819">
              <w:rPr>
                <w:sz w:val="22"/>
                <w:szCs w:val="22"/>
              </w:rPr>
              <w:t>l</w:t>
            </w:r>
          </w:p>
          <w:p w14:paraId="7F8C9876" w14:textId="70E24B0C" w:rsidR="003F4819" w:rsidRPr="00A41B2F" w:rsidRDefault="00CC2FB5" w:rsidP="003F4819">
            <w:pPr>
              <w:pStyle w:val="ListParagraph"/>
              <w:numPr>
                <w:ilvl w:val="0"/>
                <w:numId w:val="27"/>
              </w:numPr>
              <w:rPr>
                <w:sz w:val="22"/>
                <w:szCs w:val="22"/>
              </w:rPr>
            </w:pPr>
            <w:r w:rsidRPr="00EF348F">
              <w:rPr>
                <w:sz w:val="22"/>
                <w:szCs w:val="22"/>
              </w:rPr>
              <w:t>Enhanced cyber and data security to manage emerging risks</w:t>
            </w:r>
            <w:r w:rsidR="003F4819">
              <w:rPr>
                <w:sz w:val="22"/>
                <w:szCs w:val="22"/>
              </w:rPr>
              <w:t>, including countering foreign interference</w:t>
            </w:r>
          </w:p>
          <w:p w14:paraId="1F4EA82B" w14:textId="77777777" w:rsidR="00CC2FB5" w:rsidRPr="00EF348F" w:rsidRDefault="00CC2FB5" w:rsidP="00CC2FB5">
            <w:pPr>
              <w:pStyle w:val="ListParagraph"/>
              <w:numPr>
                <w:ilvl w:val="0"/>
                <w:numId w:val="27"/>
              </w:numPr>
              <w:rPr>
                <w:sz w:val="22"/>
                <w:szCs w:val="22"/>
              </w:rPr>
            </w:pPr>
            <w:r w:rsidRPr="00EF348F">
              <w:rPr>
                <w:sz w:val="22"/>
                <w:szCs w:val="22"/>
              </w:rPr>
              <w:t>Significantly increased First Nations participation and leadership</w:t>
            </w:r>
          </w:p>
          <w:p w14:paraId="27964AB2" w14:textId="77777777" w:rsidR="00CC2FB5" w:rsidRPr="00EF348F" w:rsidRDefault="00CC2FB5" w:rsidP="00CC2FB5">
            <w:pPr>
              <w:pStyle w:val="ListParagraph"/>
              <w:numPr>
                <w:ilvl w:val="0"/>
                <w:numId w:val="27"/>
              </w:numPr>
              <w:rPr>
                <w:sz w:val="22"/>
                <w:szCs w:val="22"/>
              </w:rPr>
            </w:pPr>
            <w:r w:rsidRPr="00EF348F">
              <w:rPr>
                <w:sz w:val="22"/>
                <w:szCs w:val="22"/>
              </w:rPr>
              <w:t>Research contributions that advance sustainability, equity, and First Nations priorities</w:t>
            </w:r>
          </w:p>
          <w:p w14:paraId="4BBC56AB" w14:textId="77777777" w:rsidR="00CC2FB5" w:rsidRPr="00EF348F" w:rsidRDefault="00CC2FB5" w:rsidP="00CC2FB5">
            <w:pPr>
              <w:pStyle w:val="Heading1"/>
              <w:spacing w:before="0" w:line="360" w:lineRule="auto"/>
              <w:rPr>
                <w:sz w:val="22"/>
                <w:szCs w:val="22"/>
              </w:rPr>
            </w:pPr>
            <w:r w:rsidRPr="00EF348F">
              <w:rPr>
                <w:sz w:val="22"/>
                <w:szCs w:val="22"/>
              </w:rPr>
              <w:t>Achievement and Measurement</w:t>
            </w:r>
          </w:p>
          <w:p w14:paraId="1355CD51" w14:textId="77777777" w:rsidR="00CC2FB5" w:rsidRDefault="00CC2FB5" w:rsidP="00CC2FB5">
            <w:r w:rsidRPr="005410C8">
              <w:t>Progress will be monitored through:</w:t>
            </w:r>
          </w:p>
          <w:p w14:paraId="5DB2652E" w14:textId="77777777" w:rsidR="00CC2FB5" w:rsidRPr="00EF348F" w:rsidRDefault="00CC2FB5" w:rsidP="00CC2FB5">
            <w:pPr>
              <w:pStyle w:val="ListParagraph"/>
              <w:numPr>
                <w:ilvl w:val="0"/>
                <w:numId w:val="28"/>
              </w:numPr>
              <w:rPr>
                <w:sz w:val="22"/>
                <w:szCs w:val="22"/>
              </w:rPr>
            </w:pPr>
            <w:r w:rsidRPr="00EF348F">
              <w:rPr>
                <w:sz w:val="22"/>
                <w:szCs w:val="22"/>
              </w:rPr>
              <w:t>Graduate employment outcomes and satisfaction surveys</w:t>
            </w:r>
          </w:p>
          <w:p w14:paraId="1FE07DDD" w14:textId="77777777" w:rsidR="00CC2FB5" w:rsidRPr="00EF348F" w:rsidRDefault="00CC2FB5" w:rsidP="00CC2FB5">
            <w:pPr>
              <w:pStyle w:val="ListParagraph"/>
              <w:numPr>
                <w:ilvl w:val="0"/>
                <w:numId w:val="28"/>
              </w:numPr>
              <w:rPr>
                <w:sz w:val="22"/>
                <w:szCs w:val="22"/>
              </w:rPr>
            </w:pPr>
            <w:r w:rsidRPr="00EF348F">
              <w:rPr>
                <w:sz w:val="22"/>
                <w:szCs w:val="22"/>
              </w:rPr>
              <w:t>Regular safety/wellbeing audits, incident reporting, and review</w:t>
            </w:r>
          </w:p>
          <w:p w14:paraId="02494D33" w14:textId="77777777" w:rsidR="00CC2FB5" w:rsidRPr="00EF348F" w:rsidRDefault="00CC2FB5" w:rsidP="00CC2FB5">
            <w:pPr>
              <w:pStyle w:val="ListParagraph"/>
              <w:numPr>
                <w:ilvl w:val="0"/>
                <w:numId w:val="28"/>
              </w:numPr>
              <w:rPr>
                <w:sz w:val="22"/>
                <w:szCs w:val="22"/>
              </w:rPr>
            </w:pPr>
            <w:r w:rsidRPr="00EF348F">
              <w:rPr>
                <w:sz w:val="22"/>
                <w:szCs w:val="22"/>
              </w:rPr>
              <w:t>Compliance with cyber security standards and regular risk assessments</w:t>
            </w:r>
          </w:p>
          <w:p w14:paraId="51233CB2" w14:textId="77777777" w:rsidR="00CC2FB5" w:rsidRPr="00EF348F" w:rsidRDefault="00CC2FB5" w:rsidP="00CC2FB5">
            <w:pPr>
              <w:pStyle w:val="ListParagraph"/>
              <w:numPr>
                <w:ilvl w:val="0"/>
                <w:numId w:val="28"/>
              </w:numPr>
              <w:rPr>
                <w:sz w:val="22"/>
                <w:szCs w:val="22"/>
              </w:rPr>
            </w:pPr>
            <w:r w:rsidRPr="00EF348F">
              <w:rPr>
                <w:sz w:val="22"/>
                <w:szCs w:val="22"/>
              </w:rPr>
              <w:t>Annual reporting on First Nations engagement and leadership progress</w:t>
            </w:r>
          </w:p>
          <w:p w14:paraId="4FDC6816" w14:textId="77777777" w:rsidR="00CC2FB5" w:rsidRPr="00EF348F" w:rsidRDefault="00CC2FB5" w:rsidP="00CC2FB5">
            <w:pPr>
              <w:pStyle w:val="ListParagraph"/>
              <w:numPr>
                <w:ilvl w:val="0"/>
                <w:numId w:val="28"/>
              </w:numPr>
              <w:rPr>
                <w:sz w:val="22"/>
                <w:szCs w:val="22"/>
              </w:rPr>
            </w:pPr>
            <w:r w:rsidRPr="00EF348F">
              <w:rPr>
                <w:sz w:val="22"/>
                <w:szCs w:val="22"/>
              </w:rPr>
              <w:t>Research output and impact metrics aligned with the strategic themes</w:t>
            </w:r>
          </w:p>
          <w:p w14:paraId="5591E24B" w14:textId="77777777" w:rsidR="00CC2FB5" w:rsidRPr="00EF348F" w:rsidRDefault="00CC2FB5" w:rsidP="00CC2FB5">
            <w:pPr>
              <w:pStyle w:val="Heading1"/>
              <w:spacing w:before="0" w:line="360" w:lineRule="auto"/>
              <w:rPr>
                <w:sz w:val="22"/>
                <w:szCs w:val="22"/>
              </w:rPr>
            </w:pPr>
            <w:r w:rsidRPr="00EF348F">
              <w:rPr>
                <w:sz w:val="22"/>
                <w:szCs w:val="22"/>
              </w:rPr>
              <w:t>National and Sector Priorities</w:t>
            </w:r>
          </w:p>
          <w:p w14:paraId="58A329F7" w14:textId="2ADED1DD" w:rsidR="00CC2FB5" w:rsidRDefault="00CC2FB5" w:rsidP="00CC2FB5">
            <w:r w:rsidRPr="005410C8">
              <w:t xml:space="preserve">Murdoch University’s strategic plan is attuned to national and sector priorities, including addressing skills shortages in STEM, health, and education through responsive program design. The University invests in student and staff safety by fostering a caring environment and </w:t>
            </w:r>
            <w:r w:rsidRPr="005410C8">
              <w:lastRenderedPageBreak/>
              <w:t>maintaining strong cyber and data security frameworks</w:t>
            </w:r>
            <w:r w:rsidR="003F4819">
              <w:t xml:space="preserve">, while upholding </w:t>
            </w:r>
            <w:r w:rsidR="003F4819" w:rsidRPr="003F4819">
              <w:t>freedom of speech and academic freedom</w:t>
            </w:r>
            <w:r w:rsidRPr="005410C8">
              <w:t xml:space="preserve">. </w:t>
            </w:r>
            <w:r w:rsidR="003F4819">
              <w:t>An important pillar of our cyber security activities is focussed on countering foreign interference.</w:t>
            </w:r>
            <w:r>
              <w:t xml:space="preserve"> </w:t>
            </w:r>
            <w:r w:rsidRPr="005410C8">
              <w:t>Equity, diversity, inclusion, sustainability, and First Nations engagement are embedded in everything Murdoch does.</w:t>
            </w:r>
          </w:p>
          <w:p w14:paraId="759B3F2D" w14:textId="3858B378" w:rsidR="005001C7" w:rsidRPr="00D244A0" w:rsidRDefault="005001C7" w:rsidP="002D1F4F">
            <w:pPr>
              <w:pStyle w:val="Heading1"/>
              <w:spacing w:before="0" w:line="360" w:lineRule="auto"/>
              <w:rPr>
                <w:sz w:val="22"/>
                <w:szCs w:val="22"/>
              </w:rPr>
            </w:pPr>
            <w:r w:rsidRPr="00D244A0">
              <w:rPr>
                <w:sz w:val="22"/>
                <w:szCs w:val="22"/>
              </w:rPr>
              <w:t>Global focus</w:t>
            </w:r>
          </w:p>
          <w:p w14:paraId="0B317F03" w14:textId="2DE8DF42" w:rsidR="00D244A0" w:rsidRDefault="00D244A0" w:rsidP="00D244A0">
            <w:pPr>
              <w:spacing w:after="0"/>
            </w:pPr>
            <w:r>
              <w:t xml:space="preserve">Murdoch University continues to grow as an internationalised university. Murdoch’s Singapore and Dubai campuses aim to ensure that our </w:t>
            </w:r>
            <w:proofErr w:type="gramStart"/>
            <w:r>
              <w:t>University</w:t>
            </w:r>
            <w:proofErr w:type="gramEnd"/>
            <w:r>
              <w:t xml:space="preserve"> continues to be a leader in transnational education, raising our global profile and reputation. Murdoch has operated in Singapore for 25 years and in Dubai for 16 years. Murdoch is the largest international university in Singapore and one of only 3 Australian universities in the UAE.</w:t>
            </w:r>
          </w:p>
          <w:p w14:paraId="2707A763" w14:textId="60704FDA" w:rsidR="005001C7" w:rsidRDefault="00D244A0" w:rsidP="005001C7">
            <w:pPr>
              <w:spacing w:after="0"/>
            </w:pPr>
            <w:r>
              <w:t xml:space="preserve">Our </w:t>
            </w:r>
            <w:proofErr w:type="gramStart"/>
            <w:r>
              <w:t>University</w:t>
            </w:r>
            <w:proofErr w:type="gramEnd"/>
            <w:r>
              <w:t xml:space="preserve"> has also seen a significant increase in international onshore student enrolments, enabling the University to navigate the challenging post-pandemic years financially. Increasing diversification, with a particular focus on our closest neighbours in </w:t>
            </w:r>
            <w:proofErr w:type="gramStart"/>
            <w:r>
              <w:t>South East</w:t>
            </w:r>
            <w:proofErr w:type="gramEnd"/>
            <w:r>
              <w:t xml:space="preserve"> Asia, is a cornerstone of our international recruitment strategy. While our highest priority is a return of domestic students to our campuses, it is pleasing to see that our international students play a significant role in enhancing our reputation across our borders, in </w:t>
            </w:r>
            <w:proofErr w:type="gramStart"/>
            <w:r>
              <w:t>South East</w:t>
            </w:r>
            <w:proofErr w:type="gramEnd"/>
            <w:r>
              <w:t xml:space="preserve"> Asia and beyond.</w:t>
            </w:r>
            <w:r w:rsidR="002D1F4F">
              <w:t xml:space="preserve"> </w:t>
            </w:r>
          </w:p>
          <w:p w14:paraId="2709BE8B" w14:textId="77777777" w:rsidR="005001C7" w:rsidRDefault="005001C7" w:rsidP="002D1F4F">
            <w:pPr>
              <w:spacing w:after="0"/>
            </w:pPr>
          </w:p>
          <w:p w14:paraId="0A990CED" w14:textId="50A0175B" w:rsidR="001B109C" w:rsidRDefault="00CC2FB5">
            <w:pPr>
              <w:pStyle w:val="NormalIndent"/>
              <w:spacing w:before="0" w:after="0"/>
              <w:ind w:left="0"/>
              <w:rPr>
                <w:rFonts w:asciiTheme="minorHAnsi" w:hAnsiTheme="minorHAnsi" w:cstheme="minorHAnsi"/>
                <w:i/>
                <w:iCs/>
                <w:szCs w:val="22"/>
              </w:rPr>
            </w:pPr>
            <w:r w:rsidRPr="005410C8">
              <w:t xml:space="preserve">In summary, </w:t>
            </w:r>
            <w:hyperlink r:id="rId15" w:history="1">
              <w:r w:rsidRPr="00EF348F">
                <w:rPr>
                  <w:rStyle w:val="Hyperlink"/>
                  <w:i/>
                  <w:iCs/>
                </w:rPr>
                <w:t xml:space="preserve">Ngala </w:t>
              </w:r>
              <w:proofErr w:type="spellStart"/>
              <w:r w:rsidRPr="00EF348F">
                <w:rPr>
                  <w:rStyle w:val="Hyperlink"/>
                  <w:i/>
                  <w:iCs/>
                </w:rPr>
                <w:t>Kwop</w:t>
              </w:r>
              <w:proofErr w:type="spellEnd"/>
              <w:r w:rsidRPr="00EF348F">
                <w:rPr>
                  <w:rStyle w:val="Hyperlink"/>
                  <w:i/>
                  <w:iCs/>
                </w:rPr>
                <w:t xml:space="preserve"> Biddi</w:t>
              </w:r>
            </w:hyperlink>
            <w:r w:rsidRPr="005410C8">
              <w:t xml:space="preserve"> sets Murdoch University on an ambitious yet achievable trajectory for the years ahead, ensuring that education, research, and engagement deliver tangible benefits for students, staff, and wider society.</w:t>
            </w:r>
          </w:p>
          <w:p w14:paraId="2C91A87B" w14:textId="77777777" w:rsidR="001B109C" w:rsidRPr="005774F2" w:rsidRDefault="001B109C">
            <w:pPr>
              <w:pStyle w:val="NormalIndent"/>
              <w:spacing w:before="0" w:after="0"/>
              <w:ind w:left="0"/>
              <w:rPr>
                <w:rFonts w:asciiTheme="minorHAnsi" w:hAnsiTheme="minorHAnsi" w:cstheme="minorHAnsi"/>
                <w:i/>
                <w:iCs/>
                <w:szCs w:val="22"/>
              </w:rPr>
            </w:pPr>
          </w:p>
        </w:tc>
      </w:tr>
      <w:tr w:rsidR="001B109C" w:rsidRPr="00E41388" w14:paraId="0EA45E0C" w14:textId="77777777" w:rsidTr="30A8B403">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30A8B403">
        <w:tc>
          <w:tcPr>
            <w:tcW w:w="5000" w:type="pct"/>
          </w:tcPr>
          <w:p w14:paraId="375B472A" w14:textId="691027C1" w:rsidR="00C929C0" w:rsidRDefault="00C929C0" w:rsidP="00E50DEB">
            <w:pPr>
              <w:pStyle w:val="NormalIndent"/>
              <w:spacing w:after="0"/>
              <w:ind w:left="32"/>
              <w:rPr>
                <w:rFonts w:asciiTheme="minorHAnsi" w:hAnsiTheme="minorHAnsi" w:cstheme="minorHAnsi"/>
                <w:iCs/>
                <w:color w:val="000000" w:themeColor="text1"/>
                <w:szCs w:val="22"/>
              </w:rPr>
            </w:pPr>
            <w:bookmarkStart w:id="0" w:name="_Hlk150338733"/>
            <w:bookmarkStart w:id="1" w:name="_Hlk150338471"/>
            <w:r w:rsidRPr="00C929C0">
              <w:rPr>
                <w:rFonts w:asciiTheme="minorHAnsi" w:hAnsiTheme="minorHAnsi" w:cstheme="minorHAnsi"/>
                <w:iCs/>
                <w:color w:val="000000" w:themeColor="text1"/>
                <w:szCs w:val="22"/>
              </w:rPr>
              <w:t xml:space="preserve">Murdoch University demonstrates a strong </w:t>
            </w:r>
            <w:r w:rsidR="0061342D">
              <w:rPr>
                <w:rFonts w:asciiTheme="minorHAnsi" w:hAnsiTheme="minorHAnsi" w:cstheme="minorHAnsi"/>
                <w:iCs/>
                <w:color w:val="000000" w:themeColor="text1"/>
                <w:szCs w:val="22"/>
              </w:rPr>
              <w:t xml:space="preserve">and long-standing </w:t>
            </w:r>
            <w:r w:rsidRPr="00C929C0">
              <w:rPr>
                <w:rFonts w:asciiTheme="minorHAnsi" w:hAnsiTheme="minorHAnsi" w:cstheme="minorHAnsi"/>
                <w:iCs/>
                <w:color w:val="000000" w:themeColor="text1"/>
                <w:szCs w:val="22"/>
              </w:rPr>
              <w:t xml:space="preserve">institutional commitment to equity, diversity, and inclusion, aiming to attract and support students from non-traditional backgrounds. The university’s student population includes higher proportions of low socio-economic status (SES) students, students with disability, First Nations students, first-in-family students, those who have delayed enrolment, and mature-age students compared to sector averages. </w:t>
            </w:r>
            <w:r w:rsidR="003F4819">
              <w:rPr>
                <w:rFonts w:asciiTheme="minorHAnsi" w:hAnsiTheme="minorHAnsi" w:cstheme="minorHAnsi"/>
                <w:iCs/>
                <w:color w:val="000000" w:themeColor="text1"/>
                <w:szCs w:val="22"/>
              </w:rPr>
              <w:t xml:space="preserve">The University has a strong track record in improving outcomes for these students and has made significant progress in closing the gap in student success measures </w:t>
            </w:r>
            <w:r w:rsidR="00FC4BD9">
              <w:rPr>
                <w:rFonts w:asciiTheme="minorHAnsi" w:hAnsiTheme="minorHAnsi" w:cstheme="minorHAnsi"/>
                <w:iCs/>
                <w:color w:val="000000" w:themeColor="text1"/>
                <w:szCs w:val="22"/>
              </w:rPr>
              <w:t>compared with the general student population.</w:t>
            </w:r>
          </w:p>
          <w:p w14:paraId="07546E1F" w14:textId="1DA9C38E" w:rsidR="009F3450" w:rsidRPr="00C929C0" w:rsidRDefault="009F3450" w:rsidP="00E50DEB">
            <w:pPr>
              <w:pStyle w:val="NormalIndent"/>
              <w:spacing w:after="0"/>
              <w:ind w:left="32"/>
              <w:rPr>
                <w:rFonts w:asciiTheme="minorHAnsi" w:hAnsiTheme="minorHAnsi" w:cstheme="minorHAnsi"/>
                <w:iCs/>
                <w:color w:val="000000" w:themeColor="text1"/>
                <w:szCs w:val="22"/>
              </w:rPr>
            </w:pPr>
            <w:r>
              <w:rPr>
                <w:rFonts w:asciiTheme="minorHAnsi" w:hAnsiTheme="minorHAnsi" w:cstheme="minorHAnsi"/>
                <w:iCs/>
                <w:color w:val="000000" w:themeColor="text1"/>
                <w:szCs w:val="22"/>
              </w:rPr>
              <w:t xml:space="preserve">In the aftermath of the Covid-19 pandemic, Murdoch University </w:t>
            </w:r>
            <w:r w:rsidR="00A829FE">
              <w:rPr>
                <w:rFonts w:asciiTheme="minorHAnsi" w:hAnsiTheme="minorHAnsi" w:cstheme="minorHAnsi"/>
                <w:iCs/>
                <w:color w:val="000000" w:themeColor="text1"/>
                <w:szCs w:val="22"/>
              </w:rPr>
              <w:t>load fell</w:t>
            </w:r>
            <w:r>
              <w:rPr>
                <w:rFonts w:asciiTheme="minorHAnsi" w:hAnsiTheme="minorHAnsi" w:cstheme="minorHAnsi"/>
                <w:iCs/>
                <w:color w:val="000000" w:themeColor="text1"/>
                <w:szCs w:val="22"/>
              </w:rPr>
              <w:t xml:space="preserve"> below its MBGA and </w:t>
            </w:r>
            <w:r w:rsidR="00A829FE">
              <w:rPr>
                <w:rFonts w:asciiTheme="minorHAnsi" w:hAnsiTheme="minorHAnsi" w:cstheme="minorHAnsi"/>
                <w:iCs/>
                <w:color w:val="000000" w:themeColor="text1"/>
                <w:szCs w:val="22"/>
              </w:rPr>
              <w:t xml:space="preserve">as a result, we </w:t>
            </w:r>
            <w:r>
              <w:rPr>
                <w:rFonts w:asciiTheme="minorHAnsi" w:hAnsiTheme="minorHAnsi" w:cstheme="minorHAnsi"/>
                <w:iCs/>
                <w:color w:val="000000" w:themeColor="text1"/>
                <w:szCs w:val="22"/>
              </w:rPr>
              <w:t xml:space="preserve">received an HECG grant in 2024. </w:t>
            </w:r>
            <w:r w:rsidR="00A829FE" w:rsidRPr="009F3450">
              <w:rPr>
                <w:rFonts w:asciiTheme="minorHAnsi" w:hAnsiTheme="minorHAnsi" w:cstheme="minorHAnsi"/>
                <w:iCs/>
                <w:color w:val="000000" w:themeColor="text1"/>
                <w:szCs w:val="22"/>
              </w:rPr>
              <w:t>During 2024, Murdoch University delivered equity initiatives and formal targets to support under-represented cohorts as outlined in the 2024 HECG Equity Plan.</w:t>
            </w:r>
            <w:r w:rsidR="00A829FE">
              <w:rPr>
                <w:rFonts w:asciiTheme="minorHAnsi" w:hAnsiTheme="minorHAnsi" w:cstheme="minorHAnsi"/>
                <w:iCs/>
                <w:color w:val="000000" w:themeColor="text1"/>
                <w:szCs w:val="22"/>
              </w:rPr>
              <w:t xml:space="preserve"> </w:t>
            </w:r>
            <w:r>
              <w:rPr>
                <w:rFonts w:asciiTheme="minorHAnsi" w:hAnsiTheme="minorHAnsi" w:cstheme="minorHAnsi"/>
                <w:iCs/>
                <w:color w:val="000000" w:themeColor="text1"/>
                <w:szCs w:val="22"/>
              </w:rPr>
              <w:t xml:space="preserve">The University expects to be eligible for </w:t>
            </w:r>
            <w:r w:rsidR="00A829FE">
              <w:rPr>
                <w:rFonts w:asciiTheme="minorHAnsi" w:hAnsiTheme="minorHAnsi" w:cstheme="minorHAnsi"/>
                <w:iCs/>
                <w:color w:val="000000" w:themeColor="text1"/>
                <w:szCs w:val="22"/>
              </w:rPr>
              <w:t>an HECG</w:t>
            </w:r>
            <w:r>
              <w:rPr>
                <w:rFonts w:asciiTheme="minorHAnsi" w:hAnsiTheme="minorHAnsi" w:cstheme="minorHAnsi"/>
                <w:iCs/>
                <w:color w:val="000000" w:themeColor="text1"/>
                <w:szCs w:val="22"/>
              </w:rPr>
              <w:t xml:space="preserve"> grant again in </w:t>
            </w:r>
            <w:proofErr w:type="gramStart"/>
            <w:r>
              <w:rPr>
                <w:rFonts w:asciiTheme="minorHAnsi" w:hAnsiTheme="minorHAnsi" w:cstheme="minorHAnsi"/>
                <w:iCs/>
                <w:color w:val="000000" w:themeColor="text1"/>
                <w:szCs w:val="22"/>
              </w:rPr>
              <w:t>2025, and</w:t>
            </w:r>
            <w:proofErr w:type="gramEnd"/>
            <w:r>
              <w:rPr>
                <w:rFonts w:asciiTheme="minorHAnsi" w:hAnsiTheme="minorHAnsi" w:cstheme="minorHAnsi"/>
                <w:iCs/>
                <w:color w:val="000000" w:themeColor="text1"/>
                <w:szCs w:val="22"/>
              </w:rPr>
              <w:t xml:space="preserve"> has submitted </w:t>
            </w:r>
            <w:r w:rsidR="00A829FE">
              <w:rPr>
                <w:rFonts w:asciiTheme="minorHAnsi" w:hAnsiTheme="minorHAnsi" w:cstheme="minorHAnsi"/>
                <w:iCs/>
                <w:color w:val="000000" w:themeColor="text1"/>
                <w:szCs w:val="22"/>
              </w:rPr>
              <w:t>a subsequent 2024-2025 HECG</w:t>
            </w:r>
            <w:r>
              <w:rPr>
                <w:rFonts w:asciiTheme="minorHAnsi" w:hAnsiTheme="minorHAnsi" w:cstheme="minorHAnsi"/>
                <w:iCs/>
                <w:color w:val="000000" w:themeColor="text1"/>
                <w:szCs w:val="22"/>
              </w:rPr>
              <w:t xml:space="preserve"> Equity Plan </w:t>
            </w:r>
            <w:r w:rsidR="00A829FE">
              <w:rPr>
                <w:rFonts w:asciiTheme="minorHAnsi" w:hAnsiTheme="minorHAnsi" w:cstheme="minorHAnsi"/>
                <w:iCs/>
                <w:color w:val="000000" w:themeColor="text1"/>
                <w:szCs w:val="22"/>
              </w:rPr>
              <w:t xml:space="preserve">outlining our continuing activities to promote access and support for these student cohorts. </w:t>
            </w:r>
          </w:p>
          <w:p w14:paraId="43C5F199" w14:textId="3222721E" w:rsidR="00C929C0" w:rsidRPr="00A41B2F" w:rsidRDefault="00C929C0" w:rsidP="00E50DEB">
            <w:pPr>
              <w:pStyle w:val="NormalIndent"/>
              <w:spacing w:after="0"/>
              <w:ind w:left="32"/>
              <w:rPr>
                <w:rFonts w:asciiTheme="minorHAnsi" w:hAnsiTheme="minorHAnsi" w:cstheme="minorHAnsi"/>
                <w:b/>
                <w:bCs/>
                <w:iCs/>
                <w:color w:val="000000" w:themeColor="text1"/>
                <w:szCs w:val="22"/>
              </w:rPr>
            </w:pPr>
            <w:r w:rsidRPr="00A41B2F">
              <w:rPr>
                <w:rFonts w:asciiTheme="minorHAnsi" w:hAnsiTheme="minorHAnsi" w:cstheme="minorHAnsi"/>
                <w:b/>
                <w:bCs/>
                <w:iCs/>
                <w:color w:val="000000" w:themeColor="text1"/>
                <w:szCs w:val="22"/>
              </w:rPr>
              <w:t>Targeted Student Equity Support</w:t>
            </w:r>
          </w:p>
          <w:p w14:paraId="6F1A439C" w14:textId="2F0A17CB" w:rsidR="00C929C0" w:rsidRPr="00C929C0" w:rsidRDefault="00C929C0" w:rsidP="00E50DEB">
            <w:pPr>
              <w:pStyle w:val="NormalIndent"/>
              <w:spacing w:after="0"/>
              <w:ind w:left="32"/>
              <w:rPr>
                <w:rFonts w:asciiTheme="minorHAnsi" w:hAnsiTheme="minorHAnsi" w:cstheme="minorHAnsi"/>
                <w:iCs/>
                <w:color w:val="000000" w:themeColor="text1"/>
                <w:szCs w:val="22"/>
              </w:rPr>
            </w:pPr>
            <w:r w:rsidRPr="00C929C0">
              <w:rPr>
                <w:rFonts w:asciiTheme="minorHAnsi" w:hAnsiTheme="minorHAnsi" w:cstheme="minorHAnsi"/>
                <w:iCs/>
                <w:color w:val="000000" w:themeColor="text1"/>
                <w:szCs w:val="22"/>
              </w:rPr>
              <w:t xml:space="preserve">Murdoch ranks sixth nationally for commencing </w:t>
            </w:r>
            <w:r w:rsidRPr="00A41B2F">
              <w:rPr>
                <w:rFonts w:asciiTheme="minorHAnsi" w:hAnsiTheme="minorHAnsi" w:cstheme="minorHAnsi"/>
                <w:b/>
                <w:bCs/>
                <w:iCs/>
                <w:color w:val="000000" w:themeColor="text1"/>
                <w:szCs w:val="22"/>
              </w:rPr>
              <w:t>low SES students</w:t>
            </w:r>
            <w:r w:rsidRPr="00C929C0">
              <w:rPr>
                <w:rFonts w:asciiTheme="minorHAnsi" w:hAnsiTheme="minorHAnsi" w:cstheme="minorHAnsi"/>
                <w:iCs/>
                <w:color w:val="000000" w:themeColor="text1"/>
                <w:szCs w:val="22"/>
              </w:rPr>
              <w:t xml:space="preserve"> and first in metropolitan areas. Flexible admission policies and in-school enabling programs (such as TLC Learning for Tomorrow and </w:t>
            </w:r>
            <w:proofErr w:type="spellStart"/>
            <w:r w:rsidRPr="00C929C0">
              <w:rPr>
                <w:rFonts w:asciiTheme="minorHAnsi" w:hAnsiTheme="minorHAnsi" w:cstheme="minorHAnsi"/>
                <w:iCs/>
                <w:color w:val="000000" w:themeColor="text1"/>
                <w:szCs w:val="22"/>
              </w:rPr>
              <w:t>FlexiTrack</w:t>
            </w:r>
            <w:proofErr w:type="spellEnd"/>
            <w:r w:rsidRPr="00C929C0">
              <w:rPr>
                <w:rFonts w:asciiTheme="minorHAnsi" w:hAnsiTheme="minorHAnsi" w:cstheme="minorHAnsi"/>
                <w:iCs/>
                <w:color w:val="000000" w:themeColor="text1"/>
                <w:szCs w:val="22"/>
              </w:rPr>
              <w:t xml:space="preserve"> High) are designed to increase access for students from disadvantaged areas. These programs are expanded to regional schools and supported by partnerships with WA TAFE for articulation into degree-level studies. </w:t>
            </w:r>
          </w:p>
          <w:p w14:paraId="5DA0B493" w14:textId="1D4E5225" w:rsidR="00C929C0" w:rsidRPr="00C929C0" w:rsidRDefault="00C929C0" w:rsidP="00E50DEB">
            <w:pPr>
              <w:pStyle w:val="NormalIndent"/>
              <w:spacing w:after="0"/>
              <w:ind w:left="32"/>
              <w:rPr>
                <w:rFonts w:asciiTheme="minorHAnsi" w:hAnsiTheme="minorHAnsi" w:cstheme="minorHAnsi"/>
                <w:iCs/>
                <w:color w:val="000000" w:themeColor="text1"/>
                <w:szCs w:val="22"/>
              </w:rPr>
            </w:pPr>
            <w:r w:rsidRPr="00C929C0">
              <w:rPr>
                <w:rFonts w:asciiTheme="minorHAnsi" w:hAnsiTheme="minorHAnsi" w:cstheme="minorHAnsi"/>
                <w:iCs/>
                <w:color w:val="000000" w:themeColor="text1"/>
                <w:szCs w:val="22"/>
              </w:rPr>
              <w:t xml:space="preserve">The </w:t>
            </w:r>
            <w:r w:rsidR="00FC4BD9">
              <w:rPr>
                <w:rFonts w:asciiTheme="minorHAnsi" w:hAnsiTheme="minorHAnsi" w:cstheme="minorHAnsi"/>
                <w:iCs/>
                <w:color w:val="000000" w:themeColor="text1"/>
                <w:szCs w:val="22"/>
              </w:rPr>
              <w:t>U</w:t>
            </w:r>
            <w:r w:rsidRPr="00C929C0">
              <w:rPr>
                <w:rFonts w:asciiTheme="minorHAnsi" w:hAnsiTheme="minorHAnsi" w:cstheme="minorHAnsi"/>
                <w:iCs/>
                <w:color w:val="000000" w:themeColor="text1"/>
                <w:szCs w:val="22"/>
              </w:rPr>
              <w:t xml:space="preserve">niversity has the second-highest proportion of commencing </w:t>
            </w:r>
            <w:r w:rsidRPr="00A41B2F">
              <w:rPr>
                <w:rFonts w:asciiTheme="minorHAnsi" w:hAnsiTheme="minorHAnsi" w:cstheme="minorHAnsi"/>
                <w:b/>
                <w:bCs/>
                <w:iCs/>
                <w:color w:val="000000" w:themeColor="text1"/>
                <w:szCs w:val="22"/>
              </w:rPr>
              <w:t>students with disability</w:t>
            </w:r>
            <w:r w:rsidRPr="00C929C0">
              <w:rPr>
                <w:rFonts w:asciiTheme="minorHAnsi" w:hAnsiTheme="minorHAnsi" w:cstheme="minorHAnsi"/>
                <w:iCs/>
                <w:color w:val="000000" w:themeColor="text1"/>
                <w:szCs w:val="22"/>
              </w:rPr>
              <w:t xml:space="preserve"> nationally. Support includes peer-led study groups (PASS), individual academic coaching, and tailored learning advisor consultations.</w:t>
            </w:r>
          </w:p>
          <w:p w14:paraId="793C63CF" w14:textId="7EDCA72E" w:rsidR="00C929C0" w:rsidRPr="00C929C0" w:rsidRDefault="00C929C0" w:rsidP="00E50DEB">
            <w:pPr>
              <w:pStyle w:val="NormalIndent"/>
              <w:spacing w:after="0"/>
              <w:ind w:left="32"/>
              <w:rPr>
                <w:rFonts w:asciiTheme="minorHAnsi" w:hAnsiTheme="minorHAnsi" w:cstheme="minorHAnsi"/>
                <w:iCs/>
                <w:color w:val="000000" w:themeColor="text1"/>
                <w:szCs w:val="22"/>
              </w:rPr>
            </w:pPr>
            <w:r w:rsidRPr="00C929C0">
              <w:rPr>
                <w:rFonts w:asciiTheme="minorHAnsi" w:hAnsiTheme="minorHAnsi" w:cstheme="minorHAnsi"/>
                <w:iCs/>
                <w:color w:val="000000" w:themeColor="text1"/>
                <w:szCs w:val="22"/>
              </w:rPr>
              <w:lastRenderedPageBreak/>
              <w:t xml:space="preserve">Murdoch has the highest representation of </w:t>
            </w:r>
            <w:r w:rsidRPr="00A41B2F">
              <w:rPr>
                <w:rFonts w:asciiTheme="minorHAnsi" w:hAnsiTheme="minorHAnsi" w:cstheme="minorHAnsi"/>
                <w:b/>
                <w:bCs/>
                <w:iCs/>
                <w:color w:val="000000" w:themeColor="text1"/>
                <w:szCs w:val="22"/>
              </w:rPr>
              <w:t>First Nations students</w:t>
            </w:r>
            <w:r w:rsidRPr="00C929C0">
              <w:rPr>
                <w:rFonts w:asciiTheme="minorHAnsi" w:hAnsiTheme="minorHAnsi" w:cstheme="minorHAnsi"/>
                <w:iCs/>
                <w:color w:val="000000" w:themeColor="text1"/>
                <w:szCs w:val="22"/>
              </w:rPr>
              <w:t xml:space="preserve"> in Western Australia. Dedicated programs such as </w:t>
            </w:r>
            <w:proofErr w:type="spellStart"/>
            <w:r w:rsidRPr="00C929C0">
              <w:rPr>
                <w:rFonts w:asciiTheme="minorHAnsi" w:hAnsiTheme="minorHAnsi" w:cstheme="minorHAnsi"/>
                <w:iCs/>
                <w:color w:val="000000" w:themeColor="text1"/>
                <w:szCs w:val="22"/>
              </w:rPr>
              <w:t>Ngoolark</w:t>
            </w:r>
            <w:proofErr w:type="spellEnd"/>
            <w:r w:rsidRPr="00C929C0">
              <w:rPr>
                <w:rFonts w:asciiTheme="minorHAnsi" w:hAnsiTheme="minorHAnsi" w:cstheme="minorHAnsi"/>
                <w:iCs/>
                <w:color w:val="000000" w:themeColor="text1"/>
                <w:szCs w:val="22"/>
              </w:rPr>
              <w:t xml:space="preserve"> and </w:t>
            </w:r>
            <w:proofErr w:type="spellStart"/>
            <w:r w:rsidRPr="00C929C0">
              <w:rPr>
                <w:rFonts w:asciiTheme="minorHAnsi" w:hAnsiTheme="minorHAnsi" w:cstheme="minorHAnsi"/>
                <w:iCs/>
                <w:color w:val="000000" w:themeColor="text1"/>
                <w:szCs w:val="22"/>
              </w:rPr>
              <w:t>Waardong</w:t>
            </w:r>
            <w:proofErr w:type="spellEnd"/>
            <w:r w:rsidRPr="00C929C0">
              <w:rPr>
                <w:rFonts w:asciiTheme="minorHAnsi" w:hAnsiTheme="minorHAnsi" w:cstheme="minorHAnsi"/>
                <w:iCs/>
                <w:color w:val="000000" w:themeColor="text1"/>
                <w:szCs w:val="22"/>
              </w:rPr>
              <w:t xml:space="preserve"> provide coaching, mentoring, and academic support, facilitated by the </w:t>
            </w:r>
            <w:proofErr w:type="spellStart"/>
            <w:r w:rsidRPr="00C929C0">
              <w:rPr>
                <w:rFonts w:asciiTheme="minorHAnsi" w:hAnsiTheme="minorHAnsi" w:cstheme="minorHAnsi"/>
                <w:iCs/>
                <w:color w:val="000000" w:themeColor="text1"/>
                <w:szCs w:val="22"/>
              </w:rPr>
              <w:t>Kulbardi</w:t>
            </w:r>
            <w:proofErr w:type="spellEnd"/>
            <w:r w:rsidRPr="00C929C0">
              <w:rPr>
                <w:rFonts w:asciiTheme="minorHAnsi" w:hAnsiTheme="minorHAnsi" w:cstheme="minorHAnsi"/>
                <w:iCs/>
                <w:color w:val="000000" w:themeColor="text1"/>
                <w:szCs w:val="22"/>
              </w:rPr>
              <w:t xml:space="preserve"> Aboriginal Centre. Wellbeing programs and embedded counsellors further support First Nations students.</w:t>
            </w:r>
          </w:p>
          <w:p w14:paraId="1CCDF86F" w14:textId="710C9CCD" w:rsidR="00C929C0" w:rsidRPr="00C929C0" w:rsidRDefault="00C929C0" w:rsidP="00E50DEB">
            <w:pPr>
              <w:pStyle w:val="NormalIndent"/>
              <w:spacing w:after="0"/>
              <w:ind w:left="32"/>
              <w:rPr>
                <w:rFonts w:asciiTheme="minorHAnsi" w:hAnsiTheme="minorHAnsi" w:cstheme="minorHAnsi"/>
                <w:iCs/>
                <w:color w:val="000000" w:themeColor="text1"/>
                <w:szCs w:val="22"/>
              </w:rPr>
            </w:pPr>
            <w:r w:rsidRPr="00C929C0">
              <w:rPr>
                <w:rFonts w:asciiTheme="minorHAnsi" w:hAnsiTheme="minorHAnsi" w:cstheme="minorHAnsi"/>
                <w:iCs/>
                <w:color w:val="000000" w:themeColor="text1"/>
                <w:szCs w:val="22"/>
              </w:rPr>
              <w:t xml:space="preserve">Outreach includes expanding enabling programs to </w:t>
            </w:r>
            <w:r w:rsidRPr="00A41B2F">
              <w:rPr>
                <w:rFonts w:asciiTheme="minorHAnsi" w:hAnsiTheme="minorHAnsi" w:cstheme="minorHAnsi"/>
                <w:b/>
                <w:bCs/>
                <w:iCs/>
                <w:color w:val="000000" w:themeColor="text1"/>
                <w:szCs w:val="22"/>
              </w:rPr>
              <w:t>regional</w:t>
            </w:r>
            <w:r w:rsidRPr="00C929C0">
              <w:rPr>
                <w:rFonts w:asciiTheme="minorHAnsi" w:hAnsiTheme="minorHAnsi" w:cstheme="minorHAnsi"/>
                <w:iCs/>
                <w:color w:val="000000" w:themeColor="text1"/>
                <w:szCs w:val="22"/>
              </w:rPr>
              <w:t xml:space="preserve"> schools and providing on-demand academic assistance (</w:t>
            </w:r>
            <w:proofErr w:type="spellStart"/>
            <w:r w:rsidRPr="00C929C0">
              <w:rPr>
                <w:rFonts w:asciiTheme="minorHAnsi" w:hAnsiTheme="minorHAnsi" w:cstheme="minorHAnsi"/>
                <w:iCs/>
                <w:color w:val="000000" w:themeColor="text1"/>
                <w:szCs w:val="22"/>
              </w:rPr>
              <w:t>Studiosity</w:t>
            </w:r>
            <w:proofErr w:type="spellEnd"/>
            <w:r w:rsidRPr="00C929C0">
              <w:rPr>
                <w:rFonts w:asciiTheme="minorHAnsi" w:hAnsiTheme="minorHAnsi" w:cstheme="minorHAnsi"/>
                <w:iCs/>
                <w:color w:val="000000" w:themeColor="text1"/>
                <w:szCs w:val="22"/>
              </w:rPr>
              <w:t xml:space="preserve">) for students in </w:t>
            </w:r>
            <w:r w:rsidRPr="00A41B2F">
              <w:rPr>
                <w:rFonts w:asciiTheme="minorHAnsi" w:hAnsiTheme="minorHAnsi" w:cstheme="minorHAnsi"/>
                <w:b/>
                <w:bCs/>
                <w:iCs/>
                <w:color w:val="000000" w:themeColor="text1"/>
                <w:szCs w:val="22"/>
              </w:rPr>
              <w:t>remote</w:t>
            </w:r>
            <w:r w:rsidRPr="00C929C0">
              <w:rPr>
                <w:rFonts w:asciiTheme="minorHAnsi" w:hAnsiTheme="minorHAnsi" w:cstheme="minorHAnsi"/>
                <w:iCs/>
                <w:color w:val="000000" w:themeColor="text1"/>
                <w:szCs w:val="22"/>
              </w:rPr>
              <w:t xml:space="preserve"> areas.</w:t>
            </w:r>
          </w:p>
          <w:p w14:paraId="06329849" w14:textId="5B6AF446" w:rsidR="00C929C0" w:rsidRPr="00A41B2F" w:rsidRDefault="00C929C0" w:rsidP="00E50DEB">
            <w:pPr>
              <w:pStyle w:val="NormalIndent"/>
              <w:spacing w:after="0"/>
              <w:ind w:left="32"/>
              <w:rPr>
                <w:rFonts w:asciiTheme="minorHAnsi" w:hAnsiTheme="minorHAnsi" w:cstheme="minorHAnsi"/>
                <w:b/>
                <w:bCs/>
                <w:iCs/>
                <w:color w:val="000000" w:themeColor="text1"/>
                <w:szCs w:val="22"/>
              </w:rPr>
            </w:pPr>
            <w:r w:rsidRPr="00A41B2F">
              <w:rPr>
                <w:rFonts w:asciiTheme="minorHAnsi" w:hAnsiTheme="minorHAnsi" w:cstheme="minorHAnsi"/>
                <w:b/>
                <w:bCs/>
                <w:iCs/>
                <w:color w:val="000000" w:themeColor="text1"/>
                <w:szCs w:val="22"/>
              </w:rPr>
              <w:t>Student and Community Outreach</w:t>
            </w:r>
          </w:p>
          <w:p w14:paraId="14B8D9A4" w14:textId="138AA569" w:rsidR="00C929C0" w:rsidRPr="00C929C0" w:rsidRDefault="00C929C0" w:rsidP="00E50DEB">
            <w:pPr>
              <w:pStyle w:val="NormalIndent"/>
              <w:spacing w:after="0"/>
              <w:ind w:left="32"/>
              <w:rPr>
                <w:rFonts w:asciiTheme="minorHAnsi" w:hAnsiTheme="minorHAnsi" w:cstheme="minorHAnsi"/>
                <w:iCs/>
                <w:color w:val="000000" w:themeColor="text1"/>
                <w:szCs w:val="22"/>
              </w:rPr>
            </w:pPr>
            <w:r w:rsidRPr="00C929C0">
              <w:rPr>
                <w:rFonts w:asciiTheme="minorHAnsi" w:hAnsiTheme="minorHAnsi" w:cstheme="minorHAnsi"/>
                <w:iCs/>
                <w:color w:val="000000" w:themeColor="text1"/>
                <w:szCs w:val="22"/>
              </w:rPr>
              <w:t xml:space="preserve">Over 1,000 students enrolled in </w:t>
            </w:r>
            <w:r w:rsidRPr="00A41B2F">
              <w:rPr>
                <w:rFonts w:asciiTheme="minorHAnsi" w:hAnsiTheme="minorHAnsi" w:cstheme="minorHAnsi"/>
                <w:b/>
                <w:bCs/>
                <w:iCs/>
                <w:color w:val="000000" w:themeColor="text1"/>
                <w:szCs w:val="22"/>
              </w:rPr>
              <w:t>enabling pathways</w:t>
            </w:r>
            <w:r w:rsidRPr="00C929C0">
              <w:rPr>
                <w:rFonts w:asciiTheme="minorHAnsi" w:hAnsiTheme="minorHAnsi" w:cstheme="minorHAnsi"/>
                <w:iCs/>
                <w:color w:val="000000" w:themeColor="text1"/>
                <w:szCs w:val="22"/>
              </w:rPr>
              <w:t xml:space="preserve"> in 2024, with significant growth in programs like </w:t>
            </w:r>
            <w:proofErr w:type="spellStart"/>
            <w:r w:rsidRPr="00C929C0">
              <w:rPr>
                <w:rFonts w:asciiTheme="minorHAnsi" w:hAnsiTheme="minorHAnsi" w:cstheme="minorHAnsi"/>
                <w:iCs/>
                <w:color w:val="000000" w:themeColor="text1"/>
                <w:szCs w:val="22"/>
              </w:rPr>
              <w:t>FlexiTrack</w:t>
            </w:r>
            <w:proofErr w:type="spellEnd"/>
            <w:r w:rsidRPr="00C929C0">
              <w:rPr>
                <w:rFonts w:asciiTheme="minorHAnsi" w:hAnsiTheme="minorHAnsi" w:cstheme="minorHAnsi"/>
                <w:iCs/>
                <w:color w:val="000000" w:themeColor="text1"/>
                <w:szCs w:val="22"/>
              </w:rPr>
              <w:t xml:space="preserve"> High and OnTrack Flex. TLC Learning for Tomorrow is offered free to eligible students in Mandurah and Rockingham.</w:t>
            </w:r>
          </w:p>
          <w:p w14:paraId="1282190F" w14:textId="42AD46DD" w:rsidR="00C929C0" w:rsidRPr="00C929C0" w:rsidRDefault="00C929C0" w:rsidP="00E50DEB">
            <w:pPr>
              <w:pStyle w:val="NormalIndent"/>
              <w:spacing w:after="0"/>
              <w:ind w:left="32"/>
              <w:rPr>
                <w:rFonts w:asciiTheme="minorHAnsi" w:hAnsiTheme="minorHAnsi" w:cstheme="minorHAnsi"/>
                <w:iCs/>
                <w:color w:val="000000" w:themeColor="text1"/>
                <w:szCs w:val="22"/>
              </w:rPr>
            </w:pPr>
            <w:r w:rsidRPr="00C929C0">
              <w:rPr>
                <w:rFonts w:asciiTheme="minorHAnsi" w:hAnsiTheme="minorHAnsi" w:cstheme="minorHAnsi"/>
                <w:iCs/>
                <w:color w:val="000000" w:themeColor="text1"/>
                <w:szCs w:val="22"/>
              </w:rPr>
              <w:t xml:space="preserve">The </w:t>
            </w:r>
            <w:r w:rsidRPr="00A41B2F">
              <w:rPr>
                <w:rFonts w:asciiTheme="minorHAnsi" w:hAnsiTheme="minorHAnsi" w:cstheme="minorHAnsi"/>
                <w:b/>
                <w:bCs/>
                <w:iCs/>
                <w:color w:val="000000" w:themeColor="text1"/>
                <w:szCs w:val="22"/>
              </w:rPr>
              <w:t xml:space="preserve">Ngala </w:t>
            </w:r>
            <w:proofErr w:type="spellStart"/>
            <w:r w:rsidRPr="00A41B2F">
              <w:rPr>
                <w:rFonts w:asciiTheme="minorHAnsi" w:hAnsiTheme="minorHAnsi" w:cstheme="minorHAnsi"/>
                <w:b/>
                <w:bCs/>
                <w:iCs/>
                <w:color w:val="000000" w:themeColor="text1"/>
                <w:szCs w:val="22"/>
              </w:rPr>
              <w:t>Kwop</w:t>
            </w:r>
            <w:proofErr w:type="spellEnd"/>
            <w:r w:rsidRPr="00A41B2F">
              <w:rPr>
                <w:rFonts w:asciiTheme="minorHAnsi" w:hAnsiTheme="minorHAnsi" w:cstheme="minorHAnsi"/>
                <w:b/>
                <w:bCs/>
                <w:iCs/>
                <w:color w:val="000000" w:themeColor="text1"/>
                <w:szCs w:val="22"/>
              </w:rPr>
              <w:t xml:space="preserve"> Biddi Brighter Futures Scholarship</w:t>
            </w:r>
            <w:r w:rsidRPr="00C929C0">
              <w:rPr>
                <w:rFonts w:asciiTheme="minorHAnsi" w:hAnsiTheme="minorHAnsi" w:cstheme="minorHAnsi"/>
                <w:iCs/>
                <w:color w:val="000000" w:themeColor="text1"/>
                <w:szCs w:val="22"/>
              </w:rPr>
              <w:t>, launched in 2024, is awarded to students who demonstrate leadership and positive change in their communities, with a focus on equity, diversity, inclusion, First Nations, and sustainability. Participation has grown from 50 recipients in 2024 to 84 in 2025.</w:t>
            </w:r>
          </w:p>
          <w:p w14:paraId="24081BEF" w14:textId="1CCB8173" w:rsidR="00C929C0" w:rsidRPr="00C929C0" w:rsidRDefault="00C929C0" w:rsidP="00E50DEB">
            <w:pPr>
              <w:pStyle w:val="NormalIndent"/>
              <w:spacing w:after="0"/>
              <w:ind w:left="32"/>
              <w:rPr>
                <w:rFonts w:asciiTheme="minorHAnsi" w:hAnsiTheme="minorHAnsi" w:cstheme="minorHAnsi"/>
                <w:iCs/>
                <w:color w:val="000000" w:themeColor="text1"/>
                <w:szCs w:val="22"/>
              </w:rPr>
            </w:pPr>
            <w:r w:rsidRPr="00C929C0">
              <w:rPr>
                <w:rFonts w:asciiTheme="minorHAnsi" w:hAnsiTheme="minorHAnsi" w:cstheme="minorHAnsi"/>
                <w:iCs/>
                <w:color w:val="000000" w:themeColor="text1"/>
                <w:szCs w:val="22"/>
              </w:rPr>
              <w:t xml:space="preserve">PASS and Peer Academic Coaches provide </w:t>
            </w:r>
            <w:r w:rsidRPr="00A41B2F">
              <w:rPr>
                <w:rFonts w:asciiTheme="minorHAnsi" w:hAnsiTheme="minorHAnsi" w:cstheme="minorHAnsi"/>
                <w:b/>
                <w:bCs/>
                <w:iCs/>
                <w:color w:val="000000" w:themeColor="text1"/>
                <w:szCs w:val="22"/>
              </w:rPr>
              <w:t xml:space="preserve">academic </w:t>
            </w:r>
            <w:r w:rsidR="00FC4BD9" w:rsidRPr="00A41B2F">
              <w:rPr>
                <w:rFonts w:asciiTheme="minorHAnsi" w:hAnsiTheme="minorHAnsi" w:cstheme="minorHAnsi"/>
                <w:b/>
                <w:bCs/>
                <w:iCs/>
                <w:color w:val="000000" w:themeColor="text1"/>
                <w:szCs w:val="22"/>
              </w:rPr>
              <w:t xml:space="preserve">peer </w:t>
            </w:r>
            <w:r w:rsidRPr="00A41B2F">
              <w:rPr>
                <w:rFonts w:asciiTheme="minorHAnsi" w:hAnsiTheme="minorHAnsi" w:cstheme="minorHAnsi"/>
                <w:b/>
                <w:bCs/>
                <w:iCs/>
                <w:color w:val="000000" w:themeColor="text1"/>
                <w:szCs w:val="22"/>
              </w:rPr>
              <w:t>support</w:t>
            </w:r>
            <w:r w:rsidRPr="00C929C0">
              <w:rPr>
                <w:rFonts w:asciiTheme="minorHAnsi" w:hAnsiTheme="minorHAnsi" w:cstheme="minorHAnsi"/>
                <w:iCs/>
                <w:color w:val="000000" w:themeColor="text1"/>
                <w:szCs w:val="22"/>
              </w:rPr>
              <w:t xml:space="preserve">, with evidence showing improved outcomes for attendees. </w:t>
            </w:r>
            <w:proofErr w:type="spellStart"/>
            <w:r w:rsidRPr="00C929C0">
              <w:rPr>
                <w:rFonts w:asciiTheme="minorHAnsi" w:hAnsiTheme="minorHAnsi" w:cstheme="minorHAnsi"/>
                <w:iCs/>
                <w:color w:val="000000" w:themeColor="text1"/>
                <w:szCs w:val="22"/>
              </w:rPr>
              <w:t>Studiosity</w:t>
            </w:r>
            <w:proofErr w:type="spellEnd"/>
            <w:r w:rsidRPr="00C929C0">
              <w:rPr>
                <w:rFonts w:asciiTheme="minorHAnsi" w:hAnsiTheme="minorHAnsi" w:cstheme="minorHAnsi"/>
                <w:iCs/>
                <w:color w:val="000000" w:themeColor="text1"/>
                <w:szCs w:val="22"/>
              </w:rPr>
              <w:t xml:space="preserve"> offers 24/7 support for low SES and regional students.</w:t>
            </w:r>
          </w:p>
          <w:p w14:paraId="1C402FC4" w14:textId="040430C8" w:rsidR="00C929C0" w:rsidRPr="00A41B2F" w:rsidRDefault="00C929C0" w:rsidP="00E50DEB">
            <w:pPr>
              <w:pStyle w:val="NormalIndent"/>
              <w:spacing w:after="0"/>
              <w:ind w:left="32"/>
              <w:rPr>
                <w:rFonts w:asciiTheme="minorHAnsi" w:hAnsiTheme="minorHAnsi" w:cstheme="minorHAnsi"/>
                <w:b/>
                <w:bCs/>
                <w:iCs/>
                <w:color w:val="000000" w:themeColor="text1"/>
                <w:szCs w:val="22"/>
              </w:rPr>
            </w:pPr>
            <w:r w:rsidRPr="00A41B2F">
              <w:rPr>
                <w:rFonts w:asciiTheme="minorHAnsi" w:hAnsiTheme="minorHAnsi" w:cstheme="minorHAnsi"/>
                <w:b/>
                <w:bCs/>
                <w:iCs/>
                <w:color w:val="000000" w:themeColor="text1"/>
                <w:szCs w:val="22"/>
              </w:rPr>
              <w:t>Measurement and Evaluation</w:t>
            </w:r>
          </w:p>
          <w:p w14:paraId="5BF3C1B5" w14:textId="41027592" w:rsidR="00C929C0" w:rsidRPr="00C929C0" w:rsidRDefault="00C929C0" w:rsidP="30A8B403">
            <w:pPr>
              <w:pStyle w:val="NormalIndent"/>
              <w:spacing w:after="0"/>
              <w:ind w:left="32"/>
              <w:rPr>
                <w:rFonts w:asciiTheme="minorHAnsi" w:hAnsiTheme="minorHAnsi" w:cstheme="minorBidi"/>
                <w:color w:val="000000" w:themeColor="text1"/>
              </w:rPr>
            </w:pPr>
            <w:r w:rsidRPr="30A8B403">
              <w:rPr>
                <w:rFonts w:asciiTheme="minorHAnsi" w:hAnsiTheme="minorHAnsi" w:cstheme="minorBidi"/>
                <w:color w:val="000000" w:themeColor="text1"/>
              </w:rPr>
              <w:t xml:space="preserve">The university uses </w:t>
            </w:r>
            <w:r w:rsidR="00FC4BD9" w:rsidRPr="30A8B403">
              <w:rPr>
                <w:rFonts w:asciiTheme="minorHAnsi" w:hAnsiTheme="minorHAnsi" w:cstheme="minorBidi"/>
                <w:b/>
                <w:bCs/>
                <w:color w:val="000000" w:themeColor="text1"/>
              </w:rPr>
              <w:t>Key Performance Areas (KPAs)</w:t>
            </w:r>
            <w:r w:rsidRPr="30A8B403">
              <w:rPr>
                <w:rFonts w:asciiTheme="minorHAnsi" w:hAnsiTheme="minorHAnsi" w:cstheme="minorBidi"/>
                <w:color w:val="000000" w:themeColor="text1"/>
              </w:rPr>
              <w:t xml:space="preserve"> to measure impact</w:t>
            </w:r>
            <w:r w:rsidR="3FAF8226" w:rsidRPr="30A8B403">
              <w:rPr>
                <w:rFonts w:asciiTheme="minorHAnsi" w:hAnsiTheme="minorHAnsi" w:cstheme="minorBidi"/>
                <w:color w:val="000000" w:themeColor="text1"/>
              </w:rPr>
              <w:t xml:space="preserve"> in equity areas</w:t>
            </w:r>
            <w:r w:rsidRPr="30A8B403">
              <w:rPr>
                <w:rFonts w:asciiTheme="minorHAnsi" w:hAnsiTheme="minorHAnsi" w:cstheme="minorBidi"/>
                <w:color w:val="000000" w:themeColor="text1"/>
              </w:rPr>
              <w:t xml:space="preserve">, focusing on intersectionality and human rights. Targets include increasing diversity, improving retention and graduation rates, and boosting engagement and enrolment from equity groups. </w:t>
            </w:r>
          </w:p>
          <w:p w14:paraId="315B1F70" w14:textId="55588D58" w:rsidR="00C929C0" w:rsidRPr="00C929C0" w:rsidRDefault="00C929C0" w:rsidP="00E50DEB">
            <w:pPr>
              <w:pStyle w:val="NormalIndent"/>
              <w:spacing w:after="0"/>
              <w:ind w:left="32"/>
              <w:rPr>
                <w:rFonts w:asciiTheme="minorHAnsi" w:hAnsiTheme="minorHAnsi" w:cstheme="minorHAnsi"/>
                <w:iCs/>
                <w:color w:val="000000" w:themeColor="text1"/>
                <w:szCs w:val="22"/>
              </w:rPr>
            </w:pPr>
            <w:r w:rsidRPr="00C929C0">
              <w:rPr>
                <w:rFonts w:asciiTheme="minorHAnsi" w:hAnsiTheme="minorHAnsi" w:cstheme="minorHAnsi"/>
                <w:iCs/>
                <w:color w:val="000000" w:themeColor="text1"/>
                <w:szCs w:val="22"/>
              </w:rPr>
              <w:t>By 2030, aims include 83% student satisfaction, parity in First Nations student representation with the WA population (3.3%), and an 83% retention rate for domestic bachelor students.</w:t>
            </w:r>
            <w:r w:rsidR="00FC4BD9">
              <w:rPr>
                <w:rFonts w:asciiTheme="minorHAnsi" w:hAnsiTheme="minorHAnsi" w:cstheme="minorHAnsi"/>
                <w:iCs/>
                <w:color w:val="000000" w:themeColor="text1"/>
                <w:szCs w:val="22"/>
              </w:rPr>
              <w:t xml:space="preserve"> Given the demographics of our student body, </w:t>
            </w:r>
            <w:proofErr w:type="gramStart"/>
            <w:r w:rsidR="00FC4BD9">
              <w:rPr>
                <w:rFonts w:asciiTheme="minorHAnsi" w:hAnsiTheme="minorHAnsi" w:cstheme="minorHAnsi"/>
                <w:iCs/>
                <w:color w:val="000000" w:themeColor="text1"/>
                <w:szCs w:val="22"/>
              </w:rPr>
              <w:t>the majority of</w:t>
            </w:r>
            <w:proofErr w:type="gramEnd"/>
            <w:r w:rsidR="00FC4BD9">
              <w:rPr>
                <w:rFonts w:asciiTheme="minorHAnsi" w:hAnsiTheme="minorHAnsi" w:cstheme="minorHAnsi"/>
                <w:iCs/>
                <w:color w:val="000000" w:themeColor="text1"/>
                <w:szCs w:val="22"/>
              </w:rPr>
              <w:t xml:space="preserve"> these improvements will be made in the equity space</w:t>
            </w:r>
            <w:r w:rsidR="0089394E">
              <w:rPr>
                <w:rFonts w:asciiTheme="minorHAnsi" w:hAnsiTheme="minorHAnsi" w:cstheme="minorHAnsi"/>
                <w:iCs/>
                <w:color w:val="000000" w:themeColor="text1"/>
                <w:szCs w:val="22"/>
              </w:rPr>
              <w:t>, aided by the 2024 and 2025 HECG grants as outlined in our HECG Equity Plans</w:t>
            </w:r>
            <w:r w:rsidR="00FC4BD9">
              <w:rPr>
                <w:rFonts w:asciiTheme="minorHAnsi" w:hAnsiTheme="minorHAnsi" w:cstheme="minorHAnsi"/>
                <w:iCs/>
                <w:color w:val="000000" w:themeColor="text1"/>
                <w:szCs w:val="22"/>
              </w:rPr>
              <w:t>.</w:t>
            </w:r>
          </w:p>
          <w:p w14:paraId="0FD1C7A2" w14:textId="0E3F86A4" w:rsidR="00C929C0" w:rsidRPr="00C929C0" w:rsidRDefault="00C929C0" w:rsidP="00E50DEB">
            <w:pPr>
              <w:pStyle w:val="NormalIndent"/>
              <w:spacing w:after="0"/>
              <w:ind w:left="32"/>
              <w:rPr>
                <w:rFonts w:asciiTheme="minorHAnsi" w:hAnsiTheme="minorHAnsi" w:cstheme="minorHAnsi"/>
                <w:iCs/>
                <w:color w:val="000000" w:themeColor="text1"/>
                <w:szCs w:val="22"/>
              </w:rPr>
            </w:pPr>
            <w:r w:rsidRPr="00C929C0">
              <w:rPr>
                <w:rFonts w:asciiTheme="minorHAnsi" w:hAnsiTheme="minorHAnsi" w:cstheme="minorHAnsi"/>
                <w:iCs/>
                <w:color w:val="000000" w:themeColor="text1"/>
                <w:szCs w:val="22"/>
              </w:rPr>
              <w:t xml:space="preserve">The university is </w:t>
            </w:r>
            <w:r w:rsidR="00FC4BD9">
              <w:rPr>
                <w:rFonts w:asciiTheme="minorHAnsi" w:hAnsiTheme="minorHAnsi" w:cstheme="minorHAnsi"/>
                <w:iCs/>
                <w:color w:val="000000" w:themeColor="text1"/>
                <w:szCs w:val="22"/>
              </w:rPr>
              <w:t xml:space="preserve">further </w:t>
            </w:r>
            <w:r w:rsidRPr="00C929C0">
              <w:rPr>
                <w:rFonts w:asciiTheme="minorHAnsi" w:hAnsiTheme="minorHAnsi" w:cstheme="minorHAnsi"/>
                <w:iCs/>
                <w:color w:val="000000" w:themeColor="text1"/>
                <w:szCs w:val="22"/>
              </w:rPr>
              <w:t xml:space="preserve">developing systems to track representation and outcomes for diverse groups, using both internal and external data sources (e.g., QILT data for satisfaction and employment outcomes). Reporting is coordinated through the Equity, Diversity and Inclusion Committee, with oversight from senior leadership. </w:t>
            </w:r>
          </w:p>
          <w:p w14:paraId="3B10647F" w14:textId="1E425AEE" w:rsidR="00C929C0" w:rsidRPr="00A41B2F" w:rsidRDefault="00C929C0" w:rsidP="00E50DEB">
            <w:pPr>
              <w:pStyle w:val="NormalIndent"/>
              <w:spacing w:after="0"/>
              <w:ind w:left="32"/>
              <w:rPr>
                <w:rFonts w:asciiTheme="minorHAnsi" w:hAnsiTheme="minorHAnsi" w:cstheme="minorHAnsi"/>
                <w:b/>
                <w:bCs/>
                <w:iCs/>
                <w:color w:val="000000" w:themeColor="text1"/>
                <w:szCs w:val="22"/>
              </w:rPr>
            </w:pPr>
            <w:r w:rsidRPr="00A41B2F">
              <w:rPr>
                <w:rFonts w:asciiTheme="minorHAnsi" w:hAnsiTheme="minorHAnsi" w:cstheme="minorHAnsi"/>
                <w:b/>
                <w:bCs/>
                <w:iCs/>
                <w:color w:val="000000" w:themeColor="text1"/>
                <w:szCs w:val="22"/>
              </w:rPr>
              <w:t>Institutional Alignment and Governance</w:t>
            </w:r>
          </w:p>
          <w:p w14:paraId="3ADCA8D5" w14:textId="2858AF02" w:rsidR="00C929C0" w:rsidRDefault="00FC4BD9" w:rsidP="00E50DEB">
            <w:pPr>
              <w:pStyle w:val="NormalIndent"/>
              <w:spacing w:after="0"/>
              <w:ind w:left="32"/>
              <w:rPr>
                <w:rFonts w:asciiTheme="minorHAnsi" w:hAnsiTheme="minorHAnsi" w:cstheme="minorHAnsi"/>
                <w:iCs/>
                <w:color w:val="000000" w:themeColor="text1"/>
                <w:szCs w:val="22"/>
              </w:rPr>
            </w:pPr>
            <w:r>
              <w:rPr>
                <w:rFonts w:asciiTheme="minorHAnsi" w:hAnsiTheme="minorHAnsi" w:cstheme="minorHAnsi"/>
                <w:iCs/>
                <w:color w:val="000000" w:themeColor="text1"/>
                <w:szCs w:val="22"/>
              </w:rPr>
              <w:t>The priorities of</w:t>
            </w:r>
            <w:r w:rsidR="00C929C0" w:rsidRPr="00C929C0">
              <w:rPr>
                <w:rFonts w:asciiTheme="minorHAnsi" w:hAnsiTheme="minorHAnsi" w:cstheme="minorHAnsi"/>
                <w:iCs/>
                <w:color w:val="000000" w:themeColor="text1"/>
                <w:szCs w:val="22"/>
              </w:rPr>
              <w:t xml:space="preserve"> Equity, diversity, inclusion</w:t>
            </w:r>
            <w:r>
              <w:rPr>
                <w:rFonts w:asciiTheme="minorHAnsi" w:hAnsiTheme="minorHAnsi" w:cstheme="minorHAnsi"/>
                <w:iCs/>
                <w:color w:val="000000" w:themeColor="text1"/>
                <w:szCs w:val="22"/>
              </w:rPr>
              <w:t>;</w:t>
            </w:r>
            <w:r w:rsidR="00C929C0" w:rsidRPr="00C929C0">
              <w:rPr>
                <w:rFonts w:asciiTheme="minorHAnsi" w:hAnsiTheme="minorHAnsi" w:cstheme="minorHAnsi"/>
                <w:iCs/>
                <w:color w:val="000000" w:themeColor="text1"/>
                <w:szCs w:val="22"/>
              </w:rPr>
              <w:t xml:space="preserve"> </w:t>
            </w:r>
            <w:r>
              <w:rPr>
                <w:rFonts w:asciiTheme="minorHAnsi" w:hAnsiTheme="minorHAnsi" w:cstheme="minorHAnsi"/>
                <w:iCs/>
                <w:color w:val="000000" w:themeColor="text1"/>
                <w:szCs w:val="22"/>
              </w:rPr>
              <w:t>S</w:t>
            </w:r>
            <w:r w:rsidR="00C929C0" w:rsidRPr="00C929C0">
              <w:rPr>
                <w:rFonts w:asciiTheme="minorHAnsi" w:hAnsiTheme="minorHAnsi" w:cstheme="minorHAnsi"/>
                <w:iCs/>
                <w:color w:val="000000" w:themeColor="text1"/>
                <w:szCs w:val="22"/>
              </w:rPr>
              <w:t>ustainability</w:t>
            </w:r>
            <w:r>
              <w:rPr>
                <w:rFonts w:asciiTheme="minorHAnsi" w:hAnsiTheme="minorHAnsi" w:cstheme="minorHAnsi"/>
                <w:iCs/>
                <w:color w:val="000000" w:themeColor="text1"/>
                <w:szCs w:val="22"/>
              </w:rPr>
              <w:t>;</w:t>
            </w:r>
            <w:r w:rsidR="00C929C0" w:rsidRPr="00C929C0">
              <w:rPr>
                <w:rFonts w:asciiTheme="minorHAnsi" w:hAnsiTheme="minorHAnsi" w:cstheme="minorHAnsi"/>
                <w:iCs/>
                <w:color w:val="000000" w:themeColor="text1"/>
                <w:szCs w:val="22"/>
              </w:rPr>
              <w:t xml:space="preserve"> and First Nations priorities are embedded in the </w:t>
            </w:r>
            <w:r>
              <w:rPr>
                <w:rFonts w:asciiTheme="minorHAnsi" w:hAnsiTheme="minorHAnsi" w:cstheme="minorHAnsi"/>
                <w:iCs/>
                <w:color w:val="000000" w:themeColor="text1"/>
                <w:szCs w:val="22"/>
              </w:rPr>
              <w:t>U</w:t>
            </w:r>
            <w:r w:rsidR="00C929C0" w:rsidRPr="00C929C0">
              <w:rPr>
                <w:rFonts w:asciiTheme="minorHAnsi" w:hAnsiTheme="minorHAnsi" w:cstheme="minorHAnsi"/>
                <w:iCs/>
                <w:color w:val="000000" w:themeColor="text1"/>
                <w:szCs w:val="22"/>
              </w:rPr>
              <w:t xml:space="preserve">niversity’s strategy. The </w:t>
            </w:r>
            <w:hyperlink r:id="rId16" w:history="1">
              <w:r w:rsidR="00C929C0" w:rsidRPr="00FC4BD9">
                <w:rPr>
                  <w:rStyle w:val="Hyperlink"/>
                  <w:rFonts w:asciiTheme="minorHAnsi" w:hAnsiTheme="minorHAnsi" w:cstheme="minorHAnsi"/>
                  <w:iCs/>
                  <w:szCs w:val="22"/>
                </w:rPr>
                <w:t>Equity, Diversity and Inclusion Sub-Strategy</w:t>
              </w:r>
            </w:hyperlink>
            <w:r w:rsidR="00C929C0" w:rsidRPr="00C929C0">
              <w:rPr>
                <w:rFonts w:asciiTheme="minorHAnsi" w:hAnsiTheme="minorHAnsi" w:cstheme="minorHAnsi"/>
                <w:iCs/>
                <w:color w:val="000000" w:themeColor="text1"/>
                <w:szCs w:val="22"/>
              </w:rPr>
              <w:t xml:space="preserve"> guides actions, measures success, and ensures alignment with institutional and national priorities. The </w:t>
            </w:r>
            <w:r>
              <w:rPr>
                <w:rFonts w:asciiTheme="minorHAnsi" w:hAnsiTheme="minorHAnsi" w:cstheme="minorHAnsi"/>
                <w:iCs/>
                <w:color w:val="000000" w:themeColor="text1"/>
                <w:szCs w:val="22"/>
              </w:rPr>
              <w:t>U</w:t>
            </w:r>
            <w:r w:rsidR="00C929C0" w:rsidRPr="00C929C0">
              <w:rPr>
                <w:rFonts w:asciiTheme="minorHAnsi" w:hAnsiTheme="minorHAnsi" w:cstheme="minorHAnsi"/>
                <w:iCs/>
                <w:color w:val="000000" w:themeColor="text1"/>
                <w:szCs w:val="22"/>
              </w:rPr>
              <w:t xml:space="preserve">niversity collaborates with external stakeholders and develops reciprocal initiatives to extend impact beyond campus. </w:t>
            </w:r>
          </w:p>
          <w:p w14:paraId="3F993340" w14:textId="77777777" w:rsidR="0061342D" w:rsidRDefault="0061342D" w:rsidP="00E50DEB">
            <w:pPr>
              <w:pStyle w:val="NormalIndent"/>
              <w:spacing w:after="0"/>
              <w:ind w:left="32"/>
              <w:rPr>
                <w:rFonts w:asciiTheme="minorHAnsi" w:hAnsiTheme="minorHAnsi" w:cstheme="minorHAnsi"/>
                <w:iCs/>
                <w:color w:val="000000" w:themeColor="text1"/>
                <w:szCs w:val="22"/>
              </w:rPr>
            </w:pPr>
          </w:p>
          <w:p w14:paraId="2BCEC25F" w14:textId="1B9D7F25" w:rsidR="0061342D" w:rsidRPr="00A41B2F" w:rsidRDefault="0061342D" w:rsidP="00A41B2F">
            <w:pPr>
              <w:rPr>
                <w:lang w:eastAsia="en-AU"/>
              </w:rPr>
            </w:pPr>
            <w:r w:rsidRPr="00A41B2F">
              <w:rPr>
                <w:rFonts w:eastAsia="Times New Roman" w:cstheme="minorHAnsi"/>
                <w:color w:val="000000" w:themeColor="text1"/>
                <w:lang w:eastAsia="en-AU"/>
              </w:rPr>
              <w:t>I</w:t>
            </w:r>
            <w:r w:rsidRPr="00A41B2F">
              <w:rPr>
                <w:rFonts w:eastAsia="Times New Roman" w:cstheme="minorHAnsi"/>
                <w:color w:val="000000" w:themeColor="text1"/>
                <w:szCs w:val="24"/>
                <w:lang w:eastAsia="en-AU"/>
              </w:rPr>
              <w:t xml:space="preserve">n summary, </w:t>
            </w:r>
            <w:r w:rsidR="00C929C0" w:rsidRPr="00A41B2F">
              <w:rPr>
                <w:rFonts w:eastAsia="Times New Roman" w:cstheme="minorHAnsi"/>
                <w:iCs/>
                <w:color w:val="000000" w:themeColor="text1"/>
                <w:lang w:eastAsia="en-AU"/>
              </w:rPr>
              <w:t xml:space="preserve">Murdoch University’s approach to supporting under-represented students is multi-faceted, combining targeted programs, outreach, scholarships, peer support, and robust measurement frameworks. </w:t>
            </w:r>
            <w:r w:rsidR="00FB02D1" w:rsidRPr="00567818">
              <w:rPr>
                <w:rFonts w:eastAsia="Times New Roman" w:cstheme="minorHAnsi"/>
                <w:iCs/>
                <w:color w:val="000000" w:themeColor="text1"/>
                <w:lang w:eastAsia="en-AU"/>
              </w:rPr>
              <w:t xml:space="preserve">It has been temporarily boosted by HECG </w:t>
            </w:r>
            <w:proofErr w:type="gramStart"/>
            <w:r w:rsidR="00FB02D1" w:rsidRPr="00567818">
              <w:rPr>
                <w:rFonts w:eastAsia="Times New Roman" w:cstheme="minorHAnsi"/>
                <w:iCs/>
                <w:color w:val="000000" w:themeColor="text1"/>
                <w:lang w:eastAsia="en-AU"/>
              </w:rPr>
              <w:t>grants, but</w:t>
            </w:r>
            <w:proofErr w:type="gramEnd"/>
            <w:r w:rsidR="00FB02D1" w:rsidRPr="00567818">
              <w:rPr>
                <w:rFonts w:eastAsia="Times New Roman" w:cstheme="minorHAnsi"/>
                <w:iCs/>
                <w:color w:val="000000" w:themeColor="text1"/>
                <w:lang w:eastAsia="en-AU"/>
              </w:rPr>
              <w:t xml:space="preserve"> is part and parcel of the University’s identity. </w:t>
            </w:r>
            <w:r w:rsidR="00C929C0" w:rsidRPr="00A41B2F">
              <w:rPr>
                <w:rFonts w:eastAsia="Times New Roman" w:cstheme="minorHAnsi"/>
                <w:iCs/>
                <w:color w:val="000000" w:themeColor="text1"/>
                <w:lang w:eastAsia="en-AU"/>
              </w:rPr>
              <w:t xml:space="preserve">The </w:t>
            </w:r>
            <w:r w:rsidRPr="00A41B2F">
              <w:rPr>
                <w:rFonts w:eastAsia="Times New Roman" w:cstheme="minorHAnsi"/>
                <w:color w:val="000000" w:themeColor="text1"/>
                <w:lang w:eastAsia="en-AU"/>
              </w:rPr>
              <w:t>U</w:t>
            </w:r>
            <w:r w:rsidR="00C929C0" w:rsidRPr="00A41B2F">
              <w:rPr>
                <w:rFonts w:eastAsia="Times New Roman" w:cstheme="minorHAnsi"/>
                <w:iCs/>
                <w:color w:val="000000" w:themeColor="text1"/>
                <w:lang w:eastAsia="en-AU"/>
              </w:rPr>
              <w:t>niversity’s strategic priorities and governance structures ensure that equity initiatives are embedded, tracked, and continuously improved to foster a genuinely inclusive academic community</w:t>
            </w:r>
            <w:r w:rsidRPr="00A41B2F">
              <w:rPr>
                <w:rFonts w:eastAsia="Times New Roman" w:cstheme="minorHAnsi"/>
                <w:color w:val="000000" w:themeColor="text1"/>
                <w:lang w:eastAsia="en-AU"/>
              </w:rPr>
              <w:t>,</w:t>
            </w:r>
            <w:r w:rsidRPr="00A41B2F">
              <w:rPr>
                <w:rFonts w:eastAsia="Times New Roman" w:cstheme="minorHAnsi"/>
                <w:color w:val="000000" w:themeColor="text1"/>
                <w:szCs w:val="24"/>
                <w:lang w:eastAsia="en-AU"/>
              </w:rPr>
              <w:t xml:space="preserve"> where every student and staff member can thrive</w:t>
            </w:r>
            <w:r w:rsidR="00C929C0" w:rsidRPr="00A41B2F">
              <w:rPr>
                <w:rFonts w:eastAsia="Times New Roman" w:cstheme="minorHAnsi"/>
                <w:iCs/>
                <w:color w:val="000000" w:themeColor="text1"/>
                <w:lang w:eastAsia="en-AU"/>
              </w:rPr>
              <w:t>.</w:t>
            </w:r>
          </w:p>
          <w:bookmarkEnd w:id="0"/>
          <w:bookmarkEnd w:id="1"/>
          <w:p w14:paraId="22B87A46" w14:textId="77777777" w:rsidR="001B109C" w:rsidRDefault="001B109C" w:rsidP="00A41B2F">
            <w:pPr>
              <w:pStyle w:val="Heading4"/>
              <w:spacing w:before="120"/>
              <w:ind w:left="34"/>
            </w:pPr>
          </w:p>
        </w:tc>
      </w:tr>
      <w:tr w:rsidR="008D615E" w:rsidRPr="00E41388" w14:paraId="7FB54B07" w14:textId="77777777" w:rsidTr="30A8B403">
        <w:tblPrEx>
          <w:tblLook w:val="04A0" w:firstRow="1" w:lastRow="0" w:firstColumn="1" w:lastColumn="0" w:noHBand="0" w:noVBand="1"/>
        </w:tblPrEx>
        <w:tc>
          <w:tcPr>
            <w:tcW w:w="5000" w:type="pct"/>
          </w:tcPr>
          <w:p w14:paraId="08A6BD35" w14:textId="77777777" w:rsidR="008D615E" w:rsidRPr="002A58A5" w:rsidRDefault="008D615E">
            <w:pPr>
              <w:pStyle w:val="Heading4"/>
              <w:keepLines w:val="0"/>
              <w:spacing w:before="180" w:after="60"/>
              <w:rPr>
                <w:iCs w:val="0"/>
              </w:rPr>
            </w:pPr>
            <w:r>
              <w:lastRenderedPageBreak/>
              <w:t>Strategies for Improving T</w:t>
            </w:r>
            <w:r w:rsidRPr="00E169EE">
              <w:t xml:space="preserve">eaching and </w:t>
            </w:r>
            <w:r>
              <w:t>L</w:t>
            </w:r>
            <w:r w:rsidRPr="00E169EE">
              <w:t>earning</w:t>
            </w:r>
          </w:p>
        </w:tc>
      </w:tr>
      <w:tr w:rsidR="008D615E" w:rsidRPr="00E41388" w14:paraId="4A257249" w14:textId="77777777" w:rsidTr="30A8B403">
        <w:tc>
          <w:tcPr>
            <w:tcW w:w="5000" w:type="pct"/>
          </w:tcPr>
          <w:p w14:paraId="1D03189C" w14:textId="77777777" w:rsidR="008D615E" w:rsidRPr="00E50DEB" w:rsidRDefault="008D615E" w:rsidP="008D615E">
            <w:pPr>
              <w:pStyle w:val="NormalIndent"/>
              <w:ind w:left="32"/>
              <w:rPr>
                <w:rFonts w:cstheme="minorHAnsi"/>
                <w:iCs/>
                <w:color w:val="000000" w:themeColor="text1"/>
              </w:rPr>
            </w:pPr>
            <w:r w:rsidRPr="00E044F0">
              <w:rPr>
                <w:rFonts w:cstheme="minorHAnsi"/>
                <w:iCs/>
                <w:color w:val="000000" w:themeColor="text1"/>
              </w:rPr>
              <w:t>Murdoch University will deliver contemporary, accessible, and inclusive education, with a high-quality and engaging student experience that produces graduates who are adaptable, and have fresh perspectives, and demonstrate a strong social conscience.</w:t>
            </w:r>
            <w:r w:rsidRPr="00E50DEB">
              <w:rPr>
                <w:rFonts w:cstheme="minorHAnsi"/>
                <w:iCs/>
                <w:color w:val="000000" w:themeColor="text1"/>
              </w:rPr>
              <w:t xml:space="preserve"> </w:t>
            </w:r>
          </w:p>
          <w:p w14:paraId="1AD3D4FE" w14:textId="77777777" w:rsidR="008D615E" w:rsidRPr="00E50DEB" w:rsidRDefault="008D615E" w:rsidP="008D615E">
            <w:pPr>
              <w:pStyle w:val="NormalIndent"/>
              <w:ind w:left="32"/>
              <w:rPr>
                <w:rFonts w:cstheme="minorHAnsi"/>
                <w:iCs/>
                <w:color w:val="000000" w:themeColor="text1"/>
              </w:rPr>
            </w:pPr>
            <w:r w:rsidRPr="00E044F0">
              <w:rPr>
                <w:rFonts w:cstheme="minorHAnsi"/>
                <w:iCs/>
                <w:color w:val="000000" w:themeColor="text1"/>
              </w:rPr>
              <w:t>Key strategic directions and actions include:</w:t>
            </w:r>
          </w:p>
          <w:p w14:paraId="4B9ED037" w14:textId="77777777" w:rsidR="008D615E" w:rsidRPr="00D916D6" w:rsidRDefault="008D615E" w:rsidP="008D615E">
            <w:pPr>
              <w:pStyle w:val="NormalIndent"/>
              <w:numPr>
                <w:ilvl w:val="0"/>
                <w:numId w:val="30"/>
              </w:numPr>
              <w:rPr>
                <w:rFonts w:cstheme="minorHAnsi"/>
                <w:iCs/>
                <w:color w:val="000000" w:themeColor="text1"/>
              </w:rPr>
            </w:pPr>
            <w:r w:rsidRPr="00D916D6">
              <w:rPr>
                <w:rFonts w:cstheme="minorHAnsi"/>
                <w:b/>
                <w:bCs/>
                <w:iCs/>
                <w:color w:val="000000" w:themeColor="text1"/>
              </w:rPr>
              <w:t>Deliver innovative and future-facing programs</w:t>
            </w:r>
            <w:r w:rsidRPr="00D916D6">
              <w:rPr>
                <w:rFonts w:cstheme="minorHAnsi"/>
                <w:iCs/>
                <w:color w:val="000000" w:themeColor="text1"/>
              </w:rPr>
              <w:t xml:space="preserve"> that address critical social, scientific, and technological issues, with attention to cultural, political, economic, sustainability, and professional implications. Course design and review are purposeful, responsive to contemporary and emerging opportunities, and incorporate assessment transformation and strategic themes such as sustainability, First Nations, and equity, diversity, and inclusion. </w:t>
            </w:r>
          </w:p>
          <w:p w14:paraId="26A6B3CF" w14:textId="77777777" w:rsidR="008D615E" w:rsidRPr="00D916D6" w:rsidRDefault="008D615E" w:rsidP="008D615E">
            <w:pPr>
              <w:pStyle w:val="NormalIndent"/>
              <w:numPr>
                <w:ilvl w:val="0"/>
                <w:numId w:val="30"/>
              </w:numPr>
              <w:rPr>
                <w:rFonts w:cstheme="minorHAnsi"/>
                <w:iCs/>
                <w:color w:val="000000" w:themeColor="text1"/>
              </w:rPr>
            </w:pPr>
            <w:r w:rsidRPr="00D916D6">
              <w:rPr>
                <w:rFonts w:cstheme="minorHAnsi"/>
                <w:b/>
                <w:bCs/>
                <w:iCs/>
                <w:color w:val="000000" w:themeColor="text1"/>
              </w:rPr>
              <w:t>Create and provide inclusive and accessible educational programs</w:t>
            </w:r>
            <w:r w:rsidRPr="00D916D6">
              <w:rPr>
                <w:rFonts w:cstheme="minorHAnsi"/>
                <w:iCs/>
                <w:color w:val="000000" w:themeColor="text1"/>
              </w:rPr>
              <w:t xml:space="preserve"> that enable success for diverse student cohorts, including local, regional, offshore, and online learners. Universal Design for Learning (UDL) principles are embedded in teaching and assessment, and course offerings are designed to be “fit for purpose,” accommodating students’ commitments and promoting health and safety across all learning environments. </w:t>
            </w:r>
          </w:p>
          <w:p w14:paraId="644CE044" w14:textId="77777777" w:rsidR="008D615E" w:rsidRPr="00D916D6" w:rsidRDefault="008D615E" w:rsidP="008D615E">
            <w:pPr>
              <w:pStyle w:val="NormalIndent"/>
              <w:numPr>
                <w:ilvl w:val="0"/>
                <w:numId w:val="30"/>
              </w:numPr>
              <w:rPr>
                <w:rFonts w:cstheme="minorHAnsi"/>
                <w:iCs/>
                <w:color w:val="000000" w:themeColor="text1"/>
              </w:rPr>
            </w:pPr>
            <w:r w:rsidRPr="00D916D6">
              <w:rPr>
                <w:rFonts w:cstheme="minorHAnsi"/>
                <w:b/>
                <w:bCs/>
                <w:iCs/>
                <w:color w:val="000000" w:themeColor="text1"/>
              </w:rPr>
              <w:t>Endow graduates with a strong commitment to academic, professional, and personal ethics, trustworthiness, integrity, and responsibility.</w:t>
            </w:r>
            <w:r w:rsidRPr="00D916D6">
              <w:rPr>
                <w:rFonts w:cstheme="minorHAnsi"/>
                <w:iCs/>
                <w:color w:val="000000" w:themeColor="text1"/>
              </w:rPr>
              <w:t xml:space="preserve"> Academic integrity is fostered through targeted professional learning programs, recognition of high-quality teaching, and invest in systems to address emerging concerns. </w:t>
            </w:r>
          </w:p>
          <w:p w14:paraId="74448943" w14:textId="77777777" w:rsidR="008D615E" w:rsidRPr="00D916D6" w:rsidRDefault="008D615E" w:rsidP="008D615E">
            <w:pPr>
              <w:pStyle w:val="NormalIndent"/>
              <w:numPr>
                <w:ilvl w:val="0"/>
                <w:numId w:val="30"/>
              </w:numPr>
              <w:rPr>
                <w:rFonts w:cstheme="minorHAnsi"/>
                <w:iCs/>
                <w:color w:val="000000" w:themeColor="text1"/>
              </w:rPr>
            </w:pPr>
            <w:r w:rsidRPr="00D916D6">
              <w:rPr>
                <w:rFonts w:cstheme="minorHAnsi"/>
                <w:b/>
                <w:bCs/>
                <w:iCs/>
                <w:color w:val="000000" w:themeColor="text1"/>
              </w:rPr>
              <w:t>Inspire students to develop their social conscience, embracing equity, diversity, inclusion, global Indigenous knowledges, and sustainability.</w:t>
            </w:r>
            <w:r w:rsidRPr="00D916D6">
              <w:rPr>
                <w:rFonts w:cstheme="minorHAnsi"/>
                <w:iCs/>
                <w:color w:val="000000" w:themeColor="text1"/>
              </w:rPr>
              <w:t xml:space="preserve"> Foundational intercultural communication competence (ICC) skills and Indigenous perspectives are integrated into curricula, with a roadmap for culturally responsive learning environments. </w:t>
            </w:r>
          </w:p>
          <w:p w14:paraId="0452B326" w14:textId="77777777" w:rsidR="008D615E" w:rsidRPr="00D916D6" w:rsidRDefault="008D615E" w:rsidP="008D615E">
            <w:pPr>
              <w:pStyle w:val="NormalIndent"/>
              <w:numPr>
                <w:ilvl w:val="0"/>
                <w:numId w:val="30"/>
              </w:numPr>
              <w:rPr>
                <w:rFonts w:cstheme="minorHAnsi"/>
                <w:iCs/>
                <w:color w:val="000000" w:themeColor="text1"/>
              </w:rPr>
            </w:pPr>
            <w:r w:rsidRPr="00D916D6">
              <w:rPr>
                <w:rFonts w:cstheme="minorHAnsi"/>
                <w:b/>
                <w:bCs/>
                <w:iCs/>
                <w:color w:val="000000" w:themeColor="text1"/>
              </w:rPr>
              <w:t>Produce graduates with analytical, research, professional, and practical skills, and the ability to adapt and respond to societal and technological shifts.</w:t>
            </w:r>
            <w:r w:rsidRPr="00D916D6">
              <w:rPr>
                <w:rFonts w:cstheme="minorHAnsi"/>
                <w:iCs/>
                <w:color w:val="000000" w:themeColor="text1"/>
              </w:rPr>
              <w:t xml:space="preserve"> Work-integrated learning (WIL), industry engagement, and digital literacy including the ethical use of emerging technologies such as GenAI, are prioritised to prepare students for dynamic workforce needs. </w:t>
            </w:r>
          </w:p>
          <w:p w14:paraId="73AF6A2E" w14:textId="77777777" w:rsidR="008D615E" w:rsidRPr="00D916D6" w:rsidRDefault="008D615E" w:rsidP="008D615E">
            <w:pPr>
              <w:pStyle w:val="NormalIndent"/>
              <w:numPr>
                <w:ilvl w:val="0"/>
                <w:numId w:val="30"/>
              </w:numPr>
              <w:rPr>
                <w:rFonts w:cstheme="minorHAnsi"/>
                <w:iCs/>
                <w:color w:val="000000" w:themeColor="text1"/>
              </w:rPr>
            </w:pPr>
            <w:r w:rsidRPr="00D916D6">
              <w:rPr>
                <w:rFonts w:cstheme="minorHAnsi"/>
                <w:b/>
                <w:bCs/>
                <w:iCs/>
                <w:color w:val="000000" w:themeColor="text1"/>
              </w:rPr>
              <w:t>Ensure education is informed by evidence, research, and scholarship, and build staff capacity to enhance teaching knowledge and capabilities.</w:t>
            </w:r>
            <w:r w:rsidRPr="00D916D6">
              <w:rPr>
                <w:rFonts w:cstheme="minorHAnsi"/>
                <w:iCs/>
                <w:color w:val="000000" w:themeColor="text1"/>
              </w:rPr>
              <w:t xml:space="preserve"> Continuous improvement is driven by data, feedback, and participation in educational research and scholarship. </w:t>
            </w:r>
          </w:p>
          <w:p w14:paraId="2B895B73" w14:textId="77777777" w:rsidR="008D615E" w:rsidRPr="00D916D6" w:rsidRDefault="008D615E" w:rsidP="008D615E">
            <w:pPr>
              <w:pStyle w:val="NormalIndent"/>
              <w:numPr>
                <w:ilvl w:val="0"/>
                <w:numId w:val="30"/>
              </w:numPr>
              <w:rPr>
                <w:rFonts w:cstheme="minorHAnsi"/>
                <w:iCs/>
                <w:color w:val="000000" w:themeColor="text1"/>
              </w:rPr>
            </w:pPr>
            <w:r w:rsidRPr="00D916D6">
              <w:rPr>
                <w:rFonts w:cstheme="minorHAnsi"/>
                <w:b/>
                <w:bCs/>
                <w:iCs/>
                <w:color w:val="000000" w:themeColor="text1"/>
              </w:rPr>
              <w:t>Leverage the expertise of partners in delivering education,</w:t>
            </w:r>
            <w:r w:rsidRPr="00D916D6">
              <w:rPr>
                <w:rFonts w:cstheme="minorHAnsi"/>
                <w:iCs/>
                <w:color w:val="000000" w:themeColor="text1"/>
              </w:rPr>
              <w:t xml:space="preserve"> including industry, technology, and community partners, as well as collaborations with Open Universities Australia and regional/suburban study hubs. </w:t>
            </w:r>
          </w:p>
          <w:p w14:paraId="4F86249E" w14:textId="77777777" w:rsidR="008D615E" w:rsidRPr="00D916D6" w:rsidRDefault="008D615E" w:rsidP="008D615E">
            <w:pPr>
              <w:pStyle w:val="NormalIndent"/>
              <w:numPr>
                <w:ilvl w:val="0"/>
                <w:numId w:val="30"/>
              </w:numPr>
              <w:rPr>
                <w:rFonts w:cstheme="minorHAnsi"/>
                <w:iCs/>
                <w:color w:val="000000" w:themeColor="text1"/>
              </w:rPr>
            </w:pPr>
            <w:r w:rsidRPr="00D916D6">
              <w:rPr>
                <w:rFonts w:cstheme="minorHAnsi"/>
                <w:b/>
                <w:bCs/>
                <w:iCs/>
                <w:color w:val="000000" w:themeColor="text1"/>
              </w:rPr>
              <w:t>Provide education within environments and facilities that support effective teaching and learning and foster innovation,</w:t>
            </w:r>
            <w:r w:rsidRPr="00D916D6">
              <w:rPr>
                <w:rFonts w:cstheme="minorHAnsi"/>
                <w:iCs/>
                <w:color w:val="000000" w:themeColor="text1"/>
              </w:rPr>
              <w:t xml:space="preserve"> including campus development, hybrid and flexible study options, and experimentation with next-generation platforms and technologies. </w:t>
            </w:r>
          </w:p>
          <w:p w14:paraId="68379311" w14:textId="77777777" w:rsidR="008D615E" w:rsidRPr="00D916D6" w:rsidRDefault="008D615E" w:rsidP="008D615E">
            <w:pPr>
              <w:pStyle w:val="NormalIndent"/>
              <w:rPr>
                <w:rFonts w:cstheme="minorHAnsi"/>
                <w:iCs/>
                <w:color w:val="000000" w:themeColor="text1"/>
              </w:rPr>
            </w:pPr>
            <w:r w:rsidRPr="00D916D6">
              <w:rPr>
                <w:rFonts w:cstheme="minorHAnsi"/>
                <w:b/>
                <w:bCs/>
                <w:iCs/>
                <w:color w:val="000000" w:themeColor="text1"/>
              </w:rPr>
              <w:t>Student retention and support</w:t>
            </w:r>
            <w:r w:rsidRPr="00D916D6">
              <w:rPr>
                <w:rFonts w:cstheme="minorHAnsi"/>
                <w:iCs/>
                <w:color w:val="000000" w:themeColor="text1"/>
              </w:rPr>
              <w:t xml:space="preserve"> are enhanced through targeted interventions, early identification of at-risk students, and a robust framework of academic and pastoral care. International students benefit from gateway communication skills units and tailored support services. Admissions transparency is maintained through clear pathways and entry requirements for all applicant groups. </w:t>
            </w:r>
          </w:p>
          <w:p w14:paraId="3711F2EE" w14:textId="77777777" w:rsidR="008D615E" w:rsidRPr="00D916D6" w:rsidRDefault="008D615E" w:rsidP="008D615E">
            <w:pPr>
              <w:pStyle w:val="NormalIndent"/>
              <w:rPr>
                <w:rFonts w:cstheme="minorHAnsi"/>
                <w:iCs/>
                <w:color w:val="000000" w:themeColor="text1"/>
              </w:rPr>
            </w:pPr>
            <w:r w:rsidRPr="00D916D6">
              <w:rPr>
                <w:rFonts w:cstheme="minorHAnsi"/>
                <w:b/>
                <w:bCs/>
                <w:iCs/>
                <w:color w:val="000000" w:themeColor="text1"/>
              </w:rPr>
              <w:lastRenderedPageBreak/>
              <w:t>Labour market outcomes</w:t>
            </w:r>
            <w:r w:rsidRPr="00D916D6">
              <w:rPr>
                <w:rFonts w:cstheme="minorHAnsi"/>
                <w:iCs/>
                <w:color w:val="000000" w:themeColor="text1"/>
              </w:rPr>
              <w:t xml:space="preserve"> are strengthened by supporting workforce development through </w:t>
            </w:r>
            <w:proofErr w:type="spellStart"/>
            <w:r w:rsidRPr="00D916D6">
              <w:rPr>
                <w:rFonts w:cstheme="minorHAnsi"/>
                <w:iCs/>
                <w:color w:val="000000" w:themeColor="text1"/>
              </w:rPr>
              <w:t>microcredentials</w:t>
            </w:r>
            <w:proofErr w:type="spellEnd"/>
            <w:r w:rsidRPr="00D916D6">
              <w:rPr>
                <w:rFonts w:cstheme="minorHAnsi"/>
                <w:iCs/>
                <w:color w:val="000000" w:themeColor="text1"/>
              </w:rPr>
              <w:t xml:space="preserve">, professional development, and employability initiatives. Industry engagement and skill development programs, such as the Students as Change Agents program and Launchpad Academy, empower students to create positive change and develop entrepreneurial skills. </w:t>
            </w:r>
          </w:p>
          <w:p w14:paraId="46A162B0" w14:textId="77777777" w:rsidR="008D615E" w:rsidRDefault="008D615E" w:rsidP="008D615E">
            <w:pPr>
              <w:pStyle w:val="NormalIndent"/>
              <w:spacing w:before="0" w:after="0"/>
              <w:ind w:left="0"/>
              <w:rPr>
                <w:rFonts w:asciiTheme="minorHAnsi" w:hAnsiTheme="minorHAnsi" w:cstheme="minorHAnsi"/>
                <w:i/>
                <w:color w:val="FF0000"/>
                <w:szCs w:val="22"/>
              </w:rPr>
            </w:pPr>
            <w:r w:rsidRPr="00D916D6">
              <w:rPr>
                <w:rFonts w:asciiTheme="minorHAnsi" w:hAnsiTheme="minorHAnsi" w:cstheme="minorHAnsi"/>
                <w:b/>
                <w:bCs/>
                <w:iCs/>
                <w:color w:val="000000" w:themeColor="text1"/>
                <w:szCs w:val="22"/>
              </w:rPr>
              <w:t>Research, research training, and innovation</w:t>
            </w:r>
            <w:r w:rsidRPr="00D916D6">
              <w:rPr>
                <w:rFonts w:asciiTheme="minorHAnsi" w:hAnsiTheme="minorHAnsi" w:cstheme="minorHAnsi"/>
                <w:iCs/>
                <w:color w:val="000000" w:themeColor="text1"/>
                <w:szCs w:val="22"/>
              </w:rPr>
              <w:t xml:space="preserve"> are advanced by encouraging collaborative research, optimising research support, and aligning with Indigenous Data Sovereignty principles. The Education Strategic Plan emphasises the integration of impactful research and continuous improvement in teaching and learning.</w:t>
            </w:r>
          </w:p>
          <w:p w14:paraId="556621A4" w14:textId="77777777" w:rsidR="008D615E" w:rsidRPr="0007338F" w:rsidDel="0061342D" w:rsidRDefault="008D615E" w:rsidP="008D615E">
            <w:pPr>
              <w:pStyle w:val="NormalIndent"/>
              <w:spacing w:after="0"/>
              <w:ind w:left="32"/>
              <w:rPr>
                <w:rFonts w:asciiTheme="minorHAnsi" w:hAnsiTheme="minorHAnsi" w:cstheme="minorHAnsi"/>
                <w:i/>
                <w:color w:val="FF0000"/>
                <w:szCs w:val="22"/>
              </w:rPr>
            </w:pPr>
          </w:p>
        </w:tc>
      </w:tr>
      <w:tr w:rsidR="008D615E" w:rsidRPr="00E41388" w14:paraId="1A1859B4" w14:textId="77777777" w:rsidTr="30A8B403">
        <w:tblPrEx>
          <w:tblLook w:val="04A0" w:firstRow="1" w:lastRow="0" w:firstColumn="1" w:lastColumn="0" w:noHBand="0" w:noVBand="1"/>
        </w:tblPrEx>
        <w:tc>
          <w:tcPr>
            <w:tcW w:w="5000" w:type="pct"/>
          </w:tcPr>
          <w:p w14:paraId="0EB392ED" w14:textId="77777777" w:rsidR="008D615E" w:rsidRPr="00E169EE" w:rsidRDefault="008D615E">
            <w:pPr>
              <w:pStyle w:val="Heading4"/>
              <w:keepLines w:val="0"/>
              <w:spacing w:before="180" w:after="60"/>
            </w:pPr>
            <w:r>
              <w:lastRenderedPageBreak/>
              <w:t xml:space="preserve">Strategies for Improving </w:t>
            </w:r>
            <w:r w:rsidRPr="00E169EE">
              <w:t>Re</w:t>
            </w:r>
            <w:r>
              <w:t>search, Research Training, and Innovation</w:t>
            </w:r>
          </w:p>
        </w:tc>
      </w:tr>
      <w:tr w:rsidR="008D615E" w:rsidRPr="00E41388" w14:paraId="0DB3C874" w14:textId="77777777" w:rsidTr="30A8B403">
        <w:tc>
          <w:tcPr>
            <w:tcW w:w="5000" w:type="pct"/>
          </w:tcPr>
          <w:p w14:paraId="3BE8AC56" w14:textId="77777777" w:rsidR="008D615E" w:rsidRDefault="008D615E" w:rsidP="008D615E">
            <w:pPr>
              <w:pStyle w:val="NormalIndent"/>
              <w:spacing w:after="0"/>
              <w:ind w:left="0"/>
              <w:rPr>
                <w:rFonts w:asciiTheme="minorHAnsi" w:hAnsiTheme="minorHAnsi" w:cstheme="minorHAnsi"/>
                <w:iCs/>
                <w:color w:val="000000" w:themeColor="text1"/>
              </w:rPr>
            </w:pPr>
            <w:r w:rsidRPr="00D759D3">
              <w:rPr>
                <w:rFonts w:asciiTheme="minorHAnsi" w:hAnsiTheme="minorHAnsi" w:cstheme="minorHAnsi"/>
                <w:iCs/>
                <w:color w:val="000000" w:themeColor="text1"/>
              </w:rPr>
              <w:t xml:space="preserve">Our objective is to increase the University’s impactful and progressive research in areas of strength and excellent research across our disciplines. </w:t>
            </w:r>
          </w:p>
          <w:p w14:paraId="6ACF248A" w14:textId="76E24729" w:rsidR="008D615E" w:rsidRDefault="008D615E" w:rsidP="008D615E">
            <w:pPr>
              <w:pStyle w:val="NormalIndent"/>
              <w:spacing w:after="0"/>
              <w:ind w:left="0"/>
              <w:rPr>
                <w:rFonts w:asciiTheme="minorHAnsi" w:hAnsiTheme="minorHAnsi" w:cstheme="minorHAnsi"/>
                <w:iCs/>
                <w:color w:val="000000" w:themeColor="text1"/>
              </w:rPr>
            </w:pPr>
            <w:r w:rsidRPr="00D759D3">
              <w:rPr>
                <w:rFonts w:asciiTheme="minorHAnsi" w:hAnsiTheme="minorHAnsi" w:cstheme="minorHAnsi"/>
                <w:iCs/>
                <w:color w:val="000000" w:themeColor="text1"/>
              </w:rPr>
              <w:t>Over the last 10 years, Murdoch University has focused its research in the areas of Food, Health</w:t>
            </w:r>
            <w:r>
              <w:rPr>
                <w:rFonts w:asciiTheme="minorHAnsi" w:hAnsiTheme="minorHAnsi" w:cstheme="minorHAnsi"/>
                <w:iCs/>
                <w:color w:val="000000" w:themeColor="text1"/>
              </w:rPr>
              <w:t>, First Nations</w:t>
            </w:r>
            <w:r w:rsidRPr="00D759D3">
              <w:rPr>
                <w:rFonts w:asciiTheme="minorHAnsi" w:hAnsiTheme="minorHAnsi" w:cstheme="minorHAnsi"/>
                <w:iCs/>
                <w:color w:val="000000" w:themeColor="text1"/>
              </w:rPr>
              <w:t xml:space="preserve"> and the Environment, building on our historic strengths. We have recruited distinguished and early-career researchers in each area to grow research output and grant success. While successful, it has been recognised that there were broader capabilities that have not been adequately supported or developed. </w:t>
            </w:r>
          </w:p>
          <w:p w14:paraId="1361719A" w14:textId="68283D93" w:rsidR="008D615E" w:rsidRDefault="008D615E" w:rsidP="008D615E">
            <w:pPr>
              <w:pStyle w:val="NormalIndent"/>
              <w:spacing w:after="0"/>
              <w:ind w:left="0"/>
              <w:rPr>
                <w:rFonts w:asciiTheme="minorHAnsi" w:hAnsiTheme="minorHAnsi" w:cstheme="minorHAnsi"/>
                <w:iCs/>
                <w:color w:val="000000" w:themeColor="text1"/>
              </w:rPr>
            </w:pPr>
            <w:r w:rsidRPr="00D759D3">
              <w:rPr>
                <w:rFonts w:asciiTheme="minorHAnsi" w:hAnsiTheme="minorHAnsi" w:cstheme="minorHAnsi"/>
                <w:iCs/>
                <w:color w:val="000000" w:themeColor="text1"/>
              </w:rPr>
              <w:t>The University’s Strategy 2023-2030 commits to maintaining and growing the capabilities of our research institutes and centres, but also support and build a broader research base, ensuring we have quality research being undertaken in teaching areas so that all learning at Murdoch University is research-led.</w:t>
            </w:r>
          </w:p>
          <w:p w14:paraId="22A63CB5" w14:textId="4E40162D" w:rsidR="008D615E" w:rsidRPr="00D759D3" w:rsidRDefault="008D615E" w:rsidP="008D615E">
            <w:pPr>
              <w:pStyle w:val="NormalIndent"/>
              <w:spacing w:after="0"/>
              <w:ind w:left="0"/>
              <w:rPr>
                <w:rFonts w:asciiTheme="minorHAnsi" w:hAnsiTheme="minorHAnsi" w:cstheme="minorHAnsi"/>
                <w:iCs/>
                <w:color w:val="000000" w:themeColor="text1"/>
              </w:rPr>
            </w:pPr>
            <w:r w:rsidRPr="00D759D3">
              <w:rPr>
                <w:rFonts w:asciiTheme="minorHAnsi" w:hAnsiTheme="minorHAnsi" w:cstheme="minorHAnsi"/>
                <w:iCs/>
                <w:color w:val="000000" w:themeColor="text1"/>
              </w:rPr>
              <w:t>Key activities to achieve this objective</w:t>
            </w:r>
            <w:r>
              <w:rPr>
                <w:rFonts w:asciiTheme="minorHAnsi" w:hAnsiTheme="minorHAnsi" w:cstheme="minorHAnsi"/>
                <w:iCs/>
                <w:color w:val="000000" w:themeColor="text1"/>
              </w:rPr>
              <w:t xml:space="preserve"> are</w:t>
            </w:r>
          </w:p>
          <w:p w14:paraId="186DA10B" w14:textId="2FAB5237" w:rsidR="008D615E" w:rsidRPr="00D759D3" w:rsidRDefault="008D615E" w:rsidP="008D615E">
            <w:pPr>
              <w:pStyle w:val="NormalIndent"/>
              <w:numPr>
                <w:ilvl w:val="0"/>
                <w:numId w:val="20"/>
              </w:numPr>
              <w:spacing w:after="0"/>
              <w:rPr>
                <w:rFonts w:asciiTheme="minorHAnsi" w:hAnsiTheme="minorHAnsi" w:cstheme="minorHAnsi"/>
                <w:iCs/>
                <w:color w:val="000000" w:themeColor="text1"/>
              </w:rPr>
            </w:pPr>
            <w:r>
              <w:rPr>
                <w:rFonts w:asciiTheme="minorHAnsi" w:hAnsiTheme="minorHAnsi" w:cstheme="minorHAnsi"/>
                <w:iCs/>
                <w:color w:val="000000" w:themeColor="text1"/>
              </w:rPr>
              <w:t>M</w:t>
            </w:r>
            <w:r w:rsidRPr="00D759D3">
              <w:rPr>
                <w:rFonts w:asciiTheme="minorHAnsi" w:hAnsiTheme="minorHAnsi" w:cstheme="minorHAnsi"/>
                <w:iCs/>
                <w:color w:val="000000" w:themeColor="text1"/>
              </w:rPr>
              <w:t>aintain research focus/support and broaden the base</w:t>
            </w:r>
            <w:r>
              <w:rPr>
                <w:rFonts w:asciiTheme="minorHAnsi" w:hAnsiTheme="minorHAnsi" w:cstheme="minorHAnsi"/>
                <w:iCs/>
                <w:color w:val="000000" w:themeColor="text1"/>
              </w:rPr>
              <w:t xml:space="preserve"> </w:t>
            </w:r>
            <w:r w:rsidRPr="00D759D3">
              <w:rPr>
                <w:rFonts w:asciiTheme="minorHAnsi" w:hAnsiTheme="minorHAnsi" w:cstheme="minorHAnsi"/>
                <w:iCs/>
                <w:color w:val="000000" w:themeColor="text1"/>
              </w:rPr>
              <w:t>to increase staff engagement</w:t>
            </w:r>
          </w:p>
          <w:p w14:paraId="4EBAC346" w14:textId="5A7DE75D" w:rsidR="008D615E" w:rsidRPr="00D759D3" w:rsidRDefault="008D615E" w:rsidP="008D615E">
            <w:pPr>
              <w:pStyle w:val="NormalIndent"/>
              <w:numPr>
                <w:ilvl w:val="0"/>
                <w:numId w:val="20"/>
              </w:numPr>
              <w:spacing w:after="0"/>
              <w:rPr>
                <w:rFonts w:asciiTheme="minorHAnsi" w:hAnsiTheme="minorHAnsi" w:cstheme="minorHAnsi"/>
                <w:iCs/>
                <w:color w:val="000000" w:themeColor="text1"/>
              </w:rPr>
            </w:pPr>
            <w:r>
              <w:rPr>
                <w:rFonts w:asciiTheme="minorHAnsi" w:hAnsiTheme="minorHAnsi" w:cstheme="minorHAnsi"/>
                <w:iCs/>
                <w:color w:val="000000" w:themeColor="text1"/>
              </w:rPr>
              <w:t>P</w:t>
            </w:r>
            <w:r w:rsidRPr="00D759D3">
              <w:rPr>
                <w:rFonts w:asciiTheme="minorHAnsi" w:hAnsiTheme="minorHAnsi" w:cstheme="minorHAnsi"/>
                <w:iCs/>
                <w:color w:val="000000" w:themeColor="text1"/>
              </w:rPr>
              <w:t>romote and support research across our discipline</w:t>
            </w:r>
            <w:r>
              <w:rPr>
                <w:rFonts w:asciiTheme="minorHAnsi" w:hAnsiTheme="minorHAnsi" w:cstheme="minorHAnsi"/>
                <w:iCs/>
                <w:color w:val="000000" w:themeColor="text1"/>
              </w:rPr>
              <w:t xml:space="preserve"> </w:t>
            </w:r>
            <w:r w:rsidRPr="00D759D3">
              <w:rPr>
                <w:rFonts w:asciiTheme="minorHAnsi" w:hAnsiTheme="minorHAnsi" w:cstheme="minorHAnsi"/>
                <w:iCs/>
                <w:color w:val="000000" w:themeColor="text1"/>
              </w:rPr>
              <w:t>base, both basic and applied</w:t>
            </w:r>
          </w:p>
          <w:p w14:paraId="1974BA79" w14:textId="2B21BD64" w:rsidR="008D615E" w:rsidRPr="00D759D3" w:rsidRDefault="008D615E" w:rsidP="008D615E">
            <w:pPr>
              <w:pStyle w:val="NormalIndent"/>
              <w:numPr>
                <w:ilvl w:val="0"/>
                <w:numId w:val="20"/>
              </w:numPr>
              <w:spacing w:after="0"/>
              <w:rPr>
                <w:rFonts w:asciiTheme="minorHAnsi" w:hAnsiTheme="minorHAnsi" w:cstheme="minorHAnsi"/>
                <w:iCs/>
                <w:color w:val="000000" w:themeColor="text1"/>
              </w:rPr>
            </w:pPr>
            <w:r w:rsidRPr="00D759D3">
              <w:rPr>
                <w:rFonts w:asciiTheme="minorHAnsi" w:hAnsiTheme="minorHAnsi" w:cstheme="minorHAnsi"/>
                <w:iCs/>
                <w:color w:val="000000" w:themeColor="text1"/>
              </w:rPr>
              <w:t>Provide mentoring and peer support to increase</w:t>
            </w:r>
            <w:r>
              <w:rPr>
                <w:rFonts w:asciiTheme="minorHAnsi" w:hAnsiTheme="minorHAnsi" w:cstheme="minorHAnsi"/>
                <w:iCs/>
                <w:color w:val="000000" w:themeColor="text1"/>
              </w:rPr>
              <w:t xml:space="preserve"> </w:t>
            </w:r>
            <w:r w:rsidRPr="00D759D3">
              <w:rPr>
                <w:rFonts w:asciiTheme="minorHAnsi" w:hAnsiTheme="minorHAnsi" w:cstheme="minorHAnsi"/>
                <w:iCs/>
                <w:color w:val="000000" w:themeColor="text1"/>
              </w:rPr>
              <w:t>research performance</w:t>
            </w:r>
          </w:p>
          <w:p w14:paraId="7B764182" w14:textId="486B80AA" w:rsidR="008D615E" w:rsidRPr="00D759D3" w:rsidRDefault="008D615E" w:rsidP="008D615E">
            <w:pPr>
              <w:pStyle w:val="NormalIndent"/>
              <w:numPr>
                <w:ilvl w:val="0"/>
                <w:numId w:val="20"/>
              </w:numPr>
              <w:spacing w:after="0"/>
              <w:rPr>
                <w:rFonts w:asciiTheme="minorHAnsi" w:hAnsiTheme="minorHAnsi" w:cstheme="minorHAnsi"/>
                <w:iCs/>
                <w:color w:val="000000" w:themeColor="text1"/>
              </w:rPr>
            </w:pPr>
            <w:r w:rsidRPr="00D759D3">
              <w:rPr>
                <w:rFonts w:asciiTheme="minorHAnsi" w:hAnsiTheme="minorHAnsi" w:cstheme="minorHAnsi"/>
                <w:iCs/>
                <w:color w:val="000000" w:themeColor="text1"/>
              </w:rPr>
              <w:t>Build commercialisation, entrepreneurship, partnership,</w:t>
            </w:r>
            <w:r>
              <w:rPr>
                <w:rFonts w:asciiTheme="minorHAnsi" w:hAnsiTheme="minorHAnsi" w:cstheme="minorHAnsi"/>
                <w:iCs/>
                <w:color w:val="000000" w:themeColor="text1"/>
              </w:rPr>
              <w:t xml:space="preserve"> </w:t>
            </w:r>
            <w:r w:rsidRPr="00D759D3">
              <w:rPr>
                <w:rFonts w:asciiTheme="minorHAnsi" w:hAnsiTheme="minorHAnsi" w:cstheme="minorHAnsi"/>
                <w:iCs/>
                <w:color w:val="000000" w:themeColor="text1"/>
              </w:rPr>
              <w:t>and consultancy activities</w:t>
            </w:r>
          </w:p>
          <w:p w14:paraId="02BC051A" w14:textId="5F33E3B4" w:rsidR="008D615E" w:rsidRPr="00D759D3" w:rsidRDefault="008D615E" w:rsidP="008D615E">
            <w:pPr>
              <w:pStyle w:val="NormalIndent"/>
              <w:numPr>
                <w:ilvl w:val="0"/>
                <w:numId w:val="20"/>
              </w:numPr>
              <w:spacing w:after="0"/>
              <w:rPr>
                <w:rFonts w:asciiTheme="minorHAnsi" w:hAnsiTheme="minorHAnsi" w:cstheme="minorHAnsi"/>
                <w:iCs/>
                <w:color w:val="000000" w:themeColor="text1"/>
              </w:rPr>
            </w:pPr>
            <w:r w:rsidRPr="00D759D3">
              <w:rPr>
                <w:rFonts w:asciiTheme="minorHAnsi" w:hAnsiTheme="minorHAnsi" w:cstheme="minorHAnsi"/>
                <w:iCs/>
                <w:color w:val="000000" w:themeColor="text1"/>
              </w:rPr>
              <w:t>Enhance support for research project development</w:t>
            </w:r>
          </w:p>
          <w:p w14:paraId="184CEA0C" w14:textId="64B36A72" w:rsidR="008D615E" w:rsidRDefault="008D615E" w:rsidP="008D615E">
            <w:pPr>
              <w:pStyle w:val="NormalIndent"/>
              <w:numPr>
                <w:ilvl w:val="0"/>
                <w:numId w:val="20"/>
              </w:numPr>
              <w:spacing w:after="0"/>
              <w:rPr>
                <w:rFonts w:asciiTheme="minorHAnsi" w:hAnsiTheme="minorHAnsi" w:cstheme="minorHAnsi"/>
                <w:iCs/>
                <w:color w:val="000000" w:themeColor="text1"/>
              </w:rPr>
            </w:pPr>
            <w:r w:rsidRPr="00D759D3">
              <w:rPr>
                <w:rFonts w:asciiTheme="minorHAnsi" w:hAnsiTheme="minorHAnsi" w:cstheme="minorHAnsi"/>
                <w:iCs/>
                <w:color w:val="000000" w:themeColor="text1"/>
              </w:rPr>
              <w:t>Support the development of the next generation of</w:t>
            </w:r>
            <w:r>
              <w:rPr>
                <w:rFonts w:asciiTheme="minorHAnsi" w:hAnsiTheme="minorHAnsi" w:cstheme="minorHAnsi"/>
                <w:iCs/>
                <w:color w:val="000000" w:themeColor="text1"/>
              </w:rPr>
              <w:t xml:space="preserve"> </w:t>
            </w:r>
            <w:r w:rsidRPr="00D759D3">
              <w:rPr>
                <w:rFonts w:asciiTheme="minorHAnsi" w:hAnsiTheme="minorHAnsi" w:cstheme="minorHAnsi"/>
                <w:iCs/>
                <w:color w:val="000000" w:themeColor="text1"/>
              </w:rPr>
              <w:t>researchers through excellence in HDR supervision</w:t>
            </w:r>
          </w:p>
          <w:p w14:paraId="19C08D41" w14:textId="4E771275" w:rsidR="008D615E" w:rsidRDefault="008D615E" w:rsidP="008D615E">
            <w:pPr>
              <w:pStyle w:val="NormalIndent"/>
              <w:spacing w:after="0"/>
              <w:ind w:left="0"/>
              <w:rPr>
                <w:rFonts w:asciiTheme="minorHAnsi" w:hAnsiTheme="minorHAnsi" w:cstheme="minorHAnsi"/>
                <w:iCs/>
                <w:color w:val="000000" w:themeColor="text1"/>
              </w:rPr>
            </w:pPr>
            <w:r w:rsidRPr="00D70744">
              <w:rPr>
                <w:rFonts w:asciiTheme="minorHAnsi" w:hAnsiTheme="minorHAnsi" w:cstheme="minorHAnsi"/>
                <w:iCs/>
                <w:color w:val="000000" w:themeColor="text1"/>
              </w:rPr>
              <w:t>All learning at Murdoch should be</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research-led and our research should be</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accessible, impactful, and collaborative.</w:t>
            </w:r>
            <w:r>
              <w:rPr>
                <w:rFonts w:asciiTheme="minorHAnsi" w:hAnsiTheme="minorHAnsi" w:cstheme="minorHAnsi"/>
                <w:iCs/>
                <w:color w:val="000000" w:themeColor="text1"/>
              </w:rPr>
              <w:t xml:space="preserve"> </w:t>
            </w:r>
          </w:p>
          <w:p w14:paraId="5C0851B9" w14:textId="1A56524A" w:rsidR="008D615E" w:rsidRDefault="008D615E" w:rsidP="008D615E">
            <w:pPr>
              <w:pStyle w:val="NormalIndent"/>
              <w:spacing w:after="0"/>
              <w:ind w:left="0"/>
              <w:rPr>
                <w:rFonts w:asciiTheme="minorHAnsi" w:hAnsiTheme="minorHAnsi" w:cstheme="minorHAnsi"/>
                <w:iCs/>
                <w:color w:val="000000" w:themeColor="text1"/>
              </w:rPr>
            </w:pPr>
            <w:r w:rsidRPr="00D70744">
              <w:rPr>
                <w:rFonts w:asciiTheme="minorHAnsi" w:hAnsiTheme="minorHAnsi" w:cstheme="minorHAnsi"/>
                <w:iCs/>
                <w:color w:val="000000" w:themeColor="text1"/>
              </w:rPr>
              <w:t xml:space="preserve">At the heart of </w:t>
            </w:r>
            <w:r>
              <w:rPr>
                <w:rFonts w:asciiTheme="minorHAnsi" w:hAnsiTheme="minorHAnsi" w:cstheme="minorHAnsi"/>
                <w:iCs/>
                <w:color w:val="000000" w:themeColor="text1"/>
              </w:rPr>
              <w:t>the Research</w:t>
            </w:r>
            <w:r w:rsidRPr="00D70744">
              <w:rPr>
                <w:rFonts w:asciiTheme="minorHAnsi" w:hAnsiTheme="minorHAnsi" w:cstheme="minorHAnsi"/>
                <w:iCs/>
                <w:color w:val="000000" w:themeColor="text1"/>
              </w:rPr>
              <w:t xml:space="preserve"> </w:t>
            </w:r>
            <w:r>
              <w:rPr>
                <w:rFonts w:asciiTheme="minorHAnsi" w:hAnsiTheme="minorHAnsi" w:cstheme="minorHAnsi"/>
                <w:iCs/>
                <w:color w:val="000000" w:themeColor="text1"/>
              </w:rPr>
              <w:t>S</w:t>
            </w:r>
            <w:r w:rsidRPr="00D70744">
              <w:rPr>
                <w:rFonts w:asciiTheme="minorHAnsi" w:hAnsiTheme="minorHAnsi" w:cstheme="minorHAnsi"/>
                <w:iCs/>
                <w:color w:val="000000" w:themeColor="text1"/>
              </w:rPr>
              <w:t>trategy is our</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commitment to research integrity.</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Murdoch expects the highest standards</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of integrity in all aspects of research</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conducted by its staff and HDR students</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and is committed to creating and</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maintaining an environment that</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celebrates integrity above publication</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counts, citations, grant income and other</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research metrics. Key commitments</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include the implementation of FAIR</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principles for research data management</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and the CARE principles for Indigenous</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data governance.</w:t>
            </w:r>
            <w:r>
              <w:rPr>
                <w:rFonts w:asciiTheme="minorHAnsi" w:hAnsiTheme="minorHAnsi" w:cstheme="minorHAnsi"/>
                <w:iCs/>
                <w:color w:val="000000" w:themeColor="text1"/>
              </w:rPr>
              <w:t xml:space="preserve"> </w:t>
            </w:r>
          </w:p>
          <w:p w14:paraId="607235DA" w14:textId="531EAECF" w:rsidR="008D615E" w:rsidRDefault="008D615E" w:rsidP="008D615E">
            <w:pPr>
              <w:pStyle w:val="NormalIndent"/>
              <w:spacing w:after="0"/>
              <w:ind w:left="0"/>
              <w:rPr>
                <w:rFonts w:asciiTheme="minorHAnsi" w:hAnsiTheme="minorHAnsi" w:cstheme="minorHAnsi"/>
                <w:iCs/>
                <w:color w:val="000000" w:themeColor="text1"/>
              </w:rPr>
            </w:pPr>
            <w:r w:rsidRPr="00D70744">
              <w:rPr>
                <w:rFonts w:asciiTheme="minorHAnsi" w:hAnsiTheme="minorHAnsi" w:cstheme="minorHAnsi"/>
                <w:iCs/>
                <w:color w:val="000000" w:themeColor="text1"/>
              </w:rPr>
              <w:t>Research inputs and outputs can take</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multiple forms, from traditional</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to non-traditional</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Murdoch aims to acknowledge research</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in its many forms and will develop, over</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time, a series of measures that document</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the diversity of our research and its</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 xml:space="preserve">outputs. </w:t>
            </w:r>
            <w:r>
              <w:rPr>
                <w:rFonts w:asciiTheme="minorHAnsi" w:hAnsiTheme="minorHAnsi" w:cstheme="minorHAnsi"/>
                <w:iCs/>
                <w:color w:val="000000" w:themeColor="text1"/>
              </w:rPr>
              <w:t xml:space="preserve">Through our promotions process, Murdoch will also recognise the diversity of outputs and career paths. </w:t>
            </w:r>
          </w:p>
          <w:p w14:paraId="001AAC2E" w14:textId="6562B667" w:rsidR="008D615E" w:rsidRDefault="008D615E" w:rsidP="008D615E">
            <w:pPr>
              <w:pStyle w:val="NormalIndent"/>
              <w:spacing w:after="0"/>
              <w:ind w:left="0"/>
              <w:rPr>
                <w:rFonts w:asciiTheme="minorHAnsi" w:hAnsiTheme="minorHAnsi" w:cstheme="minorHAnsi"/>
                <w:iCs/>
                <w:color w:val="000000" w:themeColor="text1"/>
              </w:rPr>
            </w:pPr>
            <w:r w:rsidRPr="00D70744">
              <w:rPr>
                <w:rFonts w:asciiTheme="minorHAnsi" w:hAnsiTheme="minorHAnsi" w:cstheme="minorHAnsi"/>
                <w:iCs/>
                <w:color w:val="000000" w:themeColor="text1"/>
              </w:rPr>
              <w:lastRenderedPageBreak/>
              <w:t>Murdoch is well known for its</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 xml:space="preserve">translational, impactful research. </w:t>
            </w:r>
            <w:r>
              <w:rPr>
                <w:rFonts w:asciiTheme="minorHAnsi" w:hAnsiTheme="minorHAnsi" w:cstheme="minorHAnsi"/>
                <w:iCs/>
                <w:color w:val="000000" w:themeColor="text1"/>
              </w:rPr>
              <w:t xml:space="preserve">To support knowledge transfer, the Murdoch Innovation Framework aims to Educate, Innovate, Incubate and Collaborate to translate research into intellectual property or other knowledge transfers. In 2026 Murdoch will open an innovation hub to support the sign-out of Murdoch technologies. </w:t>
            </w:r>
          </w:p>
          <w:p w14:paraId="3EE6589C" w14:textId="77777777" w:rsidR="008D615E" w:rsidRDefault="008D615E" w:rsidP="008D615E">
            <w:pPr>
              <w:pStyle w:val="NormalIndent"/>
              <w:spacing w:after="0"/>
              <w:ind w:left="0"/>
              <w:rPr>
                <w:rFonts w:asciiTheme="minorHAnsi" w:hAnsiTheme="minorHAnsi" w:cstheme="minorHAnsi"/>
                <w:iCs/>
                <w:color w:val="000000" w:themeColor="text1"/>
              </w:rPr>
            </w:pPr>
            <w:r w:rsidRPr="00D70744">
              <w:rPr>
                <w:rFonts w:asciiTheme="minorHAnsi" w:hAnsiTheme="minorHAnsi" w:cstheme="minorHAnsi"/>
                <w:iCs/>
                <w:color w:val="000000" w:themeColor="text1"/>
              </w:rPr>
              <w:t>Murdoch will continue to undertake</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research that changes lives and society</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for the better and contributes to solving</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major societal and environmental</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challenges by delivering excellence across</w:t>
            </w:r>
            <w:r>
              <w:rPr>
                <w:rFonts w:asciiTheme="minorHAnsi" w:hAnsiTheme="minorHAnsi" w:cstheme="minorHAnsi"/>
                <w:iCs/>
                <w:color w:val="000000" w:themeColor="text1"/>
              </w:rPr>
              <w:t xml:space="preserve"> </w:t>
            </w:r>
            <w:r w:rsidRPr="00D70744">
              <w:rPr>
                <w:rFonts w:asciiTheme="minorHAnsi" w:hAnsiTheme="minorHAnsi" w:cstheme="minorHAnsi"/>
                <w:iCs/>
                <w:color w:val="000000" w:themeColor="text1"/>
              </w:rPr>
              <w:t>our disciplines through six key areas:</w:t>
            </w:r>
            <w:r>
              <w:rPr>
                <w:rFonts w:asciiTheme="minorHAnsi" w:hAnsiTheme="minorHAnsi" w:cstheme="minorHAnsi"/>
                <w:iCs/>
                <w:color w:val="000000" w:themeColor="text1"/>
              </w:rPr>
              <w:t xml:space="preserve"> </w:t>
            </w:r>
          </w:p>
          <w:p w14:paraId="1313708C" w14:textId="77777777" w:rsidR="008D615E" w:rsidRDefault="008D615E" w:rsidP="008D615E">
            <w:pPr>
              <w:pStyle w:val="NormalIndent"/>
              <w:numPr>
                <w:ilvl w:val="0"/>
                <w:numId w:val="21"/>
              </w:numPr>
              <w:spacing w:after="0"/>
              <w:rPr>
                <w:rFonts w:asciiTheme="minorHAnsi" w:hAnsiTheme="minorHAnsi" w:cstheme="minorHAnsi"/>
                <w:iCs/>
                <w:color w:val="000000" w:themeColor="text1"/>
              </w:rPr>
            </w:pPr>
            <w:r w:rsidRPr="00D70744">
              <w:rPr>
                <w:rFonts w:asciiTheme="minorHAnsi" w:hAnsiTheme="minorHAnsi" w:cstheme="minorHAnsi"/>
                <w:iCs/>
                <w:color w:val="000000" w:themeColor="text1"/>
              </w:rPr>
              <w:t>Culture</w:t>
            </w:r>
          </w:p>
          <w:p w14:paraId="6BE09BF1" w14:textId="77777777" w:rsidR="008D615E" w:rsidRDefault="008D615E" w:rsidP="008D615E">
            <w:pPr>
              <w:pStyle w:val="NormalIndent"/>
              <w:numPr>
                <w:ilvl w:val="0"/>
                <w:numId w:val="21"/>
              </w:numPr>
              <w:spacing w:after="0"/>
              <w:rPr>
                <w:rFonts w:asciiTheme="minorHAnsi" w:hAnsiTheme="minorHAnsi" w:cstheme="minorHAnsi"/>
                <w:iCs/>
                <w:color w:val="000000" w:themeColor="text1"/>
              </w:rPr>
            </w:pPr>
            <w:r w:rsidRPr="00D70744">
              <w:rPr>
                <w:rFonts w:asciiTheme="minorHAnsi" w:hAnsiTheme="minorHAnsi" w:cstheme="minorHAnsi"/>
                <w:iCs/>
                <w:color w:val="000000" w:themeColor="text1"/>
              </w:rPr>
              <w:t>Partnerships</w:t>
            </w:r>
          </w:p>
          <w:p w14:paraId="38E1A0CD" w14:textId="77777777" w:rsidR="008D615E" w:rsidRDefault="008D615E" w:rsidP="008D615E">
            <w:pPr>
              <w:pStyle w:val="NormalIndent"/>
              <w:numPr>
                <w:ilvl w:val="0"/>
                <w:numId w:val="21"/>
              </w:numPr>
              <w:spacing w:after="0"/>
              <w:rPr>
                <w:rFonts w:asciiTheme="minorHAnsi" w:hAnsiTheme="minorHAnsi" w:cstheme="minorHAnsi"/>
                <w:iCs/>
                <w:color w:val="000000" w:themeColor="text1"/>
              </w:rPr>
            </w:pPr>
            <w:r w:rsidRPr="00D70744">
              <w:rPr>
                <w:rFonts w:asciiTheme="minorHAnsi" w:hAnsiTheme="minorHAnsi" w:cstheme="minorHAnsi"/>
                <w:iCs/>
                <w:color w:val="000000" w:themeColor="text1"/>
              </w:rPr>
              <w:t>Impact</w:t>
            </w:r>
          </w:p>
          <w:p w14:paraId="4ED9CC40" w14:textId="77777777" w:rsidR="008D615E" w:rsidRDefault="008D615E" w:rsidP="008D615E">
            <w:pPr>
              <w:pStyle w:val="NormalIndent"/>
              <w:numPr>
                <w:ilvl w:val="0"/>
                <w:numId w:val="21"/>
              </w:numPr>
              <w:spacing w:after="0"/>
              <w:rPr>
                <w:rFonts w:asciiTheme="minorHAnsi" w:hAnsiTheme="minorHAnsi" w:cstheme="minorHAnsi"/>
                <w:iCs/>
                <w:color w:val="000000" w:themeColor="text1"/>
              </w:rPr>
            </w:pPr>
            <w:r w:rsidRPr="00D70744">
              <w:rPr>
                <w:rFonts w:asciiTheme="minorHAnsi" w:hAnsiTheme="minorHAnsi" w:cstheme="minorHAnsi"/>
                <w:iCs/>
                <w:color w:val="000000" w:themeColor="text1"/>
              </w:rPr>
              <w:t>Support</w:t>
            </w:r>
          </w:p>
          <w:p w14:paraId="67F891E8" w14:textId="77777777" w:rsidR="008D615E" w:rsidRDefault="008D615E" w:rsidP="008D615E">
            <w:pPr>
              <w:pStyle w:val="NormalIndent"/>
              <w:numPr>
                <w:ilvl w:val="0"/>
                <w:numId w:val="21"/>
              </w:numPr>
              <w:spacing w:after="0"/>
              <w:rPr>
                <w:rFonts w:asciiTheme="minorHAnsi" w:hAnsiTheme="minorHAnsi" w:cstheme="minorHAnsi"/>
                <w:iCs/>
                <w:color w:val="000000" w:themeColor="text1"/>
              </w:rPr>
            </w:pPr>
            <w:r w:rsidRPr="00D70744">
              <w:rPr>
                <w:rFonts w:asciiTheme="minorHAnsi" w:hAnsiTheme="minorHAnsi" w:cstheme="minorHAnsi"/>
                <w:iCs/>
                <w:color w:val="000000" w:themeColor="text1"/>
              </w:rPr>
              <w:t>Graduate Research</w:t>
            </w:r>
          </w:p>
          <w:p w14:paraId="4F86D053" w14:textId="773C8649" w:rsidR="008D615E" w:rsidRDefault="008D615E" w:rsidP="008D615E">
            <w:pPr>
              <w:pStyle w:val="NormalIndent"/>
              <w:numPr>
                <w:ilvl w:val="0"/>
                <w:numId w:val="21"/>
              </w:numPr>
              <w:spacing w:after="0"/>
              <w:rPr>
                <w:rFonts w:asciiTheme="minorHAnsi" w:hAnsiTheme="minorHAnsi" w:cstheme="minorHAnsi"/>
                <w:iCs/>
                <w:color w:val="000000" w:themeColor="text1"/>
              </w:rPr>
            </w:pPr>
            <w:r w:rsidRPr="00D70744">
              <w:rPr>
                <w:rFonts w:asciiTheme="minorHAnsi" w:hAnsiTheme="minorHAnsi" w:cstheme="minorHAnsi"/>
                <w:iCs/>
                <w:color w:val="000000" w:themeColor="text1"/>
              </w:rPr>
              <w:t>Infrastructure.</w:t>
            </w:r>
          </w:p>
          <w:p w14:paraId="6AA4C1D9" w14:textId="11836387" w:rsidR="008D615E" w:rsidRPr="00D759D3" w:rsidRDefault="008D615E" w:rsidP="008D615E">
            <w:pPr>
              <w:pStyle w:val="NormalIndent"/>
              <w:spacing w:after="0"/>
              <w:ind w:left="0"/>
              <w:rPr>
                <w:rFonts w:asciiTheme="minorHAnsi" w:hAnsiTheme="minorHAnsi" w:cstheme="minorHAnsi"/>
                <w:iCs/>
                <w:color w:val="000000" w:themeColor="text1"/>
              </w:rPr>
            </w:pPr>
            <w:r>
              <w:rPr>
                <w:rFonts w:asciiTheme="minorHAnsi" w:hAnsiTheme="minorHAnsi" w:cstheme="minorHAnsi"/>
                <w:iCs/>
                <w:color w:val="000000" w:themeColor="text1"/>
              </w:rPr>
              <w:t xml:space="preserve">For more detailed information on impact and engagement, industry and partnerships, as well as actions and measures of success of research and innovation at Murdoch University, please see our full </w:t>
            </w:r>
            <w:hyperlink r:id="rId17" w:history="1">
              <w:r w:rsidRPr="009C0279">
                <w:rPr>
                  <w:rStyle w:val="Hyperlink"/>
                  <w:rFonts w:asciiTheme="minorHAnsi" w:hAnsiTheme="minorHAnsi" w:cstheme="minorHAnsi"/>
                  <w:iCs/>
                </w:rPr>
                <w:t>Research Strategic Plan 2024-2030</w:t>
              </w:r>
            </w:hyperlink>
            <w:r>
              <w:rPr>
                <w:rFonts w:asciiTheme="minorHAnsi" w:hAnsiTheme="minorHAnsi" w:cstheme="minorHAnsi"/>
                <w:iCs/>
                <w:color w:val="000000" w:themeColor="text1"/>
              </w:rPr>
              <w:t>.</w:t>
            </w:r>
          </w:p>
          <w:p w14:paraId="1C4FD7F2" w14:textId="77777777" w:rsidR="008D615E" w:rsidRDefault="008D615E" w:rsidP="008D615E">
            <w:pPr>
              <w:pStyle w:val="NormalIndent"/>
              <w:spacing w:before="0" w:after="0"/>
              <w:ind w:left="0"/>
              <w:rPr>
                <w:rFonts w:asciiTheme="minorHAnsi" w:hAnsiTheme="minorHAnsi" w:cstheme="minorHAnsi"/>
                <w:i/>
                <w:color w:val="FF0000"/>
              </w:rPr>
            </w:pPr>
          </w:p>
          <w:p w14:paraId="40DA31C2" w14:textId="77777777" w:rsidR="008D615E" w:rsidRPr="00583B49" w:rsidRDefault="008D615E" w:rsidP="008D615E">
            <w:pPr>
              <w:pStyle w:val="NormalIndent"/>
              <w:spacing w:before="0" w:after="0"/>
              <w:ind w:left="0"/>
              <w:rPr>
                <w:rFonts w:asciiTheme="minorHAnsi" w:hAnsiTheme="minorHAnsi" w:cstheme="minorHAnsi"/>
                <w:i/>
                <w:color w:val="FF0000"/>
                <w:szCs w:val="22"/>
              </w:rPr>
            </w:pPr>
          </w:p>
        </w:tc>
      </w:tr>
      <w:tr w:rsidR="008D615E" w:rsidRPr="00E41388" w14:paraId="28161E8F" w14:textId="77777777" w:rsidTr="30A8B403">
        <w:tblPrEx>
          <w:tblLook w:val="04A0" w:firstRow="1" w:lastRow="0" w:firstColumn="1" w:lastColumn="0" w:noHBand="0" w:noVBand="1"/>
        </w:tblPrEx>
        <w:tc>
          <w:tcPr>
            <w:tcW w:w="5000" w:type="pct"/>
          </w:tcPr>
          <w:p w14:paraId="10AF171B" w14:textId="77777777" w:rsidR="008D615E" w:rsidRPr="00E169EE" w:rsidRDefault="008D615E">
            <w:pPr>
              <w:pStyle w:val="Heading4"/>
              <w:keepLines w:val="0"/>
              <w:spacing w:before="180" w:after="60"/>
            </w:pPr>
            <w:r>
              <w:lastRenderedPageBreak/>
              <w:t>S</w:t>
            </w:r>
            <w:r w:rsidRPr="00045147">
              <w:t>trategies for</w:t>
            </w:r>
            <w:r w:rsidRPr="0011467F">
              <w:t xml:space="preserve"> </w:t>
            </w:r>
            <w:r>
              <w:t>E</w:t>
            </w:r>
            <w:r w:rsidRPr="0011467F">
              <w:t xml:space="preserve">ngaging with </w:t>
            </w:r>
            <w:r>
              <w:t>I</w:t>
            </w:r>
            <w:r w:rsidRPr="0011467F">
              <w:t>ndustry</w:t>
            </w:r>
          </w:p>
        </w:tc>
      </w:tr>
      <w:tr w:rsidR="008D615E" w:rsidRPr="00E41388" w14:paraId="1550BCEA" w14:textId="77777777" w:rsidTr="30A8B403">
        <w:tc>
          <w:tcPr>
            <w:tcW w:w="5000" w:type="pct"/>
          </w:tcPr>
          <w:p w14:paraId="22C36E03" w14:textId="77777777" w:rsidR="008D615E" w:rsidRPr="00F96BDF" w:rsidRDefault="008D615E" w:rsidP="008D615E">
            <w:pPr>
              <w:pStyle w:val="NormalIndent"/>
              <w:spacing w:after="0"/>
              <w:ind w:left="22"/>
              <w:rPr>
                <w:rFonts w:asciiTheme="minorHAnsi" w:hAnsiTheme="minorHAnsi" w:cstheme="minorHAnsi"/>
                <w:iCs/>
                <w:color w:val="000000" w:themeColor="text1"/>
                <w:szCs w:val="22"/>
              </w:rPr>
            </w:pPr>
            <w:r w:rsidRPr="00F96BDF">
              <w:rPr>
                <w:rFonts w:asciiTheme="minorHAnsi" w:hAnsiTheme="minorHAnsi" w:cstheme="minorHAnsi"/>
                <w:iCs/>
                <w:color w:val="000000" w:themeColor="text1"/>
                <w:szCs w:val="22"/>
              </w:rPr>
              <w:t xml:space="preserve">Engagement is one of the </w:t>
            </w:r>
            <w:r>
              <w:rPr>
                <w:rFonts w:asciiTheme="minorHAnsi" w:hAnsiTheme="minorHAnsi" w:cstheme="minorHAnsi"/>
                <w:iCs/>
                <w:color w:val="000000" w:themeColor="text1"/>
                <w:szCs w:val="22"/>
              </w:rPr>
              <w:t>strategic</w:t>
            </w:r>
            <w:r w:rsidRPr="00F96BDF">
              <w:rPr>
                <w:rFonts w:asciiTheme="minorHAnsi" w:hAnsiTheme="minorHAnsi" w:cstheme="minorHAnsi"/>
                <w:iCs/>
                <w:color w:val="000000" w:themeColor="text1"/>
                <w:szCs w:val="22"/>
              </w:rPr>
              <w:t xml:space="preserve"> portfolios for the university. The Engagement portfolio, through the office of the Deputy Vice Chancellor Global Engagement, has leadership responsibility for the University’s Engagement activities. Global Engagement is also responsible for developing, nurturing and guiding the University’s strategic partnerships across industry.</w:t>
            </w:r>
          </w:p>
          <w:p w14:paraId="3E603152" w14:textId="77777777" w:rsidR="008D615E" w:rsidRPr="00F96BDF" w:rsidRDefault="008D615E" w:rsidP="008D615E">
            <w:pPr>
              <w:pStyle w:val="NormalIndent"/>
              <w:spacing w:after="0"/>
              <w:ind w:left="22"/>
              <w:rPr>
                <w:rFonts w:asciiTheme="minorHAnsi" w:hAnsiTheme="minorHAnsi" w:cstheme="minorHAnsi"/>
                <w:iCs/>
                <w:color w:val="000000" w:themeColor="text1"/>
                <w:szCs w:val="22"/>
              </w:rPr>
            </w:pPr>
            <w:r w:rsidRPr="00F96BDF">
              <w:rPr>
                <w:rFonts w:asciiTheme="minorHAnsi" w:hAnsiTheme="minorHAnsi" w:cstheme="minorHAnsi"/>
                <w:iCs/>
                <w:color w:val="000000" w:themeColor="text1"/>
                <w:szCs w:val="22"/>
              </w:rPr>
              <w:t>Our university engagement activities build connections with industry by creating mutually beneficial relationships at all levels. These engagement opportunities are to support our teaching by delivering contemporary, accessible and inclusive education with a high quality and engaging student experience, and our research by increasing</w:t>
            </w:r>
            <w:r>
              <w:rPr>
                <w:rFonts w:asciiTheme="minorHAnsi" w:hAnsiTheme="minorHAnsi" w:cstheme="minorHAnsi"/>
                <w:iCs/>
                <w:color w:val="000000" w:themeColor="text1"/>
                <w:szCs w:val="22"/>
              </w:rPr>
              <w:t xml:space="preserve"> </w:t>
            </w:r>
            <w:r w:rsidRPr="00F96BDF">
              <w:rPr>
                <w:rFonts w:asciiTheme="minorHAnsi" w:hAnsiTheme="minorHAnsi" w:cstheme="minorHAnsi"/>
                <w:iCs/>
                <w:color w:val="000000" w:themeColor="text1"/>
                <w:szCs w:val="22"/>
              </w:rPr>
              <w:t>impactful and progressive research in our areas of strength and across disciplines.</w:t>
            </w:r>
          </w:p>
          <w:p w14:paraId="0B50F487" w14:textId="77777777" w:rsidR="008D615E" w:rsidRPr="00F96BDF" w:rsidRDefault="008D615E" w:rsidP="008D615E">
            <w:pPr>
              <w:pStyle w:val="NormalIndent"/>
              <w:spacing w:after="0"/>
              <w:ind w:left="22"/>
              <w:rPr>
                <w:rFonts w:asciiTheme="minorHAnsi" w:hAnsiTheme="minorHAnsi" w:cstheme="minorHAnsi"/>
                <w:iCs/>
                <w:color w:val="000000" w:themeColor="text1"/>
                <w:szCs w:val="22"/>
              </w:rPr>
            </w:pPr>
            <w:r w:rsidRPr="00F96BDF">
              <w:rPr>
                <w:rFonts w:asciiTheme="minorHAnsi" w:hAnsiTheme="minorHAnsi" w:cstheme="minorHAnsi"/>
                <w:iCs/>
                <w:color w:val="000000" w:themeColor="text1"/>
                <w:szCs w:val="22"/>
              </w:rPr>
              <w:t>Engagement is defined by Murdoch University as the way in which Murdoch interacts within and outside of our campuses, how we build, maintain and grow values-driven ethical, sustainable and inclusive relationships that are mutually beneficial.</w:t>
            </w:r>
          </w:p>
          <w:p w14:paraId="3BC19B70" w14:textId="77777777" w:rsidR="008D615E" w:rsidRPr="00F96BDF" w:rsidRDefault="008D615E" w:rsidP="008D615E">
            <w:pPr>
              <w:pStyle w:val="NormalIndent"/>
              <w:spacing w:after="0"/>
              <w:ind w:left="22"/>
              <w:rPr>
                <w:rFonts w:asciiTheme="minorHAnsi" w:hAnsiTheme="minorHAnsi" w:cstheme="minorHAnsi"/>
                <w:iCs/>
                <w:color w:val="000000" w:themeColor="text1"/>
                <w:szCs w:val="22"/>
              </w:rPr>
            </w:pPr>
            <w:r w:rsidRPr="00F96BDF">
              <w:rPr>
                <w:rFonts w:asciiTheme="minorHAnsi" w:hAnsiTheme="minorHAnsi" w:cstheme="minorHAnsi"/>
                <w:iCs/>
                <w:color w:val="000000" w:themeColor="text1"/>
                <w:szCs w:val="22"/>
              </w:rPr>
              <w:t>All engagement at Murdoch should be built on shared outcomes that increase the impact of our education and research activities and enhance our contribution to industry.</w:t>
            </w:r>
          </w:p>
          <w:p w14:paraId="0D74DA9A" w14:textId="77777777" w:rsidR="008D615E" w:rsidRPr="00F96BDF" w:rsidRDefault="008D615E" w:rsidP="008D615E">
            <w:pPr>
              <w:pStyle w:val="NormalIndent"/>
              <w:spacing w:after="0"/>
              <w:ind w:left="22"/>
              <w:rPr>
                <w:rFonts w:asciiTheme="minorHAnsi" w:hAnsiTheme="minorHAnsi" w:cstheme="minorHAnsi"/>
                <w:iCs/>
                <w:color w:val="000000" w:themeColor="text1"/>
                <w:szCs w:val="22"/>
              </w:rPr>
            </w:pPr>
            <w:r w:rsidRPr="00F96BDF">
              <w:rPr>
                <w:rFonts w:asciiTheme="minorHAnsi" w:hAnsiTheme="minorHAnsi" w:cstheme="minorHAnsi"/>
                <w:iCs/>
                <w:color w:val="000000" w:themeColor="text1"/>
                <w:szCs w:val="22"/>
              </w:rPr>
              <w:t>It is recognised that engagement goes beyond the remit of the Global Engagement portfolio and is embedded into the daily lives of all Murdoch staff, and that the University builds impactful relationships through many forms of engagement. Integral to the success of the University’s engagement ambitions with industry is a coordinated and deliberate approach to engagement. The university has initiated the development of an engagement framework to maximise outcomes for all stakeholders.</w:t>
            </w:r>
          </w:p>
          <w:p w14:paraId="56F3014A" w14:textId="77777777" w:rsidR="008D615E" w:rsidRPr="00F96BDF" w:rsidRDefault="008D615E" w:rsidP="008D615E">
            <w:pPr>
              <w:pStyle w:val="NormalIndent"/>
              <w:spacing w:after="0"/>
              <w:ind w:left="22"/>
              <w:rPr>
                <w:rFonts w:asciiTheme="minorHAnsi" w:hAnsiTheme="minorHAnsi" w:cstheme="minorHAnsi"/>
                <w:iCs/>
                <w:color w:val="000000" w:themeColor="text1"/>
                <w:szCs w:val="22"/>
              </w:rPr>
            </w:pPr>
            <w:r w:rsidRPr="00F96BDF">
              <w:rPr>
                <w:rFonts w:asciiTheme="minorHAnsi" w:hAnsiTheme="minorHAnsi" w:cstheme="minorHAnsi"/>
                <w:iCs/>
                <w:color w:val="000000" w:themeColor="text1"/>
                <w:szCs w:val="22"/>
              </w:rPr>
              <w:t>The Global Engagement sub strategy for the university has initiated the goals:</w:t>
            </w:r>
          </w:p>
          <w:p w14:paraId="43854854" w14:textId="77777777" w:rsidR="008D615E" w:rsidRPr="00F96BDF" w:rsidRDefault="008D615E" w:rsidP="008D615E">
            <w:pPr>
              <w:pStyle w:val="NormalIndent"/>
              <w:numPr>
                <w:ilvl w:val="0"/>
                <w:numId w:val="22"/>
              </w:numPr>
              <w:spacing w:after="0"/>
              <w:rPr>
                <w:rFonts w:asciiTheme="minorHAnsi" w:hAnsiTheme="minorHAnsi" w:cstheme="minorHAnsi"/>
                <w:iCs/>
                <w:color w:val="000000" w:themeColor="text1"/>
                <w:szCs w:val="22"/>
              </w:rPr>
            </w:pPr>
            <w:r w:rsidRPr="00F96BDF">
              <w:rPr>
                <w:rFonts w:asciiTheme="minorHAnsi" w:hAnsiTheme="minorHAnsi" w:cstheme="minorHAnsi"/>
                <w:iCs/>
                <w:color w:val="000000" w:themeColor="text1"/>
                <w:szCs w:val="22"/>
              </w:rPr>
              <w:t>Grow university-wide strategic partnerships which drive and support quality in education, research and engagement.</w:t>
            </w:r>
          </w:p>
          <w:p w14:paraId="6B348D30" w14:textId="77777777" w:rsidR="008D615E" w:rsidRPr="00F96BDF" w:rsidRDefault="008D615E" w:rsidP="008D615E">
            <w:pPr>
              <w:pStyle w:val="NormalIndent"/>
              <w:numPr>
                <w:ilvl w:val="0"/>
                <w:numId w:val="22"/>
              </w:numPr>
              <w:spacing w:after="0"/>
              <w:rPr>
                <w:rFonts w:asciiTheme="minorHAnsi" w:hAnsiTheme="minorHAnsi" w:cstheme="minorHAnsi"/>
                <w:iCs/>
                <w:color w:val="000000" w:themeColor="text1"/>
                <w:szCs w:val="22"/>
              </w:rPr>
            </w:pPr>
            <w:r w:rsidRPr="00F96BDF">
              <w:rPr>
                <w:rFonts w:asciiTheme="minorHAnsi" w:hAnsiTheme="minorHAnsi" w:cstheme="minorHAnsi"/>
                <w:iCs/>
                <w:color w:val="000000" w:themeColor="text1"/>
                <w:szCs w:val="22"/>
              </w:rPr>
              <w:lastRenderedPageBreak/>
              <w:t>Contribute to Murdoch’s visibility, institutional reputation and influence locally and internationally</w:t>
            </w:r>
          </w:p>
          <w:p w14:paraId="5A196000" w14:textId="77777777" w:rsidR="008D615E" w:rsidRPr="00F96BDF" w:rsidRDefault="008D615E" w:rsidP="008D615E">
            <w:pPr>
              <w:pStyle w:val="NormalIndent"/>
              <w:numPr>
                <w:ilvl w:val="0"/>
                <w:numId w:val="22"/>
              </w:numPr>
              <w:spacing w:after="0"/>
              <w:rPr>
                <w:rFonts w:asciiTheme="minorHAnsi" w:hAnsiTheme="minorHAnsi" w:cstheme="minorHAnsi"/>
                <w:iCs/>
                <w:color w:val="000000" w:themeColor="text1"/>
                <w:szCs w:val="22"/>
              </w:rPr>
            </w:pPr>
            <w:r w:rsidRPr="00F96BDF">
              <w:rPr>
                <w:rFonts w:asciiTheme="minorHAnsi" w:hAnsiTheme="minorHAnsi" w:cstheme="minorHAnsi"/>
                <w:iCs/>
                <w:color w:val="000000" w:themeColor="text1"/>
                <w:szCs w:val="22"/>
              </w:rPr>
              <w:t>Actively seek and build strategic partnerships that drive societal benefits, innovation and economic impact.</w:t>
            </w:r>
          </w:p>
          <w:p w14:paraId="1A84B9B1" w14:textId="77777777" w:rsidR="008D615E" w:rsidRPr="00F96BDF" w:rsidRDefault="008D615E" w:rsidP="008D615E">
            <w:pPr>
              <w:pStyle w:val="NormalIndent"/>
              <w:numPr>
                <w:ilvl w:val="0"/>
                <w:numId w:val="22"/>
              </w:numPr>
              <w:spacing w:after="0"/>
              <w:rPr>
                <w:rFonts w:asciiTheme="minorHAnsi" w:hAnsiTheme="minorHAnsi" w:cstheme="minorHAnsi"/>
                <w:iCs/>
                <w:color w:val="000000" w:themeColor="text1"/>
                <w:szCs w:val="22"/>
              </w:rPr>
            </w:pPr>
            <w:r w:rsidRPr="00F96BDF">
              <w:rPr>
                <w:rFonts w:asciiTheme="minorHAnsi" w:hAnsiTheme="minorHAnsi" w:cstheme="minorHAnsi"/>
                <w:iCs/>
                <w:color w:val="000000" w:themeColor="text1"/>
                <w:szCs w:val="22"/>
              </w:rPr>
              <w:t>Deliver the engagement framework for Murdoch University</w:t>
            </w:r>
          </w:p>
          <w:p w14:paraId="70D47F09" w14:textId="77777777" w:rsidR="008D615E" w:rsidRPr="00F96BDF" w:rsidRDefault="008D615E" w:rsidP="008D615E">
            <w:pPr>
              <w:pStyle w:val="NormalIndent"/>
              <w:spacing w:after="0"/>
              <w:ind w:left="22"/>
              <w:rPr>
                <w:rFonts w:asciiTheme="minorHAnsi" w:hAnsiTheme="minorHAnsi" w:cstheme="minorHAnsi"/>
                <w:iCs/>
                <w:color w:val="000000" w:themeColor="text1"/>
                <w:szCs w:val="22"/>
              </w:rPr>
            </w:pPr>
            <w:r w:rsidRPr="00F96BDF">
              <w:rPr>
                <w:rFonts w:asciiTheme="minorHAnsi" w:hAnsiTheme="minorHAnsi" w:cstheme="minorHAnsi"/>
                <w:iCs/>
                <w:color w:val="000000" w:themeColor="text1"/>
                <w:szCs w:val="22"/>
              </w:rPr>
              <w:t>Murdoch University maintains strong partnerships with industry across most sectors, including agriculture, environment, mining and energy, indigenous, defence, medical, legal, financial and community.</w:t>
            </w:r>
          </w:p>
          <w:p w14:paraId="231A5DE7" w14:textId="77777777" w:rsidR="008D615E" w:rsidRPr="00F96BDF" w:rsidRDefault="008D615E" w:rsidP="008D615E">
            <w:pPr>
              <w:pStyle w:val="NormalIndent"/>
              <w:spacing w:after="0"/>
              <w:ind w:left="22"/>
              <w:rPr>
                <w:rFonts w:asciiTheme="minorHAnsi" w:hAnsiTheme="minorHAnsi" w:cstheme="minorHAnsi"/>
                <w:iCs/>
                <w:color w:val="000000" w:themeColor="text1"/>
                <w:szCs w:val="22"/>
              </w:rPr>
            </w:pPr>
            <w:r w:rsidRPr="00F96BDF">
              <w:rPr>
                <w:rFonts w:asciiTheme="minorHAnsi" w:hAnsiTheme="minorHAnsi" w:cstheme="minorHAnsi"/>
                <w:iCs/>
                <w:color w:val="000000" w:themeColor="text1"/>
                <w:szCs w:val="22"/>
              </w:rPr>
              <w:t>Specific examples of a few of the many partnerships developed that are continuing to grow are:</w:t>
            </w:r>
          </w:p>
          <w:p w14:paraId="45913478" w14:textId="77777777" w:rsidR="008D615E" w:rsidRPr="00F96BDF" w:rsidRDefault="008D615E" w:rsidP="008D615E">
            <w:pPr>
              <w:pStyle w:val="NormalIndent"/>
              <w:numPr>
                <w:ilvl w:val="0"/>
                <w:numId w:val="23"/>
              </w:numPr>
              <w:spacing w:after="0"/>
              <w:rPr>
                <w:rFonts w:asciiTheme="minorHAnsi" w:hAnsiTheme="minorHAnsi" w:cstheme="minorHAnsi"/>
                <w:iCs/>
                <w:color w:val="000000" w:themeColor="text1"/>
                <w:szCs w:val="22"/>
              </w:rPr>
            </w:pPr>
            <w:r w:rsidRPr="00F96BDF">
              <w:rPr>
                <w:rFonts w:asciiTheme="minorHAnsi" w:hAnsiTheme="minorHAnsi" w:cstheme="minorHAnsi"/>
                <w:iCs/>
                <w:color w:val="000000" w:themeColor="text1"/>
                <w:szCs w:val="22"/>
              </w:rPr>
              <w:t xml:space="preserve">the partnership with Tidal Moon, an indigenous company in the </w:t>
            </w:r>
            <w:proofErr w:type="gramStart"/>
            <w:r w:rsidRPr="00F96BDF">
              <w:rPr>
                <w:rFonts w:asciiTheme="minorHAnsi" w:hAnsiTheme="minorHAnsi" w:cstheme="minorHAnsi"/>
                <w:iCs/>
                <w:color w:val="000000" w:themeColor="text1"/>
                <w:szCs w:val="22"/>
              </w:rPr>
              <w:t>north west</w:t>
            </w:r>
            <w:proofErr w:type="gramEnd"/>
            <w:r w:rsidRPr="00F96BDF">
              <w:rPr>
                <w:rFonts w:asciiTheme="minorHAnsi" w:hAnsiTheme="minorHAnsi" w:cstheme="minorHAnsi"/>
                <w:iCs/>
                <w:color w:val="000000" w:themeColor="text1"/>
                <w:szCs w:val="22"/>
              </w:rPr>
              <w:t xml:space="preserve"> of Western Australia that is focussed both on ecological outcomes but also the establishment of a </w:t>
            </w:r>
            <w:proofErr w:type="gramStart"/>
            <w:r w:rsidRPr="00F96BDF">
              <w:rPr>
                <w:rFonts w:asciiTheme="minorHAnsi" w:hAnsiTheme="minorHAnsi" w:cstheme="minorHAnsi"/>
                <w:iCs/>
                <w:color w:val="000000" w:themeColor="text1"/>
                <w:szCs w:val="22"/>
              </w:rPr>
              <w:t>long term</w:t>
            </w:r>
            <w:proofErr w:type="gramEnd"/>
            <w:r w:rsidRPr="00F96BDF">
              <w:rPr>
                <w:rFonts w:asciiTheme="minorHAnsi" w:hAnsiTheme="minorHAnsi" w:cstheme="minorHAnsi"/>
                <w:iCs/>
                <w:color w:val="000000" w:themeColor="text1"/>
                <w:szCs w:val="22"/>
              </w:rPr>
              <w:t xml:space="preserve"> sustainable business to support the local community</w:t>
            </w:r>
            <w:r>
              <w:rPr>
                <w:rFonts w:asciiTheme="minorHAnsi" w:hAnsiTheme="minorHAnsi" w:cstheme="minorHAnsi"/>
                <w:iCs/>
                <w:color w:val="000000" w:themeColor="text1"/>
                <w:szCs w:val="22"/>
              </w:rPr>
              <w:t>:</w:t>
            </w:r>
            <w:r w:rsidRPr="00F96BDF">
              <w:rPr>
                <w:rFonts w:asciiTheme="minorHAnsi" w:hAnsiTheme="minorHAnsi" w:cstheme="minorHAnsi"/>
                <w:iCs/>
                <w:color w:val="000000" w:themeColor="text1"/>
                <w:szCs w:val="22"/>
              </w:rPr>
              <w:t xml:space="preserve"> </w:t>
            </w:r>
            <w:r>
              <w:rPr>
                <w:rFonts w:asciiTheme="minorHAnsi" w:hAnsiTheme="minorHAnsi" w:cstheme="minorHAnsi"/>
                <w:iCs/>
                <w:color w:val="000000" w:themeColor="text1"/>
                <w:szCs w:val="22"/>
              </w:rPr>
              <w:t>t</w:t>
            </w:r>
            <w:r w:rsidRPr="00F96BDF">
              <w:rPr>
                <w:rFonts w:asciiTheme="minorHAnsi" w:hAnsiTheme="minorHAnsi" w:cstheme="minorHAnsi"/>
                <w:iCs/>
                <w:color w:val="000000" w:themeColor="text1"/>
                <w:szCs w:val="22"/>
              </w:rPr>
              <w:t>he partnership covers both educational and research objectives</w:t>
            </w:r>
          </w:p>
          <w:p w14:paraId="6E96B95B" w14:textId="77777777" w:rsidR="008D615E" w:rsidRPr="00F96BDF" w:rsidRDefault="008D615E" w:rsidP="008D615E">
            <w:pPr>
              <w:pStyle w:val="NormalIndent"/>
              <w:numPr>
                <w:ilvl w:val="0"/>
                <w:numId w:val="23"/>
              </w:numPr>
              <w:spacing w:after="0"/>
              <w:rPr>
                <w:rFonts w:asciiTheme="minorHAnsi" w:hAnsiTheme="minorHAnsi" w:cstheme="minorHAnsi"/>
                <w:iCs/>
                <w:color w:val="000000" w:themeColor="text1"/>
                <w:szCs w:val="22"/>
              </w:rPr>
            </w:pPr>
            <w:r>
              <w:rPr>
                <w:rFonts w:asciiTheme="minorHAnsi" w:hAnsiTheme="minorHAnsi" w:cstheme="minorHAnsi"/>
                <w:iCs/>
                <w:color w:val="000000" w:themeColor="text1"/>
                <w:szCs w:val="22"/>
              </w:rPr>
              <w:t>a</w:t>
            </w:r>
            <w:r w:rsidRPr="00F96BDF">
              <w:rPr>
                <w:rFonts w:asciiTheme="minorHAnsi" w:hAnsiTheme="minorHAnsi" w:cstheme="minorHAnsi"/>
                <w:iCs/>
                <w:color w:val="000000" w:themeColor="text1"/>
                <w:szCs w:val="22"/>
              </w:rPr>
              <w:t xml:space="preserve"> partnership with the WA cricket association that focuses on both education and research along with provision of facilities</w:t>
            </w:r>
          </w:p>
          <w:p w14:paraId="2751C921" w14:textId="77777777" w:rsidR="008D615E" w:rsidRPr="00F96BDF" w:rsidRDefault="008D615E" w:rsidP="008D615E">
            <w:pPr>
              <w:pStyle w:val="NormalIndent"/>
              <w:numPr>
                <w:ilvl w:val="0"/>
                <w:numId w:val="23"/>
              </w:numPr>
              <w:spacing w:after="0"/>
              <w:rPr>
                <w:rFonts w:asciiTheme="minorHAnsi" w:hAnsiTheme="minorHAnsi" w:cstheme="minorHAnsi"/>
                <w:iCs/>
                <w:color w:val="000000" w:themeColor="text1"/>
                <w:szCs w:val="22"/>
              </w:rPr>
            </w:pPr>
            <w:r>
              <w:rPr>
                <w:rFonts w:asciiTheme="minorHAnsi" w:hAnsiTheme="minorHAnsi" w:cstheme="minorHAnsi"/>
                <w:iCs/>
                <w:color w:val="000000" w:themeColor="text1"/>
                <w:szCs w:val="22"/>
              </w:rPr>
              <w:t>a</w:t>
            </w:r>
            <w:r w:rsidRPr="00F96BDF">
              <w:rPr>
                <w:rFonts w:asciiTheme="minorHAnsi" w:hAnsiTheme="minorHAnsi" w:cstheme="minorHAnsi"/>
                <w:iCs/>
                <w:color w:val="000000" w:themeColor="text1"/>
                <w:szCs w:val="22"/>
              </w:rPr>
              <w:t xml:space="preserve"> developing partnership with Rio Tinto to enable better alignment of mutually beneficial capabilities across all disciplines of the university and all divisions of Rio Tinto</w:t>
            </w:r>
          </w:p>
          <w:p w14:paraId="079DAE37" w14:textId="77777777" w:rsidR="008D615E" w:rsidRPr="00F96BDF" w:rsidRDefault="008D615E" w:rsidP="008D615E">
            <w:pPr>
              <w:pStyle w:val="NormalIndent"/>
              <w:numPr>
                <w:ilvl w:val="0"/>
                <w:numId w:val="23"/>
              </w:numPr>
              <w:spacing w:after="0"/>
              <w:rPr>
                <w:rFonts w:asciiTheme="minorHAnsi" w:hAnsiTheme="minorHAnsi" w:cstheme="minorHAnsi"/>
                <w:iCs/>
                <w:color w:val="000000" w:themeColor="text1"/>
                <w:szCs w:val="22"/>
              </w:rPr>
            </w:pPr>
            <w:r>
              <w:rPr>
                <w:rFonts w:asciiTheme="minorHAnsi" w:hAnsiTheme="minorHAnsi" w:cstheme="minorHAnsi"/>
                <w:iCs/>
                <w:color w:val="000000" w:themeColor="text1"/>
                <w:szCs w:val="22"/>
              </w:rPr>
              <w:t>a</w:t>
            </w:r>
            <w:r w:rsidRPr="00F96BDF">
              <w:rPr>
                <w:rFonts w:asciiTheme="minorHAnsi" w:hAnsiTheme="minorHAnsi" w:cstheme="minorHAnsi"/>
                <w:iCs/>
                <w:color w:val="000000" w:themeColor="text1"/>
                <w:szCs w:val="22"/>
              </w:rPr>
              <w:t xml:space="preserve"> developing partnership to establish a Defence Research and Education hub at the universities Rockingham campus that will support AUKUS</w:t>
            </w:r>
            <w:r>
              <w:rPr>
                <w:rFonts w:asciiTheme="minorHAnsi" w:hAnsiTheme="minorHAnsi" w:cstheme="minorHAnsi"/>
                <w:iCs/>
                <w:color w:val="000000" w:themeColor="text1"/>
                <w:szCs w:val="22"/>
              </w:rPr>
              <w:t>:</w:t>
            </w:r>
            <w:r w:rsidRPr="00F96BDF">
              <w:rPr>
                <w:rFonts w:asciiTheme="minorHAnsi" w:hAnsiTheme="minorHAnsi" w:cstheme="minorHAnsi"/>
                <w:iCs/>
                <w:color w:val="000000" w:themeColor="text1"/>
                <w:szCs w:val="22"/>
              </w:rPr>
              <w:t xml:space="preserve"> </w:t>
            </w:r>
            <w:r>
              <w:rPr>
                <w:rFonts w:asciiTheme="minorHAnsi" w:hAnsiTheme="minorHAnsi" w:cstheme="minorHAnsi"/>
                <w:iCs/>
                <w:color w:val="000000" w:themeColor="text1"/>
                <w:szCs w:val="22"/>
              </w:rPr>
              <w:t>t</w:t>
            </w:r>
            <w:r w:rsidRPr="00F96BDF">
              <w:rPr>
                <w:rFonts w:asciiTheme="minorHAnsi" w:hAnsiTheme="minorHAnsi" w:cstheme="minorHAnsi"/>
                <w:iCs/>
                <w:color w:val="000000" w:themeColor="text1"/>
                <w:szCs w:val="22"/>
              </w:rPr>
              <w:t>he partnership includes industry, government (state and federal) and other Western Australian universities</w:t>
            </w:r>
          </w:p>
          <w:p w14:paraId="47312270" w14:textId="77777777" w:rsidR="008D615E" w:rsidRPr="00E044F0" w:rsidRDefault="008D615E" w:rsidP="008D615E">
            <w:pPr>
              <w:pStyle w:val="NormalIndent"/>
              <w:numPr>
                <w:ilvl w:val="0"/>
                <w:numId w:val="23"/>
              </w:numPr>
              <w:spacing w:after="0"/>
              <w:rPr>
                <w:rFonts w:asciiTheme="minorHAnsi" w:hAnsiTheme="minorHAnsi" w:cstheme="minorHAnsi"/>
                <w:iCs/>
                <w:color w:val="000000" w:themeColor="text1"/>
                <w:szCs w:val="22"/>
              </w:rPr>
            </w:pPr>
            <w:r>
              <w:rPr>
                <w:rFonts w:asciiTheme="minorHAnsi" w:hAnsiTheme="minorHAnsi" w:cstheme="minorHAnsi"/>
                <w:iCs/>
                <w:color w:val="000000" w:themeColor="text1"/>
                <w:szCs w:val="22"/>
              </w:rPr>
              <w:t>s</w:t>
            </w:r>
            <w:r w:rsidRPr="00F96BDF">
              <w:rPr>
                <w:rFonts w:asciiTheme="minorHAnsi" w:hAnsiTheme="minorHAnsi" w:cstheme="minorHAnsi"/>
                <w:iCs/>
                <w:color w:val="000000" w:themeColor="text1"/>
                <w:szCs w:val="22"/>
              </w:rPr>
              <w:t>trong partnerships with rural research and development corporations have long been a foundation of industry engagement: Grains Research and Development Corporation; Horticulture Australia; Meat and Livestock Australia; Fisheries Research and Development Corporation; Australian Pork and Australian Wool Innovation</w:t>
            </w:r>
            <w:r>
              <w:rPr>
                <w:rFonts w:asciiTheme="minorHAnsi" w:hAnsiTheme="minorHAnsi" w:cstheme="minorHAnsi"/>
                <w:iCs/>
                <w:color w:val="000000" w:themeColor="text1"/>
                <w:szCs w:val="22"/>
              </w:rPr>
              <w:t>.</w:t>
            </w:r>
          </w:p>
          <w:p w14:paraId="5546B9BF" w14:textId="77777777" w:rsidR="008D615E" w:rsidRPr="00E169EE" w:rsidDel="0061342D" w:rsidRDefault="008D615E" w:rsidP="008D615E">
            <w:pPr>
              <w:pStyle w:val="NormalIndent"/>
              <w:spacing w:after="0"/>
              <w:ind w:left="0"/>
              <w:rPr>
                <w:rFonts w:asciiTheme="minorHAnsi" w:hAnsiTheme="minorHAnsi" w:cstheme="minorHAnsi"/>
                <w:i/>
                <w:color w:val="FF0000"/>
                <w:szCs w:val="22"/>
              </w:rPr>
            </w:pPr>
          </w:p>
        </w:tc>
      </w:tr>
    </w:tbl>
    <w:p w14:paraId="3BBBBA25" w14:textId="5026E9D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tc>
          <w:tcPr>
            <w:tcW w:w="4508" w:type="dxa"/>
          </w:tcPr>
          <w:p w14:paraId="68C798FC" w14:textId="77777777" w:rsidR="001B109C" w:rsidRPr="00E114B4" w:rsidRDefault="001B109C">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pPr>
              <w:rPr>
                <w:rFonts w:cstheme="minorHAnsi"/>
                <w:sz w:val="24"/>
                <w:szCs w:val="24"/>
              </w:rPr>
            </w:pPr>
            <w:r w:rsidRPr="00E114B4">
              <w:rPr>
                <w:rFonts w:cstheme="minorHAnsi"/>
                <w:sz w:val="24"/>
                <w:szCs w:val="24"/>
              </w:rPr>
              <w:t>In the presence of:</w:t>
            </w:r>
          </w:p>
        </w:tc>
      </w:tr>
      <w:tr w:rsidR="001B109C" w:rsidRPr="00E169EE" w14:paraId="186905E2" w14:textId="77777777">
        <w:tc>
          <w:tcPr>
            <w:tcW w:w="4508" w:type="dxa"/>
          </w:tcPr>
          <w:p w14:paraId="32153A99" w14:textId="79F6E164" w:rsidR="001B109C" w:rsidRPr="00E114B4" w:rsidRDefault="00EE75F8">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14B4" w:rsidRDefault="001B109C">
            <w:pPr>
              <w:rPr>
                <w:rFonts w:cstheme="minorHAnsi"/>
              </w:rPr>
            </w:pPr>
            <w:r w:rsidRPr="00E114B4">
              <w:rPr>
                <w:rFonts w:cstheme="minorHAnsi"/>
              </w:rPr>
              <w:t>Full name (please print)</w:t>
            </w:r>
          </w:p>
        </w:tc>
        <w:tc>
          <w:tcPr>
            <w:tcW w:w="4508" w:type="dxa"/>
          </w:tcPr>
          <w:p w14:paraId="091A8D51" w14:textId="3B6D9D3C" w:rsidR="001B109C" w:rsidRPr="00E114B4" w:rsidRDefault="007E641F">
            <w:pPr>
              <w:pBdr>
                <w:bottom w:val="single" w:sz="12" w:space="1" w:color="auto"/>
              </w:pBdr>
              <w:rPr>
                <w:rFonts w:cstheme="minorHAnsi"/>
                <w:b/>
                <w:bCs/>
              </w:rPr>
            </w:pPr>
            <w:r w:rsidRPr="001E1D51">
              <w:rPr>
                <w:b/>
                <w:bCs/>
              </w:rPr>
              <w:t>Rachel Searl</w:t>
            </w:r>
          </w:p>
          <w:p w14:paraId="5AAC2089" w14:textId="77777777" w:rsidR="001B109C" w:rsidRPr="00E114B4" w:rsidRDefault="001B109C">
            <w:pPr>
              <w:rPr>
                <w:rFonts w:cstheme="minorHAnsi"/>
              </w:rPr>
            </w:pPr>
            <w:r w:rsidRPr="00E114B4">
              <w:rPr>
                <w:rFonts w:cstheme="minorHAnsi"/>
              </w:rPr>
              <w:t>Witness (please print)</w:t>
            </w:r>
          </w:p>
        </w:tc>
      </w:tr>
      <w:tr w:rsidR="001B109C" w:rsidRPr="00E169EE" w14:paraId="6D0DB948" w14:textId="77777777">
        <w:tc>
          <w:tcPr>
            <w:tcW w:w="4508" w:type="dxa"/>
          </w:tcPr>
          <w:p w14:paraId="101367FA" w14:textId="4C882FC9" w:rsidR="001B109C" w:rsidRPr="00E114B4" w:rsidRDefault="006A45A3">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pPr>
              <w:rPr>
                <w:rFonts w:cstheme="minorHAnsi"/>
              </w:rPr>
            </w:pPr>
            <w:r w:rsidRPr="00E114B4">
              <w:rPr>
                <w:rFonts w:cstheme="minorHAnsi"/>
              </w:rPr>
              <w:t>Position</w:t>
            </w:r>
          </w:p>
          <w:p w14:paraId="390DFF35" w14:textId="77777777" w:rsidR="001B109C" w:rsidRPr="00E114B4" w:rsidRDefault="001B109C">
            <w:pPr>
              <w:rPr>
                <w:rFonts w:cstheme="minorHAnsi"/>
              </w:rPr>
            </w:pPr>
            <w:r w:rsidRPr="00E114B4">
              <w:rPr>
                <w:rFonts w:cstheme="minorHAnsi"/>
              </w:rPr>
              <w:t>of the Department of Education</w:t>
            </w:r>
          </w:p>
        </w:tc>
        <w:tc>
          <w:tcPr>
            <w:tcW w:w="4508" w:type="dxa"/>
          </w:tcPr>
          <w:p w14:paraId="69045716" w14:textId="57B0F259" w:rsidR="001B109C" w:rsidRPr="00E114B4" w:rsidRDefault="0011054B">
            <w:pPr>
              <w:pBdr>
                <w:bottom w:val="single" w:sz="12" w:space="1" w:color="auto"/>
              </w:pBdr>
              <w:rPr>
                <w:rFonts w:cstheme="minorHAnsi"/>
                <w:b/>
                <w:bCs/>
              </w:rPr>
            </w:pPr>
            <w:r w:rsidRPr="00E91A60">
              <w:rPr>
                <w:b/>
                <w:bCs/>
              </w:rPr>
              <w:t>Executive Officer</w:t>
            </w:r>
          </w:p>
          <w:p w14:paraId="668DE817" w14:textId="77777777" w:rsidR="001B109C" w:rsidRPr="00E114B4" w:rsidRDefault="001B109C">
            <w:pPr>
              <w:rPr>
                <w:rFonts w:cstheme="minorHAnsi"/>
              </w:rPr>
            </w:pPr>
            <w:r w:rsidRPr="00E114B4">
              <w:rPr>
                <w:rFonts w:cstheme="minorHAnsi"/>
              </w:rPr>
              <w:t>Position or profession of witness (please print)</w:t>
            </w:r>
          </w:p>
        </w:tc>
      </w:tr>
      <w:tr w:rsidR="001B109C" w:rsidRPr="00E169EE" w14:paraId="38C68E43" w14:textId="77777777">
        <w:tc>
          <w:tcPr>
            <w:tcW w:w="4508" w:type="dxa"/>
          </w:tcPr>
          <w:p w14:paraId="4289F3D2" w14:textId="77777777" w:rsidR="001B109C" w:rsidRPr="00E114B4" w:rsidRDefault="001B109C">
            <w:pPr>
              <w:pBdr>
                <w:bottom w:val="single" w:sz="12" w:space="1" w:color="auto"/>
              </w:pBdr>
              <w:rPr>
                <w:rFonts w:cstheme="minorHAnsi"/>
                <w:b/>
                <w:bCs/>
              </w:rPr>
            </w:pPr>
          </w:p>
          <w:p w14:paraId="415B9216" w14:textId="77777777" w:rsidR="001B109C" w:rsidRPr="00E114B4" w:rsidRDefault="001B109C">
            <w:pPr>
              <w:rPr>
                <w:rFonts w:cstheme="minorHAnsi"/>
              </w:rPr>
            </w:pPr>
            <w:r w:rsidRPr="00E114B4">
              <w:rPr>
                <w:rFonts w:cstheme="minorHAnsi"/>
              </w:rPr>
              <w:t>Signature</w:t>
            </w:r>
          </w:p>
        </w:tc>
        <w:tc>
          <w:tcPr>
            <w:tcW w:w="4508" w:type="dxa"/>
          </w:tcPr>
          <w:p w14:paraId="710024D0" w14:textId="77777777" w:rsidR="001B109C" w:rsidRPr="00E114B4" w:rsidRDefault="001B109C">
            <w:pPr>
              <w:pBdr>
                <w:bottom w:val="single" w:sz="12" w:space="1" w:color="auto"/>
              </w:pBdr>
              <w:rPr>
                <w:rFonts w:cstheme="minorHAnsi"/>
                <w:b/>
                <w:bCs/>
              </w:rPr>
            </w:pPr>
          </w:p>
          <w:p w14:paraId="2D914310" w14:textId="77777777" w:rsidR="001B109C" w:rsidRPr="00E114B4" w:rsidRDefault="001B109C">
            <w:pPr>
              <w:rPr>
                <w:rFonts w:cstheme="minorHAnsi"/>
              </w:rPr>
            </w:pPr>
            <w:r w:rsidRPr="00E114B4">
              <w:rPr>
                <w:rFonts w:cstheme="minorHAnsi"/>
              </w:rPr>
              <w:t>Signature</w:t>
            </w:r>
          </w:p>
        </w:tc>
      </w:tr>
      <w:tr w:rsidR="001B109C" w:rsidRPr="00E169EE" w14:paraId="4B1444B6" w14:textId="77777777">
        <w:tc>
          <w:tcPr>
            <w:tcW w:w="4508" w:type="dxa"/>
          </w:tcPr>
          <w:p w14:paraId="344C64D3" w14:textId="4F1CF567" w:rsidR="001B109C" w:rsidRPr="00A47507" w:rsidRDefault="00A47507">
            <w:pPr>
              <w:pBdr>
                <w:bottom w:val="single" w:sz="12" w:space="1" w:color="auto"/>
              </w:pBdr>
              <w:rPr>
                <w:rFonts w:cstheme="minorHAnsi"/>
              </w:rPr>
            </w:pPr>
            <w:r w:rsidRPr="00A47507">
              <w:rPr>
                <w:rFonts w:cstheme="minorHAnsi"/>
              </w:rPr>
              <w:t>01/12/2025</w:t>
            </w:r>
          </w:p>
          <w:p w14:paraId="71C4CD3D" w14:textId="77777777" w:rsidR="001B109C" w:rsidRPr="00E169EE" w:rsidRDefault="001B109C">
            <w:pPr>
              <w:rPr>
                <w:rFonts w:cstheme="minorHAnsi"/>
              </w:rPr>
            </w:pPr>
            <w:r w:rsidRPr="00E169EE">
              <w:rPr>
                <w:rFonts w:cstheme="minorHAnsi"/>
              </w:rPr>
              <w:t>Date</w:t>
            </w:r>
          </w:p>
        </w:tc>
        <w:tc>
          <w:tcPr>
            <w:tcW w:w="4508" w:type="dxa"/>
          </w:tcPr>
          <w:p w14:paraId="26028E27" w14:textId="77777777" w:rsidR="001B109C" w:rsidRPr="00F60B66" w:rsidRDefault="001B109C">
            <w:pPr>
              <w:rPr>
                <w:rFonts w:cstheme="minorHAnsi"/>
                <w:b/>
                <w:bCs/>
                <w:highlight w:val="yellow"/>
              </w:rPr>
            </w:pPr>
          </w:p>
        </w:tc>
      </w:tr>
      <w:tr w:rsidR="001B109C" w:rsidRPr="00E169EE" w14:paraId="45CC96F9" w14:textId="77777777">
        <w:tc>
          <w:tcPr>
            <w:tcW w:w="4508" w:type="dxa"/>
          </w:tcPr>
          <w:p w14:paraId="639CCC16" w14:textId="77777777" w:rsidR="001B109C" w:rsidRDefault="001B109C">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458BCA71" w:rsidR="001B109C" w:rsidRPr="00E169EE" w:rsidRDefault="00CC2FB5">
            <w:pPr>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MURDOCH UNIVERSITY</w:t>
            </w:r>
          </w:p>
          <w:p w14:paraId="065C6AB9" w14:textId="77777777" w:rsidR="001B109C" w:rsidRPr="00E169EE" w:rsidRDefault="001B109C">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pPr>
              <w:rPr>
                <w:rFonts w:cstheme="minorHAnsi"/>
              </w:rPr>
            </w:pPr>
            <w:r w:rsidRPr="002F4604">
              <w:rPr>
                <w:rFonts w:cstheme="minorHAnsi"/>
                <w:sz w:val="24"/>
                <w:szCs w:val="24"/>
              </w:rPr>
              <w:t>In the presence of:</w:t>
            </w:r>
          </w:p>
        </w:tc>
      </w:tr>
      <w:tr w:rsidR="001B109C" w:rsidRPr="00E169EE" w14:paraId="5AAB6D63" w14:textId="77777777">
        <w:tc>
          <w:tcPr>
            <w:tcW w:w="4508" w:type="dxa"/>
          </w:tcPr>
          <w:p w14:paraId="54C8A9A5" w14:textId="2EC8E492" w:rsidR="001B109C" w:rsidRPr="00E169EE" w:rsidRDefault="001B30A4">
            <w:pPr>
              <w:pBdr>
                <w:bottom w:val="single" w:sz="12" w:space="1" w:color="auto"/>
              </w:pBdr>
              <w:rPr>
                <w:rFonts w:cstheme="minorHAnsi"/>
                <w:b/>
                <w:bCs/>
              </w:rPr>
            </w:pPr>
            <w:r>
              <w:rPr>
                <w:rFonts w:cstheme="minorHAnsi"/>
                <w:b/>
                <w:bCs/>
              </w:rPr>
              <w:t>Professor Andrew J Deeks</w:t>
            </w:r>
          </w:p>
          <w:p w14:paraId="3120FAF4" w14:textId="77777777" w:rsidR="001B109C" w:rsidRPr="00E169EE" w:rsidRDefault="001B109C">
            <w:pPr>
              <w:rPr>
                <w:rFonts w:cstheme="minorHAnsi"/>
              </w:rPr>
            </w:pPr>
            <w:r w:rsidRPr="00E169EE">
              <w:rPr>
                <w:rFonts w:cstheme="minorHAnsi"/>
              </w:rPr>
              <w:t>Full name (please print)</w:t>
            </w:r>
          </w:p>
        </w:tc>
        <w:tc>
          <w:tcPr>
            <w:tcW w:w="4508" w:type="dxa"/>
          </w:tcPr>
          <w:p w14:paraId="59483E94" w14:textId="536F914A" w:rsidR="001B109C" w:rsidRPr="002F4604" w:rsidRDefault="001B30A4">
            <w:pPr>
              <w:pBdr>
                <w:bottom w:val="single" w:sz="12" w:space="1" w:color="auto"/>
              </w:pBdr>
              <w:rPr>
                <w:rFonts w:cstheme="minorHAnsi"/>
                <w:b/>
                <w:bCs/>
              </w:rPr>
            </w:pPr>
            <w:r>
              <w:rPr>
                <w:rFonts w:cstheme="minorHAnsi"/>
                <w:b/>
                <w:bCs/>
              </w:rPr>
              <w:t>Gemma Cominelli</w:t>
            </w:r>
          </w:p>
          <w:p w14:paraId="439588BC" w14:textId="77777777" w:rsidR="001B109C" w:rsidRPr="002F4604" w:rsidRDefault="001B109C">
            <w:pPr>
              <w:rPr>
                <w:rFonts w:cstheme="minorHAnsi"/>
              </w:rPr>
            </w:pPr>
            <w:r w:rsidRPr="002F4604">
              <w:rPr>
                <w:rFonts w:cstheme="minorHAnsi"/>
              </w:rPr>
              <w:t>Witness (please print)</w:t>
            </w:r>
          </w:p>
        </w:tc>
      </w:tr>
      <w:tr w:rsidR="001B109C" w:rsidRPr="00E169EE" w14:paraId="20B90866" w14:textId="77777777">
        <w:tc>
          <w:tcPr>
            <w:tcW w:w="4508" w:type="dxa"/>
          </w:tcPr>
          <w:p w14:paraId="7D9047AD" w14:textId="72667E67" w:rsidR="001B109C" w:rsidRPr="00E169EE" w:rsidRDefault="001B30A4">
            <w:pPr>
              <w:pBdr>
                <w:bottom w:val="single" w:sz="12" w:space="1" w:color="auto"/>
              </w:pBdr>
              <w:spacing w:after="0"/>
              <w:rPr>
                <w:rFonts w:cstheme="minorHAnsi"/>
                <w:b/>
                <w:bCs/>
              </w:rPr>
            </w:pPr>
            <w:r>
              <w:rPr>
                <w:rFonts w:cstheme="minorHAnsi"/>
                <w:b/>
                <w:bCs/>
              </w:rPr>
              <w:t>Vice Chancellor &amp; President</w:t>
            </w:r>
          </w:p>
          <w:p w14:paraId="231ABA73" w14:textId="77777777" w:rsidR="001B109C" w:rsidRPr="00E169EE" w:rsidRDefault="001B109C">
            <w:pPr>
              <w:spacing w:after="0"/>
              <w:rPr>
                <w:rFonts w:cstheme="minorHAnsi"/>
              </w:rPr>
            </w:pPr>
            <w:r w:rsidRPr="00E169EE">
              <w:rPr>
                <w:rFonts w:cstheme="minorHAnsi"/>
              </w:rPr>
              <w:t>Position</w:t>
            </w:r>
          </w:p>
          <w:p w14:paraId="536F9855" w14:textId="77777777" w:rsidR="001B109C" w:rsidRPr="00E169EE" w:rsidRDefault="001B109C">
            <w:pPr>
              <w:spacing w:after="0"/>
              <w:rPr>
                <w:rFonts w:cstheme="minorHAnsi"/>
              </w:rPr>
            </w:pPr>
          </w:p>
        </w:tc>
        <w:tc>
          <w:tcPr>
            <w:tcW w:w="4508" w:type="dxa"/>
          </w:tcPr>
          <w:p w14:paraId="7B33C473" w14:textId="5C369BA7" w:rsidR="001B109C" w:rsidRPr="002F4604" w:rsidRDefault="001B30A4">
            <w:pPr>
              <w:pBdr>
                <w:bottom w:val="single" w:sz="12" w:space="1" w:color="auto"/>
              </w:pBdr>
              <w:spacing w:after="0"/>
              <w:rPr>
                <w:rFonts w:cstheme="minorHAnsi"/>
                <w:b/>
                <w:bCs/>
              </w:rPr>
            </w:pPr>
            <w:r>
              <w:rPr>
                <w:rFonts w:cstheme="minorHAnsi"/>
                <w:b/>
                <w:bCs/>
              </w:rPr>
              <w:t>Executive Officer</w:t>
            </w:r>
          </w:p>
          <w:p w14:paraId="0C046C3D" w14:textId="77777777" w:rsidR="001B109C" w:rsidRPr="002F4604" w:rsidRDefault="001B109C">
            <w:pPr>
              <w:spacing w:after="0"/>
              <w:rPr>
                <w:rFonts w:cstheme="minorHAnsi"/>
              </w:rPr>
            </w:pPr>
            <w:r w:rsidRPr="002F4604">
              <w:rPr>
                <w:rFonts w:cstheme="minorHAnsi"/>
              </w:rPr>
              <w:t>Position or profession of witness (please print)</w:t>
            </w:r>
          </w:p>
        </w:tc>
      </w:tr>
      <w:tr w:rsidR="001B109C" w:rsidRPr="00E169EE" w14:paraId="51440CFB" w14:textId="77777777">
        <w:trPr>
          <w:trHeight w:val="80"/>
        </w:trPr>
        <w:tc>
          <w:tcPr>
            <w:tcW w:w="4508" w:type="dxa"/>
          </w:tcPr>
          <w:p w14:paraId="7583F948" w14:textId="3E059447" w:rsidR="001B109C" w:rsidRPr="00E169EE" w:rsidRDefault="001B109C">
            <w:pPr>
              <w:pBdr>
                <w:bottom w:val="single" w:sz="12" w:space="1" w:color="auto"/>
              </w:pBdr>
              <w:spacing w:after="0"/>
              <w:rPr>
                <w:rFonts w:cstheme="minorHAnsi"/>
                <w:b/>
                <w:bCs/>
              </w:rPr>
            </w:pPr>
          </w:p>
          <w:p w14:paraId="62FF4341" w14:textId="77777777" w:rsidR="001B109C" w:rsidRPr="00E169EE" w:rsidRDefault="001B109C">
            <w:pPr>
              <w:spacing w:after="0"/>
              <w:rPr>
                <w:rFonts w:cstheme="minorHAnsi"/>
              </w:rPr>
            </w:pPr>
            <w:r w:rsidRPr="00E169EE">
              <w:rPr>
                <w:rFonts w:cstheme="minorHAnsi"/>
              </w:rPr>
              <w:t>Signature</w:t>
            </w:r>
          </w:p>
        </w:tc>
        <w:tc>
          <w:tcPr>
            <w:tcW w:w="4508" w:type="dxa"/>
          </w:tcPr>
          <w:p w14:paraId="75C3F771" w14:textId="77164048" w:rsidR="001B109C" w:rsidRPr="002F4604" w:rsidRDefault="001B109C">
            <w:pPr>
              <w:pBdr>
                <w:bottom w:val="single" w:sz="12" w:space="1" w:color="auto"/>
              </w:pBdr>
              <w:spacing w:after="0"/>
              <w:rPr>
                <w:rFonts w:cstheme="minorHAnsi"/>
                <w:b/>
                <w:bCs/>
              </w:rPr>
            </w:pPr>
          </w:p>
          <w:p w14:paraId="79F89A4A" w14:textId="77777777" w:rsidR="001B109C" w:rsidRPr="002F4604" w:rsidRDefault="001B109C">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even" r:id="rId18"/>
      <w:footerReference w:type="default" r:id="rId19"/>
      <w:footerReference w:type="first" r:id="rId2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8E4D" w14:textId="77777777" w:rsidR="00405F7E" w:rsidRDefault="00405F7E" w:rsidP="000A6228">
      <w:pPr>
        <w:spacing w:after="0" w:line="240" w:lineRule="auto"/>
      </w:pPr>
      <w:r>
        <w:separator/>
      </w:r>
    </w:p>
  </w:endnote>
  <w:endnote w:type="continuationSeparator" w:id="0">
    <w:p w14:paraId="5484E13D" w14:textId="77777777" w:rsidR="00405F7E" w:rsidRDefault="00405F7E" w:rsidP="000A6228">
      <w:pPr>
        <w:spacing w:after="0" w:line="240" w:lineRule="auto"/>
      </w:pPr>
      <w:r>
        <w:continuationSeparator/>
      </w:r>
    </w:p>
  </w:endnote>
  <w:endnote w:type="continuationNotice" w:id="1">
    <w:p w14:paraId="0B244131" w14:textId="77777777" w:rsidR="00405F7E" w:rsidRDefault="00405F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CEB7" w14:textId="6153BC4B" w:rsidR="009C0279" w:rsidRDefault="009C0279">
    <w:pPr>
      <w:pStyle w:val="Footer"/>
    </w:pPr>
    <w:r>
      <w:rPr>
        <w:noProof/>
      </w:rPr>
      <mc:AlternateContent>
        <mc:Choice Requires="wps">
          <w:drawing>
            <wp:anchor distT="0" distB="0" distL="0" distR="0" simplePos="0" relativeHeight="251658241" behindDoc="0" locked="0" layoutInCell="1" allowOverlap="1" wp14:anchorId="646B6807" wp14:editId="0296970D">
              <wp:simplePos x="635" y="635"/>
              <wp:positionH relativeFrom="page">
                <wp:align>left</wp:align>
              </wp:positionH>
              <wp:positionV relativeFrom="page">
                <wp:align>bottom</wp:align>
              </wp:positionV>
              <wp:extent cx="845185" cy="374650"/>
              <wp:effectExtent l="0" t="0" r="12065" b="0"/>
              <wp:wrapNone/>
              <wp:docPr id="153595755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74650"/>
                      </a:xfrm>
                      <a:prstGeom prst="rect">
                        <a:avLst/>
                      </a:prstGeom>
                      <a:noFill/>
                      <a:ln>
                        <a:noFill/>
                      </a:ln>
                    </wps:spPr>
                    <wps:txbx>
                      <w:txbxContent>
                        <w:p w14:paraId="3E7E086A" w14:textId="04159404" w:rsidR="009C0279" w:rsidRPr="009C0279" w:rsidRDefault="009C0279" w:rsidP="009C0279">
                          <w:pPr>
                            <w:spacing w:after="0"/>
                            <w:rPr>
                              <w:rFonts w:ascii="Calibri" w:eastAsia="Calibri" w:hAnsi="Calibri" w:cs="Calibri"/>
                              <w:noProof/>
                              <w:color w:val="008000"/>
                            </w:rPr>
                          </w:pPr>
                          <w:r w:rsidRPr="009C0279">
                            <w:rPr>
                              <w:rFonts w:ascii="Calibri" w:eastAsia="Calibri" w:hAnsi="Calibri" w:cs="Calibri"/>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6B6807" id="_x0000_t202" coordsize="21600,21600" o:spt="202" path="m,l,21600r21600,l21600,xe">
              <v:stroke joinstyle="miter"/>
              <v:path gradientshapeok="t" o:connecttype="rect"/>
            </v:shapetype>
            <v:shape id="Text Box 2" o:spid="_x0000_s1026" type="#_x0000_t202" alt="[OFFICIAL]" style="position:absolute;left:0;text-align:left;margin-left:0;margin-top:0;width:66.55pt;height:2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oqEAIAABoEAAAOAAAAZHJzL2Uyb0RvYy54bWysU99v2jAQfp+0/8Hy+0hg0LGIULFWTJNQ&#10;W4lOfTaOTSLZPss2JOyv39kJsHV9qvbifL673I/vPi9uO63IUTjfgCnpeJRTIgyHqjH7kv58Xn+a&#10;U+IDMxVTYERJT8LT2+XHD4vWFmICNahKOIJJjC9aW9I6BFtkmee10MyPwAqDTglOs4BXt88qx1rM&#10;rlU2yfObrAVXWQdceI/W+95Jlym/lIKHRym9CESVFHsL6XTp3MUzWy5YsXfM1g0f2mDv6EKzxmDR&#10;S6p7Fhg5uOafVLrhDjzIMOKgM5Cy4SLNgNOM81fTbGtmRZoFyfH2QpP/f2n5w3FrnxwJ3TfocIGR&#10;kNb6wqMxztNJp+MXOyXoRwpPF9pEFwhH43w6G89nlHB0ff4yvZklWrPrz9b58F2AJhGU1OFWElns&#10;uPEBC2LoOSTWMrBulEqbUeYvAwZGS3btMKLQ7bqh7R1UJ5zGQb9ob/m6wZob5sMTc7hZHADVGh7x&#10;kAraksKAKKnB/XrLHuORcPRS0qJSSmpQypSoHwYXMZlN8zwqK90QuDPYJTD+ms+i3xz0HaAIx/ge&#10;LE8wBgd1htKBfkExr2I1dDHDsWZJd2d4F3rd4mPgYrVKQSgiy8LGbC2PqSNZkcnn7oU5O9AdcE8P&#10;cNYSK16x3sfGP71dHQJyn1YSie3ZHPhGAaZNDY8lKvzPe4q6PunlbwAAAP//AwBQSwMEFAAGAAgA&#10;AAAhAF0v8J/aAAAABAEAAA8AAABkcnMvZG93bnJldi54bWxMj8FOwzAQRO9I/IO1SNyo01aNII1T&#10;VQUqrgQkenTibRw13k1jtw1/j8sFLiuNZjTzNl+NrhNnHHzLpGA6SUAg1WxaahR8frw+PILwQZPR&#10;HRMq+EYPq+L2JteZ4Qu947kMjYgl5DOtwIbQZ1L62qLTfsI9UvT2PDgdohwaaQZ9ieWuk7MkSaXT&#10;LcUFq3vcWKwP5ckpSJ+3a9t/pbvjfubffMWHUPKLUvd343oJIuAY/sJwxY/oUESmik9kvOgUxEfC&#10;77168/kURKVg8ZSALHL5H774AQAA//8DAFBLAQItABQABgAIAAAAIQC2gziS/gAAAOEBAAATAAAA&#10;AAAAAAAAAAAAAAAAAABbQ29udGVudF9UeXBlc10ueG1sUEsBAi0AFAAGAAgAAAAhADj9If/WAAAA&#10;lAEAAAsAAAAAAAAAAAAAAAAALwEAAF9yZWxzLy5yZWxzUEsBAi0AFAAGAAgAAAAhAMgkyioQAgAA&#10;GgQAAA4AAAAAAAAAAAAAAAAALgIAAGRycy9lMm9Eb2MueG1sUEsBAi0AFAAGAAgAAAAhAF0v8J/a&#10;AAAABAEAAA8AAAAAAAAAAAAAAAAAagQAAGRycy9kb3ducmV2LnhtbFBLBQYAAAAABAAEAPMAAABx&#10;BQAAAAA=&#10;" filled="f" stroked="f">
              <v:textbox style="mso-fit-shape-to-text:t" inset="20pt,0,0,15pt">
                <w:txbxContent>
                  <w:p w14:paraId="3E7E086A" w14:textId="04159404" w:rsidR="009C0279" w:rsidRPr="009C0279" w:rsidRDefault="009C0279" w:rsidP="009C0279">
                    <w:pPr>
                      <w:spacing w:after="0"/>
                      <w:rPr>
                        <w:rFonts w:ascii="Calibri" w:eastAsia="Calibri" w:hAnsi="Calibri" w:cs="Calibri"/>
                        <w:noProof/>
                        <w:color w:val="008000"/>
                      </w:rPr>
                    </w:pPr>
                    <w:r w:rsidRPr="009C0279">
                      <w:rPr>
                        <w:rFonts w:ascii="Calibri" w:eastAsia="Calibri" w:hAnsi="Calibri" w:cs="Calibri"/>
                        <w:noProof/>
                        <w:color w:val="008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5743" w14:textId="7A693735" w:rsidR="0029618B" w:rsidRDefault="009C0279">
    <w:pPr>
      <w:pStyle w:val="Footer"/>
      <w:pBdr>
        <w:top w:val="single" w:sz="4" w:space="1" w:color="D9D9D9" w:themeColor="background1" w:themeShade="D9"/>
      </w:pBdr>
      <w:rPr>
        <w:b/>
        <w:bCs/>
      </w:rPr>
    </w:pPr>
    <w:r>
      <w:rPr>
        <w:noProof/>
      </w:rPr>
      <mc:AlternateContent>
        <mc:Choice Requires="wps">
          <w:drawing>
            <wp:anchor distT="0" distB="0" distL="0" distR="0" simplePos="0" relativeHeight="251658242" behindDoc="0" locked="0" layoutInCell="1" allowOverlap="1" wp14:anchorId="3177E94F" wp14:editId="40CE5F69">
              <wp:simplePos x="915035" y="9545955"/>
              <wp:positionH relativeFrom="page">
                <wp:align>left</wp:align>
              </wp:positionH>
              <wp:positionV relativeFrom="page">
                <wp:align>bottom</wp:align>
              </wp:positionV>
              <wp:extent cx="845185" cy="374650"/>
              <wp:effectExtent l="0" t="0" r="12065" b="0"/>
              <wp:wrapNone/>
              <wp:docPr id="30134946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74650"/>
                      </a:xfrm>
                      <a:prstGeom prst="rect">
                        <a:avLst/>
                      </a:prstGeom>
                      <a:noFill/>
                      <a:ln>
                        <a:noFill/>
                      </a:ln>
                    </wps:spPr>
                    <wps:txbx>
                      <w:txbxContent>
                        <w:p w14:paraId="42708343" w14:textId="716867EB" w:rsidR="009C0279" w:rsidRPr="009C0279" w:rsidRDefault="009C0279" w:rsidP="009C0279">
                          <w:pPr>
                            <w:spacing w:after="0"/>
                            <w:rPr>
                              <w:rFonts w:ascii="Calibri" w:eastAsia="Calibri" w:hAnsi="Calibri" w:cs="Calibri"/>
                              <w:noProof/>
                              <w:color w:val="008000"/>
                            </w:rPr>
                          </w:pPr>
                          <w:r w:rsidRPr="009C0279">
                            <w:rPr>
                              <w:rFonts w:ascii="Calibri" w:eastAsia="Calibri" w:hAnsi="Calibri" w:cs="Calibri"/>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77E94F" id="_x0000_t202" coordsize="21600,21600" o:spt="202" path="m,l,21600r21600,l21600,xe">
              <v:stroke joinstyle="miter"/>
              <v:path gradientshapeok="t" o:connecttype="rect"/>
            </v:shapetype>
            <v:shape id="Text Box 3" o:spid="_x0000_s1027" type="#_x0000_t202" alt="[OFFICIAL]" style="position:absolute;left:0;text-align:left;margin-left:0;margin-top:0;width:66.55pt;height:2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8SEgIAACEEAAAOAAAAZHJzL2Uyb0RvYy54bWysU99v2jAQfp+0/8Hy+0hgpGMRoWKtmCah&#10;thKd+mwcm0SyfZZtSNhfv7Mh0HZ7mvbinO8u9+P7Ps9ve63IQTjfgqnoeJRTIgyHujW7iv58Xn2a&#10;UeIDMzVTYERFj8LT28XHD/POlmICDahaOIJFjC87W9EmBFtmmeeN0MyPwAqDQQlOs4BXt8tqxzqs&#10;rlU2yfObrANXWwdceI/e+1OQLlJ9KQUPj1J6EYiqKM4W0unSuY1ntpizcueYbVp+HoP9wxSatQab&#10;Xkrds8DI3rV/lNItd+BBhhEHnYGULRdpB9xmnL/bZtMwK9IuCI63F5j8/yvLHw4b++RI6L9BjwRG&#10;QDrrS4/OuE8vnY5fnJRgHCE8XmATfSAcnbNpMZ4VlHAMff4yvSkSrNn1Z+t8+C5Ak2hU1CErCSx2&#10;WPuADTF1SIm9DKxapRIzyrxxYGL0ZNcJoxX6bU/a+tX0W6iPuJSDE9/e8lWLrdfMhyfmkGDcA0Ub&#10;HvGQCrqKwtmipAH362/+mI+4Y5SSDgVTUYOKpkT9MMjHpJjmeRRYuqHhBmObjPHXvIhxs9d3gFoc&#10;47OwPJkxOajBlA70C2p6GbthiBmOPSu6Hcy7cJIvvgkulsuUhFqyLKzNxvJYOmIWAX3uX5izZ9QD&#10;0vUAg6RY+Q78U27809vlPiAFiZmI7wnNM+yow0TY+c1Eob++p6zry178BgAA//8DAFBLAwQUAAYA&#10;CAAAACEAXS/wn9oAAAAEAQAADwAAAGRycy9kb3ducmV2LnhtbEyPwU7DMBBE70j8g7VI3KjTVo0g&#10;jVNVBSquBCR6dOJtHDXeTWO3DX+PywUuK41mNPM2X42uE2ccfMukYDpJQCDVbFpqFHx+vD48gvBB&#10;k9EdEyr4Rg+r4vYm15nhC73juQyNiCXkM63AhtBnUvraotN+wj1S9PY8OB2iHBppBn2J5a6TsyRJ&#10;pdMtxQWre9xYrA/lySlIn7dr23+lu+N+5t98xYdQ8otS93fjegki4Bj+wnDFj+hQRKaKT2S86BTE&#10;R8LvvXrz+RREpWDxlIAscvkfvvgBAAD//wMAUEsBAi0AFAAGAAgAAAAhALaDOJL+AAAA4QEAABMA&#10;AAAAAAAAAAAAAAAAAAAAAFtDb250ZW50X1R5cGVzXS54bWxQSwECLQAUAAYACAAAACEAOP0h/9YA&#10;AACUAQAACwAAAAAAAAAAAAAAAAAvAQAAX3JlbHMvLnJlbHNQSwECLQAUAAYACAAAACEAWsgPEhIC&#10;AAAhBAAADgAAAAAAAAAAAAAAAAAuAgAAZHJzL2Uyb0RvYy54bWxQSwECLQAUAAYACAAAACEAXS/w&#10;n9oAAAAEAQAADwAAAAAAAAAAAAAAAABsBAAAZHJzL2Rvd25yZXYueG1sUEsFBgAAAAAEAAQA8wAA&#10;AHMFAAAAAA==&#10;" filled="f" stroked="f">
              <v:textbox style="mso-fit-shape-to-text:t" inset="20pt,0,0,15pt">
                <w:txbxContent>
                  <w:p w14:paraId="42708343" w14:textId="716867EB" w:rsidR="009C0279" w:rsidRPr="009C0279" w:rsidRDefault="009C0279" w:rsidP="009C0279">
                    <w:pPr>
                      <w:spacing w:after="0"/>
                      <w:rPr>
                        <w:rFonts w:ascii="Calibri" w:eastAsia="Calibri" w:hAnsi="Calibri" w:cs="Calibri"/>
                        <w:noProof/>
                        <w:color w:val="008000"/>
                      </w:rPr>
                    </w:pPr>
                    <w:r w:rsidRPr="009C0279">
                      <w:rPr>
                        <w:rFonts w:ascii="Calibri" w:eastAsia="Calibri" w:hAnsi="Calibri" w:cs="Calibri"/>
                        <w:noProof/>
                        <w:color w:val="008000"/>
                      </w:rPr>
                      <w:t>[OFFICIAL]</w:t>
                    </w:r>
                  </w:p>
                </w:txbxContent>
              </v:textbox>
              <w10:wrap anchorx="page" anchory="page"/>
            </v:shape>
          </w:pict>
        </mc:Fallback>
      </mc:AlternateContent>
    </w:r>
    <w:sdt>
      <w:sdtPr>
        <w:id w:val="913355807"/>
        <w:docPartObj>
          <w:docPartGallery w:val="Page Numbers (Bottom of Page)"/>
          <w:docPartUnique/>
        </w:docPartObj>
      </w:sdtPr>
      <w:sdtEndPr>
        <w:rPr>
          <w:color w:val="7F7F7F" w:themeColor="background1" w:themeShade="7F"/>
          <w:spacing w:val="60"/>
        </w:rPr>
      </w:sdtEndPr>
      <w:sdtContent>
        <w:r w:rsidR="0029618B">
          <w:fldChar w:fldCharType="begin"/>
        </w:r>
        <w:r w:rsidR="0029618B">
          <w:instrText xml:space="preserve"> PAGE   \* MERGEFORMAT </w:instrText>
        </w:r>
        <w:r w:rsidR="0029618B">
          <w:fldChar w:fldCharType="separate"/>
        </w:r>
        <w:r w:rsidR="0029618B">
          <w:rPr>
            <w:b/>
            <w:bCs/>
            <w:noProof/>
          </w:rPr>
          <w:t>2</w:t>
        </w:r>
        <w:r w:rsidR="0029618B">
          <w:rPr>
            <w:b/>
            <w:bCs/>
            <w:noProof/>
          </w:rPr>
          <w:fldChar w:fldCharType="end"/>
        </w:r>
        <w:r w:rsidR="0029618B">
          <w:rPr>
            <w:b/>
            <w:bCs/>
          </w:rPr>
          <w:t xml:space="preserve"> | </w:t>
        </w:r>
        <w:r w:rsidR="0029618B">
          <w:rPr>
            <w:color w:val="7F7F7F" w:themeColor="background1" w:themeShade="7F"/>
            <w:spacing w:val="60"/>
          </w:rPr>
          <w:t>Page</w:t>
        </w:r>
      </w:sdtContent>
    </w:sdt>
  </w:p>
  <w:p w14:paraId="3C304C76" w14:textId="745619E5" w:rsidR="00D86284" w:rsidRDefault="00D86284">
    <w:pPr>
      <w:pStyle w:val="Footer"/>
    </w:pPr>
  </w:p>
  <w:p w14:paraId="53B95D11" w14:textId="77777777" w:rsidR="006C1BBB" w:rsidRDefault="006C1B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C45E" w14:textId="4C521212" w:rsidR="0029618B" w:rsidRDefault="009C0279">
    <w:pPr>
      <w:pStyle w:val="Footer"/>
      <w:pBdr>
        <w:top w:val="single" w:sz="4" w:space="1" w:color="D9D9D9" w:themeColor="background1" w:themeShade="D9"/>
      </w:pBdr>
      <w:rPr>
        <w:b/>
        <w:bCs/>
      </w:rPr>
    </w:pPr>
    <w:r>
      <w:rPr>
        <w:noProof/>
      </w:rPr>
      <mc:AlternateContent>
        <mc:Choice Requires="wps">
          <w:drawing>
            <wp:anchor distT="0" distB="0" distL="0" distR="0" simplePos="0" relativeHeight="251658240" behindDoc="0" locked="0" layoutInCell="1" allowOverlap="1" wp14:anchorId="038C2A3D" wp14:editId="7F15AE3F">
              <wp:simplePos x="914400" y="9880600"/>
              <wp:positionH relativeFrom="page">
                <wp:align>left</wp:align>
              </wp:positionH>
              <wp:positionV relativeFrom="page">
                <wp:align>bottom</wp:align>
              </wp:positionV>
              <wp:extent cx="845185" cy="374650"/>
              <wp:effectExtent l="0" t="0" r="12065" b="0"/>
              <wp:wrapNone/>
              <wp:docPr id="29639786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74650"/>
                      </a:xfrm>
                      <a:prstGeom prst="rect">
                        <a:avLst/>
                      </a:prstGeom>
                      <a:noFill/>
                      <a:ln>
                        <a:noFill/>
                      </a:ln>
                    </wps:spPr>
                    <wps:txbx>
                      <w:txbxContent>
                        <w:p w14:paraId="4157793A" w14:textId="53D28BAC" w:rsidR="009C0279" w:rsidRPr="009C0279" w:rsidRDefault="009C0279" w:rsidP="009C0279">
                          <w:pPr>
                            <w:spacing w:after="0"/>
                            <w:rPr>
                              <w:rFonts w:ascii="Calibri" w:eastAsia="Calibri" w:hAnsi="Calibri" w:cs="Calibri"/>
                              <w:noProof/>
                              <w:color w:val="008000"/>
                            </w:rPr>
                          </w:pPr>
                          <w:r w:rsidRPr="009C0279">
                            <w:rPr>
                              <w:rFonts w:ascii="Calibri" w:eastAsia="Calibri" w:hAnsi="Calibri" w:cs="Calibri"/>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8C2A3D" id="_x0000_t202" coordsize="21600,21600" o:spt="202" path="m,l,21600r21600,l21600,xe">
              <v:stroke joinstyle="miter"/>
              <v:path gradientshapeok="t" o:connecttype="rect"/>
            </v:shapetype>
            <v:shape id="Text Box 1" o:spid="_x0000_s1028" type="#_x0000_t202" alt="[OFFICIAL]" style="position:absolute;left:0;text-align:left;margin-left:0;margin-top:0;width:66.55pt;height:2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xQFAIAACEEAAAOAAAAZHJzL2Uyb0RvYy54bWysU99v2jAQfp+0/8Hy+0hg0LGIULFWTJNQ&#10;W4lOfTaOTSLZPss2JOyv39khsHV9qvbinO8u9+P7Pi9uO63IUTjfgCnpeJRTIgyHqjH7kv58Xn+a&#10;U+IDMxVTYERJT8LT2+XHD4vWFmICNahKOIJFjC9aW9I6BFtkmee10MyPwAqDQQlOs4BXt88qx1qs&#10;rlU2yfObrAVXWQdceI/e+z5Il6m+lIKHRym9CESVFGcL6XTp3MUzWy5YsXfM1g0/j8HeMYVmjcGm&#10;l1L3LDBycM0/pXTDHXiQYcRBZyBlw0XaAbcZ56+22dbMirQLguPtBSb//8ryh+PWPjkSum/QIYER&#10;kNb6wqMz7tNJp+MXJyUYRwhPF9hEFwhH53w6G89nlHAMff4yvZklWLPrz9b58F2AJtEoqUNWEljs&#10;uPEBG2LqkBJ7GVg3SiVmlPnLgYnRk10njFbodh1pqpJOhul3UJ1wKQc9397ydYOtN8yHJ+aQYNwD&#10;RRse8ZAK2pLC2aKkBvfrLX/MR9wxSkmLgimpQUVTon4Y5GMym+Z5FFi6oeEGY5eM8dd8FuPmoO8A&#10;tTjGZ2F5MmNyUIMpHegX1PQqdsMQMxx7lnQ3mHehly++CS5Wq5SEWrIsbMzW8lg6YhYBfe5emLNn&#10;1APS9QCDpFjxCvw+N/7p7eoQkILETMS3R/MMO+owEXZ+M1Hof95T1vVlL38DAAD//wMAUEsDBBQA&#10;BgAIAAAAIQBdL/Cf2gAAAAQBAAAPAAAAZHJzL2Rvd25yZXYueG1sTI/BTsMwEETvSPyDtUjcqNNW&#10;jSCNU1UFKq4EJHp04m0cNd5NY7cNf4/LBS4rjWY08zZfja4TZxx8y6RgOklAINVsWmoUfH68PjyC&#10;8EGT0R0TKvhGD6vi9ibXmeELveO5DI2IJeQzrcCG0GdS+tqi037CPVL09jw4HaIcGmkGfYnlrpOz&#10;JEml0y3FBat73FisD+XJKUift2vbf6W7437m33zFh1Dyi1L3d+N6CSLgGP7CcMWP6FBEpopPZLzo&#10;FMRHwu+9evP5FESlYPGUgCxy+R+++AEAAP//AwBQSwECLQAUAAYACAAAACEAtoM4kv4AAADhAQAA&#10;EwAAAAAAAAAAAAAAAAAAAAAAW0NvbnRlbnRfVHlwZXNdLnhtbFBLAQItABQABgAIAAAAIQA4/SH/&#10;1gAAAJQBAAALAAAAAAAAAAAAAAAAAC8BAABfcmVscy8ucmVsc1BLAQItABQABgAIAAAAIQALXvxQ&#10;FAIAACEEAAAOAAAAAAAAAAAAAAAAAC4CAABkcnMvZTJvRG9jLnhtbFBLAQItABQABgAIAAAAIQBd&#10;L/Cf2gAAAAQBAAAPAAAAAAAAAAAAAAAAAG4EAABkcnMvZG93bnJldi54bWxQSwUGAAAAAAQABADz&#10;AAAAdQUAAAAA&#10;" filled="f" stroked="f">
              <v:textbox style="mso-fit-shape-to-text:t" inset="20pt,0,0,15pt">
                <w:txbxContent>
                  <w:p w14:paraId="4157793A" w14:textId="53D28BAC" w:rsidR="009C0279" w:rsidRPr="009C0279" w:rsidRDefault="009C0279" w:rsidP="009C0279">
                    <w:pPr>
                      <w:spacing w:after="0"/>
                      <w:rPr>
                        <w:rFonts w:ascii="Calibri" w:eastAsia="Calibri" w:hAnsi="Calibri" w:cs="Calibri"/>
                        <w:noProof/>
                        <w:color w:val="008000"/>
                      </w:rPr>
                    </w:pPr>
                    <w:r w:rsidRPr="009C0279">
                      <w:rPr>
                        <w:rFonts w:ascii="Calibri" w:eastAsia="Calibri" w:hAnsi="Calibri" w:cs="Calibri"/>
                        <w:noProof/>
                        <w:color w:val="008000"/>
                      </w:rPr>
                      <w:t>[OFFICIAL]</w:t>
                    </w:r>
                  </w:p>
                </w:txbxContent>
              </v:textbox>
              <w10:wrap anchorx="page" anchory="page"/>
            </v:shape>
          </w:pict>
        </mc:Fallback>
      </mc:AlternateContent>
    </w:r>
    <w:sdt>
      <w:sdtPr>
        <w:id w:val="595140194"/>
        <w:docPartObj>
          <w:docPartGallery w:val="Page Numbers (Bottom of Page)"/>
          <w:docPartUnique/>
        </w:docPartObj>
      </w:sdtPr>
      <w:sdtEndPr>
        <w:rPr>
          <w:color w:val="7F7F7F" w:themeColor="background1" w:themeShade="7F"/>
          <w:spacing w:val="60"/>
        </w:rPr>
      </w:sdtEndPr>
      <w:sdtContent>
        <w:r w:rsidR="0029618B">
          <w:fldChar w:fldCharType="begin"/>
        </w:r>
        <w:r w:rsidR="0029618B">
          <w:instrText xml:space="preserve"> PAGE   \* MERGEFORMAT </w:instrText>
        </w:r>
        <w:r w:rsidR="0029618B">
          <w:fldChar w:fldCharType="separate"/>
        </w:r>
        <w:r w:rsidR="0029618B">
          <w:rPr>
            <w:b/>
            <w:bCs/>
            <w:noProof/>
          </w:rPr>
          <w:t>2</w:t>
        </w:r>
        <w:r w:rsidR="0029618B">
          <w:rPr>
            <w:b/>
            <w:bCs/>
            <w:noProof/>
          </w:rPr>
          <w:fldChar w:fldCharType="end"/>
        </w:r>
        <w:r w:rsidR="0029618B">
          <w:rPr>
            <w:b/>
            <w:bCs/>
          </w:rPr>
          <w:t xml:space="preserve"> | </w:t>
        </w:r>
        <w:r w:rsidR="0029618B">
          <w:rPr>
            <w:color w:val="7F7F7F" w:themeColor="background1" w:themeShade="7F"/>
            <w:spacing w:val="60"/>
          </w:rPr>
          <w:t>Page</w:t>
        </w:r>
      </w:sdtContent>
    </w:sdt>
  </w:p>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F05A" w14:textId="77777777" w:rsidR="00405F7E" w:rsidRDefault="00405F7E" w:rsidP="000A6228">
      <w:pPr>
        <w:spacing w:after="0" w:line="240" w:lineRule="auto"/>
      </w:pPr>
      <w:r>
        <w:separator/>
      </w:r>
    </w:p>
  </w:footnote>
  <w:footnote w:type="continuationSeparator" w:id="0">
    <w:p w14:paraId="53A0743E" w14:textId="77777777" w:rsidR="00405F7E" w:rsidRDefault="00405F7E" w:rsidP="000A6228">
      <w:pPr>
        <w:spacing w:after="0" w:line="240" w:lineRule="auto"/>
      </w:pPr>
      <w:r>
        <w:continuationSeparator/>
      </w:r>
    </w:p>
  </w:footnote>
  <w:footnote w:type="continuationNotice" w:id="1">
    <w:p w14:paraId="69B4C012" w14:textId="77777777" w:rsidR="00405F7E" w:rsidRDefault="00405F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4386E76"/>
    <w:multiLevelType w:val="hybridMultilevel"/>
    <w:tmpl w:val="C4B86D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4B0699E"/>
    <w:multiLevelType w:val="hybridMultilevel"/>
    <w:tmpl w:val="2820B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3E24200"/>
    <w:multiLevelType w:val="hybridMultilevel"/>
    <w:tmpl w:val="5B5C4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A66241"/>
    <w:multiLevelType w:val="multilevel"/>
    <w:tmpl w:val="2ED64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FE23889"/>
    <w:multiLevelType w:val="hybridMultilevel"/>
    <w:tmpl w:val="30268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EC2754"/>
    <w:multiLevelType w:val="hybridMultilevel"/>
    <w:tmpl w:val="12DE1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D44F83"/>
    <w:multiLevelType w:val="hybridMultilevel"/>
    <w:tmpl w:val="3AB45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542B6B"/>
    <w:multiLevelType w:val="hybridMultilevel"/>
    <w:tmpl w:val="A44810FA"/>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23" w15:restartNumberingAfterBreak="0">
    <w:nsid w:val="554D3F4B"/>
    <w:multiLevelType w:val="hybridMultilevel"/>
    <w:tmpl w:val="CB004D12"/>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24" w15:restartNumberingAfterBreak="0">
    <w:nsid w:val="5A640A4A"/>
    <w:multiLevelType w:val="hybridMultilevel"/>
    <w:tmpl w:val="C1E06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168717D"/>
    <w:multiLevelType w:val="hybridMultilevel"/>
    <w:tmpl w:val="14627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79560429">
    <w:abstractNumId w:val="13"/>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7"/>
  </w:num>
  <w:num w:numId="11" w16cid:durableId="419833051">
    <w:abstractNumId w:val="26"/>
  </w:num>
  <w:num w:numId="12" w16cid:durableId="1758015391">
    <w:abstractNumId w:val="12"/>
  </w:num>
  <w:num w:numId="13" w16cid:durableId="1395660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9"/>
  </w:num>
  <w:num w:numId="15" w16cid:durableId="928125744">
    <w:abstractNumId w:val="6"/>
  </w:num>
  <w:num w:numId="16" w16cid:durableId="1172835113">
    <w:abstractNumId w:val="28"/>
  </w:num>
  <w:num w:numId="17" w16cid:durableId="1022434231">
    <w:abstractNumId w:val="19"/>
  </w:num>
  <w:num w:numId="18" w16cid:durableId="618417265">
    <w:abstractNumId w:val="8"/>
  </w:num>
  <w:num w:numId="19" w16cid:durableId="271010807">
    <w:abstractNumId w:val="25"/>
  </w:num>
  <w:num w:numId="20" w16cid:durableId="391125034">
    <w:abstractNumId w:val="21"/>
  </w:num>
  <w:num w:numId="21" w16cid:durableId="1018315720">
    <w:abstractNumId w:val="10"/>
  </w:num>
  <w:num w:numId="22" w16cid:durableId="690381322">
    <w:abstractNumId w:val="23"/>
  </w:num>
  <w:num w:numId="23" w16cid:durableId="1519196226">
    <w:abstractNumId w:val="22"/>
  </w:num>
  <w:num w:numId="24" w16cid:durableId="1112241171">
    <w:abstractNumId w:val="24"/>
  </w:num>
  <w:num w:numId="25" w16cid:durableId="995953578">
    <w:abstractNumId w:val="18"/>
  </w:num>
  <w:num w:numId="26" w16cid:durableId="117993900">
    <w:abstractNumId w:val="14"/>
  </w:num>
  <w:num w:numId="27" w16cid:durableId="763719951">
    <w:abstractNumId w:val="11"/>
  </w:num>
  <w:num w:numId="28" w16cid:durableId="999772576">
    <w:abstractNumId w:val="20"/>
  </w:num>
  <w:num w:numId="29" w16cid:durableId="946812593">
    <w:abstractNumId w:val="27"/>
  </w:num>
  <w:num w:numId="30" w16cid:durableId="662126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6B76"/>
    <w:rsid w:val="00021FBE"/>
    <w:rsid w:val="00034DF5"/>
    <w:rsid w:val="00045E1D"/>
    <w:rsid w:val="000521D7"/>
    <w:rsid w:val="00057BEF"/>
    <w:rsid w:val="00083AE9"/>
    <w:rsid w:val="000960CF"/>
    <w:rsid w:val="000A0B58"/>
    <w:rsid w:val="000A3A19"/>
    <w:rsid w:val="000A4C7B"/>
    <w:rsid w:val="000A6228"/>
    <w:rsid w:val="000A776B"/>
    <w:rsid w:val="000B5D40"/>
    <w:rsid w:val="000B7EC6"/>
    <w:rsid w:val="000D3ADB"/>
    <w:rsid w:val="000D6C4E"/>
    <w:rsid w:val="000F64EE"/>
    <w:rsid w:val="00107D87"/>
    <w:rsid w:val="00107DD5"/>
    <w:rsid w:val="0011054B"/>
    <w:rsid w:val="0012343A"/>
    <w:rsid w:val="00133B8D"/>
    <w:rsid w:val="0013611E"/>
    <w:rsid w:val="001515BF"/>
    <w:rsid w:val="0015188C"/>
    <w:rsid w:val="0015549C"/>
    <w:rsid w:val="00166680"/>
    <w:rsid w:val="0017134D"/>
    <w:rsid w:val="00182D8B"/>
    <w:rsid w:val="00192ECA"/>
    <w:rsid w:val="00196CDA"/>
    <w:rsid w:val="001B109C"/>
    <w:rsid w:val="001B30A4"/>
    <w:rsid w:val="001C1523"/>
    <w:rsid w:val="001E3A3F"/>
    <w:rsid w:val="001E3BF1"/>
    <w:rsid w:val="001E6DBC"/>
    <w:rsid w:val="001F45A7"/>
    <w:rsid w:val="00217414"/>
    <w:rsid w:val="00221D8F"/>
    <w:rsid w:val="002272DB"/>
    <w:rsid w:val="00235752"/>
    <w:rsid w:val="00241CF3"/>
    <w:rsid w:val="00263B55"/>
    <w:rsid w:val="00276047"/>
    <w:rsid w:val="002775F3"/>
    <w:rsid w:val="00277D31"/>
    <w:rsid w:val="00294D55"/>
    <w:rsid w:val="0029618B"/>
    <w:rsid w:val="002A4458"/>
    <w:rsid w:val="002C1F0F"/>
    <w:rsid w:val="002D1F4F"/>
    <w:rsid w:val="002D3EFA"/>
    <w:rsid w:val="002D589A"/>
    <w:rsid w:val="002D5BB8"/>
    <w:rsid w:val="002E491A"/>
    <w:rsid w:val="002E5290"/>
    <w:rsid w:val="002F4604"/>
    <w:rsid w:val="00304890"/>
    <w:rsid w:val="00394C53"/>
    <w:rsid w:val="003C534B"/>
    <w:rsid w:val="003F4819"/>
    <w:rsid w:val="0040155D"/>
    <w:rsid w:val="00404B95"/>
    <w:rsid w:val="00405F7E"/>
    <w:rsid w:val="0041713E"/>
    <w:rsid w:val="00420FA0"/>
    <w:rsid w:val="00421D3F"/>
    <w:rsid w:val="00423785"/>
    <w:rsid w:val="0042692C"/>
    <w:rsid w:val="00452D26"/>
    <w:rsid w:val="00461A57"/>
    <w:rsid w:val="00462848"/>
    <w:rsid w:val="00463568"/>
    <w:rsid w:val="00467F00"/>
    <w:rsid w:val="0048486E"/>
    <w:rsid w:val="0049333E"/>
    <w:rsid w:val="004A0528"/>
    <w:rsid w:val="004A06CD"/>
    <w:rsid w:val="004A4B6F"/>
    <w:rsid w:val="004A4CF9"/>
    <w:rsid w:val="004C425D"/>
    <w:rsid w:val="004D2965"/>
    <w:rsid w:val="004D2D9D"/>
    <w:rsid w:val="004E6C1C"/>
    <w:rsid w:val="004F0923"/>
    <w:rsid w:val="004F348D"/>
    <w:rsid w:val="005001C7"/>
    <w:rsid w:val="00520BA6"/>
    <w:rsid w:val="00526429"/>
    <w:rsid w:val="00541139"/>
    <w:rsid w:val="00547FB7"/>
    <w:rsid w:val="00567818"/>
    <w:rsid w:val="0057028F"/>
    <w:rsid w:val="00591F57"/>
    <w:rsid w:val="00593B25"/>
    <w:rsid w:val="005A35D9"/>
    <w:rsid w:val="005A75C9"/>
    <w:rsid w:val="005B187D"/>
    <w:rsid w:val="005C46FB"/>
    <w:rsid w:val="005E3FB3"/>
    <w:rsid w:val="005F015E"/>
    <w:rsid w:val="005F35D6"/>
    <w:rsid w:val="0061342D"/>
    <w:rsid w:val="0061714F"/>
    <w:rsid w:val="006232DC"/>
    <w:rsid w:val="0062658F"/>
    <w:rsid w:val="0063094F"/>
    <w:rsid w:val="00641CD3"/>
    <w:rsid w:val="006805E2"/>
    <w:rsid w:val="006904E4"/>
    <w:rsid w:val="006A3B44"/>
    <w:rsid w:val="006A45A3"/>
    <w:rsid w:val="006B2B77"/>
    <w:rsid w:val="006C1BBB"/>
    <w:rsid w:val="006D67F3"/>
    <w:rsid w:val="006E066F"/>
    <w:rsid w:val="006E6078"/>
    <w:rsid w:val="006F1FFF"/>
    <w:rsid w:val="006F2406"/>
    <w:rsid w:val="006F6D10"/>
    <w:rsid w:val="00712B94"/>
    <w:rsid w:val="00717352"/>
    <w:rsid w:val="007517BA"/>
    <w:rsid w:val="00755843"/>
    <w:rsid w:val="0077782B"/>
    <w:rsid w:val="007B2CA1"/>
    <w:rsid w:val="007C34DD"/>
    <w:rsid w:val="007D0ABC"/>
    <w:rsid w:val="007D1439"/>
    <w:rsid w:val="007E1D68"/>
    <w:rsid w:val="007E641F"/>
    <w:rsid w:val="00802057"/>
    <w:rsid w:val="008034C4"/>
    <w:rsid w:val="008042F5"/>
    <w:rsid w:val="008403BE"/>
    <w:rsid w:val="00840DC3"/>
    <w:rsid w:val="00863E44"/>
    <w:rsid w:val="0086428D"/>
    <w:rsid w:val="008861CC"/>
    <w:rsid w:val="00886959"/>
    <w:rsid w:val="0089053D"/>
    <w:rsid w:val="00890B14"/>
    <w:rsid w:val="0089394E"/>
    <w:rsid w:val="00893A34"/>
    <w:rsid w:val="008A36E1"/>
    <w:rsid w:val="008A37A7"/>
    <w:rsid w:val="008A7AB4"/>
    <w:rsid w:val="008B0736"/>
    <w:rsid w:val="008C1F5A"/>
    <w:rsid w:val="008D4FA9"/>
    <w:rsid w:val="008D615E"/>
    <w:rsid w:val="00907EBF"/>
    <w:rsid w:val="00913D0F"/>
    <w:rsid w:val="009354D0"/>
    <w:rsid w:val="00950B06"/>
    <w:rsid w:val="0096443E"/>
    <w:rsid w:val="00970069"/>
    <w:rsid w:val="009721EB"/>
    <w:rsid w:val="009741FE"/>
    <w:rsid w:val="009769D1"/>
    <w:rsid w:val="00980B05"/>
    <w:rsid w:val="00994D60"/>
    <w:rsid w:val="009A08CE"/>
    <w:rsid w:val="009A7FC4"/>
    <w:rsid w:val="009B706E"/>
    <w:rsid w:val="009C0279"/>
    <w:rsid w:val="009C1E72"/>
    <w:rsid w:val="009C423A"/>
    <w:rsid w:val="009E6DF8"/>
    <w:rsid w:val="009E79ED"/>
    <w:rsid w:val="009F3450"/>
    <w:rsid w:val="00A00C73"/>
    <w:rsid w:val="00A0114E"/>
    <w:rsid w:val="00A07596"/>
    <w:rsid w:val="00A16415"/>
    <w:rsid w:val="00A17A08"/>
    <w:rsid w:val="00A2072C"/>
    <w:rsid w:val="00A314D3"/>
    <w:rsid w:val="00A3175C"/>
    <w:rsid w:val="00A41B2F"/>
    <w:rsid w:val="00A47507"/>
    <w:rsid w:val="00A60673"/>
    <w:rsid w:val="00A70D18"/>
    <w:rsid w:val="00A818DE"/>
    <w:rsid w:val="00A829FE"/>
    <w:rsid w:val="00AB2A61"/>
    <w:rsid w:val="00AC1872"/>
    <w:rsid w:val="00AC21EE"/>
    <w:rsid w:val="00AC43C2"/>
    <w:rsid w:val="00AC5D47"/>
    <w:rsid w:val="00AD13D0"/>
    <w:rsid w:val="00AD631F"/>
    <w:rsid w:val="00AE21FF"/>
    <w:rsid w:val="00AE7812"/>
    <w:rsid w:val="00AE7F70"/>
    <w:rsid w:val="00AF1F18"/>
    <w:rsid w:val="00AF4A96"/>
    <w:rsid w:val="00B04FA8"/>
    <w:rsid w:val="00B0726E"/>
    <w:rsid w:val="00B219D1"/>
    <w:rsid w:val="00B37F99"/>
    <w:rsid w:val="00B570F6"/>
    <w:rsid w:val="00B64B3D"/>
    <w:rsid w:val="00B72125"/>
    <w:rsid w:val="00B81FA4"/>
    <w:rsid w:val="00B8794C"/>
    <w:rsid w:val="00B9154E"/>
    <w:rsid w:val="00B95EF4"/>
    <w:rsid w:val="00BA3582"/>
    <w:rsid w:val="00BB6509"/>
    <w:rsid w:val="00BC248C"/>
    <w:rsid w:val="00BE0C57"/>
    <w:rsid w:val="00BE5C74"/>
    <w:rsid w:val="00BE62BD"/>
    <w:rsid w:val="00C01EC0"/>
    <w:rsid w:val="00C15AAC"/>
    <w:rsid w:val="00C212D2"/>
    <w:rsid w:val="00C2270F"/>
    <w:rsid w:val="00C244EE"/>
    <w:rsid w:val="00C319A4"/>
    <w:rsid w:val="00C32AE5"/>
    <w:rsid w:val="00C45279"/>
    <w:rsid w:val="00C54C20"/>
    <w:rsid w:val="00C72224"/>
    <w:rsid w:val="00C75706"/>
    <w:rsid w:val="00C929C0"/>
    <w:rsid w:val="00C94791"/>
    <w:rsid w:val="00C969A9"/>
    <w:rsid w:val="00CA4815"/>
    <w:rsid w:val="00CC1725"/>
    <w:rsid w:val="00CC2FB5"/>
    <w:rsid w:val="00CC6A2B"/>
    <w:rsid w:val="00CF6562"/>
    <w:rsid w:val="00D02B54"/>
    <w:rsid w:val="00D22F93"/>
    <w:rsid w:val="00D23ABC"/>
    <w:rsid w:val="00D244A0"/>
    <w:rsid w:val="00D24A30"/>
    <w:rsid w:val="00D25BFB"/>
    <w:rsid w:val="00D33E0B"/>
    <w:rsid w:val="00D5688A"/>
    <w:rsid w:val="00D65776"/>
    <w:rsid w:val="00D65E8B"/>
    <w:rsid w:val="00D70744"/>
    <w:rsid w:val="00D7558A"/>
    <w:rsid w:val="00D759D3"/>
    <w:rsid w:val="00D82BFE"/>
    <w:rsid w:val="00D86284"/>
    <w:rsid w:val="00D92A3B"/>
    <w:rsid w:val="00DA6169"/>
    <w:rsid w:val="00DB2992"/>
    <w:rsid w:val="00DC5980"/>
    <w:rsid w:val="00DD2B46"/>
    <w:rsid w:val="00DD3400"/>
    <w:rsid w:val="00DD3642"/>
    <w:rsid w:val="00DF3F63"/>
    <w:rsid w:val="00E06ED6"/>
    <w:rsid w:val="00E0752E"/>
    <w:rsid w:val="00E114B4"/>
    <w:rsid w:val="00E30B4D"/>
    <w:rsid w:val="00E50DEB"/>
    <w:rsid w:val="00E529E5"/>
    <w:rsid w:val="00E55C8C"/>
    <w:rsid w:val="00E92D45"/>
    <w:rsid w:val="00EB0824"/>
    <w:rsid w:val="00EB4C2F"/>
    <w:rsid w:val="00ED0DDF"/>
    <w:rsid w:val="00ED3E14"/>
    <w:rsid w:val="00EE2E52"/>
    <w:rsid w:val="00EE75F8"/>
    <w:rsid w:val="00EF5C61"/>
    <w:rsid w:val="00F06557"/>
    <w:rsid w:val="00F07246"/>
    <w:rsid w:val="00F1000D"/>
    <w:rsid w:val="00F11041"/>
    <w:rsid w:val="00F30BFA"/>
    <w:rsid w:val="00F311A4"/>
    <w:rsid w:val="00F60B66"/>
    <w:rsid w:val="00F82C2C"/>
    <w:rsid w:val="00F835E1"/>
    <w:rsid w:val="00F85913"/>
    <w:rsid w:val="00F96BDF"/>
    <w:rsid w:val="00FA7392"/>
    <w:rsid w:val="00FB02D1"/>
    <w:rsid w:val="00FC2B31"/>
    <w:rsid w:val="00FC4BD9"/>
    <w:rsid w:val="00FD4D6E"/>
    <w:rsid w:val="00FD6383"/>
    <w:rsid w:val="00FD7A94"/>
    <w:rsid w:val="00FF5BC8"/>
    <w:rsid w:val="30A8B403"/>
    <w:rsid w:val="3FAF8226"/>
    <w:rsid w:val="62E47E4A"/>
    <w:rsid w:val="6DCF43E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C5CA5C3D-45D9-4F40-8F8A-3317EE01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Title">
    <w:name w:val="Title"/>
    <w:basedOn w:val="Normal"/>
    <w:next w:val="Normal"/>
    <w:link w:val="TitleChar"/>
    <w:uiPriority w:val="10"/>
    <w:qFormat/>
    <w:rsid w:val="00F96BD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6BDF"/>
    <w:rPr>
      <w:rFonts w:asciiTheme="majorHAnsi" w:eastAsiaTheme="majorEastAsia" w:hAnsiTheme="majorHAnsi" w:cstheme="majorBidi"/>
      <w:spacing w:val="-10"/>
      <w:kern w:val="28"/>
      <w:sz w:val="56"/>
      <w:szCs w:val="56"/>
      <w14:ligatures w14:val="standardContextual"/>
    </w:rPr>
  </w:style>
  <w:style w:type="paragraph" w:styleId="ListParagraph">
    <w:name w:val="List Paragraph"/>
    <w:basedOn w:val="Normal"/>
    <w:uiPriority w:val="34"/>
    <w:qFormat/>
    <w:rsid w:val="00F96BDF"/>
    <w:pPr>
      <w:spacing w:after="160"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dn-blob.murdoch.edu.au/mu-website/mu-docs/librariesprovider6/default-document-library/case0182068_muresearchstrategicplan2024-2030_v7-1.pdf?sfvrsn=843b002c_2&amp;_gl=1*cdvmae*_gcl_au*MzIxOTI3NDkyLjE3NTcwNDM5MDg.*_ga*MzkxOTA1ODUxLjE3Mzg3MzUxOTM.*_ga_JJL7264DX3*czE3NTk2MzA2ODgkbzQwJGcxJHQxNzU5NjMwNzMzJGoxNSRsMCRoNzEyNTc3NzIx" TargetMode="External"/><Relationship Id="rId2" Type="http://schemas.openxmlformats.org/officeDocument/2006/relationships/customXml" Target="../customXml/item2.xml"/><Relationship Id="rId16" Type="http://schemas.openxmlformats.org/officeDocument/2006/relationships/hyperlink" Target="https://www.murdoch.edu.au/strategy/edi/strategy?_gl=1*1tbtjzb*_gcl_au*MzIxOTI3NDkyLjE3NTcwNDM5MDg.*_ga*MzkxOTA1ODUxLjE3Mzg3MzUxOTM.*_ga_JJL7264DX3*czE3NTk4ODM1MDkkbzQyJGcxJHQxNzU5ODg0NzczJGo2MCRsMCRoMTIxNzQ3MDgzOA.."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urdoch.edu.au/explore/our-strateg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urdoch.edu.au/explore/our-strateg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2.xml><?xml version="1.0" encoding="utf-8"?>
<ds:datastoreItem xmlns:ds="http://schemas.openxmlformats.org/officeDocument/2006/customXml" ds:itemID="{D28B8E3A-AAB7-4E46-8E03-43EADAD6C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836FB-0FEA-4EB6-8C1F-B6512B7A70B1}">
  <ds:schemaRefs>
    <ds:schemaRef ds:uri="http://schemas.microsoft.com/office/2006/metadata/properties"/>
    <ds:schemaRef ds:uri="http://schemas.microsoft.com/office/2006/documentManagement/types"/>
    <ds:schemaRef ds:uri="http://purl.org/dc/dcmitype/"/>
    <ds:schemaRef ds:uri="6e75ac5a-1f9e-40aa-9df5-998dd543a947"/>
    <ds:schemaRef ds:uri="http://www.w3.org/XML/1998/namespace"/>
    <ds:schemaRef ds:uri="http://schemas.microsoft.com/office/infopath/2007/PartnerControls"/>
    <ds:schemaRef ds:uri="http://schemas.openxmlformats.org/package/2006/metadata/core-properties"/>
    <ds:schemaRef ds:uri="http://purl.org/dc/elements/1.1/"/>
    <ds:schemaRef ds:uri="fea52c8c-9806-4a1c-8ca9-6928160f6c09"/>
    <ds:schemaRef ds:uri="http://purl.org/dc/te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3163</Words>
  <Characters>20054</Characters>
  <Application>Microsoft Office Word</Application>
  <DocSecurity>0</DocSecurity>
  <Lines>353</Lines>
  <Paragraphs>143</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9</cp:revision>
  <cp:lastPrinted>2025-12-01T05:17:00Z</cp:lastPrinted>
  <dcterms:created xsi:type="dcterms:W3CDTF">2025-11-23T22:41:00Z</dcterms:created>
  <dcterms:modified xsi:type="dcterms:W3CDTF">2025-12-17T04:40:00Z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IntranetKeywords">
    <vt:lpwstr/>
  </property>
  <property fmtid="{D5CDD505-2E9C-101B-9397-08002B2CF9AE}" pid="11" name="DocumentType">
    <vt:lpwstr/>
  </property>
  <property fmtid="{D5CDD505-2E9C-101B-9397-08002B2CF9AE}" pid="12" name="Stream">
    <vt:lpwstr>4;#Communication and media|a829aae0-f6fe-4929-b33d-dad77c6e3f71</vt:lpwstr>
  </property>
  <property fmtid="{D5CDD505-2E9C-101B-9397-08002B2CF9AE}" pid="13" name="ClassificationContentMarkingFooterShapeIds">
    <vt:lpwstr>11aaac2c,5b8cda33,11f63a57</vt:lpwstr>
  </property>
  <property fmtid="{D5CDD505-2E9C-101B-9397-08002B2CF9AE}" pid="14" name="ClassificationContentMarkingFooterFontProps">
    <vt:lpwstr>#008000,11,Calibri</vt:lpwstr>
  </property>
  <property fmtid="{D5CDD505-2E9C-101B-9397-08002B2CF9AE}" pid="15" name="ClassificationContentMarkingFooterText">
    <vt:lpwstr>[OFFICIAL]</vt:lpwstr>
  </property>
  <property fmtid="{D5CDD505-2E9C-101B-9397-08002B2CF9AE}" pid="16" name="MSIP_Label_374f931c-4856-410e-abf2-8a4d5c5dd217_Enabled">
    <vt:lpwstr>true</vt:lpwstr>
  </property>
  <property fmtid="{D5CDD505-2E9C-101B-9397-08002B2CF9AE}" pid="17" name="MSIP_Label_374f931c-4856-410e-abf2-8a4d5c5dd217_SetDate">
    <vt:lpwstr>2025-10-05T02:26:30Z</vt:lpwstr>
  </property>
  <property fmtid="{D5CDD505-2E9C-101B-9397-08002B2CF9AE}" pid="18" name="MSIP_Label_374f931c-4856-410e-abf2-8a4d5c5dd217_Method">
    <vt:lpwstr>Standard</vt:lpwstr>
  </property>
  <property fmtid="{D5CDD505-2E9C-101B-9397-08002B2CF9AE}" pid="19" name="MSIP_Label_374f931c-4856-410e-abf2-8a4d5c5dd217_Name">
    <vt:lpwstr>Official</vt:lpwstr>
  </property>
  <property fmtid="{D5CDD505-2E9C-101B-9397-08002B2CF9AE}" pid="20" name="MSIP_Label_374f931c-4856-410e-abf2-8a4d5c5dd217_SiteId">
    <vt:lpwstr>c00d4c1b-cf7b-4e93-b7c7-10113a9bc230</vt:lpwstr>
  </property>
  <property fmtid="{D5CDD505-2E9C-101B-9397-08002B2CF9AE}" pid="21" name="MSIP_Label_374f931c-4856-410e-abf2-8a4d5c5dd217_ActionId">
    <vt:lpwstr>efd6df68-bd41-4c7c-a318-576cbd6fadaf</vt:lpwstr>
  </property>
  <property fmtid="{D5CDD505-2E9C-101B-9397-08002B2CF9AE}" pid="22" name="MSIP_Label_374f931c-4856-410e-abf2-8a4d5c5dd217_ContentBits">
    <vt:lpwstr>2</vt:lpwstr>
  </property>
  <property fmtid="{D5CDD505-2E9C-101B-9397-08002B2CF9AE}" pid="23" name="MSIP_Label_374f931c-4856-410e-abf2-8a4d5c5dd217_Tag">
    <vt:lpwstr>10, 3, 0, 1</vt:lpwstr>
  </property>
  <property fmtid="{D5CDD505-2E9C-101B-9397-08002B2CF9AE}" pid="24" name="ContentTypeId">
    <vt:lpwstr>0x0101001E36138AF4CB284D930A08DC3809C1D3</vt:lpwstr>
  </property>
</Properties>
</file>