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8066" w14:textId="779EA4D3" w:rsidR="009219FA" w:rsidRDefault="00A2584A">
      <w:r>
        <w:rPr>
          <w:noProof/>
        </w:rPr>
        <w:drawing>
          <wp:inline distT="0" distB="0" distL="0" distR="0" wp14:anchorId="120337D8" wp14:editId="1C261962">
            <wp:extent cx="2269172" cy="554400"/>
            <wp:effectExtent l="0" t="0" r="0" b="0"/>
            <wp:docPr id="5" name="image2.png" descr="Australian Government Department of Education."/>
            <wp:cNvGraphicFramePr/>
            <a:graphic xmlns:a="http://schemas.openxmlformats.org/drawingml/2006/main">
              <a:graphicData uri="http://schemas.openxmlformats.org/drawingml/2006/picture">
                <pic:pic xmlns:pic="http://schemas.openxmlformats.org/drawingml/2006/picture">
                  <pic:nvPicPr>
                    <pic:cNvPr id="0" name="image2.png" descr="Australian Government Department of Education."/>
                    <pic:cNvPicPr preferRelativeResize="0"/>
                  </pic:nvPicPr>
                  <pic:blipFill>
                    <a:blip r:embed="rId11"/>
                    <a:srcRect/>
                    <a:stretch>
                      <a:fillRect/>
                    </a:stretch>
                  </pic:blipFill>
                  <pic:spPr>
                    <a:xfrm>
                      <a:off x="0" y="0"/>
                      <a:ext cx="2269172" cy="554400"/>
                    </a:xfrm>
                    <a:prstGeom prst="rect">
                      <a:avLst/>
                    </a:prstGeom>
                    <a:ln/>
                  </pic:spPr>
                </pic:pic>
              </a:graphicData>
            </a:graphic>
          </wp:inline>
        </w:drawing>
      </w:r>
      <w:r>
        <w:rPr>
          <w:noProof/>
        </w:rPr>
        <w:drawing>
          <wp:anchor distT="0" distB="0" distL="0" distR="0" simplePos="0" relativeHeight="251658240" behindDoc="1" locked="0" layoutInCell="1" hidden="0" allowOverlap="1" wp14:anchorId="379958B3" wp14:editId="10ECA0E6">
            <wp:simplePos x="0" y="0"/>
            <wp:positionH relativeFrom="column">
              <wp:posOffset>-914399</wp:posOffset>
            </wp:positionH>
            <wp:positionV relativeFrom="paragraph">
              <wp:posOffset>-777874</wp:posOffset>
            </wp:positionV>
            <wp:extent cx="7560000" cy="18324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7560000" cy="1832400"/>
                    </a:xfrm>
                    <a:prstGeom prst="rect">
                      <a:avLst/>
                    </a:prstGeom>
                    <a:ln/>
                  </pic:spPr>
                </pic:pic>
              </a:graphicData>
            </a:graphic>
          </wp:anchor>
        </w:drawing>
      </w:r>
    </w:p>
    <w:p w14:paraId="588A957B" w14:textId="77777777" w:rsidR="009219FA" w:rsidRDefault="009219FA">
      <w:pPr>
        <w:pStyle w:val="Heading1"/>
        <w:spacing w:before="480"/>
        <w:rPr>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6"/>
      </w:tblGrid>
      <w:tr w:rsidR="009219FA" w14:paraId="1B907940" w14:textId="77777777">
        <w:tc>
          <w:tcPr>
            <w:tcW w:w="9016" w:type="dxa"/>
            <w:tcBorders>
              <w:bottom w:val="single" w:sz="4" w:space="0" w:color="000000"/>
            </w:tcBorders>
          </w:tcPr>
          <w:p w14:paraId="57957403" w14:textId="77777777" w:rsidR="009219FA" w:rsidRDefault="00A2584A">
            <w:pPr>
              <w:pStyle w:val="Heading4"/>
              <w:spacing w:before="120" w:after="120"/>
            </w:pPr>
            <w:r>
              <w:t>2025-2026 Mission-Based Compact Between the Commonwealth of Australia and Monash University</w:t>
            </w:r>
          </w:p>
        </w:tc>
      </w:tr>
      <w:tr w:rsidR="009219FA" w14:paraId="55B6D79B" w14:textId="77777777">
        <w:tc>
          <w:tcPr>
            <w:tcW w:w="9016" w:type="dxa"/>
          </w:tcPr>
          <w:p w14:paraId="10883DC8" w14:textId="77777777" w:rsidR="009219FA" w:rsidRDefault="00A2584A">
            <w:pPr>
              <w:pStyle w:val="Heading4"/>
              <w:keepLines w:val="0"/>
              <w:spacing w:before="120" w:after="120"/>
              <w:rPr>
                <w:rFonts w:ascii="Arial" w:eastAsia="Arial" w:hAnsi="Arial" w:cs="Arial"/>
                <w:color w:val="000000"/>
                <w:sz w:val="20"/>
                <w:szCs w:val="20"/>
              </w:rPr>
            </w:pPr>
            <w:r>
              <w:t>Purpose</w:t>
            </w:r>
          </w:p>
        </w:tc>
      </w:tr>
      <w:tr w:rsidR="009219FA" w14:paraId="091E4BF6" w14:textId="77777777">
        <w:trPr>
          <w:trHeight w:val="1682"/>
        </w:trPr>
        <w:tc>
          <w:tcPr>
            <w:tcW w:w="9016" w:type="dxa"/>
            <w:tcBorders>
              <w:bottom w:val="single" w:sz="4" w:space="0" w:color="000000"/>
            </w:tcBorders>
          </w:tcPr>
          <w:p w14:paraId="627A26C1" w14:textId="77777777" w:rsidR="009219FA" w:rsidRDefault="00A2584A">
            <w:pPr>
              <w:pBdr>
                <w:top w:val="nil"/>
                <w:left w:val="nil"/>
                <w:bottom w:val="nil"/>
                <w:right w:val="nil"/>
                <w:between w:val="nil"/>
              </w:pBdr>
              <w:spacing w:before="120" w:after="120" w:line="259" w:lineRule="auto"/>
              <w:rPr>
                <w:color w:val="000000"/>
                <w:sz w:val="21"/>
                <w:szCs w:val="21"/>
              </w:rPr>
            </w:pPr>
            <w:r>
              <w:rPr>
                <w:color w:val="000000"/>
                <w:sz w:val="21"/>
                <w:szCs w:val="21"/>
              </w:rPr>
              <w:t xml:space="preserve">This compact is an agreement between the Commonwealth and the University. </w:t>
            </w:r>
            <w:proofErr w:type="gramStart"/>
            <w:r>
              <w:rPr>
                <w:color w:val="000000"/>
                <w:sz w:val="21"/>
                <w:szCs w:val="21"/>
              </w:rPr>
              <w:t>Entering into</w:t>
            </w:r>
            <w:proofErr w:type="gramEnd"/>
            <w:r>
              <w:rPr>
                <w:color w:val="000000"/>
                <w:sz w:val="21"/>
                <w:szCs w:val="21"/>
              </w:rPr>
              <w:t xml:space="preserve"> a Compact is one of the quality and accountability requirements, which a higher education provider must meet under the </w:t>
            </w:r>
            <w:r>
              <w:rPr>
                <w:i/>
                <w:color w:val="000000"/>
                <w:sz w:val="21"/>
                <w:szCs w:val="21"/>
              </w:rPr>
              <w:t>Higher Education Support Act</w:t>
            </w:r>
            <w:r>
              <w:rPr>
                <w:color w:val="000000"/>
                <w:sz w:val="21"/>
                <w:szCs w:val="21"/>
              </w:rPr>
              <w:t xml:space="preserve"> 2003 (HESA) as a condition of receiving a grant. Specifically, subsection 19-110(1) of HESA requires that Table A and Table B providers must, in respect of each year for which a grant is paid to the provider under HESA, </w:t>
            </w:r>
            <w:proofErr w:type="gramStart"/>
            <w:r>
              <w:rPr>
                <w:color w:val="000000"/>
                <w:sz w:val="21"/>
                <w:szCs w:val="21"/>
              </w:rPr>
              <w:t>enter into</w:t>
            </w:r>
            <w:proofErr w:type="gramEnd"/>
            <w:r>
              <w:rPr>
                <w:color w:val="000000"/>
                <w:sz w:val="21"/>
                <w:szCs w:val="21"/>
              </w:rPr>
              <w:t xml:space="preserve"> a Mission-Based Compact with the Commonwealth for a period that includes that year.</w:t>
            </w:r>
          </w:p>
          <w:p w14:paraId="032DA4F7" w14:textId="77777777" w:rsidR="009219FA" w:rsidRDefault="00A2584A">
            <w:pPr>
              <w:pBdr>
                <w:top w:val="nil"/>
                <w:left w:val="nil"/>
                <w:bottom w:val="nil"/>
                <w:right w:val="nil"/>
                <w:between w:val="nil"/>
              </w:pBdr>
              <w:spacing w:after="120"/>
              <w:rPr>
                <w:rFonts w:ascii="Times New Roman" w:eastAsia="Times New Roman" w:hAnsi="Times New Roman" w:cs="Times New Roman"/>
                <w:color w:val="000000"/>
                <w:sz w:val="24"/>
                <w:szCs w:val="24"/>
              </w:rPr>
            </w:pPr>
            <w:r>
              <w:rPr>
                <w:color w:val="000000"/>
                <w:sz w:val="21"/>
                <w:szCs w:val="21"/>
              </w:rPr>
              <w:t>All strategies should provide qualitative and/or quantitative measures of assessment</w:t>
            </w:r>
            <w:r>
              <w:rPr>
                <w:rFonts w:ascii="Times New Roman" w:eastAsia="Times New Roman" w:hAnsi="Times New Roman" w:cs="Times New Roman"/>
                <w:color w:val="000000"/>
                <w:sz w:val="21"/>
                <w:szCs w:val="21"/>
              </w:rPr>
              <w:t>.</w:t>
            </w:r>
          </w:p>
        </w:tc>
      </w:tr>
      <w:tr w:rsidR="009219FA" w14:paraId="506EF463" w14:textId="77777777">
        <w:tc>
          <w:tcPr>
            <w:tcW w:w="9016" w:type="dxa"/>
          </w:tcPr>
          <w:p w14:paraId="6A54C0A2" w14:textId="77777777" w:rsidR="009219FA" w:rsidRDefault="00A2584A">
            <w:pPr>
              <w:pStyle w:val="Heading4"/>
              <w:keepLines w:val="0"/>
              <w:spacing w:before="120" w:after="120"/>
            </w:pPr>
            <w:r>
              <w:t>Mission and Strategic Planning</w:t>
            </w:r>
          </w:p>
        </w:tc>
      </w:tr>
      <w:tr w:rsidR="009219FA" w14:paraId="06872302" w14:textId="77777777">
        <w:trPr>
          <w:trHeight w:val="1682"/>
        </w:trPr>
        <w:tc>
          <w:tcPr>
            <w:tcW w:w="9016" w:type="dxa"/>
            <w:tcBorders>
              <w:bottom w:val="single" w:sz="4" w:space="0" w:color="000000"/>
            </w:tcBorders>
          </w:tcPr>
          <w:p w14:paraId="6B0D7F40" w14:textId="77777777" w:rsidR="009219FA" w:rsidRDefault="00A2584A">
            <w:pPr>
              <w:spacing w:before="200" w:after="200" w:line="259" w:lineRule="auto"/>
              <w:rPr>
                <w:b/>
                <w:sz w:val="21"/>
                <w:szCs w:val="21"/>
              </w:rPr>
            </w:pPr>
            <w:r>
              <w:rPr>
                <w:b/>
                <w:sz w:val="21"/>
                <w:szCs w:val="21"/>
              </w:rPr>
              <w:t>MISSION</w:t>
            </w:r>
          </w:p>
          <w:p w14:paraId="7FD79848" w14:textId="55E14B05" w:rsidR="009219FA" w:rsidRDefault="00A2584A">
            <w:pPr>
              <w:spacing w:before="200" w:after="200" w:line="259" w:lineRule="auto"/>
              <w:rPr>
                <w:i/>
                <w:sz w:val="21"/>
                <w:szCs w:val="21"/>
              </w:rPr>
            </w:pPr>
            <w:r>
              <w:rPr>
                <w:sz w:val="21"/>
                <w:szCs w:val="21"/>
              </w:rPr>
              <w:t xml:space="preserve">Monash University is the University of social and technological transformation to meet the challenges of the age for its aspiring communities and industries. This founding mission is continued today as a </w:t>
            </w:r>
            <w:r w:rsidR="00B83002">
              <w:rPr>
                <w:sz w:val="21"/>
                <w:szCs w:val="21"/>
              </w:rPr>
              <w:t>research-intensive</w:t>
            </w:r>
            <w:r>
              <w:rPr>
                <w:sz w:val="21"/>
                <w:szCs w:val="21"/>
              </w:rPr>
              <w:t xml:space="preserve"> University based in outer metropolitan Melbourne (with campuses in Frankston, Caulfield, Parkville, Bendigo and Churchill), and as Australia’s University of the Indo-Pacific with thriving campuses in Malaysia, Indonesia and Italy, and joint graduate schools in India and China. </w:t>
            </w:r>
          </w:p>
          <w:p w14:paraId="0CFA00DD" w14:textId="77777777" w:rsidR="009219FA" w:rsidRDefault="00A2584A">
            <w:pPr>
              <w:spacing w:before="200" w:after="200" w:line="259" w:lineRule="auto"/>
              <w:rPr>
                <w:b/>
                <w:sz w:val="21"/>
                <w:szCs w:val="21"/>
              </w:rPr>
            </w:pPr>
            <w:r>
              <w:rPr>
                <w:b/>
                <w:sz w:val="21"/>
                <w:szCs w:val="21"/>
              </w:rPr>
              <w:t>STRATEGIC PLANNING AND OUTCOMES</w:t>
            </w:r>
          </w:p>
          <w:p w14:paraId="6DFFD7C1" w14:textId="5A3A5DB4" w:rsidR="009219FA" w:rsidRDefault="00A2584A">
            <w:pPr>
              <w:spacing w:before="200" w:after="200" w:line="259" w:lineRule="auto"/>
              <w:rPr>
                <w:sz w:val="21"/>
                <w:szCs w:val="21"/>
              </w:rPr>
            </w:pPr>
            <w:hyperlink r:id="rId13">
              <w:r>
                <w:rPr>
                  <w:i/>
                  <w:color w:val="1155CC"/>
                  <w:sz w:val="21"/>
                  <w:szCs w:val="21"/>
                  <w:u w:val="single"/>
                </w:rPr>
                <w:t>Impact 2030</w:t>
              </w:r>
            </w:hyperlink>
            <w:r>
              <w:rPr>
                <w:sz w:val="21"/>
                <w:szCs w:val="21"/>
              </w:rPr>
              <w:t xml:space="preserve"> sets the institution’s strategic direction</w:t>
            </w:r>
            <w:r>
              <w:rPr>
                <w:i/>
                <w:sz w:val="21"/>
                <w:szCs w:val="21"/>
              </w:rPr>
              <w:t xml:space="preserve"> </w:t>
            </w:r>
            <w:r>
              <w:rPr>
                <w:sz w:val="21"/>
                <w:szCs w:val="21"/>
              </w:rPr>
              <w:t>and</w:t>
            </w:r>
            <w:r>
              <w:rPr>
                <w:i/>
                <w:sz w:val="21"/>
                <w:szCs w:val="21"/>
              </w:rPr>
              <w:t xml:space="preserve"> </w:t>
            </w:r>
            <w:r>
              <w:rPr>
                <w:sz w:val="21"/>
                <w:szCs w:val="21"/>
              </w:rPr>
              <w:t>is enacted through an annual Implementation Plan that defines yearly priorities and tracks progress against strategic objectives, with mid-year and annual reports submitted to the University Council.</w:t>
            </w:r>
          </w:p>
          <w:p w14:paraId="0B04ED2B" w14:textId="77777777" w:rsidR="009219FA" w:rsidRDefault="00A2584A">
            <w:pPr>
              <w:spacing w:line="259" w:lineRule="auto"/>
              <w:rPr>
                <w:sz w:val="21"/>
                <w:szCs w:val="21"/>
              </w:rPr>
            </w:pPr>
            <w:r>
              <w:rPr>
                <w:sz w:val="21"/>
                <w:szCs w:val="21"/>
              </w:rPr>
              <w:t xml:space="preserve">Progress in 2025 and 2026 will be delivered through our continued focus on being excellent, international, enterprising and inclusive, aligned to five key outcomes: </w:t>
            </w:r>
          </w:p>
          <w:p w14:paraId="570B4D62" w14:textId="77777777" w:rsidR="009219FA" w:rsidRDefault="009219FA">
            <w:pPr>
              <w:spacing w:line="259" w:lineRule="auto"/>
              <w:rPr>
                <w:b/>
                <w:sz w:val="21"/>
                <w:szCs w:val="21"/>
              </w:rPr>
            </w:pPr>
          </w:p>
          <w:p w14:paraId="67A47C5F" w14:textId="77777777" w:rsidR="009219FA" w:rsidRDefault="00A2584A">
            <w:pPr>
              <w:numPr>
                <w:ilvl w:val="0"/>
                <w:numId w:val="11"/>
              </w:numPr>
              <w:spacing w:line="259" w:lineRule="auto"/>
              <w:rPr>
                <w:b/>
                <w:i/>
                <w:sz w:val="21"/>
                <w:szCs w:val="21"/>
              </w:rPr>
            </w:pPr>
            <w:r>
              <w:rPr>
                <w:b/>
                <w:i/>
                <w:sz w:val="21"/>
                <w:szCs w:val="21"/>
              </w:rPr>
              <w:t xml:space="preserve">Monash is an international campus network and interconnected across the Indo-Pacific and </w:t>
            </w:r>
            <w:proofErr w:type="gramStart"/>
            <w:r>
              <w:rPr>
                <w:b/>
                <w:i/>
                <w:sz w:val="21"/>
                <w:szCs w:val="21"/>
              </w:rPr>
              <w:t>beyond, and</w:t>
            </w:r>
            <w:proofErr w:type="gramEnd"/>
            <w:r>
              <w:rPr>
                <w:b/>
                <w:i/>
                <w:sz w:val="21"/>
                <w:szCs w:val="21"/>
              </w:rPr>
              <w:t xml:space="preserve"> embedded in the communities we serve.</w:t>
            </w:r>
          </w:p>
          <w:p w14:paraId="2C442533" w14:textId="77777777" w:rsidR="009219FA" w:rsidRDefault="009219FA">
            <w:pPr>
              <w:spacing w:line="259" w:lineRule="auto"/>
              <w:rPr>
                <w:b/>
                <w:sz w:val="21"/>
                <w:szCs w:val="21"/>
              </w:rPr>
            </w:pPr>
          </w:p>
          <w:p w14:paraId="4D53E374" w14:textId="77777777" w:rsidR="009219FA" w:rsidRDefault="00A2584A">
            <w:pPr>
              <w:numPr>
                <w:ilvl w:val="0"/>
                <w:numId w:val="11"/>
              </w:numPr>
              <w:pBdr>
                <w:top w:val="nil"/>
                <w:left w:val="nil"/>
                <w:bottom w:val="nil"/>
                <w:right w:val="nil"/>
                <w:between w:val="nil"/>
              </w:pBdr>
              <w:spacing w:line="259" w:lineRule="auto"/>
              <w:rPr>
                <w:b/>
                <w:i/>
                <w:sz w:val="21"/>
                <w:szCs w:val="21"/>
              </w:rPr>
            </w:pPr>
            <w:r>
              <w:rPr>
                <w:b/>
                <w:i/>
                <w:sz w:val="21"/>
                <w:szCs w:val="21"/>
              </w:rPr>
              <w:t>Monash is home to excellent discovery, innovation and translational research to meet the challenges of the age for the betterment of people and the planet.</w:t>
            </w:r>
          </w:p>
          <w:p w14:paraId="2649AF63" w14:textId="77777777" w:rsidR="009219FA" w:rsidRDefault="009219FA">
            <w:pPr>
              <w:spacing w:line="259" w:lineRule="auto"/>
              <w:rPr>
                <w:b/>
                <w:sz w:val="21"/>
                <w:szCs w:val="21"/>
              </w:rPr>
            </w:pPr>
          </w:p>
          <w:p w14:paraId="73DA1F0F" w14:textId="77777777" w:rsidR="009219FA" w:rsidRDefault="00A2584A">
            <w:pPr>
              <w:numPr>
                <w:ilvl w:val="0"/>
                <w:numId w:val="11"/>
              </w:numPr>
              <w:pBdr>
                <w:top w:val="nil"/>
                <w:left w:val="nil"/>
                <w:bottom w:val="nil"/>
                <w:right w:val="nil"/>
                <w:between w:val="nil"/>
              </w:pBdr>
              <w:spacing w:line="259" w:lineRule="auto"/>
              <w:rPr>
                <w:b/>
                <w:i/>
                <w:sz w:val="21"/>
                <w:szCs w:val="21"/>
              </w:rPr>
            </w:pPr>
            <w:r>
              <w:rPr>
                <w:b/>
                <w:i/>
                <w:sz w:val="21"/>
                <w:szCs w:val="21"/>
              </w:rPr>
              <w:t>Monash is sought after for its excellent education and immersive student experience in service to our communities and the world.</w:t>
            </w:r>
          </w:p>
          <w:p w14:paraId="11E68833" w14:textId="77777777" w:rsidR="009219FA" w:rsidRDefault="009219FA">
            <w:pPr>
              <w:spacing w:line="259" w:lineRule="auto"/>
              <w:rPr>
                <w:b/>
                <w:sz w:val="21"/>
                <w:szCs w:val="21"/>
              </w:rPr>
            </w:pPr>
          </w:p>
          <w:p w14:paraId="5403C8D8" w14:textId="77777777" w:rsidR="009219FA" w:rsidRDefault="00A2584A">
            <w:pPr>
              <w:numPr>
                <w:ilvl w:val="0"/>
                <w:numId w:val="11"/>
              </w:numPr>
              <w:pBdr>
                <w:top w:val="nil"/>
                <w:left w:val="nil"/>
                <w:bottom w:val="nil"/>
                <w:right w:val="nil"/>
                <w:between w:val="nil"/>
              </w:pBdr>
              <w:spacing w:line="259" w:lineRule="auto"/>
              <w:rPr>
                <w:b/>
                <w:i/>
                <w:sz w:val="21"/>
                <w:szCs w:val="21"/>
              </w:rPr>
            </w:pPr>
            <w:r>
              <w:rPr>
                <w:b/>
                <w:i/>
                <w:sz w:val="21"/>
                <w:szCs w:val="21"/>
              </w:rPr>
              <w:t>Monash champions Indigenous voices, knowledge and advancement.</w:t>
            </w:r>
          </w:p>
          <w:p w14:paraId="303CE8C7" w14:textId="77777777" w:rsidR="009219FA" w:rsidRDefault="00A2584A">
            <w:pPr>
              <w:spacing w:line="259" w:lineRule="auto"/>
              <w:rPr>
                <w:sz w:val="21"/>
                <w:szCs w:val="21"/>
              </w:rPr>
            </w:pPr>
            <w:r>
              <w:rPr>
                <w:sz w:val="21"/>
                <w:szCs w:val="21"/>
              </w:rPr>
              <w:t xml:space="preserve"> </w:t>
            </w:r>
          </w:p>
          <w:p w14:paraId="2BBAD9C2" w14:textId="77777777" w:rsidR="009219FA" w:rsidRDefault="00A2584A">
            <w:pPr>
              <w:numPr>
                <w:ilvl w:val="0"/>
                <w:numId w:val="11"/>
              </w:numPr>
              <w:pBdr>
                <w:top w:val="nil"/>
                <w:left w:val="nil"/>
                <w:bottom w:val="nil"/>
                <w:right w:val="nil"/>
                <w:between w:val="nil"/>
              </w:pBdr>
              <w:spacing w:line="259" w:lineRule="auto"/>
              <w:rPr>
                <w:b/>
                <w:i/>
                <w:sz w:val="21"/>
                <w:szCs w:val="21"/>
              </w:rPr>
            </w:pPr>
            <w:r>
              <w:rPr>
                <w:b/>
                <w:i/>
                <w:sz w:val="21"/>
                <w:szCs w:val="21"/>
              </w:rPr>
              <w:t>Monash operations are the exemplar of sustainable, ethical and well-governed practices.</w:t>
            </w:r>
          </w:p>
          <w:p w14:paraId="3A40BB8C" w14:textId="77777777" w:rsidR="009219FA" w:rsidRDefault="00A2584A">
            <w:pPr>
              <w:spacing w:before="200" w:line="259" w:lineRule="auto"/>
              <w:rPr>
                <w:b/>
                <w:sz w:val="21"/>
                <w:szCs w:val="21"/>
              </w:rPr>
            </w:pPr>
            <w:r>
              <w:rPr>
                <w:b/>
                <w:sz w:val="21"/>
                <w:szCs w:val="21"/>
              </w:rPr>
              <w:lastRenderedPageBreak/>
              <w:t>KEY PERFORMANCE INDICATORS</w:t>
            </w:r>
          </w:p>
          <w:p w14:paraId="6067BC0E" w14:textId="77777777" w:rsidR="009219FA" w:rsidRDefault="00A2584A">
            <w:pPr>
              <w:spacing w:before="200" w:line="259" w:lineRule="auto"/>
              <w:rPr>
                <w:sz w:val="21"/>
                <w:szCs w:val="21"/>
              </w:rPr>
            </w:pPr>
            <w:r>
              <w:rPr>
                <w:sz w:val="21"/>
                <w:szCs w:val="21"/>
              </w:rPr>
              <w:t xml:space="preserve">Performance will be measured via KPIs aligned to strategic objectives and reported to Council, including: </w:t>
            </w:r>
          </w:p>
          <w:p w14:paraId="06A648E5" w14:textId="6525E78B" w:rsidR="009219FA" w:rsidRDefault="00A2584A">
            <w:pPr>
              <w:numPr>
                <w:ilvl w:val="0"/>
                <w:numId w:val="6"/>
              </w:numPr>
              <w:spacing w:line="259" w:lineRule="auto"/>
              <w:rPr>
                <w:sz w:val="21"/>
                <w:szCs w:val="21"/>
              </w:rPr>
            </w:pPr>
            <w:r>
              <w:rPr>
                <w:sz w:val="21"/>
                <w:szCs w:val="21"/>
              </w:rPr>
              <w:t>Education and research performance:</w:t>
            </w:r>
          </w:p>
          <w:p w14:paraId="34472A92" w14:textId="77777777" w:rsidR="009219FA" w:rsidRDefault="00A2584A">
            <w:pPr>
              <w:numPr>
                <w:ilvl w:val="0"/>
                <w:numId w:val="10"/>
              </w:numPr>
              <w:pBdr>
                <w:top w:val="nil"/>
                <w:left w:val="nil"/>
                <w:bottom w:val="nil"/>
                <w:right w:val="nil"/>
                <w:between w:val="nil"/>
              </w:pBdr>
              <w:spacing w:line="276" w:lineRule="auto"/>
              <w:ind w:left="1417" w:hanging="283"/>
              <w:rPr>
                <w:sz w:val="21"/>
                <w:szCs w:val="21"/>
              </w:rPr>
            </w:pPr>
            <w:r>
              <w:rPr>
                <w:sz w:val="21"/>
                <w:szCs w:val="21"/>
              </w:rPr>
              <w:t xml:space="preserve">Research </w:t>
            </w:r>
            <w:proofErr w:type="gramStart"/>
            <w:r>
              <w:rPr>
                <w:sz w:val="21"/>
                <w:szCs w:val="21"/>
              </w:rPr>
              <w:t>rankings;</w:t>
            </w:r>
            <w:proofErr w:type="gramEnd"/>
          </w:p>
          <w:p w14:paraId="2938F16A" w14:textId="77777777" w:rsidR="009219FA" w:rsidRDefault="00A2584A">
            <w:pPr>
              <w:numPr>
                <w:ilvl w:val="0"/>
                <w:numId w:val="10"/>
              </w:numPr>
              <w:pBdr>
                <w:top w:val="nil"/>
                <w:left w:val="nil"/>
                <w:bottom w:val="nil"/>
                <w:right w:val="nil"/>
                <w:between w:val="nil"/>
              </w:pBdr>
              <w:spacing w:line="276" w:lineRule="auto"/>
              <w:ind w:left="1417" w:hanging="283"/>
              <w:rPr>
                <w:sz w:val="21"/>
                <w:szCs w:val="21"/>
              </w:rPr>
            </w:pPr>
            <w:r>
              <w:rPr>
                <w:sz w:val="21"/>
                <w:szCs w:val="21"/>
              </w:rPr>
              <w:t xml:space="preserve">Research </w:t>
            </w:r>
            <w:proofErr w:type="gramStart"/>
            <w:r>
              <w:rPr>
                <w:sz w:val="21"/>
                <w:szCs w:val="21"/>
              </w:rPr>
              <w:t>awards;</w:t>
            </w:r>
            <w:proofErr w:type="gramEnd"/>
            <w:r>
              <w:rPr>
                <w:sz w:val="21"/>
                <w:szCs w:val="21"/>
              </w:rPr>
              <w:t xml:space="preserve"> </w:t>
            </w:r>
          </w:p>
          <w:p w14:paraId="08924933" w14:textId="77777777" w:rsidR="009219FA" w:rsidRDefault="00A2584A">
            <w:pPr>
              <w:numPr>
                <w:ilvl w:val="0"/>
                <w:numId w:val="10"/>
              </w:numPr>
              <w:pBdr>
                <w:top w:val="nil"/>
                <w:left w:val="nil"/>
                <w:bottom w:val="nil"/>
                <w:right w:val="nil"/>
                <w:between w:val="nil"/>
              </w:pBdr>
              <w:spacing w:line="276" w:lineRule="auto"/>
              <w:ind w:left="1417" w:hanging="283"/>
              <w:rPr>
                <w:sz w:val="21"/>
                <w:szCs w:val="21"/>
              </w:rPr>
            </w:pPr>
            <w:r>
              <w:rPr>
                <w:sz w:val="21"/>
                <w:szCs w:val="21"/>
              </w:rPr>
              <w:t xml:space="preserve">Research publications and </w:t>
            </w:r>
            <w:proofErr w:type="gramStart"/>
            <w:r>
              <w:rPr>
                <w:sz w:val="21"/>
                <w:szCs w:val="21"/>
              </w:rPr>
              <w:t>outputs;</w:t>
            </w:r>
            <w:proofErr w:type="gramEnd"/>
          </w:p>
          <w:p w14:paraId="6F0EED43" w14:textId="77777777" w:rsidR="009219FA" w:rsidRDefault="00A2584A">
            <w:pPr>
              <w:numPr>
                <w:ilvl w:val="0"/>
                <w:numId w:val="10"/>
              </w:numPr>
              <w:pBdr>
                <w:top w:val="nil"/>
                <w:left w:val="nil"/>
                <w:bottom w:val="nil"/>
                <w:right w:val="nil"/>
                <w:between w:val="nil"/>
              </w:pBdr>
              <w:spacing w:line="276" w:lineRule="auto"/>
              <w:ind w:left="1417" w:hanging="283"/>
              <w:rPr>
                <w:sz w:val="21"/>
                <w:szCs w:val="21"/>
              </w:rPr>
            </w:pPr>
            <w:r>
              <w:rPr>
                <w:sz w:val="21"/>
                <w:szCs w:val="21"/>
              </w:rPr>
              <w:t xml:space="preserve">Teaching </w:t>
            </w:r>
            <w:proofErr w:type="gramStart"/>
            <w:r>
              <w:rPr>
                <w:sz w:val="21"/>
                <w:szCs w:val="21"/>
              </w:rPr>
              <w:t>reputation;</w:t>
            </w:r>
            <w:proofErr w:type="gramEnd"/>
          </w:p>
          <w:p w14:paraId="2AB104F9" w14:textId="77777777" w:rsidR="009219FA" w:rsidRDefault="00A2584A">
            <w:pPr>
              <w:numPr>
                <w:ilvl w:val="0"/>
                <w:numId w:val="10"/>
              </w:numPr>
              <w:pBdr>
                <w:top w:val="nil"/>
                <w:left w:val="nil"/>
                <w:bottom w:val="nil"/>
                <w:right w:val="nil"/>
                <w:between w:val="nil"/>
              </w:pBdr>
              <w:spacing w:line="276" w:lineRule="auto"/>
              <w:ind w:left="1417" w:hanging="283"/>
              <w:rPr>
                <w:sz w:val="21"/>
                <w:szCs w:val="21"/>
              </w:rPr>
            </w:pPr>
            <w:r>
              <w:rPr>
                <w:sz w:val="21"/>
                <w:szCs w:val="21"/>
              </w:rPr>
              <w:t>Unit health evaluation; and</w:t>
            </w:r>
          </w:p>
          <w:p w14:paraId="64189202" w14:textId="77777777" w:rsidR="009219FA" w:rsidRDefault="00A2584A">
            <w:pPr>
              <w:numPr>
                <w:ilvl w:val="0"/>
                <w:numId w:val="10"/>
              </w:numPr>
              <w:pBdr>
                <w:top w:val="nil"/>
                <w:left w:val="nil"/>
                <w:bottom w:val="nil"/>
                <w:right w:val="nil"/>
                <w:between w:val="nil"/>
              </w:pBdr>
              <w:spacing w:line="276" w:lineRule="auto"/>
              <w:ind w:left="1417" w:hanging="283"/>
              <w:rPr>
                <w:sz w:val="21"/>
                <w:szCs w:val="21"/>
              </w:rPr>
            </w:pPr>
            <w:r>
              <w:rPr>
                <w:sz w:val="21"/>
                <w:szCs w:val="21"/>
              </w:rPr>
              <w:t>Unit success rates.</w:t>
            </w:r>
          </w:p>
          <w:p w14:paraId="1DA6307E" w14:textId="77777777" w:rsidR="009219FA" w:rsidRDefault="00A2584A">
            <w:pPr>
              <w:numPr>
                <w:ilvl w:val="0"/>
                <w:numId w:val="6"/>
              </w:numPr>
              <w:spacing w:line="259" w:lineRule="auto"/>
              <w:rPr>
                <w:sz w:val="21"/>
                <w:szCs w:val="21"/>
              </w:rPr>
            </w:pPr>
            <w:r>
              <w:rPr>
                <w:sz w:val="21"/>
                <w:szCs w:val="21"/>
              </w:rPr>
              <w:t xml:space="preserve">Student experience, measured through various KPIs, (domestic, international and equity cohorts, and the </w:t>
            </w:r>
            <w:proofErr w:type="gramStart"/>
            <w:r>
              <w:rPr>
                <w:sz w:val="21"/>
                <w:szCs w:val="21"/>
              </w:rPr>
              <w:t>wider-sector</w:t>
            </w:r>
            <w:proofErr w:type="gramEnd"/>
            <w:r>
              <w:rPr>
                <w:sz w:val="21"/>
                <w:szCs w:val="21"/>
              </w:rPr>
              <w:t xml:space="preserve">): </w:t>
            </w:r>
          </w:p>
          <w:p w14:paraId="0B9F1C7B" w14:textId="77777777" w:rsidR="009219FA" w:rsidRDefault="00A2584A">
            <w:pPr>
              <w:numPr>
                <w:ilvl w:val="0"/>
                <w:numId w:val="10"/>
              </w:numPr>
              <w:spacing w:line="276" w:lineRule="auto"/>
              <w:ind w:left="1417" w:hanging="283"/>
              <w:rPr>
                <w:sz w:val="21"/>
                <w:szCs w:val="21"/>
              </w:rPr>
            </w:pPr>
            <w:r>
              <w:rPr>
                <w:sz w:val="21"/>
                <w:szCs w:val="21"/>
              </w:rPr>
              <w:t>Various internal and external departmental-led surveys (</w:t>
            </w:r>
            <w:hyperlink r:id="rId14">
              <w:r>
                <w:rPr>
                  <w:color w:val="1155CC"/>
                  <w:sz w:val="21"/>
                  <w:szCs w:val="21"/>
                  <w:u w:val="single"/>
                </w:rPr>
                <w:t>QILT</w:t>
              </w:r>
            </w:hyperlink>
            <w:r>
              <w:rPr>
                <w:sz w:val="21"/>
                <w:szCs w:val="21"/>
              </w:rPr>
              <w:t xml:space="preserve"> and </w:t>
            </w:r>
            <w:hyperlink r:id="rId15">
              <w:r>
                <w:rPr>
                  <w:color w:val="1155CC"/>
                  <w:sz w:val="21"/>
                  <w:szCs w:val="21"/>
                  <w:u w:val="single"/>
                </w:rPr>
                <w:t>SETU</w:t>
              </w:r>
            </w:hyperlink>
            <w:r>
              <w:rPr>
                <w:sz w:val="21"/>
                <w:szCs w:val="21"/>
              </w:rPr>
              <w:t>);</w:t>
            </w:r>
          </w:p>
          <w:p w14:paraId="721451D4" w14:textId="77777777" w:rsidR="009219FA" w:rsidRDefault="00A2584A">
            <w:pPr>
              <w:numPr>
                <w:ilvl w:val="0"/>
                <w:numId w:val="10"/>
              </w:numPr>
              <w:spacing w:line="276" w:lineRule="auto"/>
              <w:ind w:left="1417" w:hanging="283"/>
              <w:rPr>
                <w:sz w:val="21"/>
                <w:szCs w:val="21"/>
              </w:rPr>
            </w:pPr>
            <w:r>
              <w:rPr>
                <w:sz w:val="21"/>
                <w:szCs w:val="21"/>
              </w:rPr>
              <w:t xml:space="preserve">Program-specific </w:t>
            </w:r>
            <w:proofErr w:type="gramStart"/>
            <w:r>
              <w:rPr>
                <w:sz w:val="21"/>
                <w:szCs w:val="21"/>
              </w:rPr>
              <w:t>evaluations;</w:t>
            </w:r>
            <w:proofErr w:type="gramEnd"/>
          </w:p>
          <w:p w14:paraId="1094263C" w14:textId="77777777" w:rsidR="009219FA" w:rsidRDefault="00A2584A">
            <w:pPr>
              <w:numPr>
                <w:ilvl w:val="0"/>
                <w:numId w:val="10"/>
              </w:numPr>
              <w:spacing w:line="276" w:lineRule="auto"/>
              <w:ind w:left="1417" w:hanging="283"/>
              <w:rPr>
                <w:sz w:val="21"/>
                <w:szCs w:val="21"/>
              </w:rPr>
            </w:pPr>
            <w:r>
              <w:rPr>
                <w:sz w:val="21"/>
                <w:szCs w:val="21"/>
              </w:rPr>
              <w:t xml:space="preserve">Graduate employment </w:t>
            </w:r>
            <w:proofErr w:type="gramStart"/>
            <w:r>
              <w:rPr>
                <w:sz w:val="21"/>
                <w:szCs w:val="21"/>
              </w:rPr>
              <w:t>outcomes;</w:t>
            </w:r>
            <w:proofErr w:type="gramEnd"/>
          </w:p>
          <w:p w14:paraId="1E8B74C9" w14:textId="77777777" w:rsidR="009219FA" w:rsidRDefault="00A2584A">
            <w:pPr>
              <w:numPr>
                <w:ilvl w:val="0"/>
                <w:numId w:val="10"/>
              </w:numPr>
              <w:spacing w:line="276" w:lineRule="auto"/>
              <w:ind w:left="1417" w:hanging="283"/>
              <w:rPr>
                <w:sz w:val="21"/>
                <w:szCs w:val="21"/>
              </w:rPr>
            </w:pPr>
            <w:r>
              <w:rPr>
                <w:sz w:val="21"/>
                <w:szCs w:val="21"/>
              </w:rPr>
              <w:t xml:space="preserve">Success and retention </w:t>
            </w:r>
            <w:proofErr w:type="gramStart"/>
            <w:r>
              <w:rPr>
                <w:sz w:val="21"/>
                <w:szCs w:val="21"/>
              </w:rPr>
              <w:t>rates;</w:t>
            </w:r>
            <w:proofErr w:type="gramEnd"/>
          </w:p>
          <w:p w14:paraId="670C0435" w14:textId="77777777" w:rsidR="009219FA" w:rsidRDefault="00A2584A">
            <w:pPr>
              <w:numPr>
                <w:ilvl w:val="0"/>
                <w:numId w:val="10"/>
              </w:numPr>
              <w:spacing w:line="276" w:lineRule="auto"/>
              <w:ind w:left="1417" w:hanging="283"/>
              <w:rPr>
                <w:sz w:val="21"/>
                <w:szCs w:val="21"/>
              </w:rPr>
            </w:pPr>
            <w:r>
              <w:rPr>
                <w:sz w:val="21"/>
                <w:szCs w:val="21"/>
              </w:rPr>
              <w:t>Access and success of socio-economically disadvantaged groups; and</w:t>
            </w:r>
          </w:p>
          <w:p w14:paraId="530A4024" w14:textId="77777777" w:rsidR="009219FA" w:rsidRDefault="00A2584A">
            <w:pPr>
              <w:numPr>
                <w:ilvl w:val="0"/>
                <w:numId w:val="10"/>
              </w:numPr>
              <w:spacing w:line="276" w:lineRule="auto"/>
              <w:ind w:left="1417" w:hanging="283"/>
              <w:rPr>
                <w:sz w:val="21"/>
                <w:szCs w:val="21"/>
              </w:rPr>
            </w:pPr>
            <w:r>
              <w:rPr>
                <w:sz w:val="21"/>
                <w:szCs w:val="21"/>
              </w:rPr>
              <w:t>Student mobility.</w:t>
            </w:r>
          </w:p>
          <w:p w14:paraId="4B4B8B94" w14:textId="77777777" w:rsidR="009219FA" w:rsidRDefault="00A2584A">
            <w:pPr>
              <w:numPr>
                <w:ilvl w:val="0"/>
                <w:numId w:val="6"/>
              </w:numPr>
              <w:spacing w:line="259" w:lineRule="auto"/>
              <w:rPr>
                <w:sz w:val="21"/>
                <w:szCs w:val="21"/>
              </w:rPr>
            </w:pPr>
            <w:r>
              <w:rPr>
                <w:sz w:val="21"/>
                <w:szCs w:val="21"/>
              </w:rPr>
              <w:t xml:space="preserve">Diversification metrics, with sector and international comparisons: </w:t>
            </w:r>
          </w:p>
          <w:p w14:paraId="2C369930" w14:textId="77777777" w:rsidR="009219FA" w:rsidRDefault="00A2584A">
            <w:pPr>
              <w:numPr>
                <w:ilvl w:val="0"/>
                <w:numId w:val="10"/>
              </w:numPr>
              <w:pBdr>
                <w:top w:val="nil"/>
                <w:left w:val="nil"/>
                <w:bottom w:val="nil"/>
                <w:right w:val="nil"/>
                <w:between w:val="nil"/>
              </w:pBdr>
              <w:spacing w:line="276" w:lineRule="auto"/>
              <w:ind w:left="1417" w:hanging="283"/>
              <w:rPr>
                <w:sz w:val="21"/>
                <w:szCs w:val="21"/>
              </w:rPr>
            </w:pPr>
            <w:r>
              <w:rPr>
                <w:sz w:val="21"/>
                <w:szCs w:val="21"/>
              </w:rPr>
              <w:t xml:space="preserve">Student equity participation and </w:t>
            </w:r>
            <w:proofErr w:type="gramStart"/>
            <w:r>
              <w:rPr>
                <w:sz w:val="21"/>
                <w:szCs w:val="21"/>
              </w:rPr>
              <w:t>success;</w:t>
            </w:r>
            <w:proofErr w:type="gramEnd"/>
            <w:r>
              <w:rPr>
                <w:sz w:val="21"/>
                <w:szCs w:val="21"/>
              </w:rPr>
              <w:t xml:space="preserve"> </w:t>
            </w:r>
          </w:p>
          <w:p w14:paraId="459F99E8" w14:textId="77777777" w:rsidR="009219FA" w:rsidRDefault="00A2584A">
            <w:pPr>
              <w:numPr>
                <w:ilvl w:val="0"/>
                <w:numId w:val="10"/>
              </w:numPr>
              <w:pBdr>
                <w:top w:val="nil"/>
                <w:left w:val="nil"/>
                <w:bottom w:val="nil"/>
                <w:right w:val="nil"/>
                <w:between w:val="nil"/>
              </w:pBdr>
              <w:spacing w:line="276" w:lineRule="auto"/>
              <w:ind w:left="1417" w:hanging="283"/>
              <w:rPr>
                <w:sz w:val="21"/>
                <w:szCs w:val="21"/>
              </w:rPr>
            </w:pPr>
            <w:r>
              <w:rPr>
                <w:sz w:val="21"/>
                <w:szCs w:val="21"/>
              </w:rPr>
              <w:t xml:space="preserve">Student load across student cohorts, for both commencing and returning </w:t>
            </w:r>
            <w:proofErr w:type="gramStart"/>
            <w:r>
              <w:rPr>
                <w:sz w:val="21"/>
                <w:szCs w:val="21"/>
              </w:rPr>
              <w:t>students;</w:t>
            </w:r>
            <w:proofErr w:type="gramEnd"/>
          </w:p>
          <w:p w14:paraId="16E04076" w14:textId="77777777" w:rsidR="009219FA" w:rsidRDefault="00A2584A">
            <w:pPr>
              <w:numPr>
                <w:ilvl w:val="0"/>
                <w:numId w:val="10"/>
              </w:numPr>
              <w:pBdr>
                <w:top w:val="nil"/>
                <w:left w:val="nil"/>
                <w:bottom w:val="nil"/>
                <w:right w:val="nil"/>
                <w:between w:val="nil"/>
              </w:pBdr>
              <w:spacing w:line="276" w:lineRule="auto"/>
              <w:ind w:left="1417" w:hanging="283"/>
              <w:rPr>
                <w:sz w:val="21"/>
                <w:szCs w:val="21"/>
              </w:rPr>
            </w:pPr>
            <w:r>
              <w:rPr>
                <w:sz w:val="21"/>
                <w:szCs w:val="21"/>
              </w:rPr>
              <w:t xml:space="preserve">International student source </w:t>
            </w:r>
            <w:proofErr w:type="gramStart"/>
            <w:r>
              <w:rPr>
                <w:sz w:val="21"/>
                <w:szCs w:val="21"/>
              </w:rPr>
              <w:t>countries;</w:t>
            </w:r>
            <w:proofErr w:type="gramEnd"/>
          </w:p>
          <w:p w14:paraId="3415A6EA" w14:textId="77777777" w:rsidR="009219FA" w:rsidRDefault="00A2584A">
            <w:pPr>
              <w:numPr>
                <w:ilvl w:val="0"/>
                <w:numId w:val="10"/>
              </w:numPr>
              <w:pBdr>
                <w:top w:val="nil"/>
                <w:left w:val="nil"/>
                <w:bottom w:val="nil"/>
                <w:right w:val="nil"/>
                <w:between w:val="nil"/>
              </w:pBdr>
              <w:spacing w:line="276" w:lineRule="auto"/>
              <w:ind w:left="1417" w:hanging="283"/>
              <w:rPr>
                <w:sz w:val="21"/>
                <w:szCs w:val="21"/>
              </w:rPr>
            </w:pPr>
            <w:r>
              <w:rPr>
                <w:sz w:val="21"/>
                <w:szCs w:val="21"/>
              </w:rPr>
              <w:t xml:space="preserve">Course levels; and </w:t>
            </w:r>
          </w:p>
          <w:p w14:paraId="3DB133C1" w14:textId="77777777" w:rsidR="009219FA" w:rsidRDefault="00A2584A">
            <w:pPr>
              <w:numPr>
                <w:ilvl w:val="0"/>
                <w:numId w:val="10"/>
              </w:numPr>
              <w:pBdr>
                <w:top w:val="nil"/>
                <w:left w:val="nil"/>
                <w:bottom w:val="nil"/>
                <w:right w:val="nil"/>
                <w:between w:val="nil"/>
              </w:pBdr>
              <w:spacing w:line="276" w:lineRule="auto"/>
              <w:ind w:left="1417" w:hanging="283"/>
              <w:rPr>
                <w:sz w:val="21"/>
                <w:szCs w:val="21"/>
              </w:rPr>
            </w:pPr>
            <w:r>
              <w:rPr>
                <w:sz w:val="21"/>
                <w:szCs w:val="21"/>
              </w:rPr>
              <w:t>Growth in transnational education partnerships.</w:t>
            </w:r>
          </w:p>
          <w:p w14:paraId="521B374C" w14:textId="77777777" w:rsidR="009219FA" w:rsidRDefault="00A2584A">
            <w:pPr>
              <w:pBdr>
                <w:top w:val="nil"/>
                <w:left w:val="nil"/>
                <w:bottom w:val="nil"/>
                <w:right w:val="nil"/>
                <w:between w:val="nil"/>
              </w:pBdr>
              <w:spacing w:before="200" w:line="276" w:lineRule="auto"/>
              <w:rPr>
                <w:b/>
                <w:sz w:val="21"/>
                <w:szCs w:val="21"/>
              </w:rPr>
            </w:pPr>
            <w:r>
              <w:rPr>
                <w:b/>
                <w:sz w:val="21"/>
                <w:szCs w:val="21"/>
              </w:rPr>
              <w:t>NATIONAL AND SECTOR PRIORITIES</w:t>
            </w:r>
          </w:p>
          <w:p w14:paraId="792543AF" w14:textId="77777777" w:rsidR="009219FA" w:rsidRDefault="00A2584A">
            <w:pPr>
              <w:spacing w:before="200" w:line="259" w:lineRule="auto"/>
              <w:rPr>
                <w:b/>
                <w:sz w:val="21"/>
                <w:szCs w:val="21"/>
              </w:rPr>
            </w:pPr>
            <w:r>
              <w:rPr>
                <w:b/>
                <w:sz w:val="21"/>
                <w:szCs w:val="21"/>
              </w:rPr>
              <w:t xml:space="preserve">Workforce and Skills: </w:t>
            </w:r>
          </w:p>
          <w:p w14:paraId="25A2920D" w14:textId="77777777" w:rsidR="009219FA" w:rsidRDefault="00A2584A">
            <w:pPr>
              <w:pBdr>
                <w:top w:val="nil"/>
                <w:left w:val="nil"/>
                <w:bottom w:val="nil"/>
                <w:right w:val="nil"/>
                <w:between w:val="nil"/>
              </w:pBdr>
              <w:spacing w:before="200" w:line="259" w:lineRule="auto"/>
              <w:rPr>
                <w:sz w:val="21"/>
                <w:szCs w:val="21"/>
              </w:rPr>
            </w:pPr>
            <w:r>
              <w:rPr>
                <w:sz w:val="21"/>
                <w:szCs w:val="21"/>
              </w:rPr>
              <w:t xml:space="preserve">The University will support workforce development and deliver on Australia’s future skills, particularly across critical areas of need in healthcare, nursing, teaching, social work, engineering, and digital: </w:t>
            </w:r>
          </w:p>
          <w:p w14:paraId="68C9D1C4" w14:textId="77777777" w:rsidR="009219FA" w:rsidRDefault="00A2584A">
            <w:pPr>
              <w:numPr>
                <w:ilvl w:val="0"/>
                <w:numId w:val="6"/>
              </w:numPr>
              <w:pBdr>
                <w:top w:val="nil"/>
                <w:left w:val="nil"/>
                <w:bottom w:val="nil"/>
                <w:right w:val="nil"/>
                <w:between w:val="nil"/>
              </w:pBdr>
              <w:spacing w:line="259" w:lineRule="auto"/>
              <w:rPr>
                <w:sz w:val="21"/>
                <w:szCs w:val="21"/>
              </w:rPr>
            </w:pPr>
            <w:r>
              <w:rPr>
                <w:sz w:val="21"/>
                <w:szCs w:val="21"/>
              </w:rPr>
              <w:t xml:space="preserve">Support of nursing and allied health across the regional workforce – through clinical placements and employment opportunities: 17,600 student placements, including over 1,900 student placements in regional areas. For example, the Monash School of Rural </w:t>
            </w:r>
            <w:proofErr w:type="gramStart"/>
            <w:r>
              <w:rPr>
                <w:sz w:val="21"/>
                <w:szCs w:val="21"/>
              </w:rPr>
              <w:t>Health;</w:t>
            </w:r>
            <w:proofErr w:type="gramEnd"/>
            <w:r>
              <w:rPr>
                <w:sz w:val="21"/>
                <w:szCs w:val="21"/>
              </w:rPr>
              <w:t xml:space="preserve"> </w:t>
            </w:r>
          </w:p>
          <w:p w14:paraId="21812C43" w14:textId="77777777" w:rsidR="009219FA" w:rsidRDefault="00A2584A">
            <w:pPr>
              <w:numPr>
                <w:ilvl w:val="0"/>
                <w:numId w:val="6"/>
              </w:numPr>
              <w:pBdr>
                <w:top w:val="nil"/>
                <w:left w:val="nil"/>
                <w:bottom w:val="nil"/>
                <w:right w:val="nil"/>
                <w:between w:val="nil"/>
              </w:pBdr>
              <w:spacing w:line="259" w:lineRule="auto"/>
              <w:rPr>
                <w:sz w:val="21"/>
                <w:szCs w:val="21"/>
              </w:rPr>
            </w:pPr>
            <w:r>
              <w:rPr>
                <w:sz w:val="21"/>
                <w:szCs w:val="21"/>
              </w:rPr>
              <w:t xml:space="preserve">Workforce/skills uplift for AUKUS Pillar 1 (nuclear-powered submarine capability) and AUKUS Pillar 2 (advanced technological collaboration), anchored by the University’s advanced engineering and manufacturing </w:t>
            </w:r>
            <w:proofErr w:type="gramStart"/>
            <w:r>
              <w:rPr>
                <w:sz w:val="21"/>
                <w:szCs w:val="21"/>
              </w:rPr>
              <w:t>expertise;</w:t>
            </w:r>
            <w:proofErr w:type="gramEnd"/>
            <w:r>
              <w:rPr>
                <w:sz w:val="21"/>
                <w:szCs w:val="21"/>
              </w:rPr>
              <w:t xml:space="preserve"> </w:t>
            </w:r>
          </w:p>
          <w:p w14:paraId="738BDAEE" w14:textId="77777777" w:rsidR="009219FA" w:rsidRDefault="00A2584A">
            <w:pPr>
              <w:numPr>
                <w:ilvl w:val="0"/>
                <w:numId w:val="6"/>
              </w:numPr>
              <w:pBdr>
                <w:top w:val="nil"/>
                <w:left w:val="nil"/>
                <w:bottom w:val="nil"/>
                <w:right w:val="nil"/>
                <w:between w:val="nil"/>
              </w:pBdr>
              <w:spacing w:line="259" w:lineRule="auto"/>
              <w:rPr>
                <w:sz w:val="21"/>
                <w:szCs w:val="21"/>
              </w:rPr>
            </w:pPr>
            <w:r>
              <w:rPr>
                <w:sz w:val="21"/>
                <w:szCs w:val="21"/>
              </w:rPr>
              <w:t xml:space="preserve">The provision to ALL UG students of Work-Integrated Learning (WIL) and Industry-based Learning (IBL) opportunities, advancing graduate employability </w:t>
            </w:r>
            <w:proofErr w:type="gramStart"/>
            <w:r>
              <w:rPr>
                <w:sz w:val="21"/>
                <w:szCs w:val="21"/>
              </w:rPr>
              <w:t>outcomes;</w:t>
            </w:r>
            <w:proofErr w:type="gramEnd"/>
            <w:r>
              <w:rPr>
                <w:sz w:val="21"/>
                <w:szCs w:val="21"/>
              </w:rPr>
              <w:t xml:space="preserve"> </w:t>
            </w:r>
          </w:p>
          <w:p w14:paraId="575ADF6F" w14:textId="77777777" w:rsidR="009219FA" w:rsidRDefault="00A2584A">
            <w:pPr>
              <w:numPr>
                <w:ilvl w:val="0"/>
                <w:numId w:val="6"/>
              </w:numPr>
              <w:pBdr>
                <w:top w:val="nil"/>
                <w:left w:val="nil"/>
                <w:bottom w:val="nil"/>
                <w:right w:val="nil"/>
                <w:between w:val="nil"/>
              </w:pBdr>
              <w:spacing w:line="259" w:lineRule="auto"/>
              <w:rPr>
                <w:sz w:val="21"/>
                <w:szCs w:val="21"/>
              </w:rPr>
            </w:pPr>
            <w:r>
              <w:rPr>
                <w:sz w:val="21"/>
                <w:szCs w:val="21"/>
              </w:rPr>
              <w:t xml:space="preserve">Flagship Rich Educational Experiences (FREEs), providing ALL UG students with global immersion (fully funded), research and volunteering </w:t>
            </w:r>
            <w:proofErr w:type="gramStart"/>
            <w:r>
              <w:rPr>
                <w:sz w:val="21"/>
                <w:szCs w:val="21"/>
              </w:rPr>
              <w:t>experiences;</w:t>
            </w:r>
            <w:proofErr w:type="gramEnd"/>
            <w:r>
              <w:rPr>
                <w:sz w:val="21"/>
                <w:szCs w:val="21"/>
              </w:rPr>
              <w:t xml:space="preserve"> </w:t>
            </w:r>
          </w:p>
          <w:p w14:paraId="543A92A5" w14:textId="77777777" w:rsidR="009219FA" w:rsidRDefault="00A2584A">
            <w:pPr>
              <w:numPr>
                <w:ilvl w:val="0"/>
                <w:numId w:val="6"/>
              </w:numPr>
              <w:pBdr>
                <w:top w:val="nil"/>
                <w:left w:val="nil"/>
                <w:bottom w:val="nil"/>
                <w:right w:val="nil"/>
                <w:between w:val="nil"/>
              </w:pBdr>
              <w:spacing w:line="259" w:lineRule="auto"/>
              <w:rPr>
                <w:sz w:val="21"/>
                <w:szCs w:val="21"/>
              </w:rPr>
            </w:pPr>
            <w:r>
              <w:rPr>
                <w:sz w:val="21"/>
                <w:szCs w:val="21"/>
              </w:rPr>
              <w:t>Equity and engagement, supporting inclusive opportunities, improving women’s representation in STEMM careers, reducing barriers to Indigenous employment, and enhancing inclusion for transgender and gender-diverse staff; and</w:t>
            </w:r>
          </w:p>
          <w:p w14:paraId="66189E4E" w14:textId="77777777" w:rsidR="009219FA" w:rsidRDefault="00A2584A">
            <w:pPr>
              <w:numPr>
                <w:ilvl w:val="0"/>
                <w:numId w:val="6"/>
              </w:numPr>
              <w:pBdr>
                <w:top w:val="nil"/>
                <w:left w:val="nil"/>
                <w:bottom w:val="nil"/>
                <w:right w:val="nil"/>
                <w:between w:val="nil"/>
              </w:pBdr>
              <w:spacing w:line="259" w:lineRule="auto"/>
              <w:rPr>
                <w:sz w:val="21"/>
                <w:szCs w:val="21"/>
              </w:rPr>
            </w:pPr>
            <w:r>
              <w:rPr>
                <w:sz w:val="21"/>
                <w:szCs w:val="21"/>
              </w:rPr>
              <w:t xml:space="preserve">Advancing research that supports future skills. For example, through the deployment of MAVERIC, a supercomputer aimed at strengthening sovereign capabilities across the research </w:t>
            </w:r>
            <w:r>
              <w:rPr>
                <w:sz w:val="21"/>
                <w:szCs w:val="21"/>
              </w:rPr>
              <w:lastRenderedPageBreak/>
              <w:t>and development pipeline, and EMERGE @ Monash, a global recruitment initiative supporting outstanding mid and early-career researchers.</w:t>
            </w:r>
          </w:p>
          <w:p w14:paraId="597DF26C" w14:textId="77777777" w:rsidR="009219FA" w:rsidRDefault="00A2584A">
            <w:pPr>
              <w:spacing w:before="200" w:line="259" w:lineRule="auto"/>
              <w:rPr>
                <w:b/>
                <w:sz w:val="21"/>
                <w:szCs w:val="21"/>
              </w:rPr>
            </w:pPr>
            <w:r>
              <w:rPr>
                <w:b/>
                <w:sz w:val="21"/>
                <w:szCs w:val="21"/>
              </w:rPr>
              <w:t xml:space="preserve">Ensuring Student and Staff Safety: </w:t>
            </w:r>
          </w:p>
          <w:p w14:paraId="4FC9FC24" w14:textId="77777777" w:rsidR="009219FA" w:rsidRDefault="00A2584A">
            <w:pPr>
              <w:pBdr>
                <w:top w:val="nil"/>
                <w:left w:val="nil"/>
                <w:bottom w:val="nil"/>
                <w:right w:val="nil"/>
                <w:between w:val="nil"/>
              </w:pBdr>
              <w:spacing w:before="200" w:line="259" w:lineRule="auto"/>
              <w:rPr>
                <w:sz w:val="21"/>
                <w:szCs w:val="21"/>
              </w:rPr>
            </w:pPr>
            <w:r>
              <w:rPr>
                <w:sz w:val="21"/>
                <w:szCs w:val="21"/>
              </w:rPr>
              <w:t>Monash is a sector leader in student and staff safety and inclusion:</w:t>
            </w:r>
          </w:p>
          <w:p w14:paraId="12DAC1EE" w14:textId="77777777" w:rsidR="009219FA" w:rsidRDefault="00A2584A">
            <w:pPr>
              <w:numPr>
                <w:ilvl w:val="0"/>
                <w:numId w:val="5"/>
              </w:numPr>
              <w:pBdr>
                <w:top w:val="nil"/>
                <w:left w:val="nil"/>
                <w:bottom w:val="nil"/>
                <w:right w:val="nil"/>
                <w:between w:val="nil"/>
              </w:pBdr>
              <w:spacing w:line="259" w:lineRule="auto"/>
              <w:rPr>
                <w:sz w:val="21"/>
                <w:szCs w:val="21"/>
              </w:rPr>
            </w:pPr>
            <w:r>
              <w:rPr>
                <w:sz w:val="21"/>
                <w:szCs w:val="21"/>
              </w:rPr>
              <w:t xml:space="preserve">Our </w:t>
            </w:r>
            <w:hyperlink r:id="rId16">
              <w:r>
                <w:rPr>
                  <w:color w:val="1155CC"/>
                  <w:sz w:val="21"/>
                  <w:szCs w:val="21"/>
                  <w:u w:val="single"/>
                </w:rPr>
                <w:t>Gender-based Violence and Sexual Harm Prevention and Response (2024-2030)</w:t>
              </w:r>
            </w:hyperlink>
            <w:r>
              <w:rPr>
                <w:sz w:val="21"/>
                <w:szCs w:val="21"/>
              </w:rPr>
              <w:t xml:space="preserve"> strategy, the supporting action plan, </w:t>
            </w:r>
            <w:hyperlink r:id="rId17">
              <w:r>
                <w:rPr>
                  <w:color w:val="1155CC"/>
                  <w:sz w:val="21"/>
                  <w:szCs w:val="21"/>
                  <w:u w:val="single"/>
                </w:rPr>
                <w:t>Prevention and Response Action Plan 2024-2025</w:t>
              </w:r>
            </w:hyperlink>
            <w:hyperlink r:id="rId18">
              <w:r>
                <w:rPr>
                  <w:sz w:val="21"/>
                  <w:szCs w:val="21"/>
                </w:rPr>
                <w:t xml:space="preserve">, </w:t>
              </w:r>
            </w:hyperlink>
            <w:r>
              <w:rPr>
                <w:sz w:val="21"/>
                <w:szCs w:val="21"/>
              </w:rPr>
              <w:t>will improve prevention and response efforts;</w:t>
            </w:r>
          </w:p>
          <w:p w14:paraId="6D4E7A8F" w14:textId="77777777" w:rsidR="009219FA" w:rsidRDefault="00A2584A">
            <w:pPr>
              <w:numPr>
                <w:ilvl w:val="0"/>
                <w:numId w:val="5"/>
              </w:numPr>
              <w:pBdr>
                <w:top w:val="nil"/>
                <w:left w:val="nil"/>
                <w:bottom w:val="nil"/>
                <w:right w:val="nil"/>
                <w:between w:val="nil"/>
              </w:pBdr>
              <w:spacing w:line="259" w:lineRule="auto"/>
              <w:rPr>
                <w:sz w:val="21"/>
                <w:szCs w:val="21"/>
              </w:rPr>
            </w:pPr>
            <w:r>
              <w:rPr>
                <w:sz w:val="21"/>
                <w:szCs w:val="21"/>
              </w:rPr>
              <w:t xml:space="preserve">Implementation of the National Higher Education Code to Prevent and Respond to the Gender-based Violence Act 2025. The University has formed a </w:t>
            </w:r>
            <w:hyperlink r:id="rId19">
              <w:r>
                <w:rPr>
                  <w:color w:val="1155CC"/>
                  <w:sz w:val="21"/>
                  <w:szCs w:val="21"/>
                  <w:u w:val="single"/>
                </w:rPr>
                <w:t>National Code Taskforce</w:t>
              </w:r>
            </w:hyperlink>
            <w:r>
              <w:rPr>
                <w:sz w:val="21"/>
                <w:szCs w:val="21"/>
              </w:rPr>
              <w:t xml:space="preserve"> chaired by the Vice-Chancellor, involving student leaders, senior executives and subject matter experts to ensure compliance;</w:t>
            </w:r>
          </w:p>
          <w:p w14:paraId="76C0BB81" w14:textId="77777777" w:rsidR="009219FA" w:rsidRDefault="00A2584A">
            <w:pPr>
              <w:numPr>
                <w:ilvl w:val="0"/>
                <w:numId w:val="5"/>
              </w:numPr>
              <w:pBdr>
                <w:top w:val="nil"/>
                <w:left w:val="nil"/>
                <w:bottom w:val="nil"/>
                <w:right w:val="nil"/>
                <w:between w:val="nil"/>
              </w:pBdr>
              <w:spacing w:line="259" w:lineRule="auto"/>
              <w:rPr>
                <w:sz w:val="21"/>
                <w:szCs w:val="21"/>
              </w:rPr>
            </w:pPr>
            <w:r>
              <w:rPr>
                <w:sz w:val="21"/>
                <w:szCs w:val="21"/>
              </w:rPr>
              <w:t xml:space="preserve">Our dedicated </w:t>
            </w:r>
            <w:hyperlink r:id="rId20">
              <w:r>
                <w:rPr>
                  <w:color w:val="1155CC"/>
                  <w:sz w:val="21"/>
                  <w:szCs w:val="21"/>
                  <w:u w:val="single"/>
                </w:rPr>
                <w:t>Safer Community Unit (SCU)</w:t>
              </w:r>
            </w:hyperlink>
            <w:r>
              <w:rPr>
                <w:sz w:val="21"/>
                <w:szCs w:val="21"/>
              </w:rPr>
              <w:t>, will provide impartial advice and response to reports and disclosures of concerning, threatening, and inappropriate behaviour; and</w:t>
            </w:r>
          </w:p>
          <w:p w14:paraId="5AE631EE" w14:textId="77777777" w:rsidR="009219FA" w:rsidRDefault="00A2584A">
            <w:pPr>
              <w:numPr>
                <w:ilvl w:val="0"/>
                <w:numId w:val="5"/>
              </w:numPr>
              <w:pBdr>
                <w:top w:val="nil"/>
                <w:left w:val="nil"/>
                <w:bottom w:val="nil"/>
                <w:right w:val="nil"/>
                <w:between w:val="nil"/>
              </w:pBdr>
              <w:spacing w:line="259" w:lineRule="auto"/>
              <w:rPr>
                <w:sz w:val="21"/>
                <w:szCs w:val="21"/>
              </w:rPr>
            </w:pPr>
            <w:r>
              <w:rPr>
                <w:sz w:val="21"/>
                <w:szCs w:val="21"/>
              </w:rPr>
              <w:t xml:space="preserve">Leading the sector in addressing the nature and experience of antisemitism, Islamophobia, and related prejudice on University campuses through a two-year </w:t>
            </w:r>
            <w:hyperlink r:id="rId21">
              <w:r>
                <w:rPr>
                  <w:color w:val="1155CC"/>
                  <w:sz w:val="21"/>
                  <w:szCs w:val="21"/>
                  <w:u w:val="single"/>
                </w:rPr>
                <w:t>Campus Cohesion Research Program</w:t>
              </w:r>
            </w:hyperlink>
            <w:r>
              <w:rPr>
                <w:sz w:val="21"/>
                <w:szCs w:val="21"/>
              </w:rPr>
              <w:t xml:space="preserve"> launched in November 2024, aimed at practical solutions for campus safety and unity. Additionally, University academics - Associate Professor David Slucki and Dr Susan Carland - have been providing sector-wide support to assist institutions in responding to these matters.</w:t>
            </w:r>
          </w:p>
          <w:p w14:paraId="4C167138" w14:textId="77777777" w:rsidR="009219FA" w:rsidRDefault="00A2584A">
            <w:pPr>
              <w:spacing w:before="200" w:line="259" w:lineRule="auto"/>
              <w:rPr>
                <w:b/>
                <w:sz w:val="21"/>
                <w:szCs w:val="21"/>
              </w:rPr>
            </w:pPr>
            <w:r>
              <w:rPr>
                <w:b/>
                <w:sz w:val="21"/>
                <w:szCs w:val="21"/>
              </w:rPr>
              <w:t xml:space="preserve">Countering Foreign Interference: </w:t>
            </w:r>
          </w:p>
          <w:p w14:paraId="1402518E" w14:textId="77777777" w:rsidR="009219FA" w:rsidRDefault="00A2584A">
            <w:pPr>
              <w:numPr>
                <w:ilvl w:val="0"/>
                <w:numId w:val="5"/>
              </w:numPr>
              <w:spacing w:before="200" w:line="259" w:lineRule="auto"/>
              <w:rPr>
                <w:sz w:val="21"/>
                <w:szCs w:val="21"/>
              </w:rPr>
            </w:pPr>
            <w:r>
              <w:rPr>
                <w:sz w:val="21"/>
                <w:szCs w:val="21"/>
              </w:rPr>
              <w:t xml:space="preserve">The University manages foreign interference risks consistently with the </w:t>
            </w:r>
            <w:hyperlink r:id="rId22">
              <w:r>
                <w:rPr>
                  <w:color w:val="1155CC"/>
                  <w:sz w:val="21"/>
                  <w:szCs w:val="21"/>
                  <w:u w:val="single"/>
                </w:rPr>
                <w:t>University Foreign Interference Taskforce (UFIT) Guidelines</w:t>
              </w:r>
            </w:hyperlink>
            <w:r>
              <w:rPr>
                <w:sz w:val="21"/>
                <w:szCs w:val="21"/>
              </w:rPr>
              <w:t>.</w:t>
            </w:r>
          </w:p>
          <w:p w14:paraId="37FF70C1" w14:textId="77777777" w:rsidR="009219FA" w:rsidRDefault="00A2584A">
            <w:pPr>
              <w:numPr>
                <w:ilvl w:val="0"/>
                <w:numId w:val="5"/>
              </w:numPr>
              <w:spacing w:line="259" w:lineRule="auto"/>
              <w:rPr>
                <w:sz w:val="21"/>
                <w:szCs w:val="21"/>
              </w:rPr>
            </w:pPr>
            <w:r>
              <w:rPr>
                <w:sz w:val="21"/>
                <w:szCs w:val="21"/>
              </w:rPr>
              <w:t>Oversight of foreign interference risk management is provided by the University’s Transparency and Integrity Committee, which advises the University’s senior executive group (‘Vice-Chancellor’s Group’).</w:t>
            </w:r>
          </w:p>
          <w:p w14:paraId="5D95707B" w14:textId="77777777" w:rsidR="009219FA" w:rsidRDefault="00A2584A">
            <w:pPr>
              <w:numPr>
                <w:ilvl w:val="0"/>
                <w:numId w:val="5"/>
              </w:numPr>
              <w:pBdr>
                <w:top w:val="nil"/>
                <w:left w:val="nil"/>
                <w:bottom w:val="nil"/>
                <w:right w:val="nil"/>
                <w:between w:val="nil"/>
              </w:pBdr>
              <w:spacing w:line="259" w:lineRule="auto"/>
              <w:rPr>
                <w:sz w:val="21"/>
                <w:szCs w:val="21"/>
              </w:rPr>
            </w:pPr>
            <w:r>
              <w:rPr>
                <w:sz w:val="21"/>
                <w:szCs w:val="21"/>
              </w:rPr>
              <w:t>All international partnerships are governed by the University’s International Partnerships Policy suite (to be released on 1 November 2025) and assessed for foreign interference, geopolitical and regulatory risks. New proposals undergo internal due diligence, with high-risk cases referred to the Transparency and Integrity Sub-Committee (a subset of the Transparency and Integrity Committee). High-risk cases are also discussed as appropriate with the relevant Commonwealth agencies, notably the Department of Foreign Affairs and Trade’s (DFAT) Foreign Arrangements Taskforce and the Counter Foreign Interference Co-ordination Centre within the Department of Home Affairs.</w:t>
            </w:r>
          </w:p>
          <w:p w14:paraId="49090CC1" w14:textId="77777777" w:rsidR="009219FA" w:rsidRDefault="00A2584A">
            <w:pPr>
              <w:spacing w:before="200" w:line="259" w:lineRule="auto"/>
              <w:rPr>
                <w:b/>
                <w:sz w:val="21"/>
                <w:szCs w:val="21"/>
              </w:rPr>
            </w:pPr>
            <w:r>
              <w:rPr>
                <w:b/>
                <w:sz w:val="21"/>
                <w:szCs w:val="21"/>
              </w:rPr>
              <w:t xml:space="preserve">Cyber and Data Security: </w:t>
            </w:r>
          </w:p>
          <w:p w14:paraId="7B3B1B6E" w14:textId="77777777" w:rsidR="009219FA" w:rsidRDefault="00A2584A">
            <w:pPr>
              <w:numPr>
                <w:ilvl w:val="0"/>
                <w:numId w:val="5"/>
              </w:numPr>
              <w:pBdr>
                <w:top w:val="nil"/>
                <w:left w:val="nil"/>
                <w:bottom w:val="nil"/>
                <w:right w:val="nil"/>
                <w:between w:val="nil"/>
              </w:pBdr>
              <w:spacing w:before="200" w:line="259" w:lineRule="auto"/>
              <w:rPr>
                <w:sz w:val="21"/>
                <w:szCs w:val="21"/>
              </w:rPr>
            </w:pPr>
            <w:r>
              <w:rPr>
                <w:sz w:val="21"/>
                <w:szCs w:val="21"/>
              </w:rPr>
              <w:t xml:space="preserve">The University has a dedicated Group Chief Information Security Officer (GCISO) responsible for monitoring and managing the University’s cyber risk profile and incident response. </w:t>
            </w:r>
          </w:p>
          <w:p w14:paraId="25984A91" w14:textId="77777777" w:rsidR="009219FA" w:rsidRDefault="00A2584A">
            <w:pPr>
              <w:numPr>
                <w:ilvl w:val="0"/>
                <w:numId w:val="5"/>
              </w:numPr>
              <w:pBdr>
                <w:top w:val="nil"/>
                <w:left w:val="nil"/>
                <w:bottom w:val="nil"/>
                <w:right w:val="nil"/>
                <w:between w:val="nil"/>
              </w:pBdr>
              <w:spacing w:line="259" w:lineRule="auto"/>
              <w:rPr>
                <w:sz w:val="21"/>
                <w:szCs w:val="21"/>
              </w:rPr>
            </w:pPr>
            <w:r>
              <w:rPr>
                <w:sz w:val="21"/>
                <w:szCs w:val="21"/>
              </w:rPr>
              <w:t xml:space="preserve">Project Reach, the University’s current three-year Cyber Security Strategic Plan 2024 to 2026, is underway, focusing on mitigating risks in the digital supply chain and building resilience across the University’s controlled entities (beyond Australia). The previous Cyber Security Strategic Plan 2021-2023 provided a major uplift of the University’s cyber security maturity in Australia. </w:t>
            </w:r>
          </w:p>
          <w:p w14:paraId="5E715D0A" w14:textId="77777777" w:rsidR="009219FA" w:rsidRDefault="00A2584A">
            <w:pPr>
              <w:numPr>
                <w:ilvl w:val="0"/>
                <w:numId w:val="5"/>
              </w:numPr>
              <w:pBdr>
                <w:top w:val="nil"/>
                <w:left w:val="nil"/>
                <w:bottom w:val="nil"/>
                <w:right w:val="nil"/>
                <w:between w:val="nil"/>
              </w:pBdr>
              <w:spacing w:line="259" w:lineRule="auto"/>
              <w:rPr>
                <w:sz w:val="21"/>
                <w:szCs w:val="21"/>
              </w:rPr>
            </w:pPr>
            <w:r>
              <w:rPr>
                <w:sz w:val="21"/>
                <w:szCs w:val="21"/>
              </w:rPr>
              <w:t xml:space="preserve">Additionally, the University has strengthened commitments to data security, meeting international standards for information security, including with ISO27001 certification. </w:t>
            </w:r>
          </w:p>
          <w:p w14:paraId="3A11D4E4" w14:textId="77777777" w:rsidR="00B83002" w:rsidRDefault="00B83002">
            <w:pPr>
              <w:spacing w:before="200" w:line="259" w:lineRule="auto"/>
              <w:rPr>
                <w:b/>
              </w:rPr>
            </w:pPr>
          </w:p>
          <w:p w14:paraId="3E0B2399" w14:textId="7A30B80D" w:rsidR="009219FA" w:rsidRDefault="00A2584A">
            <w:pPr>
              <w:spacing w:before="200" w:line="259" w:lineRule="auto"/>
              <w:rPr>
                <w:sz w:val="21"/>
                <w:szCs w:val="21"/>
              </w:rPr>
            </w:pPr>
            <w:r>
              <w:rPr>
                <w:b/>
              </w:rPr>
              <w:lastRenderedPageBreak/>
              <w:t xml:space="preserve">Upholding Freedom of Speech and Academic Freedom: </w:t>
            </w:r>
          </w:p>
          <w:p w14:paraId="4C616BB0" w14:textId="77777777" w:rsidR="009219FA" w:rsidRDefault="00A2584A">
            <w:pPr>
              <w:numPr>
                <w:ilvl w:val="0"/>
                <w:numId w:val="5"/>
              </w:numPr>
              <w:pBdr>
                <w:top w:val="nil"/>
                <w:left w:val="nil"/>
                <w:bottom w:val="nil"/>
                <w:right w:val="nil"/>
                <w:between w:val="nil"/>
              </w:pBdr>
              <w:spacing w:before="200" w:line="259" w:lineRule="auto"/>
              <w:rPr>
                <w:sz w:val="21"/>
                <w:szCs w:val="21"/>
              </w:rPr>
            </w:pPr>
            <w:r>
              <w:rPr>
                <w:sz w:val="21"/>
                <w:szCs w:val="21"/>
              </w:rPr>
              <w:t xml:space="preserve">The University’s commitment to freedom of speech and academic freedom is embedded in the </w:t>
            </w:r>
            <w:hyperlink r:id="rId23">
              <w:r>
                <w:rPr>
                  <w:i/>
                  <w:color w:val="1155CC"/>
                  <w:sz w:val="21"/>
                  <w:szCs w:val="21"/>
                  <w:u w:val="single"/>
                </w:rPr>
                <w:t>Monash University Act 2009</w:t>
              </w:r>
            </w:hyperlink>
            <w:r>
              <w:rPr>
                <w:sz w:val="21"/>
                <w:szCs w:val="21"/>
              </w:rPr>
              <w:t xml:space="preserve">. </w:t>
            </w:r>
          </w:p>
          <w:p w14:paraId="506D273D" w14:textId="77777777" w:rsidR="009219FA" w:rsidRDefault="00A2584A">
            <w:pPr>
              <w:numPr>
                <w:ilvl w:val="0"/>
                <w:numId w:val="5"/>
              </w:numPr>
              <w:pBdr>
                <w:top w:val="nil"/>
                <w:left w:val="nil"/>
                <w:bottom w:val="nil"/>
                <w:right w:val="nil"/>
                <w:between w:val="nil"/>
              </w:pBdr>
              <w:spacing w:line="259" w:lineRule="auto"/>
              <w:rPr>
                <w:sz w:val="21"/>
                <w:szCs w:val="21"/>
              </w:rPr>
            </w:pPr>
            <w:r>
              <w:rPr>
                <w:sz w:val="21"/>
                <w:szCs w:val="21"/>
              </w:rPr>
              <w:t xml:space="preserve">The University also has an overarching </w:t>
            </w:r>
            <w:hyperlink r:id="rId24">
              <w:r>
                <w:rPr>
                  <w:color w:val="7F4594"/>
                  <w:sz w:val="21"/>
                  <w:szCs w:val="21"/>
                  <w:u w:val="single"/>
                </w:rPr>
                <w:t>policy</w:t>
              </w:r>
            </w:hyperlink>
            <w:r>
              <w:rPr>
                <w:sz w:val="21"/>
                <w:szCs w:val="21"/>
              </w:rPr>
              <w:t xml:space="preserve"> on Freedom of Speech and Academic Freedom that upholds the principles of the Model Code for the Protection of Freedom of Speech and Academic Freedom. </w:t>
            </w:r>
          </w:p>
        </w:tc>
      </w:tr>
      <w:tr w:rsidR="009219FA" w14:paraId="6037A69E" w14:textId="77777777">
        <w:tc>
          <w:tcPr>
            <w:tcW w:w="9016" w:type="dxa"/>
          </w:tcPr>
          <w:p w14:paraId="0956C106" w14:textId="77777777" w:rsidR="009219FA" w:rsidRDefault="00A2584A">
            <w:pPr>
              <w:pStyle w:val="Heading4"/>
              <w:keepLines w:val="0"/>
              <w:spacing w:before="120" w:after="120"/>
            </w:pPr>
            <w:r>
              <w:lastRenderedPageBreak/>
              <w:t>Strategies for Improving Equality of Opportunity in Higher Education</w:t>
            </w:r>
          </w:p>
        </w:tc>
      </w:tr>
      <w:tr w:rsidR="009219FA" w14:paraId="2811D7A2" w14:textId="77777777">
        <w:trPr>
          <w:trHeight w:val="1123"/>
        </w:trPr>
        <w:tc>
          <w:tcPr>
            <w:tcW w:w="9016" w:type="dxa"/>
            <w:tcBorders>
              <w:bottom w:val="single" w:sz="4" w:space="0" w:color="000000"/>
            </w:tcBorders>
          </w:tcPr>
          <w:p w14:paraId="68A4017D" w14:textId="77777777" w:rsidR="009219FA" w:rsidRDefault="00A2584A">
            <w:pPr>
              <w:spacing w:before="120" w:after="120"/>
              <w:rPr>
                <w:sz w:val="21"/>
                <w:szCs w:val="21"/>
              </w:rPr>
            </w:pPr>
            <w:bookmarkStart w:id="0" w:name="_heading=h.r0ohyhksmoi8" w:colFirst="0" w:colLast="0"/>
            <w:bookmarkEnd w:id="0"/>
            <w:r>
              <w:rPr>
                <w:sz w:val="21"/>
                <w:szCs w:val="21"/>
              </w:rPr>
              <w:t>Monash aims to be recognised as Australia’s leading university for driving social mobility. The University offers a range of pathways and programs, scholarships and support, and targeted academic initiatives to foster success across our diverse student community. Monash’s commitment to supporting students from underrepresented backgrounds is detailed in the following strategies:</w:t>
            </w:r>
          </w:p>
          <w:p w14:paraId="76D9FCE3" w14:textId="77777777" w:rsidR="009219FA" w:rsidRDefault="00A2584A">
            <w:pPr>
              <w:numPr>
                <w:ilvl w:val="0"/>
                <w:numId w:val="8"/>
              </w:numPr>
              <w:spacing w:before="120" w:after="120"/>
              <w:rPr>
                <w:sz w:val="21"/>
                <w:szCs w:val="21"/>
              </w:rPr>
            </w:pPr>
            <w:hyperlink r:id="rId25">
              <w:r>
                <w:rPr>
                  <w:color w:val="1155CC"/>
                  <w:sz w:val="21"/>
                  <w:szCs w:val="21"/>
                  <w:u w:val="single"/>
                </w:rPr>
                <w:t>Equity, Diversity and Inclusion (EDI) Framework, 2022-2030</w:t>
              </w:r>
            </w:hyperlink>
            <w:r>
              <w:rPr>
                <w:sz w:val="21"/>
                <w:szCs w:val="21"/>
              </w:rPr>
              <w:t>;</w:t>
            </w:r>
          </w:p>
          <w:p w14:paraId="23C7808F" w14:textId="77777777" w:rsidR="009219FA" w:rsidRDefault="00A2584A">
            <w:pPr>
              <w:numPr>
                <w:ilvl w:val="0"/>
                <w:numId w:val="8"/>
              </w:numPr>
              <w:spacing w:before="120" w:after="120"/>
              <w:rPr>
                <w:sz w:val="21"/>
                <w:szCs w:val="21"/>
              </w:rPr>
            </w:pPr>
            <w:hyperlink r:id="rId26">
              <w:r>
                <w:rPr>
                  <w:color w:val="1155CC"/>
                  <w:sz w:val="21"/>
                  <w:szCs w:val="21"/>
                  <w:u w:val="single"/>
                </w:rPr>
                <w:t>Aboriginal and Torres Strait Islander Framework: 2019-2030</w:t>
              </w:r>
            </w:hyperlink>
            <w:r>
              <w:rPr>
                <w:color w:val="1155CC"/>
                <w:sz w:val="21"/>
                <w:szCs w:val="21"/>
                <w:u w:val="single"/>
              </w:rPr>
              <w:t>;  and</w:t>
            </w:r>
          </w:p>
          <w:p w14:paraId="379BBD99" w14:textId="52AA24AE" w:rsidR="009219FA" w:rsidRDefault="00A2584A">
            <w:pPr>
              <w:numPr>
                <w:ilvl w:val="0"/>
                <w:numId w:val="8"/>
              </w:numPr>
              <w:spacing w:before="120" w:after="120"/>
              <w:rPr>
                <w:sz w:val="21"/>
                <w:szCs w:val="21"/>
              </w:rPr>
            </w:pPr>
            <w:r w:rsidRPr="00EC366A">
              <w:rPr>
                <w:sz w:val="21"/>
                <w:szCs w:val="21"/>
              </w:rPr>
              <w:t>Student Experience Plan: 2025-2028</w:t>
            </w:r>
            <w:r>
              <w:rPr>
                <w:color w:val="1155CC"/>
                <w:sz w:val="21"/>
                <w:szCs w:val="21"/>
              </w:rPr>
              <w:t>.</w:t>
            </w:r>
          </w:p>
          <w:p w14:paraId="6CC573A4" w14:textId="77777777" w:rsidR="009219FA" w:rsidRDefault="00A2584A">
            <w:pPr>
              <w:spacing w:before="120" w:after="120"/>
              <w:rPr>
                <w:rFonts w:ascii="Times New Roman" w:eastAsia="Times New Roman" w:hAnsi="Times New Roman" w:cs="Times New Roman"/>
                <w:sz w:val="21"/>
                <w:szCs w:val="21"/>
              </w:rPr>
            </w:pPr>
            <w:r>
              <w:rPr>
                <w:sz w:val="21"/>
                <w:szCs w:val="21"/>
              </w:rPr>
              <w:t>Key priorities include, but are not limited to:</w:t>
            </w:r>
          </w:p>
          <w:p w14:paraId="6DF24B58" w14:textId="77777777" w:rsidR="009219FA" w:rsidRDefault="00A2584A">
            <w:pPr>
              <w:spacing w:before="120" w:after="120"/>
              <w:rPr>
                <w:sz w:val="21"/>
                <w:szCs w:val="21"/>
              </w:rPr>
            </w:pPr>
            <w:r>
              <w:rPr>
                <w:b/>
                <w:sz w:val="21"/>
                <w:szCs w:val="21"/>
              </w:rPr>
              <w:t>Equity Scholarships:</w:t>
            </w:r>
            <w:r>
              <w:rPr>
                <w:sz w:val="21"/>
                <w:szCs w:val="21"/>
              </w:rPr>
              <w:t xml:space="preserve"> Monash is committed to reducing financial barriers to university study through one of the largest equity scholarship programs in Australia (</w:t>
            </w:r>
            <w:proofErr w:type="spellStart"/>
            <w:r>
              <w:fldChar w:fldCharType="begin"/>
            </w:r>
            <w:r>
              <w:instrText>HYPERLINK "https://www.monash.edu/learning-teaching/priorities-and-programs/kummargi-yulendj" \h</w:instrText>
            </w:r>
            <w:r>
              <w:fldChar w:fldCharType="separate"/>
            </w:r>
            <w:r>
              <w:rPr>
                <w:color w:val="1155CC"/>
                <w:sz w:val="21"/>
                <w:szCs w:val="21"/>
                <w:u w:val="single"/>
              </w:rPr>
              <w:t>Kummargi</w:t>
            </w:r>
            <w:proofErr w:type="spellEnd"/>
            <w:r>
              <w:rPr>
                <w:color w:val="1155CC"/>
                <w:sz w:val="21"/>
                <w:szCs w:val="21"/>
                <w:u w:val="single"/>
              </w:rPr>
              <w:t xml:space="preserve"> </w:t>
            </w:r>
            <w:proofErr w:type="spellStart"/>
            <w:r>
              <w:rPr>
                <w:color w:val="1155CC"/>
                <w:sz w:val="21"/>
                <w:szCs w:val="21"/>
                <w:u w:val="single"/>
              </w:rPr>
              <w:t>Yulendj</w:t>
            </w:r>
            <w:proofErr w:type="spellEnd"/>
            <w:r>
              <w:fldChar w:fldCharType="end"/>
            </w:r>
            <w:r>
              <w:rPr>
                <w:sz w:val="21"/>
                <w:szCs w:val="21"/>
              </w:rPr>
              <w:t>), which includes guaranteed scholarships for all commencing students who meet entry requirements and are experiencing financial disadvantage or identify as Aboriginal or Torres Strait Islander. Our scholarships provide targeted support to these students through higher value scholarships over longer periods of time to ensure they have financial predictability, as well as a series of wraparound supports to facilitate success.  </w:t>
            </w:r>
          </w:p>
          <w:p w14:paraId="0341570C" w14:textId="77777777" w:rsidR="009219FA" w:rsidRDefault="00A2584A">
            <w:pPr>
              <w:spacing w:before="120" w:after="120"/>
              <w:rPr>
                <w:sz w:val="21"/>
                <w:szCs w:val="21"/>
              </w:rPr>
            </w:pPr>
            <w:r>
              <w:rPr>
                <w:b/>
                <w:sz w:val="21"/>
                <w:szCs w:val="21"/>
              </w:rPr>
              <w:t>Access Schemes</w:t>
            </w:r>
            <w:r>
              <w:rPr>
                <w:sz w:val="21"/>
                <w:szCs w:val="21"/>
              </w:rPr>
              <w:t xml:space="preserve">: Monash has a </w:t>
            </w:r>
            <w:hyperlink r:id="rId27">
              <w:r>
                <w:rPr>
                  <w:color w:val="1155CC"/>
                  <w:sz w:val="21"/>
                  <w:szCs w:val="21"/>
                  <w:u w:val="single"/>
                </w:rPr>
                <w:t>range of entry schemes</w:t>
              </w:r>
            </w:hyperlink>
            <w:r>
              <w:rPr>
                <w:sz w:val="21"/>
                <w:szCs w:val="21"/>
              </w:rPr>
              <w:t xml:space="preserve"> that expand access to the University for students from underrepresented backgrounds who qualify under reduced minimum entry requirements. Recent changes to our flagship entry scheme — the Monash Guarantee — will strengthen this commitment by more precisely targeting support to students from the most disadvantaged backgrounds in 2026. </w:t>
            </w:r>
          </w:p>
          <w:p w14:paraId="7CB5265F" w14:textId="77777777" w:rsidR="009219FA" w:rsidRDefault="00A2584A">
            <w:pPr>
              <w:spacing w:before="120" w:after="120"/>
              <w:rPr>
                <w:sz w:val="21"/>
                <w:szCs w:val="21"/>
              </w:rPr>
            </w:pPr>
            <w:r>
              <w:rPr>
                <w:b/>
                <w:sz w:val="21"/>
                <w:szCs w:val="21"/>
              </w:rPr>
              <w:t xml:space="preserve">Indigenous Access and Success: </w:t>
            </w:r>
            <w:r>
              <w:rPr>
                <w:sz w:val="21"/>
                <w:szCs w:val="21"/>
              </w:rPr>
              <w:t>Monash is committed to increasing Aboriginal and Torres Strait Islander participation through targeted initiatives. These include an enabling pathway for students without standard entry requirements, and a strong schools and community outreach program. Once enrolled, Indigenous students receive comprehensive academic and pastoral support, including tutoring, textbook provision, and tailored assistance informed by learning analytics. Orientation camps, cultural events, and social activities further foster connection and belonging. Through these programs, Monash aims to create a culturally supportive environment that promotes Indigenous student access, retention, and success across all stages of the higher education journey.</w:t>
            </w:r>
          </w:p>
          <w:p w14:paraId="4C8E0180" w14:textId="7F7C92F3" w:rsidR="009219FA" w:rsidRDefault="00A2584A">
            <w:pPr>
              <w:spacing w:before="120" w:after="120"/>
              <w:rPr>
                <w:sz w:val="21"/>
                <w:szCs w:val="21"/>
              </w:rPr>
            </w:pPr>
            <w:r>
              <w:rPr>
                <w:b/>
                <w:sz w:val="21"/>
                <w:szCs w:val="21"/>
              </w:rPr>
              <w:t xml:space="preserve">Student Transition and Support Programs: </w:t>
            </w:r>
            <w:r>
              <w:rPr>
                <w:sz w:val="21"/>
                <w:szCs w:val="21"/>
              </w:rPr>
              <w:t xml:space="preserve">A suite of student transition and support programs ensures students from underrepresented backgrounds are equipped with the skills, resources and confidence to thrive throughout their university journey. Tailored first-year transition programs centre around the development of core academic </w:t>
            </w:r>
            <w:proofErr w:type="gramStart"/>
            <w:r>
              <w:rPr>
                <w:sz w:val="21"/>
                <w:szCs w:val="21"/>
              </w:rPr>
              <w:t>skills, and</w:t>
            </w:r>
            <w:proofErr w:type="gramEnd"/>
            <w:r>
              <w:rPr>
                <w:sz w:val="21"/>
                <w:szCs w:val="21"/>
              </w:rPr>
              <w:t xml:space="preserve"> span across faculties and support services. Our Peer Mentoring program, available to all commencing undergraduate students with targeted activities and support for students from disadvantaged backgrounds, further supports transition to university, enhancing student sense of belonging. This is complemented by Monash’s Peer Assisted Study Sessions (PASS) program, which provides in-unit, peer-based support for students, with demonstrated success in enhancing academic performance. </w:t>
            </w:r>
          </w:p>
          <w:p w14:paraId="691E7AD9" w14:textId="77777777" w:rsidR="00B83002" w:rsidRDefault="00B83002">
            <w:pPr>
              <w:spacing w:before="120" w:after="120"/>
              <w:rPr>
                <w:sz w:val="21"/>
                <w:szCs w:val="21"/>
                <w:highlight w:val="yellow"/>
              </w:rPr>
            </w:pPr>
          </w:p>
          <w:p w14:paraId="7EDC6722" w14:textId="77777777" w:rsidR="009219FA" w:rsidRDefault="00A2584A">
            <w:pPr>
              <w:spacing w:before="120" w:after="120"/>
              <w:rPr>
                <w:rFonts w:ascii="Times New Roman" w:eastAsia="Times New Roman" w:hAnsi="Times New Roman" w:cs="Times New Roman"/>
                <w:b/>
                <w:sz w:val="21"/>
                <w:szCs w:val="21"/>
              </w:rPr>
            </w:pPr>
            <w:r>
              <w:rPr>
                <w:b/>
                <w:sz w:val="21"/>
                <w:szCs w:val="21"/>
                <w:u w:val="single"/>
              </w:rPr>
              <w:lastRenderedPageBreak/>
              <w:t xml:space="preserve">Key Targets </w:t>
            </w:r>
          </w:p>
          <w:p w14:paraId="686D892C" w14:textId="77777777" w:rsidR="009219FA" w:rsidRDefault="00A2584A">
            <w:pPr>
              <w:spacing w:before="120" w:after="120"/>
              <w:rPr>
                <w:rFonts w:ascii="Times New Roman" w:eastAsia="Times New Roman" w:hAnsi="Times New Roman" w:cs="Times New Roman"/>
                <w:sz w:val="21"/>
                <w:szCs w:val="21"/>
              </w:rPr>
            </w:pPr>
            <w:r>
              <w:rPr>
                <w:sz w:val="21"/>
                <w:szCs w:val="21"/>
              </w:rPr>
              <w:t>The University aspires to achieve the following equity targets in 2026:</w:t>
            </w:r>
          </w:p>
          <w:sdt>
            <w:sdtPr>
              <w:tag w:val="goog_rdk_0"/>
              <w:id w:val="-223117011"/>
              <w:lock w:val="contentLocked"/>
            </w:sdtPr>
            <w:sdtEndPr/>
            <w:sdtContent>
              <w:tbl>
                <w:tblPr>
                  <w:tblStyle w:val="a0"/>
                  <w:tblW w:w="8816" w:type="dxa"/>
                  <w:tblLayout w:type="fixed"/>
                  <w:tblLook w:val="0400" w:firstRow="0" w:lastRow="0" w:firstColumn="0" w:lastColumn="0" w:noHBand="0" w:noVBand="1"/>
                </w:tblPr>
                <w:tblGrid>
                  <w:gridCol w:w="5832"/>
                  <w:gridCol w:w="1492"/>
                  <w:gridCol w:w="1492"/>
                </w:tblGrid>
                <w:tr w:rsidR="009219FA" w14:paraId="722290B4" w14:textId="77777777">
                  <w:trPr>
                    <w:trHeight w:val="298"/>
                  </w:trPr>
                  <w:tc>
                    <w:tcPr>
                      <w:tcW w:w="5831"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D3446B5" w14:textId="77777777" w:rsidR="009219FA" w:rsidRDefault="00A2584A">
                      <w:pPr>
                        <w:spacing w:after="0" w:line="240" w:lineRule="auto"/>
                        <w:rPr>
                          <w:rFonts w:ascii="Times New Roman" w:eastAsia="Times New Roman" w:hAnsi="Times New Roman" w:cs="Times New Roman"/>
                          <w:sz w:val="21"/>
                          <w:szCs w:val="21"/>
                        </w:rPr>
                      </w:pPr>
                      <w:r>
                        <w:rPr>
                          <w:b/>
                          <w:sz w:val="21"/>
                          <w:szCs w:val="21"/>
                        </w:rPr>
                        <w:t>Measure</w:t>
                      </w:r>
                    </w:p>
                  </w:tc>
                  <w:tc>
                    <w:tcPr>
                      <w:tcW w:w="149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98972E8" w14:textId="77777777" w:rsidR="009219FA" w:rsidRDefault="00A2584A">
                      <w:pPr>
                        <w:spacing w:after="0" w:line="240" w:lineRule="auto"/>
                        <w:jc w:val="center"/>
                        <w:rPr>
                          <w:rFonts w:ascii="Times New Roman" w:eastAsia="Times New Roman" w:hAnsi="Times New Roman" w:cs="Times New Roman"/>
                          <w:sz w:val="21"/>
                          <w:szCs w:val="21"/>
                        </w:rPr>
                      </w:pPr>
                      <w:r>
                        <w:rPr>
                          <w:b/>
                          <w:sz w:val="21"/>
                          <w:szCs w:val="21"/>
                        </w:rPr>
                        <w:t>2026 Target</w:t>
                      </w:r>
                    </w:p>
                  </w:tc>
                  <w:tc>
                    <w:tcPr>
                      <w:tcW w:w="149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90A105C" w14:textId="77777777" w:rsidR="009219FA" w:rsidRDefault="00A2584A">
                      <w:pPr>
                        <w:spacing w:after="0" w:line="240" w:lineRule="auto"/>
                        <w:jc w:val="center"/>
                        <w:rPr>
                          <w:rFonts w:ascii="Times New Roman" w:eastAsia="Times New Roman" w:hAnsi="Times New Roman" w:cs="Times New Roman"/>
                          <w:sz w:val="21"/>
                          <w:szCs w:val="21"/>
                        </w:rPr>
                      </w:pPr>
                      <w:r>
                        <w:rPr>
                          <w:b/>
                          <w:sz w:val="21"/>
                          <w:szCs w:val="21"/>
                        </w:rPr>
                        <w:t>Data source</w:t>
                      </w:r>
                    </w:p>
                  </w:tc>
                </w:tr>
                <w:tr w:rsidR="009219FA" w14:paraId="17E56775" w14:textId="77777777">
                  <w:trPr>
                    <w:trHeight w:val="140"/>
                  </w:trPr>
                  <w:tc>
                    <w:tcPr>
                      <w:tcW w:w="5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65030" w14:textId="77777777" w:rsidR="009219FA" w:rsidRDefault="00A2584A">
                      <w:pPr>
                        <w:spacing w:after="0" w:line="240" w:lineRule="auto"/>
                        <w:rPr>
                          <w:sz w:val="21"/>
                          <w:szCs w:val="21"/>
                        </w:rPr>
                      </w:pPr>
                      <w:r>
                        <w:rPr>
                          <w:sz w:val="21"/>
                          <w:szCs w:val="21"/>
                        </w:rPr>
                        <w:t>Access rate for Indigenous undergraduate students [1]</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F1295" w14:textId="77777777" w:rsidR="009219FA" w:rsidRDefault="00A2584A">
                      <w:pPr>
                        <w:spacing w:after="0" w:line="240" w:lineRule="auto"/>
                        <w:jc w:val="center"/>
                        <w:rPr>
                          <w:rFonts w:ascii="Times New Roman" w:eastAsia="Times New Roman" w:hAnsi="Times New Roman" w:cs="Times New Roman"/>
                          <w:sz w:val="21"/>
                          <w:szCs w:val="21"/>
                        </w:rPr>
                      </w:pPr>
                      <w:r>
                        <w:rPr>
                          <w:sz w:val="21"/>
                          <w:szCs w:val="21"/>
                        </w:rPr>
                        <w:t>1%</w:t>
                      </w:r>
                    </w:p>
                  </w:tc>
                  <w:tc>
                    <w:tcPr>
                      <w:tcW w:w="149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8D378" w14:textId="77777777" w:rsidR="009219FA" w:rsidRDefault="00A2584A">
                      <w:pPr>
                        <w:spacing w:before="120" w:after="120" w:line="240" w:lineRule="auto"/>
                        <w:jc w:val="center"/>
                        <w:rPr>
                          <w:rFonts w:ascii="Times New Roman" w:eastAsia="Times New Roman" w:hAnsi="Times New Roman" w:cs="Times New Roman"/>
                          <w:sz w:val="21"/>
                          <w:szCs w:val="21"/>
                        </w:rPr>
                      </w:pPr>
                      <w:r>
                        <w:rPr>
                          <w:sz w:val="21"/>
                          <w:szCs w:val="21"/>
                        </w:rPr>
                        <w:t>Government submission data</w:t>
                      </w:r>
                    </w:p>
                  </w:tc>
                </w:tr>
                <w:tr w:rsidR="009219FA" w14:paraId="6533FF00" w14:textId="77777777">
                  <w:trPr>
                    <w:trHeight w:val="107"/>
                  </w:trPr>
                  <w:tc>
                    <w:tcPr>
                      <w:tcW w:w="5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EA435" w14:textId="77777777" w:rsidR="009219FA" w:rsidRDefault="00A2584A">
                      <w:pPr>
                        <w:spacing w:after="0" w:line="240" w:lineRule="auto"/>
                        <w:rPr>
                          <w:sz w:val="21"/>
                          <w:szCs w:val="21"/>
                        </w:rPr>
                      </w:pPr>
                      <w:r>
                        <w:rPr>
                          <w:sz w:val="21"/>
                          <w:szCs w:val="21"/>
                        </w:rPr>
                        <w:t>Access rate for low-SES undergraduate students [2 and 3]</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E61A3" w14:textId="77777777" w:rsidR="009219FA" w:rsidRDefault="00A2584A">
                      <w:pPr>
                        <w:spacing w:after="0" w:line="240" w:lineRule="auto"/>
                        <w:jc w:val="center"/>
                        <w:rPr>
                          <w:sz w:val="21"/>
                          <w:szCs w:val="21"/>
                        </w:rPr>
                      </w:pPr>
                      <w:r>
                        <w:rPr>
                          <w:sz w:val="21"/>
                          <w:szCs w:val="21"/>
                        </w:rPr>
                        <w:t>10%</w:t>
                      </w:r>
                    </w:p>
                  </w:tc>
                  <w:tc>
                    <w:tcPr>
                      <w:tcW w:w="1492"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4A8FE" w14:textId="77777777" w:rsidR="009219FA" w:rsidRDefault="009219FA">
                      <w:pPr>
                        <w:widowControl w:val="0"/>
                        <w:spacing w:after="0" w:line="276" w:lineRule="auto"/>
                        <w:rPr>
                          <w:rFonts w:ascii="Times New Roman" w:eastAsia="Times New Roman" w:hAnsi="Times New Roman" w:cs="Times New Roman"/>
                          <w:sz w:val="21"/>
                          <w:szCs w:val="21"/>
                        </w:rPr>
                      </w:pPr>
                    </w:p>
                  </w:tc>
                </w:tr>
                <w:tr w:rsidR="009219FA" w14:paraId="245756D8" w14:textId="77777777">
                  <w:trPr>
                    <w:trHeight w:val="107"/>
                  </w:trPr>
                  <w:tc>
                    <w:tcPr>
                      <w:tcW w:w="5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A7DF7" w14:textId="77777777" w:rsidR="009219FA" w:rsidRDefault="00A2584A">
                      <w:pPr>
                        <w:spacing w:after="0" w:line="240" w:lineRule="auto"/>
                        <w:rPr>
                          <w:sz w:val="21"/>
                          <w:szCs w:val="21"/>
                        </w:rPr>
                      </w:pPr>
                      <w:r>
                        <w:rPr>
                          <w:sz w:val="21"/>
                          <w:szCs w:val="21"/>
                        </w:rPr>
                        <w:t>Academic success rate for low-SES undergraduate students [4]</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F33D6" w14:textId="77777777" w:rsidR="009219FA" w:rsidRDefault="00A2584A">
                      <w:pPr>
                        <w:spacing w:after="0" w:line="240" w:lineRule="auto"/>
                        <w:jc w:val="center"/>
                        <w:rPr>
                          <w:rFonts w:ascii="Times New Roman" w:eastAsia="Times New Roman" w:hAnsi="Times New Roman" w:cs="Times New Roman"/>
                          <w:sz w:val="21"/>
                          <w:szCs w:val="21"/>
                        </w:rPr>
                      </w:pPr>
                      <w:r>
                        <w:rPr>
                          <w:sz w:val="21"/>
                          <w:szCs w:val="21"/>
                        </w:rPr>
                        <w:t>90%</w:t>
                      </w:r>
                    </w:p>
                  </w:tc>
                  <w:tc>
                    <w:tcPr>
                      <w:tcW w:w="1492"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4810C" w14:textId="77777777" w:rsidR="009219FA" w:rsidRDefault="009219FA">
                      <w:pPr>
                        <w:widowControl w:val="0"/>
                        <w:spacing w:after="0" w:line="276" w:lineRule="auto"/>
                        <w:rPr>
                          <w:rFonts w:ascii="Times New Roman" w:eastAsia="Times New Roman" w:hAnsi="Times New Roman" w:cs="Times New Roman"/>
                          <w:sz w:val="21"/>
                          <w:szCs w:val="21"/>
                        </w:rPr>
                      </w:pPr>
                    </w:p>
                  </w:tc>
                </w:tr>
                <w:tr w:rsidR="009219FA" w14:paraId="757DE5E3" w14:textId="77777777">
                  <w:trPr>
                    <w:trHeight w:val="303"/>
                  </w:trPr>
                  <w:tc>
                    <w:tcPr>
                      <w:tcW w:w="5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AB59C3" w14:textId="77777777" w:rsidR="009219FA" w:rsidRDefault="00A2584A">
                      <w:pPr>
                        <w:spacing w:after="0" w:line="240" w:lineRule="auto"/>
                        <w:rPr>
                          <w:sz w:val="21"/>
                          <w:szCs w:val="21"/>
                        </w:rPr>
                      </w:pPr>
                      <w:r>
                        <w:rPr>
                          <w:sz w:val="21"/>
                          <w:szCs w:val="21"/>
                        </w:rPr>
                        <w:t>Access rate for regional/remote undergraduate students  [5]</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F57A5" w14:textId="77777777" w:rsidR="009219FA" w:rsidRDefault="00A2584A">
                      <w:pPr>
                        <w:spacing w:after="0" w:line="240" w:lineRule="auto"/>
                        <w:jc w:val="center"/>
                        <w:rPr>
                          <w:sz w:val="21"/>
                          <w:szCs w:val="21"/>
                        </w:rPr>
                      </w:pPr>
                      <w:r>
                        <w:rPr>
                          <w:sz w:val="21"/>
                          <w:szCs w:val="21"/>
                        </w:rPr>
                        <w:t>8.5%</w:t>
                      </w:r>
                    </w:p>
                  </w:tc>
                  <w:tc>
                    <w:tcPr>
                      <w:tcW w:w="1492"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22B8F" w14:textId="77777777" w:rsidR="009219FA" w:rsidRDefault="009219FA">
                      <w:pPr>
                        <w:widowControl w:val="0"/>
                        <w:spacing w:after="0" w:line="276" w:lineRule="auto"/>
                        <w:rPr>
                          <w:rFonts w:ascii="Times New Roman" w:eastAsia="Times New Roman" w:hAnsi="Times New Roman" w:cs="Times New Roman"/>
                          <w:sz w:val="21"/>
                          <w:szCs w:val="21"/>
                        </w:rPr>
                      </w:pPr>
                    </w:p>
                  </w:tc>
                </w:tr>
                <w:tr w:rsidR="009219FA" w14:paraId="6F3E9AD6" w14:textId="77777777">
                  <w:trPr>
                    <w:trHeight w:val="303"/>
                  </w:trPr>
                  <w:tc>
                    <w:tcPr>
                      <w:tcW w:w="5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E9269A" w14:textId="77777777" w:rsidR="009219FA" w:rsidRDefault="00A2584A">
                      <w:pPr>
                        <w:spacing w:after="0" w:line="240" w:lineRule="auto"/>
                        <w:rPr>
                          <w:sz w:val="21"/>
                          <w:szCs w:val="21"/>
                        </w:rPr>
                      </w:pPr>
                      <w:r>
                        <w:rPr>
                          <w:sz w:val="21"/>
                          <w:szCs w:val="21"/>
                        </w:rPr>
                        <w:t>Academic success rate for regional/remote undergraduate students [4 &amp; 5]</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AECF1" w14:textId="77777777" w:rsidR="009219FA" w:rsidRDefault="00A2584A">
                      <w:pPr>
                        <w:spacing w:after="0" w:line="240" w:lineRule="auto"/>
                        <w:jc w:val="center"/>
                        <w:rPr>
                          <w:rFonts w:ascii="Times New Roman" w:eastAsia="Times New Roman" w:hAnsi="Times New Roman" w:cs="Times New Roman"/>
                          <w:sz w:val="21"/>
                          <w:szCs w:val="21"/>
                        </w:rPr>
                      </w:pPr>
                      <w:r>
                        <w:rPr>
                          <w:sz w:val="21"/>
                          <w:szCs w:val="21"/>
                        </w:rPr>
                        <w:t>90%</w:t>
                      </w:r>
                    </w:p>
                  </w:tc>
                  <w:tc>
                    <w:tcPr>
                      <w:tcW w:w="1492"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08AEF" w14:textId="77777777" w:rsidR="009219FA" w:rsidRDefault="009219FA">
                      <w:pPr>
                        <w:widowControl w:val="0"/>
                        <w:spacing w:after="0" w:line="276" w:lineRule="auto"/>
                        <w:rPr>
                          <w:rFonts w:ascii="Times New Roman" w:eastAsia="Times New Roman" w:hAnsi="Times New Roman" w:cs="Times New Roman"/>
                          <w:sz w:val="21"/>
                          <w:szCs w:val="21"/>
                        </w:rPr>
                      </w:pPr>
                    </w:p>
                  </w:tc>
                </w:tr>
              </w:tbl>
            </w:sdtContent>
          </w:sdt>
          <w:p w14:paraId="4FC6E8EF" w14:textId="77777777" w:rsidR="009219FA" w:rsidRDefault="008F57AD">
            <w:pPr>
              <w:spacing w:before="120" w:after="120"/>
              <w:rPr>
                <w:rFonts w:ascii="Times New Roman" w:eastAsia="Times New Roman" w:hAnsi="Times New Roman" w:cs="Times New Roman"/>
                <w:sz w:val="24"/>
                <w:szCs w:val="24"/>
              </w:rPr>
            </w:pPr>
            <w:r>
              <w:rPr>
                <w:noProof/>
              </w:rPr>
              <w:pict w14:anchorId="60E5512C">
                <v:rect id="_x0000_i1025" alt="" style="width:451.3pt;height:.05pt;mso-width-percent:0;mso-height-percent:0;mso-width-percent:0;mso-height-percent:0" o:hralign="center" o:hrstd="t" o:hr="t" fillcolor="#a0a0a0" stroked="f"/>
              </w:pict>
            </w:r>
          </w:p>
          <w:p w14:paraId="1CE2EB53" w14:textId="77777777" w:rsidR="009219FA" w:rsidRDefault="00A2584A">
            <w:pPr>
              <w:spacing w:before="120" w:after="120"/>
              <w:rPr>
                <w:sz w:val="18"/>
                <w:szCs w:val="18"/>
              </w:rPr>
            </w:pPr>
            <w:r>
              <w:rPr>
                <w:sz w:val="18"/>
                <w:szCs w:val="18"/>
              </w:rPr>
              <w:t>[1] The access rate is defined as the proportion of Indigenous students commencing domestic undergraduate enrolments.</w:t>
            </w:r>
          </w:p>
          <w:p w14:paraId="486A821A" w14:textId="77777777" w:rsidR="009219FA" w:rsidRDefault="00A2584A">
            <w:pPr>
              <w:spacing w:before="120" w:after="120"/>
              <w:rPr>
                <w:sz w:val="18"/>
                <w:szCs w:val="18"/>
              </w:rPr>
            </w:pPr>
            <w:r>
              <w:rPr>
                <w:sz w:val="18"/>
                <w:szCs w:val="18"/>
              </w:rPr>
              <w:t>[2] The access rate for low SES is commencing domestic undergraduate enrolments.</w:t>
            </w:r>
          </w:p>
          <w:p w14:paraId="390E0D11" w14:textId="77777777" w:rsidR="009219FA" w:rsidRDefault="00A2584A">
            <w:pPr>
              <w:spacing w:before="120" w:after="120"/>
              <w:rPr>
                <w:sz w:val="18"/>
                <w:szCs w:val="18"/>
              </w:rPr>
            </w:pPr>
            <w:r>
              <w:rPr>
                <w:sz w:val="18"/>
                <w:szCs w:val="18"/>
              </w:rPr>
              <w:t>[3] Low-SES students are defined as those with a home address in the bottom 25% of the national socioeconomic distribution (with a population adjustment for those aged 15-64), based on SEIFA 2021 (ABS).</w:t>
            </w:r>
          </w:p>
          <w:p w14:paraId="6B18150C" w14:textId="77777777" w:rsidR="009219FA" w:rsidRDefault="00A2584A">
            <w:pPr>
              <w:spacing w:before="120" w:after="120"/>
              <w:rPr>
                <w:rFonts w:ascii="Times New Roman" w:eastAsia="Times New Roman" w:hAnsi="Times New Roman" w:cs="Times New Roman"/>
                <w:sz w:val="24"/>
                <w:szCs w:val="24"/>
              </w:rPr>
            </w:pPr>
            <w:r>
              <w:rPr>
                <w:sz w:val="18"/>
                <w:szCs w:val="18"/>
              </w:rPr>
              <w:t>[4] The academic success rate is defined as the proportion of actual student load (EFTSL) for units of study that are passed divided by all units of study attempted (passed + failed + withdrawn).</w:t>
            </w:r>
          </w:p>
          <w:p w14:paraId="15EC5F54" w14:textId="77777777" w:rsidR="009219FA" w:rsidRDefault="00A2584A">
            <w:pPr>
              <w:spacing w:before="120" w:after="120"/>
              <w:rPr>
                <w:sz w:val="18"/>
                <w:szCs w:val="18"/>
              </w:rPr>
            </w:pPr>
            <w:r>
              <w:rPr>
                <w:sz w:val="18"/>
                <w:szCs w:val="18"/>
              </w:rPr>
              <w:t>[5] Regional/remote students are defined based on the remoteness structure of the 2021 Australian Statistical Geography Standard (ABS).</w:t>
            </w:r>
          </w:p>
        </w:tc>
      </w:tr>
      <w:tr w:rsidR="009219FA" w14:paraId="02B6C2C8" w14:textId="77777777">
        <w:tc>
          <w:tcPr>
            <w:tcW w:w="9016" w:type="dxa"/>
          </w:tcPr>
          <w:p w14:paraId="4F8A2B95" w14:textId="77777777" w:rsidR="009219FA" w:rsidRDefault="00A2584A">
            <w:pPr>
              <w:pStyle w:val="Heading4"/>
              <w:keepLines w:val="0"/>
              <w:spacing w:before="180" w:after="60"/>
            </w:pPr>
            <w:r>
              <w:lastRenderedPageBreak/>
              <w:t>Strategies for Improving Teaching and Learning</w:t>
            </w:r>
          </w:p>
        </w:tc>
      </w:tr>
      <w:tr w:rsidR="009219FA" w14:paraId="2DF263B6" w14:textId="77777777">
        <w:tc>
          <w:tcPr>
            <w:tcW w:w="9016" w:type="dxa"/>
          </w:tcPr>
          <w:p w14:paraId="03BE77E0" w14:textId="77777777" w:rsidR="009219FA" w:rsidRDefault="00A2584A">
            <w:pPr>
              <w:spacing w:before="120" w:after="120" w:line="276" w:lineRule="auto"/>
              <w:rPr>
                <w:b/>
                <w:sz w:val="21"/>
                <w:szCs w:val="21"/>
              </w:rPr>
            </w:pPr>
            <w:r>
              <w:rPr>
                <w:b/>
                <w:sz w:val="21"/>
                <w:szCs w:val="21"/>
              </w:rPr>
              <w:t>STRATEGY: Improvement of Unit Quality</w:t>
            </w:r>
            <w:r>
              <w:rPr>
                <w:sz w:val="21"/>
                <w:szCs w:val="21"/>
              </w:rPr>
              <w:t xml:space="preserve"> </w:t>
            </w:r>
            <w:r>
              <w:rPr>
                <w:b/>
                <w:sz w:val="21"/>
                <w:szCs w:val="21"/>
              </w:rPr>
              <w:t>and Student Feedback</w:t>
            </w:r>
          </w:p>
          <w:p w14:paraId="3D097B48" w14:textId="77777777" w:rsidR="009219FA" w:rsidRDefault="00A2584A">
            <w:pPr>
              <w:spacing w:line="276" w:lineRule="auto"/>
              <w:rPr>
                <w:sz w:val="21"/>
                <w:szCs w:val="21"/>
              </w:rPr>
            </w:pPr>
            <w:r>
              <w:rPr>
                <w:sz w:val="21"/>
                <w:szCs w:val="21"/>
              </w:rPr>
              <w:t xml:space="preserve">Student feedback shapes continual improvement of teaching and learning at Monash. We are committed to increasing the </w:t>
            </w:r>
            <w:r>
              <w:rPr>
                <w:sz w:val="21"/>
                <w:szCs w:val="21"/>
                <w:highlight w:val="white"/>
              </w:rPr>
              <w:t xml:space="preserve">number of units with high satisfaction ratings and ensuring that the proportion of units rated as needing critical attention remains low. </w:t>
            </w:r>
          </w:p>
          <w:p w14:paraId="2FCB47C2" w14:textId="77777777" w:rsidR="009219FA" w:rsidRDefault="00A2584A">
            <w:pPr>
              <w:spacing w:before="120" w:after="120" w:line="276" w:lineRule="auto"/>
              <w:rPr>
                <w:sz w:val="21"/>
                <w:szCs w:val="21"/>
              </w:rPr>
            </w:pPr>
            <w:r>
              <w:rPr>
                <w:sz w:val="21"/>
                <w:szCs w:val="21"/>
              </w:rPr>
              <w:t xml:space="preserve">Across every unit, in three major survey rounds per year, we collect student feedback on units. This feedback is used in ongoing monitoring of units, courses and teaching, and to identify and </w:t>
            </w:r>
            <w:proofErr w:type="gramStart"/>
            <w:r>
              <w:rPr>
                <w:sz w:val="21"/>
                <w:szCs w:val="21"/>
              </w:rPr>
              <w:t>take action</w:t>
            </w:r>
            <w:proofErr w:type="gramEnd"/>
            <w:r>
              <w:rPr>
                <w:sz w:val="21"/>
                <w:szCs w:val="21"/>
              </w:rPr>
              <w:t xml:space="preserve"> on areas requiring improvement. This will be reported to the Academic Board and will ensure that:</w:t>
            </w:r>
          </w:p>
          <w:p w14:paraId="248CA5B6" w14:textId="77777777" w:rsidR="009219FA" w:rsidRDefault="00A2584A">
            <w:pPr>
              <w:numPr>
                <w:ilvl w:val="0"/>
                <w:numId w:val="7"/>
              </w:numPr>
              <w:pBdr>
                <w:top w:val="nil"/>
                <w:left w:val="nil"/>
                <w:bottom w:val="nil"/>
                <w:right w:val="nil"/>
                <w:between w:val="nil"/>
              </w:pBdr>
              <w:spacing w:line="276" w:lineRule="auto"/>
              <w:rPr>
                <w:sz w:val="21"/>
                <w:szCs w:val="21"/>
              </w:rPr>
            </w:pPr>
            <w:r>
              <w:rPr>
                <w:sz w:val="21"/>
                <w:szCs w:val="21"/>
              </w:rPr>
              <w:t xml:space="preserve">Attention is paid to units that have a high failure rate (as defined as more than 15 per cent of students with a </w:t>
            </w:r>
            <w:proofErr w:type="gramStart"/>
            <w:r>
              <w:rPr>
                <w:sz w:val="21"/>
                <w:szCs w:val="21"/>
              </w:rPr>
              <w:t>fail</w:t>
            </w:r>
            <w:proofErr w:type="gramEnd"/>
            <w:r>
              <w:rPr>
                <w:sz w:val="21"/>
                <w:szCs w:val="21"/>
              </w:rPr>
              <w:t xml:space="preserve"> grade); and</w:t>
            </w:r>
          </w:p>
          <w:p w14:paraId="42BDEE7D" w14:textId="77777777" w:rsidR="009219FA" w:rsidRDefault="00A2584A">
            <w:pPr>
              <w:numPr>
                <w:ilvl w:val="0"/>
                <w:numId w:val="7"/>
              </w:numPr>
              <w:pBdr>
                <w:top w:val="nil"/>
                <w:left w:val="nil"/>
                <w:bottom w:val="nil"/>
                <w:right w:val="nil"/>
                <w:between w:val="nil"/>
              </w:pBdr>
              <w:spacing w:line="276" w:lineRule="auto"/>
              <w:rPr>
                <w:sz w:val="21"/>
                <w:szCs w:val="21"/>
              </w:rPr>
            </w:pPr>
            <w:r>
              <w:rPr>
                <w:sz w:val="21"/>
                <w:szCs w:val="21"/>
              </w:rPr>
              <w:t>The attention and actions put in place with educators contribute to a positive reduction in units with high fail rates.</w:t>
            </w:r>
          </w:p>
          <w:p w14:paraId="0B73142B" w14:textId="77777777" w:rsidR="009219FA" w:rsidRDefault="00A2584A">
            <w:pPr>
              <w:spacing w:before="120" w:after="120" w:line="276" w:lineRule="auto"/>
              <w:rPr>
                <w:sz w:val="21"/>
                <w:szCs w:val="21"/>
              </w:rPr>
            </w:pPr>
            <w:r>
              <w:rPr>
                <w:b/>
                <w:sz w:val="21"/>
                <w:szCs w:val="21"/>
              </w:rPr>
              <w:t>STRATEGY: Supporting Excellent Teaching and Learning</w:t>
            </w:r>
          </w:p>
          <w:p w14:paraId="58D97888" w14:textId="77777777" w:rsidR="009219FA" w:rsidRDefault="00A2584A">
            <w:pPr>
              <w:shd w:val="clear" w:color="auto" w:fill="FFFFFF"/>
              <w:spacing w:before="240" w:after="240" w:line="276" w:lineRule="auto"/>
              <w:rPr>
                <w:b/>
                <w:sz w:val="21"/>
                <w:szCs w:val="21"/>
              </w:rPr>
            </w:pPr>
            <w:r>
              <w:rPr>
                <w:b/>
                <w:sz w:val="21"/>
                <w:szCs w:val="21"/>
              </w:rPr>
              <w:t>Programmatic Assessment Review</w:t>
            </w:r>
          </w:p>
          <w:p w14:paraId="29F1DB1D" w14:textId="77777777" w:rsidR="009219FA" w:rsidRDefault="00A2584A">
            <w:pPr>
              <w:shd w:val="clear" w:color="auto" w:fill="FFFFFF"/>
              <w:spacing w:line="331" w:lineRule="auto"/>
              <w:rPr>
                <w:sz w:val="21"/>
                <w:szCs w:val="21"/>
              </w:rPr>
            </w:pPr>
            <w:r>
              <w:rPr>
                <w:sz w:val="21"/>
                <w:szCs w:val="21"/>
              </w:rPr>
              <w:t xml:space="preserve">The University-wide programmatic assessment initiative is designed to integrate AI and strengthen integrity of assessment practices across all coursework programs. Taking a holistic approach to assess </w:t>
            </w:r>
            <w:r>
              <w:rPr>
                <w:sz w:val="21"/>
                <w:szCs w:val="21"/>
              </w:rPr>
              <w:lastRenderedPageBreak/>
              <w:t xml:space="preserve">student capabilities across an entire program, rather than as a sum of assessment across individual units. </w:t>
            </w:r>
          </w:p>
          <w:p w14:paraId="3E6FBBFB" w14:textId="77777777" w:rsidR="009219FA" w:rsidRDefault="00A2584A">
            <w:pPr>
              <w:shd w:val="clear" w:color="auto" w:fill="FFFFFF"/>
              <w:spacing w:line="331" w:lineRule="auto"/>
              <w:rPr>
                <w:sz w:val="21"/>
                <w:szCs w:val="21"/>
              </w:rPr>
            </w:pPr>
            <w:r>
              <w:rPr>
                <w:sz w:val="21"/>
                <w:szCs w:val="21"/>
              </w:rPr>
              <w:t>Key outcomes will include:</w:t>
            </w:r>
          </w:p>
          <w:p w14:paraId="5F8B5ADB" w14:textId="77777777" w:rsidR="009219FA" w:rsidRDefault="00A2584A">
            <w:pPr>
              <w:numPr>
                <w:ilvl w:val="0"/>
                <w:numId w:val="3"/>
              </w:numPr>
              <w:spacing w:line="276" w:lineRule="auto"/>
              <w:ind w:left="940"/>
              <w:rPr>
                <w:color w:val="000000"/>
                <w:sz w:val="20"/>
                <w:szCs w:val="20"/>
              </w:rPr>
            </w:pPr>
            <w:r>
              <w:rPr>
                <w:sz w:val="21"/>
                <w:szCs w:val="21"/>
              </w:rPr>
              <w:t xml:space="preserve">Improved Course Learning Outcomes (CLOs) across </w:t>
            </w:r>
            <w:proofErr w:type="gramStart"/>
            <w:r>
              <w:rPr>
                <w:sz w:val="21"/>
                <w:szCs w:val="21"/>
              </w:rPr>
              <w:t>disciplines;</w:t>
            </w:r>
            <w:proofErr w:type="gramEnd"/>
          </w:p>
          <w:p w14:paraId="00297920" w14:textId="5EA0009B" w:rsidR="009219FA" w:rsidRDefault="00A2584A">
            <w:pPr>
              <w:numPr>
                <w:ilvl w:val="0"/>
                <w:numId w:val="3"/>
              </w:numPr>
              <w:spacing w:line="276" w:lineRule="auto"/>
              <w:ind w:left="940"/>
              <w:rPr>
                <w:color w:val="000000"/>
                <w:sz w:val="20"/>
                <w:szCs w:val="20"/>
              </w:rPr>
            </w:pPr>
            <w:r>
              <w:rPr>
                <w:sz w:val="21"/>
                <w:szCs w:val="21"/>
              </w:rPr>
              <w:t>Authentic assessment design and transparent integration of AI; and</w:t>
            </w:r>
          </w:p>
          <w:p w14:paraId="521873E0" w14:textId="7F7C4CEC" w:rsidR="009219FA" w:rsidRDefault="00A2584A">
            <w:pPr>
              <w:numPr>
                <w:ilvl w:val="0"/>
                <w:numId w:val="3"/>
              </w:numPr>
              <w:spacing w:line="276" w:lineRule="auto"/>
              <w:ind w:left="940"/>
              <w:rPr>
                <w:color w:val="000000"/>
                <w:sz w:val="20"/>
                <w:szCs w:val="20"/>
              </w:rPr>
            </w:pPr>
            <w:r>
              <w:rPr>
                <w:sz w:val="21"/>
                <w:szCs w:val="21"/>
              </w:rPr>
              <w:t>Development of capability-building resources, policy recommendations, and scalable strategies for continuous improvement ahead of the broader implementation.</w:t>
            </w:r>
          </w:p>
          <w:p w14:paraId="0F223B83" w14:textId="77777777" w:rsidR="009219FA" w:rsidRDefault="00A2584A">
            <w:pPr>
              <w:shd w:val="clear" w:color="auto" w:fill="FFFFFF"/>
              <w:spacing w:before="240" w:after="240" w:line="276" w:lineRule="auto"/>
              <w:rPr>
                <w:b/>
                <w:sz w:val="21"/>
                <w:szCs w:val="21"/>
              </w:rPr>
            </w:pPr>
            <w:r>
              <w:rPr>
                <w:b/>
                <w:sz w:val="21"/>
                <w:szCs w:val="21"/>
              </w:rPr>
              <w:t>High Fail Units Project</w:t>
            </w:r>
          </w:p>
          <w:p w14:paraId="2F51B801" w14:textId="77777777" w:rsidR="009219FA" w:rsidRDefault="00A2584A">
            <w:pPr>
              <w:shd w:val="clear" w:color="auto" w:fill="FFFFFF"/>
              <w:spacing w:line="331" w:lineRule="auto"/>
              <w:rPr>
                <w:sz w:val="21"/>
                <w:szCs w:val="21"/>
              </w:rPr>
            </w:pPr>
            <w:r>
              <w:rPr>
                <w:sz w:val="21"/>
                <w:szCs w:val="21"/>
              </w:rPr>
              <w:t>Monash continues to implement targeted strategies to improve student success, with a particular focus on units that have historically recorded high failure rates (&gt;15 %). Biannual reviews of unit performance with action plans to target teaching quality, unit design, or both.  Since 2021, the number of high-failure units (HFUs) has declined by more than 60 per cent. The proportion of HFUs decreased from 7.1 per cent in 2020 to 4.4 per cent in 2024.</w:t>
            </w:r>
          </w:p>
          <w:p w14:paraId="6D0CC6AB" w14:textId="77777777" w:rsidR="009219FA" w:rsidRDefault="00A2584A">
            <w:pPr>
              <w:shd w:val="clear" w:color="auto" w:fill="FFFFFF"/>
              <w:spacing w:before="240" w:after="240" w:line="276" w:lineRule="auto"/>
              <w:rPr>
                <w:b/>
                <w:sz w:val="21"/>
                <w:szCs w:val="21"/>
              </w:rPr>
            </w:pPr>
            <w:r>
              <w:rPr>
                <w:b/>
                <w:sz w:val="21"/>
                <w:szCs w:val="21"/>
              </w:rPr>
              <w:t>Ensuring Academic Progress Project</w:t>
            </w:r>
          </w:p>
          <w:p w14:paraId="1E2E72D4" w14:textId="77777777" w:rsidR="009219FA" w:rsidRDefault="00A2584A">
            <w:pPr>
              <w:shd w:val="clear" w:color="auto" w:fill="FFFFFF"/>
              <w:spacing w:line="331" w:lineRule="auto"/>
              <w:rPr>
                <w:sz w:val="21"/>
                <w:szCs w:val="21"/>
              </w:rPr>
            </w:pPr>
            <w:r>
              <w:rPr>
                <w:sz w:val="21"/>
                <w:szCs w:val="21"/>
              </w:rPr>
              <w:t>Academic Progress Support is a key mechanism for identifying and supporting students who may not be meeting course requirements. It involves reviewing student performance against specific criteria, such as failing one or more units, failing 50 per cent or more of enrolled credit points or repeated unit failure. In the most recent review period of 2024, only 9.6 per cent of students triggered academic progress notices, continuing a downward trend. A total of 983 tailored recommendations were made to students who received these notices, most commonly for course advice, Student Academic Success, disability support and counselling.</w:t>
            </w:r>
          </w:p>
          <w:p w14:paraId="76F7E749" w14:textId="77777777" w:rsidR="009219FA" w:rsidRDefault="00A2584A">
            <w:pPr>
              <w:shd w:val="clear" w:color="auto" w:fill="FFFFFF"/>
              <w:spacing w:before="240" w:after="240" w:line="276" w:lineRule="auto"/>
              <w:rPr>
                <w:b/>
                <w:sz w:val="21"/>
                <w:szCs w:val="21"/>
              </w:rPr>
            </w:pPr>
            <w:r>
              <w:rPr>
                <w:b/>
                <w:sz w:val="21"/>
                <w:szCs w:val="21"/>
              </w:rPr>
              <w:t>Support for Students - Early Outreach</w:t>
            </w:r>
          </w:p>
          <w:p w14:paraId="1F70C52C" w14:textId="77777777" w:rsidR="009219FA" w:rsidRDefault="00A2584A">
            <w:pPr>
              <w:shd w:val="clear" w:color="auto" w:fill="FFFFFF"/>
              <w:spacing w:line="331" w:lineRule="auto"/>
              <w:rPr>
                <w:sz w:val="21"/>
                <w:szCs w:val="21"/>
              </w:rPr>
            </w:pPr>
            <w:r>
              <w:rPr>
                <w:sz w:val="21"/>
                <w:szCs w:val="21"/>
              </w:rPr>
              <w:t xml:space="preserve">Monash’s early outreach program remains a cornerstone of our academic support strategy. By identifying students at risk of not passing their units early, we proactively reach out before the census date and give them time to seek support and make informed decisions about their enrolment. Each year about 4,000 students </w:t>
            </w:r>
            <w:proofErr w:type="gramStart"/>
            <w:r>
              <w:rPr>
                <w:sz w:val="21"/>
                <w:szCs w:val="21"/>
              </w:rPr>
              <w:t>are</w:t>
            </w:r>
            <w:proofErr w:type="gramEnd"/>
            <w:r>
              <w:rPr>
                <w:sz w:val="21"/>
                <w:szCs w:val="21"/>
              </w:rPr>
              <w:t xml:space="preserve"> contacted as part of the outreach campaign.</w:t>
            </w:r>
          </w:p>
          <w:p w14:paraId="4448E0F5" w14:textId="77777777" w:rsidR="009219FA" w:rsidRDefault="00A2584A">
            <w:pPr>
              <w:spacing w:before="240" w:after="240" w:line="276" w:lineRule="auto"/>
              <w:rPr>
                <w:b/>
                <w:sz w:val="21"/>
                <w:szCs w:val="21"/>
              </w:rPr>
            </w:pPr>
            <w:r>
              <w:rPr>
                <w:b/>
                <w:sz w:val="21"/>
                <w:szCs w:val="21"/>
              </w:rPr>
              <w:t>Monash Study App</w:t>
            </w:r>
          </w:p>
          <w:p w14:paraId="3AEAE4C8" w14:textId="77777777" w:rsidR="009219FA" w:rsidRDefault="00A2584A">
            <w:pPr>
              <w:spacing w:before="240" w:after="240" w:line="276" w:lineRule="auto"/>
              <w:rPr>
                <w:sz w:val="21"/>
                <w:szCs w:val="21"/>
              </w:rPr>
            </w:pPr>
            <w:r>
              <w:rPr>
                <w:sz w:val="21"/>
                <w:szCs w:val="21"/>
              </w:rPr>
              <w:t xml:space="preserve">Students </w:t>
            </w:r>
            <w:proofErr w:type="gramStart"/>
            <w:r>
              <w:rPr>
                <w:sz w:val="21"/>
                <w:szCs w:val="21"/>
              </w:rPr>
              <w:t>are able to</w:t>
            </w:r>
            <w:proofErr w:type="gramEnd"/>
            <w:r>
              <w:rPr>
                <w:sz w:val="21"/>
                <w:szCs w:val="21"/>
              </w:rPr>
              <w:t xml:space="preserve"> access support services through the Monash Study App as well as their results, timetable and other key information.</w:t>
            </w:r>
          </w:p>
          <w:p w14:paraId="605794F6" w14:textId="77777777" w:rsidR="009219FA" w:rsidRDefault="00A2584A">
            <w:pPr>
              <w:spacing w:before="240" w:after="240" w:line="276" w:lineRule="auto"/>
              <w:rPr>
                <w:b/>
                <w:sz w:val="21"/>
                <w:szCs w:val="21"/>
              </w:rPr>
            </w:pPr>
            <w:r>
              <w:rPr>
                <w:b/>
                <w:sz w:val="21"/>
                <w:szCs w:val="21"/>
              </w:rPr>
              <w:t>REVIEWING PERFORMANCE AGAINST THE SECTOR</w:t>
            </w:r>
          </w:p>
          <w:p w14:paraId="1AFA8613" w14:textId="77777777" w:rsidR="009219FA" w:rsidRDefault="00A2584A">
            <w:pPr>
              <w:spacing w:before="240" w:after="240" w:line="276" w:lineRule="auto"/>
              <w:rPr>
                <w:sz w:val="21"/>
                <w:szCs w:val="21"/>
              </w:rPr>
            </w:pPr>
            <w:r>
              <w:rPr>
                <w:sz w:val="21"/>
                <w:szCs w:val="21"/>
              </w:rPr>
              <w:t xml:space="preserve">Monash takes an evidence-based approach to our student support offerings, ensuring that the support services the University offers are in line with student needs. Analysis of QILT is undertaken annually, with a specific focus on the student support areas and students’ qualitative feedback. The experiences </w:t>
            </w:r>
            <w:r>
              <w:rPr>
                <w:sz w:val="21"/>
                <w:szCs w:val="21"/>
              </w:rPr>
              <w:lastRenderedPageBreak/>
              <w:t xml:space="preserve">and support needs of specific cohorts are a key focus of this </w:t>
            </w:r>
            <w:proofErr w:type="gramStart"/>
            <w:r>
              <w:rPr>
                <w:sz w:val="21"/>
                <w:szCs w:val="21"/>
              </w:rPr>
              <w:t>analysis</w:t>
            </w:r>
            <w:proofErr w:type="gramEnd"/>
            <w:r>
              <w:rPr>
                <w:sz w:val="21"/>
                <w:szCs w:val="21"/>
              </w:rPr>
              <w:t xml:space="preserve"> which is tabled at senior University </w:t>
            </w:r>
            <w:proofErr w:type="gramStart"/>
            <w:r>
              <w:rPr>
                <w:sz w:val="21"/>
                <w:szCs w:val="21"/>
              </w:rPr>
              <w:t>committees, and</w:t>
            </w:r>
            <w:proofErr w:type="gramEnd"/>
            <w:r>
              <w:rPr>
                <w:sz w:val="21"/>
                <w:szCs w:val="21"/>
              </w:rPr>
              <w:t xml:space="preserve"> used to drive actionable change to student support activities.</w:t>
            </w:r>
          </w:p>
          <w:p w14:paraId="17F63F2D" w14:textId="77777777" w:rsidR="009219FA" w:rsidRDefault="00A2584A" w:rsidP="00705FEC">
            <w:pPr>
              <w:spacing w:before="240" w:after="120" w:line="276" w:lineRule="auto"/>
              <w:rPr>
                <w:sz w:val="21"/>
                <w:szCs w:val="21"/>
              </w:rPr>
            </w:pPr>
            <w:r>
              <w:rPr>
                <w:sz w:val="21"/>
                <w:szCs w:val="21"/>
              </w:rPr>
              <w:t>Student academic performance will be analysed after each major teaching period with a focus on specific student cohorts (e.g. Indigenous, low SES, disability). If academic performance gaps are identified, timely and concurrent strategies are developed and implemented to address gaps, beyond annual reporting and review referenced above. This may involve developing new student support programs or modifying and extending existing support mechanisms.</w:t>
            </w:r>
          </w:p>
          <w:p w14:paraId="5CE264A2" w14:textId="77777777" w:rsidR="009219FA" w:rsidRDefault="00A2584A" w:rsidP="00705FEC">
            <w:pPr>
              <w:spacing w:before="120" w:line="276" w:lineRule="auto"/>
              <w:rPr>
                <w:b/>
                <w:sz w:val="21"/>
                <w:szCs w:val="21"/>
              </w:rPr>
            </w:pPr>
            <w:r>
              <w:rPr>
                <w:b/>
                <w:sz w:val="21"/>
                <w:szCs w:val="21"/>
              </w:rPr>
              <w:t>A PROACTIVE APPROACH TO OUTREACH AND SUPPORT</w:t>
            </w:r>
          </w:p>
          <w:p w14:paraId="743B7909" w14:textId="77777777" w:rsidR="009219FA" w:rsidRDefault="00A2584A" w:rsidP="00705FEC">
            <w:pPr>
              <w:spacing w:before="120" w:after="120" w:line="276" w:lineRule="auto"/>
              <w:rPr>
                <w:sz w:val="21"/>
                <w:szCs w:val="21"/>
              </w:rPr>
            </w:pPr>
            <w:r>
              <w:rPr>
                <w:sz w:val="21"/>
                <w:szCs w:val="21"/>
              </w:rPr>
              <w:t>Monash has a proactive outreach process and uses predictive analysis early in each teaching period to identify students needing support before census date. Academically, students are flagged if they fail their first assessment and/or 50% of their units in a recent teaching period. Students enrolled at all Monash locations are in-scope for outreach.</w:t>
            </w:r>
          </w:p>
          <w:p w14:paraId="289F3479" w14:textId="77777777" w:rsidR="009219FA" w:rsidRDefault="00A2584A" w:rsidP="00705FEC">
            <w:pPr>
              <w:spacing w:before="120" w:after="120" w:line="276" w:lineRule="auto"/>
              <w:rPr>
                <w:sz w:val="21"/>
                <w:szCs w:val="21"/>
              </w:rPr>
            </w:pPr>
            <w:r>
              <w:rPr>
                <w:sz w:val="21"/>
                <w:szCs w:val="21"/>
              </w:rPr>
              <w:t xml:space="preserve">To prioritise outreach, students receive an additional ‘flag’ for each of the following (in addition to the initial ‘flag’): being enrolled in a unit with lower academic success rates, having an ATAR &lt;80, or being enrolled for less than six months. Students are flagged as Low (1 flag), Medium (2 flags), High (3 flags), or Critical (4 flags). For out of hours outreach, </w:t>
            </w:r>
            <w:proofErr w:type="spellStart"/>
            <w:r>
              <w:rPr>
                <w:sz w:val="21"/>
                <w:szCs w:val="21"/>
              </w:rPr>
              <w:t>Studiosity</w:t>
            </w:r>
            <w:proofErr w:type="spellEnd"/>
            <w:r>
              <w:rPr>
                <w:sz w:val="21"/>
                <w:szCs w:val="21"/>
              </w:rPr>
              <w:t>, a 24/7 online academic support service, sends wellbeing alerts to key staff at Monash based on students' questions to the advisors. The students are referred to qualified staff to provide the appropriate support.</w:t>
            </w:r>
          </w:p>
          <w:p w14:paraId="7EACD680" w14:textId="77777777" w:rsidR="009219FA" w:rsidRDefault="00A2584A" w:rsidP="00705FEC">
            <w:pPr>
              <w:spacing w:before="120" w:after="120" w:line="276" w:lineRule="auto"/>
              <w:rPr>
                <w:sz w:val="21"/>
                <w:szCs w:val="21"/>
              </w:rPr>
            </w:pPr>
            <w:r>
              <w:rPr>
                <w:sz w:val="21"/>
                <w:szCs w:val="21"/>
              </w:rPr>
              <w:t xml:space="preserve">Students predicted to be at-risk academically in a teaching period receive an email before the census date about available support services at Monash. The email also recommends completing a support tool to generate a tailored support plan, which includes recommendations about specific services. A reminder is sent after three days if the tool is not completed. Monash Connect (internal contact centre) staff members telephone the students with the highest number of flags — i.e. those predicted to be needing the most support. This contact allows further personalisation of support. </w:t>
            </w:r>
          </w:p>
          <w:p w14:paraId="47ADF6D1" w14:textId="77777777" w:rsidR="009219FA" w:rsidRDefault="00A2584A" w:rsidP="00705FEC">
            <w:pPr>
              <w:shd w:val="clear" w:color="auto" w:fill="FFFFFF"/>
              <w:spacing w:before="120" w:after="120" w:line="276" w:lineRule="auto"/>
              <w:rPr>
                <w:sz w:val="21"/>
                <w:szCs w:val="21"/>
              </w:rPr>
            </w:pPr>
            <w:r>
              <w:rPr>
                <w:sz w:val="21"/>
                <w:szCs w:val="21"/>
              </w:rPr>
              <w:t xml:space="preserve">Faculties offer in-house support services by qualified and experienced staff, as well as supporting mentoring programs. Additionally, students can sign up for conversational English at </w:t>
            </w:r>
            <w:hyperlink r:id="rId28">
              <w:r>
                <w:rPr>
                  <w:color w:val="006DAE"/>
                  <w:sz w:val="21"/>
                  <w:szCs w:val="21"/>
                  <w:u w:val="single"/>
                </w:rPr>
                <w:t>English Connect</w:t>
              </w:r>
            </w:hyperlink>
            <w:r>
              <w:rPr>
                <w:color w:val="505050"/>
                <w:sz w:val="21"/>
                <w:szCs w:val="21"/>
              </w:rPr>
              <w:t xml:space="preserve"> </w:t>
            </w:r>
            <w:r>
              <w:rPr>
                <w:sz w:val="21"/>
                <w:szCs w:val="21"/>
              </w:rPr>
              <w:t>(approximately 3,000 international students per annum),</w:t>
            </w:r>
            <w:r>
              <w:rPr>
                <w:color w:val="505050"/>
                <w:sz w:val="21"/>
                <w:szCs w:val="21"/>
              </w:rPr>
              <w:t xml:space="preserve"> </w:t>
            </w:r>
            <w:r>
              <w:rPr>
                <w:sz w:val="21"/>
                <w:szCs w:val="21"/>
              </w:rPr>
              <w:t>or go to</w:t>
            </w:r>
            <w:r>
              <w:rPr>
                <w:color w:val="505050"/>
                <w:sz w:val="21"/>
                <w:szCs w:val="21"/>
              </w:rPr>
              <w:t xml:space="preserve"> </w:t>
            </w:r>
            <w:hyperlink r:id="rId29">
              <w:r>
                <w:rPr>
                  <w:color w:val="006DAE"/>
                  <w:sz w:val="21"/>
                  <w:szCs w:val="21"/>
                  <w:u w:val="single"/>
                </w:rPr>
                <w:t>Student Academic Success</w:t>
              </w:r>
            </w:hyperlink>
            <w:r>
              <w:rPr>
                <w:color w:val="505050"/>
                <w:sz w:val="21"/>
                <w:szCs w:val="21"/>
              </w:rPr>
              <w:t xml:space="preserve"> </w:t>
            </w:r>
            <w:r>
              <w:rPr>
                <w:sz w:val="21"/>
                <w:szCs w:val="21"/>
              </w:rPr>
              <w:t>(over 7,500 students attending workshops and 6,500 1-1 consultations)</w:t>
            </w:r>
            <w:r>
              <w:rPr>
                <w:color w:val="505050"/>
                <w:sz w:val="21"/>
                <w:szCs w:val="21"/>
              </w:rPr>
              <w:t xml:space="preserve"> </w:t>
            </w:r>
            <w:r>
              <w:rPr>
                <w:sz w:val="21"/>
                <w:szCs w:val="21"/>
              </w:rPr>
              <w:t xml:space="preserve">for support with academic English and study. If they need help getting started, a </w:t>
            </w:r>
            <w:hyperlink r:id="rId30">
              <w:r>
                <w:rPr>
                  <w:color w:val="006DAE"/>
                  <w:sz w:val="21"/>
                  <w:szCs w:val="21"/>
                  <w:u w:val="single"/>
                </w:rPr>
                <w:t>Monash University English language course</w:t>
              </w:r>
            </w:hyperlink>
            <w:r>
              <w:rPr>
                <w:sz w:val="21"/>
                <w:szCs w:val="21"/>
              </w:rPr>
              <w:t xml:space="preserve"> (approximately 2,500 student enrolments per annum) can bridge the language gap.</w:t>
            </w:r>
          </w:p>
          <w:p w14:paraId="77E295C0" w14:textId="77777777" w:rsidR="009219FA" w:rsidRDefault="00A2584A" w:rsidP="00705FEC">
            <w:pPr>
              <w:shd w:val="clear" w:color="auto" w:fill="FFFFFF"/>
              <w:spacing w:before="120" w:after="120" w:line="276" w:lineRule="auto"/>
              <w:rPr>
                <w:sz w:val="21"/>
                <w:szCs w:val="21"/>
              </w:rPr>
            </w:pPr>
            <w:r>
              <w:rPr>
                <w:sz w:val="21"/>
                <w:szCs w:val="21"/>
              </w:rPr>
              <w:t xml:space="preserve">All first-year undergraduate students have access to the </w:t>
            </w:r>
            <w:hyperlink r:id="rId31">
              <w:r>
                <w:rPr>
                  <w:color w:val="1155CC"/>
                  <w:sz w:val="21"/>
                  <w:szCs w:val="21"/>
                  <w:u w:val="single"/>
                </w:rPr>
                <w:t>Peer Mentoring program</w:t>
              </w:r>
            </w:hyperlink>
            <w:r>
              <w:rPr>
                <w:sz w:val="21"/>
                <w:szCs w:val="21"/>
              </w:rPr>
              <w:t xml:space="preserve"> (approximately 7,190 participants in 2025) to support them through their first semester. All students also have access to </w:t>
            </w:r>
            <w:hyperlink r:id="rId32">
              <w:r>
                <w:rPr>
                  <w:color w:val="1155CC"/>
                  <w:sz w:val="21"/>
                  <w:szCs w:val="21"/>
                  <w:u w:val="single"/>
                </w:rPr>
                <w:t>Peer Assisted Study Sessions</w:t>
              </w:r>
            </w:hyperlink>
            <w:r>
              <w:rPr>
                <w:sz w:val="21"/>
                <w:szCs w:val="21"/>
              </w:rPr>
              <w:t xml:space="preserve"> (PASS) (approximately 5,900 participants in 2025), which provide academic support.</w:t>
            </w:r>
          </w:p>
          <w:p w14:paraId="4A97E12F" w14:textId="3D80CA95" w:rsidR="009219FA" w:rsidRDefault="00A2584A" w:rsidP="00705FEC">
            <w:pPr>
              <w:shd w:val="clear" w:color="auto" w:fill="FFFFFF"/>
              <w:spacing w:before="120" w:after="120" w:line="276" w:lineRule="auto"/>
              <w:rPr>
                <w:sz w:val="21"/>
                <w:szCs w:val="21"/>
              </w:rPr>
            </w:pPr>
            <w:r>
              <w:rPr>
                <w:sz w:val="21"/>
                <w:szCs w:val="21"/>
              </w:rPr>
              <w:t xml:space="preserve">While the Deputy Vice-Chancellor Education leads comprehensive Teaching and Learning </w:t>
            </w:r>
            <w:proofErr w:type="gramStart"/>
            <w:r w:rsidR="008A4FC8">
              <w:rPr>
                <w:sz w:val="21"/>
                <w:szCs w:val="21"/>
              </w:rPr>
              <w:t>s</w:t>
            </w:r>
            <w:r>
              <w:rPr>
                <w:sz w:val="21"/>
                <w:szCs w:val="21"/>
              </w:rPr>
              <w:t>trategies,  Monash</w:t>
            </w:r>
            <w:proofErr w:type="gramEnd"/>
            <w:r>
              <w:rPr>
                <w:sz w:val="21"/>
                <w:szCs w:val="21"/>
              </w:rPr>
              <w:t xml:space="preserve"> also has a dedicated Deputy-Vice Chancellor Student Experience that focuses on all student experiences beyond teaching and learning. This recognises the importance of a strong holistic student experience, including by leading a range of initiatives, such as the new Student Experience Plan, and recognising four key areas of strategic focus to strengthen the student experience through:</w:t>
            </w:r>
          </w:p>
          <w:p w14:paraId="3FA69A6C" w14:textId="77777777" w:rsidR="009219FA" w:rsidRDefault="00A2584A">
            <w:pPr>
              <w:numPr>
                <w:ilvl w:val="0"/>
                <w:numId w:val="9"/>
              </w:numPr>
              <w:shd w:val="clear" w:color="auto" w:fill="FFFFFF"/>
              <w:spacing w:line="276" w:lineRule="auto"/>
              <w:ind w:left="425" w:hanging="283"/>
            </w:pPr>
            <w:r>
              <w:rPr>
                <w:sz w:val="21"/>
                <w:szCs w:val="21"/>
              </w:rPr>
              <w:t xml:space="preserve">Delivering personalised and integrated support, enabled by new </w:t>
            </w:r>
            <w:proofErr w:type="gramStart"/>
            <w:r>
              <w:rPr>
                <w:sz w:val="21"/>
                <w:szCs w:val="21"/>
              </w:rPr>
              <w:t>technologies;</w:t>
            </w:r>
            <w:proofErr w:type="gramEnd"/>
            <w:r>
              <w:rPr>
                <w:sz w:val="21"/>
                <w:szCs w:val="21"/>
              </w:rPr>
              <w:t xml:space="preserve"> </w:t>
            </w:r>
          </w:p>
          <w:p w14:paraId="757EEC9C" w14:textId="77777777" w:rsidR="009219FA" w:rsidRDefault="00A2584A">
            <w:pPr>
              <w:numPr>
                <w:ilvl w:val="0"/>
                <w:numId w:val="9"/>
              </w:numPr>
              <w:shd w:val="clear" w:color="auto" w:fill="FFFFFF"/>
              <w:spacing w:line="276" w:lineRule="auto"/>
              <w:ind w:left="425" w:hanging="283"/>
            </w:pPr>
            <w:r>
              <w:rPr>
                <w:sz w:val="21"/>
                <w:szCs w:val="21"/>
              </w:rPr>
              <w:t xml:space="preserve">Enhancing graduate career impact through scalable career programs, digital tools, and global industry </w:t>
            </w:r>
            <w:proofErr w:type="gramStart"/>
            <w:r>
              <w:rPr>
                <w:sz w:val="21"/>
                <w:szCs w:val="21"/>
              </w:rPr>
              <w:t>partnerships;</w:t>
            </w:r>
            <w:proofErr w:type="gramEnd"/>
          </w:p>
          <w:p w14:paraId="21481289" w14:textId="77777777" w:rsidR="009219FA" w:rsidRDefault="00A2584A">
            <w:pPr>
              <w:numPr>
                <w:ilvl w:val="0"/>
                <w:numId w:val="9"/>
              </w:numPr>
              <w:shd w:val="clear" w:color="auto" w:fill="FFFFFF"/>
              <w:spacing w:line="276" w:lineRule="auto"/>
              <w:ind w:left="425" w:hanging="283"/>
            </w:pPr>
            <w:r>
              <w:rPr>
                <w:sz w:val="21"/>
                <w:szCs w:val="21"/>
              </w:rPr>
              <w:lastRenderedPageBreak/>
              <w:t xml:space="preserve">Expanding rich and transformative student experiences to our international campus network (for example, </w:t>
            </w:r>
            <w:hyperlink r:id="rId33">
              <w:r>
                <w:rPr>
                  <w:color w:val="1155CC"/>
                  <w:sz w:val="21"/>
                  <w:szCs w:val="21"/>
                  <w:u w:val="single"/>
                </w:rPr>
                <w:t>Global Immersion Guarantee</w:t>
              </w:r>
            </w:hyperlink>
            <w:r>
              <w:rPr>
                <w:sz w:val="21"/>
                <w:szCs w:val="21"/>
              </w:rPr>
              <w:t>); and</w:t>
            </w:r>
          </w:p>
          <w:p w14:paraId="64FBE0F8" w14:textId="77777777" w:rsidR="009219FA" w:rsidRDefault="00A2584A">
            <w:pPr>
              <w:numPr>
                <w:ilvl w:val="0"/>
                <w:numId w:val="9"/>
              </w:numPr>
              <w:shd w:val="clear" w:color="auto" w:fill="FFFFFF"/>
              <w:spacing w:after="240" w:line="276" w:lineRule="auto"/>
              <w:ind w:left="425" w:hanging="283"/>
            </w:pPr>
            <w:r>
              <w:rPr>
                <w:sz w:val="21"/>
                <w:szCs w:val="21"/>
              </w:rPr>
              <w:t>Fostering vibrant, welcoming campus communities across Monash’s global footprint.</w:t>
            </w:r>
          </w:p>
        </w:tc>
      </w:tr>
      <w:tr w:rsidR="009219FA" w14:paraId="4C6A38DB" w14:textId="77777777">
        <w:tc>
          <w:tcPr>
            <w:tcW w:w="9016" w:type="dxa"/>
          </w:tcPr>
          <w:p w14:paraId="46E7F9E2" w14:textId="77777777" w:rsidR="009219FA" w:rsidRDefault="00A2584A">
            <w:pPr>
              <w:pStyle w:val="Heading4"/>
              <w:keepLines w:val="0"/>
              <w:widowControl w:val="0"/>
              <w:spacing w:before="120" w:after="120"/>
            </w:pPr>
            <w:r>
              <w:lastRenderedPageBreak/>
              <w:t>Strategies for Improving Research, Research Training, and Innovation</w:t>
            </w:r>
          </w:p>
        </w:tc>
      </w:tr>
      <w:tr w:rsidR="009219FA" w14:paraId="51845617" w14:textId="77777777">
        <w:tc>
          <w:tcPr>
            <w:tcW w:w="9016" w:type="dxa"/>
          </w:tcPr>
          <w:p w14:paraId="2A65348C" w14:textId="4269CB7A" w:rsidR="009219FA" w:rsidRDefault="00A2584A">
            <w:pPr>
              <w:spacing w:line="276" w:lineRule="auto"/>
              <w:rPr>
                <w:sz w:val="21"/>
                <w:szCs w:val="21"/>
              </w:rPr>
            </w:pPr>
            <w:r>
              <w:rPr>
                <w:sz w:val="21"/>
                <w:szCs w:val="21"/>
              </w:rPr>
              <w:t>Monash is a comprehensive research</w:t>
            </w:r>
            <w:r w:rsidR="008A4FC8">
              <w:rPr>
                <w:sz w:val="21"/>
                <w:szCs w:val="21"/>
              </w:rPr>
              <w:t>-</w:t>
            </w:r>
            <w:r>
              <w:rPr>
                <w:sz w:val="21"/>
                <w:szCs w:val="21"/>
              </w:rPr>
              <w:t xml:space="preserve">intensive university ranked in the top 40. It is home to Australia’s largest faculty of medicine, nursing and health sciences, the #2 globally ranked faculty of pharmacy and pharmaceutical sciences, and a large engineering faculty. </w:t>
            </w:r>
          </w:p>
          <w:p w14:paraId="079DBA33" w14:textId="77777777" w:rsidR="009219FA" w:rsidRDefault="00A2584A">
            <w:pPr>
              <w:spacing w:before="200" w:line="276" w:lineRule="auto"/>
              <w:rPr>
                <w:sz w:val="21"/>
                <w:szCs w:val="21"/>
              </w:rPr>
            </w:pPr>
            <w:r>
              <w:rPr>
                <w:sz w:val="21"/>
                <w:szCs w:val="21"/>
              </w:rPr>
              <w:t xml:space="preserve">In 2024, Monash invested approximately $570 million of our own income in research and development, projected to increase to $591 million in 2025. Additionally, Monash will spend approximately $296 million across 2025 and 2026 on research infrastructure - this includes leading efforts around sovereign AI capability with the $60M funding of Project MAVERIC.  This research contributes to significant societal benefits, such as through IVF technology, the total artificial heart, major therapeutics breakthroughs and delivering sustainable clean water solutions in the Pacific. </w:t>
            </w:r>
          </w:p>
          <w:p w14:paraId="48FCFA1D" w14:textId="77777777" w:rsidR="009219FA" w:rsidRDefault="00A2584A">
            <w:pPr>
              <w:spacing w:before="200" w:line="276" w:lineRule="auto"/>
              <w:rPr>
                <w:sz w:val="21"/>
                <w:szCs w:val="21"/>
                <w:highlight w:val="white"/>
              </w:rPr>
            </w:pPr>
            <w:r>
              <w:rPr>
                <w:sz w:val="21"/>
                <w:szCs w:val="21"/>
                <w:highlight w:val="white"/>
              </w:rPr>
              <w:t xml:space="preserve">Over the last five years, industry partners have invested $563 million in research and development delivered by Monash. This contributes to productivity, growth, and sovereign capability in areas like pharmacy, </w:t>
            </w:r>
            <w:proofErr w:type="spellStart"/>
            <w:r>
              <w:rPr>
                <w:sz w:val="21"/>
                <w:szCs w:val="21"/>
                <w:highlight w:val="white"/>
              </w:rPr>
              <w:t>medtech</w:t>
            </w:r>
            <w:proofErr w:type="spellEnd"/>
            <w:r>
              <w:rPr>
                <w:sz w:val="21"/>
                <w:szCs w:val="21"/>
                <w:highlight w:val="white"/>
              </w:rPr>
              <w:t>, and advanced materials and manufacturing - 90% more than the second most-industry engaged Australian university. Monash currently manages an equity portfolio of over 30 companies based on Monash IP, with five to 10 new companies spun out every year, with over $970 million raised by Monash spinouts over the last five years. We have built a comprehensive innovation ecosystem to nurture emerging IP and foster success of established start-ups.</w:t>
            </w:r>
          </w:p>
          <w:p w14:paraId="2C13FE3B" w14:textId="77777777" w:rsidR="009219FA" w:rsidRDefault="00A2584A">
            <w:pPr>
              <w:spacing w:before="200" w:line="276" w:lineRule="auto"/>
              <w:rPr>
                <w:sz w:val="21"/>
                <w:szCs w:val="21"/>
                <w:highlight w:val="white"/>
              </w:rPr>
            </w:pPr>
            <w:r>
              <w:rPr>
                <w:sz w:val="21"/>
                <w:szCs w:val="21"/>
                <w:highlight w:val="white"/>
              </w:rPr>
              <w:t xml:space="preserve">The Monash Technology Precinct (MTP) in Clayton is Victoria's largest employment hub outside Melbourne’s CBD, supporting nearly 20,000 businesses and 115,000 jobs that contribute approximately $11.5 billion to the economy, annually. Leveraging Monash’s strengths in </w:t>
            </w:r>
            <w:proofErr w:type="spellStart"/>
            <w:r>
              <w:rPr>
                <w:sz w:val="21"/>
                <w:szCs w:val="21"/>
                <w:highlight w:val="white"/>
              </w:rPr>
              <w:t>medtech</w:t>
            </w:r>
            <w:proofErr w:type="spellEnd"/>
            <w:r>
              <w:rPr>
                <w:sz w:val="21"/>
                <w:szCs w:val="21"/>
                <w:highlight w:val="white"/>
              </w:rPr>
              <w:t xml:space="preserve"> and advanced materials and manufacturing, it is home to CSIRO, the Australian Synchrotron, the Melbourne Centre for Nanofabrication, Moderna's new mRNA vaccine manufacturing facility, and the Victorian Heart Hospital. The precinct fosters collaboration and innovation, combining research capability with industry backing to translate research into commercial applications that make a global impact.</w:t>
            </w:r>
          </w:p>
          <w:p w14:paraId="160CF328" w14:textId="77777777" w:rsidR="009219FA" w:rsidRDefault="00A2584A">
            <w:pPr>
              <w:spacing w:before="200" w:line="276" w:lineRule="auto"/>
              <w:rPr>
                <w:sz w:val="21"/>
                <w:szCs w:val="21"/>
                <w:highlight w:val="white"/>
              </w:rPr>
            </w:pPr>
            <w:r>
              <w:rPr>
                <w:sz w:val="21"/>
                <w:szCs w:val="21"/>
              </w:rPr>
              <w:t xml:space="preserve">The excellence and impact of Monash’s research </w:t>
            </w:r>
            <w:proofErr w:type="gramStart"/>
            <w:r>
              <w:rPr>
                <w:sz w:val="21"/>
                <w:szCs w:val="21"/>
              </w:rPr>
              <w:t>has</w:t>
            </w:r>
            <w:proofErr w:type="gramEnd"/>
            <w:r>
              <w:rPr>
                <w:sz w:val="21"/>
                <w:szCs w:val="21"/>
              </w:rPr>
              <w:t xml:space="preserve"> a cyclical effect on attracting and developing talented individuals, both locally and globally. Students and staff are attracted to Monash </w:t>
            </w:r>
            <w:proofErr w:type="gramStart"/>
            <w:r>
              <w:rPr>
                <w:sz w:val="21"/>
                <w:szCs w:val="21"/>
              </w:rPr>
              <w:t>as a result of</w:t>
            </w:r>
            <w:proofErr w:type="gramEnd"/>
            <w:r>
              <w:rPr>
                <w:sz w:val="21"/>
                <w:szCs w:val="21"/>
              </w:rPr>
              <w:t xml:space="preserve"> our outstanding research outputs and the opportunities available to contribute to our global impact.</w:t>
            </w:r>
          </w:p>
          <w:p w14:paraId="09D8F138" w14:textId="29E9C4E6" w:rsidR="009219FA" w:rsidRDefault="00A2584A">
            <w:pPr>
              <w:shd w:val="clear" w:color="auto" w:fill="FFFFFF"/>
              <w:spacing w:before="120" w:after="120" w:line="276" w:lineRule="auto"/>
              <w:rPr>
                <w:sz w:val="21"/>
                <w:szCs w:val="21"/>
              </w:rPr>
            </w:pPr>
            <w:r>
              <w:rPr>
                <w:sz w:val="21"/>
                <w:szCs w:val="21"/>
              </w:rPr>
              <w:t>Monash’s</w:t>
            </w:r>
            <w:hyperlink r:id="rId34">
              <w:r>
                <w:rPr>
                  <w:color w:val="222222"/>
                  <w:sz w:val="21"/>
                  <w:szCs w:val="21"/>
                </w:rPr>
                <w:t xml:space="preserve"> </w:t>
              </w:r>
            </w:hyperlink>
            <w:r w:rsidRPr="00EC366A">
              <w:rPr>
                <w:sz w:val="21"/>
                <w:szCs w:val="21"/>
              </w:rPr>
              <w:t xml:space="preserve">Research Plan 2022-2025 </w:t>
            </w:r>
            <w:r>
              <w:rPr>
                <w:sz w:val="21"/>
                <w:szCs w:val="21"/>
              </w:rPr>
              <w:t>is designed to ensure our research has a positive impact on people and the planet and recognises the vital importance of Australian Indigenous research to advance</w:t>
            </w:r>
            <w:r>
              <w:rPr>
                <w:color w:val="222222"/>
                <w:sz w:val="21"/>
                <w:szCs w:val="21"/>
              </w:rPr>
              <w:t xml:space="preserve"> k</w:t>
            </w:r>
            <w:r>
              <w:rPr>
                <w:sz w:val="21"/>
                <w:szCs w:val="21"/>
              </w:rPr>
              <w:t>nowledge and contribute to reconciliation. The Research Plan focuses on how Monash is:</w:t>
            </w:r>
          </w:p>
          <w:p w14:paraId="62AAA0D9" w14:textId="77777777" w:rsidR="009219FA" w:rsidRDefault="00A2584A">
            <w:pPr>
              <w:numPr>
                <w:ilvl w:val="0"/>
                <w:numId w:val="2"/>
              </w:numPr>
              <w:shd w:val="clear" w:color="auto" w:fill="FFFFFF"/>
              <w:spacing w:before="120" w:line="276" w:lineRule="auto"/>
              <w:rPr>
                <w:sz w:val="21"/>
                <w:szCs w:val="21"/>
              </w:rPr>
            </w:pPr>
            <w:r>
              <w:rPr>
                <w:sz w:val="21"/>
                <w:szCs w:val="21"/>
              </w:rPr>
              <w:t xml:space="preserve">Accelerating </w:t>
            </w:r>
            <w:proofErr w:type="gramStart"/>
            <w:r>
              <w:rPr>
                <w:sz w:val="21"/>
                <w:szCs w:val="21"/>
              </w:rPr>
              <w:t>talent;</w:t>
            </w:r>
            <w:proofErr w:type="gramEnd"/>
          </w:p>
          <w:p w14:paraId="46E984D1" w14:textId="77777777" w:rsidR="009219FA" w:rsidRDefault="00A2584A">
            <w:pPr>
              <w:numPr>
                <w:ilvl w:val="0"/>
                <w:numId w:val="2"/>
              </w:numPr>
              <w:shd w:val="clear" w:color="auto" w:fill="FFFFFF"/>
              <w:spacing w:line="276" w:lineRule="auto"/>
              <w:rPr>
                <w:sz w:val="21"/>
                <w:szCs w:val="21"/>
              </w:rPr>
            </w:pPr>
            <w:r>
              <w:rPr>
                <w:sz w:val="21"/>
                <w:szCs w:val="21"/>
              </w:rPr>
              <w:t xml:space="preserve">Orienting research to address global </w:t>
            </w:r>
            <w:proofErr w:type="gramStart"/>
            <w:r>
              <w:rPr>
                <w:sz w:val="21"/>
                <w:szCs w:val="21"/>
              </w:rPr>
              <w:t>challenges;</w:t>
            </w:r>
            <w:proofErr w:type="gramEnd"/>
          </w:p>
          <w:p w14:paraId="0799138E" w14:textId="77777777" w:rsidR="009219FA" w:rsidRDefault="00A2584A">
            <w:pPr>
              <w:numPr>
                <w:ilvl w:val="0"/>
                <w:numId w:val="2"/>
              </w:numPr>
              <w:shd w:val="clear" w:color="auto" w:fill="FFFFFF"/>
              <w:spacing w:line="276" w:lineRule="auto"/>
              <w:rPr>
                <w:sz w:val="21"/>
                <w:szCs w:val="21"/>
              </w:rPr>
            </w:pPr>
            <w:r>
              <w:rPr>
                <w:sz w:val="21"/>
                <w:szCs w:val="21"/>
              </w:rPr>
              <w:t xml:space="preserve">Delivering exceptional internal support; and </w:t>
            </w:r>
          </w:p>
          <w:p w14:paraId="168FE8F5" w14:textId="77777777" w:rsidR="009219FA" w:rsidRDefault="00A2584A">
            <w:pPr>
              <w:numPr>
                <w:ilvl w:val="0"/>
                <w:numId w:val="2"/>
              </w:numPr>
              <w:shd w:val="clear" w:color="auto" w:fill="FFFFFF"/>
              <w:spacing w:after="120" w:line="276" w:lineRule="auto"/>
              <w:rPr>
                <w:sz w:val="21"/>
                <w:szCs w:val="21"/>
              </w:rPr>
            </w:pPr>
            <w:r>
              <w:rPr>
                <w:sz w:val="21"/>
                <w:szCs w:val="21"/>
              </w:rPr>
              <w:t xml:space="preserve">Growing and attracting diversified income. </w:t>
            </w:r>
          </w:p>
          <w:p w14:paraId="29E8C597" w14:textId="77777777" w:rsidR="009219FA" w:rsidRDefault="00A2584A">
            <w:pPr>
              <w:shd w:val="clear" w:color="auto" w:fill="FFFFFF"/>
              <w:spacing w:before="120" w:after="120" w:line="276" w:lineRule="auto"/>
              <w:rPr>
                <w:sz w:val="21"/>
                <w:szCs w:val="21"/>
              </w:rPr>
            </w:pPr>
            <w:r>
              <w:rPr>
                <w:sz w:val="21"/>
                <w:szCs w:val="21"/>
              </w:rPr>
              <w:t>Monash’s research is built on the essential foundations of research excellence, peer-reviewed funding performance, disciplinary expertise and interdisciplinary collaboration.</w:t>
            </w:r>
          </w:p>
          <w:p w14:paraId="61F0E960" w14:textId="77777777" w:rsidR="009219FA" w:rsidRDefault="00A2584A">
            <w:pPr>
              <w:shd w:val="clear" w:color="auto" w:fill="FFFFFF"/>
              <w:spacing w:before="120" w:after="120" w:line="276" w:lineRule="auto"/>
              <w:rPr>
                <w:sz w:val="21"/>
                <w:szCs w:val="21"/>
              </w:rPr>
            </w:pPr>
            <w:r>
              <w:rPr>
                <w:sz w:val="21"/>
                <w:szCs w:val="21"/>
              </w:rPr>
              <w:lastRenderedPageBreak/>
              <w:t>Our global challenge research agenda accelerates research with a focus on the following areas:</w:t>
            </w:r>
          </w:p>
          <w:p w14:paraId="7235F890" w14:textId="77777777" w:rsidR="009219FA" w:rsidRDefault="00A2584A">
            <w:pPr>
              <w:numPr>
                <w:ilvl w:val="0"/>
                <w:numId w:val="1"/>
              </w:numPr>
              <w:shd w:val="clear" w:color="auto" w:fill="FFFFFF"/>
              <w:spacing w:before="120" w:line="276" w:lineRule="auto"/>
              <w:rPr>
                <w:sz w:val="21"/>
                <w:szCs w:val="21"/>
              </w:rPr>
            </w:pPr>
            <w:r>
              <w:rPr>
                <w:color w:val="222222"/>
                <w:sz w:val="21"/>
                <w:szCs w:val="21"/>
              </w:rPr>
              <w:t xml:space="preserve">Climate Change (e.g. </w:t>
            </w:r>
            <w:hyperlink r:id="rId35">
              <w:r>
                <w:rPr>
                  <w:color w:val="1155CC"/>
                  <w:sz w:val="21"/>
                  <w:szCs w:val="21"/>
                  <w:u w:val="single"/>
                </w:rPr>
                <w:t xml:space="preserve">ARC </w:t>
              </w:r>
              <w:proofErr w:type="spellStart"/>
              <w:r>
                <w:rPr>
                  <w:color w:val="1155CC"/>
                  <w:sz w:val="21"/>
                  <w:szCs w:val="21"/>
                  <w:u w:val="single"/>
                </w:rPr>
                <w:t>CoE</w:t>
              </w:r>
              <w:proofErr w:type="spellEnd"/>
              <w:r>
                <w:rPr>
                  <w:color w:val="1155CC"/>
                  <w:sz w:val="21"/>
                  <w:szCs w:val="21"/>
                  <w:u w:val="single"/>
                </w:rPr>
                <w:t xml:space="preserve"> for 21st Century Weather</w:t>
              </w:r>
            </w:hyperlink>
            <w:r>
              <w:rPr>
                <w:color w:val="222222"/>
                <w:sz w:val="21"/>
                <w:szCs w:val="21"/>
              </w:rPr>
              <w:t xml:space="preserve"> and </w:t>
            </w:r>
            <w:hyperlink r:id="rId36">
              <w:r>
                <w:rPr>
                  <w:color w:val="1155CC"/>
                  <w:sz w:val="21"/>
                  <w:szCs w:val="21"/>
                  <w:u w:val="single"/>
                </w:rPr>
                <w:t>Securing Antarctica's Environmental Future</w:t>
              </w:r>
            </w:hyperlink>
            <w:r>
              <w:rPr>
                <w:color w:val="222222"/>
                <w:sz w:val="21"/>
                <w:szCs w:val="21"/>
              </w:rPr>
              <w:t xml:space="preserve">); </w:t>
            </w:r>
          </w:p>
          <w:p w14:paraId="1B8DB3B6" w14:textId="77777777" w:rsidR="009219FA" w:rsidRDefault="00A2584A">
            <w:pPr>
              <w:numPr>
                <w:ilvl w:val="0"/>
                <w:numId w:val="1"/>
              </w:numPr>
              <w:shd w:val="clear" w:color="auto" w:fill="FFFFFF"/>
              <w:spacing w:line="276" w:lineRule="auto"/>
              <w:rPr>
                <w:sz w:val="21"/>
                <w:szCs w:val="21"/>
              </w:rPr>
            </w:pPr>
            <w:r>
              <w:rPr>
                <w:color w:val="222222"/>
                <w:sz w:val="21"/>
                <w:szCs w:val="21"/>
              </w:rPr>
              <w:t xml:space="preserve">Thriving communities (e.g. </w:t>
            </w:r>
            <w:hyperlink r:id="rId37">
              <w:r>
                <w:rPr>
                  <w:color w:val="1155CC"/>
                  <w:sz w:val="21"/>
                  <w:szCs w:val="21"/>
                  <w:u w:val="single"/>
                </w:rPr>
                <w:t xml:space="preserve">ARC </w:t>
              </w:r>
              <w:proofErr w:type="spellStart"/>
              <w:r>
                <w:rPr>
                  <w:color w:val="1155CC"/>
                  <w:sz w:val="21"/>
                  <w:szCs w:val="21"/>
                  <w:u w:val="single"/>
                </w:rPr>
                <w:t>CoE</w:t>
              </w:r>
              <w:proofErr w:type="spellEnd"/>
              <w:r>
                <w:rPr>
                  <w:color w:val="1155CC"/>
                  <w:sz w:val="21"/>
                  <w:szCs w:val="21"/>
                  <w:u w:val="single"/>
                </w:rPr>
                <w:t xml:space="preserve"> for the Elimination of Violence Against Women</w:t>
              </w:r>
            </w:hyperlink>
            <w:r>
              <w:rPr>
                <w:color w:val="222222"/>
                <w:sz w:val="21"/>
                <w:szCs w:val="21"/>
              </w:rPr>
              <w:t xml:space="preserve"> and </w:t>
            </w:r>
            <w:hyperlink r:id="rId38">
              <w:r>
                <w:rPr>
                  <w:color w:val="1155CC"/>
                  <w:sz w:val="21"/>
                  <w:szCs w:val="21"/>
                  <w:u w:val="single"/>
                </w:rPr>
                <w:t>Artificial Heart Frontiers Program</w:t>
              </w:r>
            </w:hyperlink>
            <w:r>
              <w:rPr>
                <w:color w:val="222222"/>
                <w:sz w:val="21"/>
                <w:szCs w:val="21"/>
              </w:rPr>
              <w:t xml:space="preserve">); and </w:t>
            </w:r>
          </w:p>
          <w:p w14:paraId="26340949" w14:textId="77777777" w:rsidR="009219FA" w:rsidRDefault="00A2584A">
            <w:pPr>
              <w:numPr>
                <w:ilvl w:val="0"/>
                <w:numId w:val="1"/>
              </w:numPr>
              <w:shd w:val="clear" w:color="auto" w:fill="FFFFFF"/>
              <w:spacing w:after="120" w:line="276" w:lineRule="auto"/>
              <w:rPr>
                <w:sz w:val="21"/>
                <w:szCs w:val="21"/>
              </w:rPr>
            </w:pPr>
            <w:r>
              <w:rPr>
                <w:color w:val="222222"/>
                <w:sz w:val="21"/>
                <w:szCs w:val="21"/>
              </w:rPr>
              <w:t>Geopolitical security (</w:t>
            </w:r>
            <w:proofErr w:type="spellStart"/>
            <w:r>
              <w:rPr>
                <w:color w:val="222222"/>
                <w:sz w:val="21"/>
                <w:szCs w:val="21"/>
              </w:rPr>
              <w:t>e.g</w:t>
            </w:r>
            <w:proofErr w:type="spellEnd"/>
            <w:r>
              <w:rPr>
                <w:color w:val="222222"/>
                <w:sz w:val="21"/>
                <w:szCs w:val="21"/>
              </w:rPr>
              <w:t xml:space="preserve"> </w:t>
            </w:r>
            <w:hyperlink r:id="rId39">
              <w:r>
                <w:rPr>
                  <w:color w:val="1155CC"/>
                  <w:sz w:val="21"/>
                  <w:szCs w:val="21"/>
                  <w:u w:val="single"/>
                </w:rPr>
                <w:t>Partnership for Australia-Indonesia Research (PAIR)</w:t>
              </w:r>
            </w:hyperlink>
            <w:r>
              <w:rPr>
                <w:color w:val="222222"/>
                <w:sz w:val="21"/>
                <w:szCs w:val="21"/>
              </w:rPr>
              <w:t xml:space="preserve"> and </w:t>
            </w:r>
            <w:hyperlink r:id="rId40">
              <w:r>
                <w:rPr>
                  <w:color w:val="1155CC"/>
                  <w:sz w:val="21"/>
                  <w:szCs w:val="21"/>
                  <w:u w:val="single"/>
                </w:rPr>
                <w:t>Castan Centre for Human Rights Law</w:t>
              </w:r>
            </w:hyperlink>
            <w:r>
              <w:rPr>
                <w:color w:val="222222"/>
                <w:sz w:val="21"/>
                <w:szCs w:val="21"/>
              </w:rPr>
              <w:t>).</w:t>
            </w:r>
          </w:p>
          <w:p w14:paraId="355509E4" w14:textId="77777777" w:rsidR="009219FA" w:rsidRDefault="00A2584A">
            <w:pPr>
              <w:shd w:val="clear" w:color="auto" w:fill="FFFFFF"/>
              <w:spacing w:before="120" w:after="120" w:line="276" w:lineRule="auto"/>
              <w:rPr>
                <w:b/>
                <w:color w:val="222222"/>
                <w:sz w:val="21"/>
                <w:szCs w:val="21"/>
              </w:rPr>
            </w:pPr>
            <w:r>
              <w:rPr>
                <w:b/>
                <w:color w:val="222222"/>
                <w:sz w:val="21"/>
                <w:szCs w:val="21"/>
              </w:rPr>
              <w:t>Research Training</w:t>
            </w:r>
          </w:p>
          <w:p w14:paraId="3FEC59A8" w14:textId="77777777" w:rsidR="009219FA" w:rsidRDefault="00A2584A">
            <w:pPr>
              <w:shd w:val="clear" w:color="auto" w:fill="FFFFFF"/>
              <w:spacing w:before="120" w:after="120" w:line="276" w:lineRule="auto"/>
              <w:rPr>
                <w:sz w:val="21"/>
                <w:szCs w:val="21"/>
              </w:rPr>
            </w:pPr>
            <w:r>
              <w:rPr>
                <w:color w:val="222222"/>
                <w:sz w:val="21"/>
                <w:szCs w:val="21"/>
              </w:rPr>
              <w:t>Monash has more than 5000 doctoral students and delivers research training programs that foster transferable skills, opportunities to collaborate and internships with industry, developing job-ready graduates.</w:t>
            </w:r>
            <w:hyperlink r:id="rId41">
              <w:r>
                <w:rPr>
                  <w:color w:val="222222"/>
                  <w:sz w:val="21"/>
                  <w:szCs w:val="21"/>
                </w:rPr>
                <w:t xml:space="preserve"> </w:t>
              </w:r>
            </w:hyperlink>
            <w:hyperlink r:id="rId42">
              <w:r>
                <w:rPr>
                  <w:color w:val="7F4594"/>
                  <w:sz w:val="21"/>
                  <w:szCs w:val="21"/>
                  <w:u w:val="single"/>
                </w:rPr>
                <w:t>Graduate Research Industry Partner (GRIP)</w:t>
              </w:r>
            </w:hyperlink>
            <w:r>
              <w:rPr>
                <w:sz w:val="21"/>
                <w:szCs w:val="21"/>
              </w:rPr>
              <w:t xml:space="preserve"> programs are research partnerships with industry/research end users to enable business-focused research training programs, solve real-world problems, and improve graduate employment options.</w:t>
            </w:r>
          </w:p>
          <w:p w14:paraId="69384863" w14:textId="77777777" w:rsidR="00705FEC" w:rsidRDefault="00705FEC" w:rsidP="00705FEC">
            <w:pPr>
              <w:shd w:val="clear" w:color="auto" w:fill="FFFFFF"/>
              <w:spacing w:before="120" w:after="120" w:line="276" w:lineRule="auto"/>
              <w:rPr>
                <w:b/>
                <w:color w:val="222222"/>
                <w:sz w:val="21"/>
                <w:szCs w:val="21"/>
              </w:rPr>
            </w:pPr>
            <w:r>
              <w:rPr>
                <w:b/>
                <w:color w:val="222222"/>
                <w:sz w:val="21"/>
                <w:szCs w:val="21"/>
              </w:rPr>
              <w:t>Industry Engagement and Research Commercialisation</w:t>
            </w:r>
          </w:p>
          <w:p w14:paraId="2F3DED4F" w14:textId="77777777" w:rsidR="00705FEC" w:rsidRDefault="00705FEC" w:rsidP="00705FEC">
            <w:pPr>
              <w:spacing w:before="120" w:after="120"/>
              <w:rPr>
                <w:sz w:val="21"/>
                <w:szCs w:val="21"/>
              </w:rPr>
            </w:pPr>
            <w:r>
              <w:rPr>
                <w:sz w:val="21"/>
                <w:szCs w:val="21"/>
              </w:rPr>
              <w:t>Monash has identified strategic intervention areas to focus its research, translation, innovation and commercialisation capabilities:</w:t>
            </w:r>
          </w:p>
          <w:p w14:paraId="75C5C663" w14:textId="77777777" w:rsidR="00705FEC" w:rsidRDefault="00705FEC" w:rsidP="00705FEC">
            <w:pPr>
              <w:ind w:left="1080" w:hanging="360"/>
              <w:rPr>
                <w:sz w:val="21"/>
                <w:szCs w:val="21"/>
              </w:rPr>
            </w:pPr>
            <w:r>
              <w:rPr>
                <w:sz w:val="21"/>
                <w:szCs w:val="21"/>
              </w:rPr>
              <w:t xml:space="preserve">1. </w:t>
            </w:r>
            <w:r>
              <w:rPr>
                <w:sz w:val="21"/>
                <w:szCs w:val="21"/>
              </w:rPr>
              <w:tab/>
              <w:t xml:space="preserve">Harnessing insights, capabilities and </w:t>
            </w:r>
            <w:proofErr w:type="gramStart"/>
            <w:r>
              <w:rPr>
                <w:sz w:val="21"/>
                <w:szCs w:val="21"/>
              </w:rPr>
              <w:t>talent;</w:t>
            </w:r>
            <w:proofErr w:type="gramEnd"/>
          </w:p>
          <w:p w14:paraId="3F58CA3D" w14:textId="77777777" w:rsidR="00705FEC" w:rsidRDefault="00705FEC" w:rsidP="00705FEC">
            <w:pPr>
              <w:ind w:left="1080" w:hanging="360"/>
              <w:rPr>
                <w:sz w:val="21"/>
                <w:szCs w:val="21"/>
              </w:rPr>
            </w:pPr>
            <w:r>
              <w:rPr>
                <w:sz w:val="21"/>
                <w:szCs w:val="21"/>
              </w:rPr>
              <w:t xml:space="preserve">2. </w:t>
            </w:r>
            <w:r>
              <w:rPr>
                <w:sz w:val="21"/>
                <w:szCs w:val="21"/>
              </w:rPr>
              <w:tab/>
              <w:t>Mobilising around significant challenges/</w:t>
            </w:r>
            <w:proofErr w:type="gramStart"/>
            <w:r>
              <w:rPr>
                <w:sz w:val="21"/>
                <w:szCs w:val="21"/>
              </w:rPr>
              <w:t>opportunities;</w:t>
            </w:r>
            <w:proofErr w:type="gramEnd"/>
          </w:p>
          <w:p w14:paraId="4C534CD1" w14:textId="77777777" w:rsidR="00705FEC" w:rsidRDefault="00705FEC" w:rsidP="00705FEC">
            <w:pPr>
              <w:ind w:left="1080" w:hanging="360"/>
              <w:rPr>
                <w:sz w:val="21"/>
                <w:szCs w:val="21"/>
              </w:rPr>
            </w:pPr>
            <w:r>
              <w:rPr>
                <w:sz w:val="21"/>
                <w:szCs w:val="21"/>
              </w:rPr>
              <w:t xml:space="preserve">3. </w:t>
            </w:r>
            <w:r>
              <w:rPr>
                <w:sz w:val="21"/>
                <w:szCs w:val="21"/>
              </w:rPr>
              <w:tab/>
              <w:t xml:space="preserve">Activating the collaboration ecosystem; and </w:t>
            </w:r>
          </w:p>
          <w:p w14:paraId="32B6D2C8" w14:textId="77777777" w:rsidR="00705FEC" w:rsidRDefault="00705FEC" w:rsidP="00705FEC">
            <w:pPr>
              <w:spacing w:after="120"/>
              <w:ind w:left="1080" w:hanging="360"/>
              <w:rPr>
                <w:sz w:val="21"/>
                <w:szCs w:val="21"/>
              </w:rPr>
            </w:pPr>
            <w:r>
              <w:rPr>
                <w:sz w:val="21"/>
                <w:szCs w:val="21"/>
              </w:rPr>
              <w:t xml:space="preserve">4. </w:t>
            </w:r>
            <w:r>
              <w:rPr>
                <w:sz w:val="21"/>
                <w:szCs w:val="21"/>
              </w:rPr>
              <w:tab/>
              <w:t>Strengthening governance to ensure effective delivery of outcomes.</w:t>
            </w:r>
          </w:p>
          <w:p w14:paraId="2AC108DE" w14:textId="77777777" w:rsidR="00705FEC" w:rsidRDefault="00705FEC" w:rsidP="00705FEC">
            <w:pPr>
              <w:spacing w:before="120" w:after="120" w:line="276" w:lineRule="auto"/>
              <w:rPr>
                <w:sz w:val="21"/>
                <w:szCs w:val="21"/>
              </w:rPr>
            </w:pPr>
            <w:r>
              <w:rPr>
                <w:sz w:val="21"/>
                <w:szCs w:val="21"/>
              </w:rPr>
              <w:t xml:space="preserve">Monash will work with key partners to translate its research including </w:t>
            </w:r>
            <w:proofErr w:type="spellStart"/>
            <w:r>
              <w:rPr>
                <w:sz w:val="21"/>
                <w:szCs w:val="21"/>
              </w:rPr>
              <w:t>BioCurate</w:t>
            </w:r>
            <w:proofErr w:type="spellEnd"/>
            <w:r>
              <w:rPr>
                <w:sz w:val="21"/>
                <w:szCs w:val="21"/>
              </w:rPr>
              <w:t>, IP Group and Breakthrough Victoria, including working across the</w:t>
            </w:r>
            <w:hyperlink r:id="rId43">
              <w:r>
                <w:rPr>
                  <w:sz w:val="21"/>
                  <w:szCs w:val="21"/>
                </w:rPr>
                <w:t xml:space="preserve"> </w:t>
              </w:r>
            </w:hyperlink>
            <w:hyperlink r:id="rId44">
              <w:r>
                <w:rPr>
                  <w:color w:val="7F4594"/>
                  <w:sz w:val="21"/>
                  <w:szCs w:val="21"/>
                  <w:u w:val="single"/>
                </w:rPr>
                <w:t>Monash Technology Precinct</w:t>
              </w:r>
            </w:hyperlink>
            <w:r>
              <w:rPr>
                <w:sz w:val="21"/>
                <w:szCs w:val="21"/>
              </w:rPr>
              <w:t>.</w:t>
            </w:r>
          </w:p>
          <w:p w14:paraId="4A7DE7B1" w14:textId="77777777" w:rsidR="00705FEC" w:rsidRDefault="00705FEC" w:rsidP="00705FEC">
            <w:pPr>
              <w:spacing w:before="120" w:after="120" w:line="276" w:lineRule="auto"/>
              <w:rPr>
                <w:sz w:val="21"/>
                <w:szCs w:val="21"/>
              </w:rPr>
            </w:pPr>
            <w:hyperlink r:id="rId45">
              <w:r>
                <w:rPr>
                  <w:color w:val="1155CC"/>
                  <w:sz w:val="21"/>
                  <w:szCs w:val="21"/>
                  <w:u w:val="single"/>
                </w:rPr>
                <w:t>Monash Innovation Labs</w:t>
              </w:r>
            </w:hyperlink>
            <w:r>
              <w:rPr>
                <w:sz w:val="21"/>
                <w:szCs w:val="21"/>
              </w:rPr>
              <w:t xml:space="preserve"> are a key part of this growth and development ecosystem, and connect the university with industry partners for talent, expertise and co-located facilities. This brings together researchers and students across areas like engineering, IT, science and pharmacy.</w:t>
            </w:r>
          </w:p>
          <w:p w14:paraId="5B2E503C" w14:textId="1A3231B5" w:rsidR="00705FEC" w:rsidRDefault="00705FEC" w:rsidP="00705FEC">
            <w:pPr>
              <w:rPr>
                <w:sz w:val="21"/>
                <w:szCs w:val="21"/>
                <w:highlight w:val="white"/>
              </w:rPr>
            </w:pPr>
            <w:r>
              <w:rPr>
                <w:sz w:val="21"/>
                <w:szCs w:val="21"/>
                <w:highlight w:val="white"/>
              </w:rPr>
              <w:t xml:space="preserve">We are building a new research facility for our world class Monash Institute of Pharmaceutical Sciences, research from which has contributed to the delivery of such new drugs as </w:t>
            </w:r>
            <w:proofErr w:type="spellStart"/>
            <w:r>
              <w:rPr>
                <w:sz w:val="21"/>
                <w:szCs w:val="21"/>
                <w:highlight w:val="white"/>
              </w:rPr>
              <w:t>Cobenfy</w:t>
            </w:r>
            <w:proofErr w:type="spellEnd"/>
            <w:r>
              <w:rPr>
                <w:sz w:val="21"/>
                <w:szCs w:val="21"/>
                <w:highlight w:val="white"/>
              </w:rPr>
              <w:t xml:space="preserve"> - a new treatment for schizophrenia, and </w:t>
            </w:r>
            <w:proofErr w:type="spellStart"/>
            <w:r>
              <w:rPr>
                <w:sz w:val="21"/>
                <w:szCs w:val="21"/>
                <w:highlight w:val="white"/>
              </w:rPr>
              <w:t>Momelotinib</w:t>
            </w:r>
            <w:proofErr w:type="spellEnd"/>
            <w:r>
              <w:rPr>
                <w:sz w:val="21"/>
                <w:szCs w:val="21"/>
                <w:highlight w:val="white"/>
              </w:rPr>
              <w:t xml:space="preserve"> – a new treatment for bone marrow cancer; and we have expanded our Medicines Manufacturing Innovation Centre to enhance medicine manufacturing. </w:t>
            </w:r>
          </w:p>
          <w:p w14:paraId="0FC850DE" w14:textId="77777777" w:rsidR="00705FEC" w:rsidRDefault="00705FEC" w:rsidP="00705FEC">
            <w:pPr>
              <w:spacing w:before="120" w:after="120" w:line="276" w:lineRule="auto"/>
              <w:rPr>
                <w:sz w:val="21"/>
                <w:szCs w:val="21"/>
                <w:u w:val="single"/>
              </w:rPr>
            </w:pPr>
            <w:r>
              <w:rPr>
                <w:b/>
                <w:color w:val="222222"/>
                <w:sz w:val="21"/>
                <w:szCs w:val="21"/>
              </w:rPr>
              <w:t>Key Performance Indicators</w:t>
            </w:r>
          </w:p>
          <w:p w14:paraId="0CF6DAC2" w14:textId="77777777" w:rsidR="00705FEC" w:rsidRDefault="00705FEC" w:rsidP="00B83002">
            <w:pPr>
              <w:spacing w:before="120"/>
              <w:rPr>
                <w:color w:val="000000"/>
                <w:sz w:val="21"/>
                <w:szCs w:val="21"/>
              </w:rPr>
            </w:pPr>
            <w:bookmarkStart w:id="1" w:name="_heading=h.xhii0ohms1mz" w:colFirst="0" w:colLast="0"/>
            <w:bookmarkEnd w:id="1"/>
            <w:r>
              <w:rPr>
                <w:color w:val="000000"/>
                <w:sz w:val="21"/>
                <w:szCs w:val="21"/>
              </w:rPr>
              <w:t xml:space="preserve">Monash University’s research success and impact will be measured and assessed by </w:t>
            </w:r>
            <w:proofErr w:type="gramStart"/>
            <w:r>
              <w:rPr>
                <w:color w:val="000000"/>
                <w:sz w:val="21"/>
                <w:szCs w:val="21"/>
              </w:rPr>
              <w:t>a number of</w:t>
            </w:r>
            <w:proofErr w:type="gramEnd"/>
            <w:r>
              <w:rPr>
                <w:color w:val="000000"/>
                <w:sz w:val="21"/>
                <w:szCs w:val="21"/>
              </w:rPr>
              <w:t xml:space="preserve"> metrics, including those outlined in the following table.</w:t>
            </w:r>
          </w:p>
          <w:tbl>
            <w:tblPr>
              <w:tblStyle w:val="a1"/>
              <w:tblW w:w="88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4"/>
              <w:gridCol w:w="4252"/>
              <w:gridCol w:w="2000"/>
            </w:tblGrid>
            <w:tr w:rsidR="00B83002" w14:paraId="6BAA3692" w14:textId="77777777" w:rsidTr="002C1D2A">
              <w:tc>
                <w:tcPr>
                  <w:tcW w:w="25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32ED4F" w14:textId="77777777" w:rsidR="00B83002" w:rsidRDefault="00B83002" w:rsidP="00B83002">
                  <w:pPr>
                    <w:spacing w:before="40" w:after="0" w:line="288" w:lineRule="auto"/>
                    <w:ind w:left="280" w:right="60"/>
                    <w:rPr>
                      <w:color w:val="070707"/>
                      <w:sz w:val="17"/>
                      <w:szCs w:val="17"/>
                    </w:rPr>
                  </w:pPr>
                  <w:r>
                    <w:rPr>
                      <w:color w:val="070707"/>
                      <w:sz w:val="17"/>
                      <w:szCs w:val="17"/>
                    </w:rPr>
                    <w:t>Objectives</w:t>
                  </w:r>
                </w:p>
              </w:tc>
              <w:tc>
                <w:tcPr>
                  <w:tcW w:w="4252"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3DC6EFAD" w14:textId="77777777" w:rsidR="00B83002" w:rsidRDefault="00B83002" w:rsidP="00B83002">
                  <w:pPr>
                    <w:spacing w:before="40" w:after="0" w:line="276" w:lineRule="auto"/>
                    <w:ind w:left="280"/>
                    <w:rPr>
                      <w:color w:val="070707"/>
                      <w:sz w:val="17"/>
                      <w:szCs w:val="17"/>
                    </w:rPr>
                  </w:pPr>
                  <w:r>
                    <w:rPr>
                      <w:color w:val="070707"/>
                      <w:sz w:val="17"/>
                      <w:szCs w:val="17"/>
                    </w:rPr>
                    <w:t>Measures</w:t>
                  </w:r>
                </w:p>
              </w:tc>
              <w:tc>
                <w:tcPr>
                  <w:tcW w:w="200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13E5A2FB" w14:textId="77777777" w:rsidR="00B83002" w:rsidRDefault="00B83002" w:rsidP="00B83002">
                  <w:pPr>
                    <w:spacing w:before="40" w:after="0" w:line="276" w:lineRule="auto"/>
                    <w:ind w:left="300"/>
                    <w:rPr>
                      <w:color w:val="070707"/>
                      <w:sz w:val="17"/>
                      <w:szCs w:val="17"/>
                    </w:rPr>
                  </w:pPr>
                  <w:r>
                    <w:rPr>
                      <w:color w:val="070707"/>
                      <w:sz w:val="17"/>
                      <w:szCs w:val="17"/>
                    </w:rPr>
                    <w:t>Targets</w:t>
                  </w:r>
                </w:p>
              </w:tc>
            </w:tr>
            <w:tr w:rsidR="00B83002" w14:paraId="0B3A2F1B" w14:textId="77777777" w:rsidTr="002C1D2A">
              <w:tc>
                <w:tcPr>
                  <w:tcW w:w="256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FC7280" w14:textId="77777777" w:rsidR="00B83002" w:rsidRDefault="00B83002" w:rsidP="00B83002">
                  <w:pPr>
                    <w:spacing w:before="40" w:after="0" w:line="288" w:lineRule="auto"/>
                    <w:ind w:left="280" w:right="60"/>
                    <w:rPr>
                      <w:color w:val="070707"/>
                      <w:sz w:val="17"/>
                      <w:szCs w:val="17"/>
                    </w:rPr>
                  </w:pPr>
                  <w:r>
                    <w:rPr>
                      <w:color w:val="070707"/>
                      <w:sz w:val="17"/>
                      <w:szCs w:val="17"/>
                    </w:rPr>
                    <w:t>Field-weighted citation index and internationally recognised systems of peer review</w:t>
                  </w:r>
                </w:p>
              </w:tc>
              <w:tc>
                <w:tcPr>
                  <w:tcW w:w="4252"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1EC19542" w14:textId="77777777" w:rsidR="00B83002" w:rsidRDefault="00B83002" w:rsidP="00B83002">
                  <w:pPr>
                    <w:spacing w:before="40" w:after="0" w:line="276" w:lineRule="auto"/>
                    <w:ind w:left="280"/>
                    <w:rPr>
                      <w:color w:val="070707"/>
                      <w:sz w:val="17"/>
                      <w:szCs w:val="17"/>
                    </w:rPr>
                  </w:pPr>
                  <w:r>
                    <w:rPr>
                      <w:color w:val="070707"/>
                      <w:sz w:val="17"/>
                      <w:szCs w:val="17"/>
                    </w:rPr>
                    <w:t>Field-weighted citation index</w:t>
                  </w:r>
                </w:p>
              </w:tc>
              <w:tc>
                <w:tcPr>
                  <w:tcW w:w="200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0387C917" w14:textId="77777777" w:rsidR="00B83002" w:rsidRDefault="00B83002" w:rsidP="00B83002">
                  <w:pPr>
                    <w:spacing w:before="40" w:after="0" w:line="276" w:lineRule="auto"/>
                    <w:ind w:left="300"/>
                    <w:rPr>
                      <w:color w:val="070707"/>
                      <w:sz w:val="17"/>
                      <w:szCs w:val="17"/>
                    </w:rPr>
                  </w:pPr>
                  <w:r>
                    <w:rPr>
                      <w:color w:val="070707"/>
                      <w:sz w:val="17"/>
                      <w:szCs w:val="17"/>
                    </w:rPr>
                    <w:t>2.0+</w:t>
                  </w:r>
                </w:p>
              </w:tc>
            </w:tr>
            <w:tr w:rsidR="00B83002" w14:paraId="2D7F96EF" w14:textId="77777777" w:rsidTr="002C1D2A">
              <w:tc>
                <w:tcPr>
                  <w:tcW w:w="256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DD7AE" w14:textId="77777777" w:rsidR="00B83002" w:rsidRDefault="00B83002" w:rsidP="00B83002">
                  <w:pPr>
                    <w:widowControl w:val="0"/>
                    <w:pBdr>
                      <w:top w:val="nil"/>
                      <w:left w:val="nil"/>
                      <w:bottom w:val="nil"/>
                      <w:right w:val="nil"/>
                      <w:between w:val="nil"/>
                    </w:pBdr>
                    <w:spacing w:after="0" w:line="240" w:lineRule="auto"/>
                    <w:rPr>
                      <w:sz w:val="21"/>
                      <w:szCs w:val="21"/>
                      <w:highlight w:val="yellow"/>
                    </w:rPr>
                  </w:pPr>
                </w:p>
              </w:tc>
              <w:tc>
                <w:tcPr>
                  <w:tcW w:w="4252" w:type="dxa"/>
                  <w:tcBorders>
                    <w:top w:val="nil"/>
                    <w:left w:val="nil"/>
                    <w:bottom w:val="single" w:sz="8" w:space="0" w:color="000000"/>
                    <w:right w:val="single" w:sz="8" w:space="0" w:color="000000"/>
                  </w:tcBorders>
                  <w:tcMar>
                    <w:top w:w="0" w:type="dxa"/>
                    <w:left w:w="0" w:type="dxa"/>
                    <w:bottom w:w="0" w:type="dxa"/>
                    <w:right w:w="0" w:type="dxa"/>
                  </w:tcMar>
                </w:tcPr>
                <w:p w14:paraId="43B802E1" w14:textId="77777777" w:rsidR="00B83002" w:rsidRDefault="00B83002" w:rsidP="00B83002">
                  <w:pPr>
                    <w:spacing w:before="40" w:after="0" w:line="276" w:lineRule="auto"/>
                    <w:ind w:left="280"/>
                    <w:rPr>
                      <w:color w:val="070707"/>
                      <w:sz w:val="17"/>
                      <w:szCs w:val="17"/>
                    </w:rPr>
                  </w:pPr>
                  <w:r>
                    <w:rPr>
                      <w:color w:val="070707"/>
                      <w:sz w:val="17"/>
                      <w:szCs w:val="17"/>
                    </w:rPr>
                    <w:t>QS Subject Rankings</w:t>
                  </w:r>
                </w:p>
                <w:p w14:paraId="05535552" w14:textId="77777777" w:rsidR="00B83002" w:rsidRDefault="00B83002" w:rsidP="00B83002">
                  <w:pPr>
                    <w:spacing w:before="80" w:after="0" w:line="276" w:lineRule="auto"/>
                    <w:ind w:left="754" w:hanging="426"/>
                    <w:rPr>
                      <w:color w:val="070707"/>
                      <w:sz w:val="17"/>
                      <w:szCs w:val="17"/>
                    </w:rPr>
                  </w:pPr>
                  <w:r>
                    <w:rPr>
                      <w:color w:val="070707"/>
                      <w:sz w:val="17"/>
                      <w:szCs w:val="17"/>
                    </w:rPr>
                    <w:t>1.        Broad subject group rankings</w:t>
                  </w:r>
                </w:p>
                <w:p w14:paraId="68FCED9F" w14:textId="77777777" w:rsidR="00B83002" w:rsidRDefault="00B83002" w:rsidP="00B83002">
                  <w:pPr>
                    <w:spacing w:before="60" w:after="0" w:line="276" w:lineRule="auto"/>
                    <w:ind w:left="754" w:hanging="426"/>
                    <w:rPr>
                      <w:color w:val="070707"/>
                      <w:sz w:val="17"/>
                      <w:szCs w:val="17"/>
                    </w:rPr>
                  </w:pPr>
                  <w:r>
                    <w:rPr>
                      <w:color w:val="070707"/>
                      <w:sz w:val="17"/>
                      <w:szCs w:val="17"/>
                    </w:rPr>
                    <w:t xml:space="preserve">2.       </w:t>
                  </w:r>
                  <w:r>
                    <w:rPr>
                      <w:color w:val="070707"/>
                      <w:sz w:val="17"/>
                      <w:szCs w:val="17"/>
                    </w:rPr>
                    <w:tab/>
                  </w:r>
                  <w:r>
                    <w:rPr>
                      <w:color w:val="1A1A1A"/>
                      <w:sz w:val="17"/>
                      <w:szCs w:val="17"/>
                    </w:rPr>
                    <w:t xml:space="preserve">% </w:t>
                  </w:r>
                  <w:r>
                    <w:rPr>
                      <w:color w:val="070707"/>
                      <w:sz w:val="17"/>
                      <w:szCs w:val="17"/>
                    </w:rPr>
                    <w:t>of individual subjects in top 100</w:t>
                  </w:r>
                </w:p>
              </w:tc>
              <w:tc>
                <w:tcPr>
                  <w:tcW w:w="2000" w:type="dxa"/>
                  <w:tcBorders>
                    <w:top w:val="nil"/>
                    <w:left w:val="nil"/>
                    <w:bottom w:val="single" w:sz="8" w:space="0" w:color="000000"/>
                    <w:right w:val="single" w:sz="8" w:space="0" w:color="000000"/>
                  </w:tcBorders>
                  <w:tcMar>
                    <w:top w:w="0" w:type="dxa"/>
                    <w:left w:w="0" w:type="dxa"/>
                    <w:bottom w:w="0" w:type="dxa"/>
                    <w:right w:w="0" w:type="dxa"/>
                  </w:tcMar>
                </w:tcPr>
                <w:p w14:paraId="4A34EDDD" w14:textId="77777777" w:rsidR="00B83002" w:rsidRDefault="00B83002" w:rsidP="00B83002">
                  <w:pPr>
                    <w:spacing w:before="120" w:after="0" w:line="276" w:lineRule="auto"/>
                    <w:ind w:left="160"/>
                    <w:rPr>
                      <w:b/>
                      <w:sz w:val="17"/>
                      <w:szCs w:val="17"/>
                    </w:rPr>
                  </w:pPr>
                  <w:r>
                    <w:rPr>
                      <w:b/>
                      <w:sz w:val="17"/>
                      <w:szCs w:val="17"/>
                    </w:rPr>
                    <w:t xml:space="preserve"> </w:t>
                  </w:r>
                </w:p>
                <w:p w14:paraId="6B960FD9" w14:textId="77777777" w:rsidR="00B83002" w:rsidRDefault="00B83002" w:rsidP="00B83002">
                  <w:pPr>
                    <w:spacing w:after="0" w:line="276" w:lineRule="auto"/>
                    <w:ind w:left="280"/>
                    <w:rPr>
                      <w:color w:val="070707"/>
                      <w:sz w:val="17"/>
                      <w:szCs w:val="17"/>
                    </w:rPr>
                  </w:pPr>
                  <w:r>
                    <w:rPr>
                      <w:color w:val="070707"/>
                      <w:sz w:val="17"/>
                      <w:szCs w:val="17"/>
                    </w:rPr>
                    <w:t>Top 100</w:t>
                  </w:r>
                </w:p>
                <w:p w14:paraId="76EAEC7E" w14:textId="77777777" w:rsidR="00B83002" w:rsidRDefault="00B83002" w:rsidP="00B83002">
                  <w:pPr>
                    <w:spacing w:before="80" w:after="0" w:line="276" w:lineRule="auto"/>
                    <w:ind w:left="280"/>
                    <w:rPr>
                      <w:color w:val="070707"/>
                      <w:sz w:val="17"/>
                      <w:szCs w:val="17"/>
                    </w:rPr>
                  </w:pPr>
                  <w:r>
                    <w:rPr>
                      <w:color w:val="070707"/>
                      <w:sz w:val="17"/>
                      <w:szCs w:val="17"/>
                    </w:rPr>
                    <w:t>90+%</w:t>
                  </w:r>
                </w:p>
              </w:tc>
            </w:tr>
            <w:tr w:rsidR="00B83002" w14:paraId="5E911951" w14:textId="77777777" w:rsidTr="002C1D2A">
              <w:tc>
                <w:tcPr>
                  <w:tcW w:w="256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2CE1DBA" w14:textId="77777777" w:rsidR="00B83002" w:rsidRDefault="00B83002" w:rsidP="00B83002">
                  <w:pPr>
                    <w:spacing w:before="40" w:after="0" w:line="276" w:lineRule="auto"/>
                    <w:ind w:left="280"/>
                    <w:rPr>
                      <w:color w:val="070707"/>
                      <w:sz w:val="17"/>
                      <w:szCs w:val="17"/>
                    </w:rPr>
                  </w:pPr>
                  <w:r>
                    <w:rPr>
                      <w:color w:val="070707"/>
                      <w:sz w:val="17"/>
                      <w:szCs w:val="17"/>
                    </w:rPr>
                    <w:t>HDR completions</w:t>
                  </w:r>
                </w:p>
              </w:tc>
              <w:tc>
                <w:tcPr>
                  <w:tcW w:w="4252" w:type="dxa"/>
                  <w:tcBorders>
                    <w:top w:val="nil"/>
                    <w:left w:val="nil"/>
                    <w:bottom w:val="single" w:sz="8" w:space="0" w:color="000000"/>
                    <w:right w:val="single" w:sz="8" w:space="0" w:color="000000"/>
                  </w:tcBorders>
                  <w:tcMar>
                    <w:top w:w="0" w:type="dxa"/>
                    <w:left w:w="0" w:type="dxa"/>
                    <w:bottom w:w="0" w:type="dxa"/>
                    <w:right w:w="0" w:type="dxa"/>
                  </w:tcMar>
                </w:tcPr>
                <w:p w14:paraId="08572651" w14:textId="77777777" w:rsidR="00B83002" w:rsidRDefault="00B83002" w:rsidP="00B83002">
                  <w:pPr>
                    <w:spacing w:before="40" w:after="0" w:line="276" w:lineRule="auto"/>
                    <w:ind w:left="280"/>
                    <w:rPr>
                      <w:color w:val="070707"/>
                      <w:sz w:val="17"/>
                      <w:szCs w:val="17"/>
                    </w:rPr>
                  </w:pPr>
                  <w:r>
                    <w:rPr>
                      <w:color w:val="070707"/>
                      <w:sz w:val="17"/>
                      <w:szCs w:val="17"/>
                    </w:rPr>
                    <w:t>HDR completions as a proportion of all Monash completions</w:t>
                  </w:r>
                </w:p>
              </w:tc>
              <w:tc>
                <w:tcPr>
                  <w:tcW w:w="2000" w:type="dxa"/>
                  <w:tcBorders>
                    <w:top w:val="nil"/>
                    <w:left w:val="nil"/>
                    <w:bottom w:val="single" w:sz="8" w:space="0" w:color="000000"/>
                    <w:right w:val="single" w:sz="8" w:space="0" w:color="000000"/>
                  </w:tcBorders>
                  <w:tcMar>
                    <w:top w:w="0" w:type="dxa"/>
                    <w:left w:w="0" w:type="dxa"/>
                    <w:bottom w:w="0" w:type="dxa"/>
                    <w:right w:w="0" w:type="dxa"/>
                  </w:tcMar>
                </w:tcPr>
                <w:p w14:paraId="12659851" w14:textId="77777777" w:rsidR="00B83002" w:rsidRDefault="00B83002" w:rsidP="00B83002">
                  <w:pPr>
                    <w:spacing w:before="40" w:after="0" w:line="276" w:lineRule="auto"/>
                    <w:ind w:left="300"/>
                    <w:rPr>
                      <w:color w:val="070707"/>
                      <w:sz w:val="17"/>
                      <w:szCs w:val="17"/>
                    </w:rPr>
                  </w:pPr>
                  <w:r>
                    <w:rPr>
                      <w:color w:val="070707"/>
                      <w:sz w:val="17"/>
                      <w:szCs w:val="17"/>
                    </w:rPr>
                    <w:t>3.5+%</w:t>
                  </w:r>
                </w:p>
              </w:tc>
            </w:tr>
            <w:tr w:rsidR="00B83002" w14:paraId="43755A94" w14:textId="77777777" w:rsidTr="002C1D2A">
              <w:tc>
                <w:tcPr>
                  <w:tcW w:w="256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7F85139C" w14:textId="77777777" w:rsidR="00B83002" w:rsidRDefault="00B83002" w:rsidP="00B83002">
                  <w:pPr>
                    <w:spacing w:before="40" w:after="0" w:line="276" w:lineRule="auto"/>
                    <w:ind w:left="280"/>
                    <w:rPr>
                      <w:color w:val="070707"/>
                      <w:sz w:val="17"/>
                      <w:szCs w:val="17"/>
                    </w:rPr>
                  </w:pPr>
                  <w:r>
                    <w:rPr>
                      <w:color w:val="070707"/>
                      <w:sz w:val="17"/>
                      <w:szCs w:val="17"/>
                    </w:rPr>
                    <w:t>Collaborations on co-authored papers on global challenges</w:t>
                  </w:r>
                </w:p>
              </w:tc>
              <w:tc>
                <w:tcPr>
                  <w:tcW w:w="4252" w:type="dxa"/>
                  <w:tcBorders>
                    <w:top w:val="nil"/>
                    <w:left w:val="nil"/>
                    <w:bottom w:val="single" w:sz="8" w:space="0" w:color="000000"/>
                    <w:right w:val="single" w:sz="8" w:space="0" w:color="000000"/>
                  </w:tcBorders>
                  <w:tcMar>
                    <w:top w:w="0" w:type="dxa"/>
                    <w:left w:w="0" w:type="dxa"/>
                    <w:bottom w:w="0" w:type="dxa"/>
                    <w:right w:w="0" w:type="dxa"/>
                  </w:tcMar>
                </w:tcPr>
                <w:p w14:paraId="2F4E4A0C" w14:textId="77777777" w:rsidR="00B83002" w:rsidRDefault="00B83002" w:rsidP="00B83002">
                  <w:pPr>
                    <w:spacing w:before="40" w:after="0" w:line="288" w:lineRule="auto"/>
                    <w:ind w:left="280"/>
                    <w:rPr>
                      <w:color w:val="070707"/>
                      <w:sz w:val="17"/>
                      <w:szCs w:val="17"/>
                    </w:rPr>
                  </w:pPr>
                  <w:r>
                    <w:rPr>
                      <w:color w:val="070707"/>
                      <w:sz w:val="17"/>
                      <w:szCs w:val="17"/>
                    </w:rPr>
                    <w:t>Proportion of Monash publications on global challenges that are co-authored with another country</w:t>
                  </w:r>
                </w:p>
              </w:tc>
              <w:tc>
                <w:tcPr>
                  <w:tcW w:w="2000" w:type="dxa"/>
                  <w:tcBorders>
                    <w:top w:val="nil"/>
                    <w:left w:val="nil"/>
                    <w:bottom w:val="single" w:sz="8" w:space="0" w:color="000000"/>
                    <w:right w:val="single" w:sz="8" w:space="0" w:color="000000"/>
                  </w:tcBorders>
                  <w:tcMar>
                    <w:top w:w="0" w:type="dxa"/>
                    <w:left w:w="0" w:type="dxa"/>
                    <w:bottom w:w="0" w:type="dxa"/>
                    <w:right w:w="0" w:type="dxa"/>
                  </w:tcMar>
                </w:tcPr>
                <w:p w14:paraId="697B8A4B" w14:textId="77777777" w:rsidR="00B83002" w:rsidRDefault="00B83002" w:rsidP="00B83002">
                  <w:pPr>
                    <w:spacing w:before="40" w:after="0" w:line="276" w:lineRule="auto"/>
                    <w:ind w:left="300"/>
                    <w:rPr>
                      <w:color w:val="070707"/>
                      <w:sz w:val="17"/>
                      <w:szCs w:val="17"/>
                    </w:rPr>
                  </w:pPr>
                  <w:r>
                    <w:rPr>
                      <w:color w:val="070707"/>
                      <w:sz w:val="17"/>
                      <w:szCs w:val="17"/>
                    </w:rPr>
                    <w:t>50+%</w:t>
                  </w:r>
                </w:p>
              </w:tc>
            </w:tr>
            <w:tr w:rsidR="00B83002" w14:paraId="2D97D19A" w14:textId="77777777" w:rsidTr="002C1D2A">
              <w:tc>
                <w:tcPr>
                  <w:tcW w:w="256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820B8DC" w14:textId="77777777" w:rsidR="00B83002" w:rsidRDefault="00B83002" w:rsidP="00B83002">
                  <w:pPr>
                    <w:spacing w:before="40" w:after="0" w:line="276" w:lineRule="auto"/>
                    <w:ind w:left="280"/>
                    <w:rPr>
                      <w:color w:val="070707"/>
                      <w:sz w:val="17"/>
                      <w:szCs w:val="17"/>
                    </w:rPr>
                  </w:pPr>
                  <w:r>
                    <w:rPr>
                      <w:color w:val="070707"/>
                      <w:sz w:val="17"/>
                      <w:szCs w:val="17"/>
                    </w:rPr>
                    <w:t>Impact assessments of research output</w:t>
                  </w:r>
                </w:p>
              </w:tc>
              <w:tc>
                <w:tcPr>
                  <w:tcW w:w="4252" w:type="dxa"/>
                  <w:tcBorders>
                    <w:top w:val="nil"/>
                    <w:left w:val="nil"/>
                    <w:bottom w:val="single" w:sz="8" w:space="0" w:color="000000"/>
                    <w:right w:val="single" w:sz="8" w:space="0" w:color="000000"/>
                  </w:tcBorders>
                  <w:tcMar>
                    <w:top w:w="0" w:type="dxa"/>
                    <w:left w:w="0" w:type="dxa"/>
                    <w:bottom w:w="0" w:type="dxa"/>
                    <w:right w:w="0" w:type="dxa"/>
                  </w:tcMar>
                </w:tcPr>
                <w:p w14:paraId="6A608245" w14:textId="77777777" w:rsidR="00B83002" w:rsidRDefault="00B83002" w:rsidP="00B83002">
                  <w:pPr>
                    <w:spacing w:before="40" w:after="0" w:line="288" w:lineRule="auto"/>
                    <w:ind w:left="280"/>
                    <w:rPr>
                      <w:color w:val="070707"/>
                      <w:sz w:val="17"/>
                      <w:szCs w:val="17"/>
                    </w:rPr>
                  </w:pPr>
                  <w:r>
                    <w:rPr>
                      <w:color w:val="070707"/>
                      <w:sz w:val="17"/>
                      <w:szCs w:val="17"/>
                    </w:rPr>
                    <w:t>Performance in quantity and quality research measures for key SDGs in THE Global Impact Ranking</w:t>
                  </w:r>
                </w:p>
              </w:tc>
              <w:tc>
                <w:tcPr>
                  <w:tcW w:w="2000" w:type="dxa"/>
                  <w:tcBorders>
                    <w:top w:val="nil"/>
                    <w:left w:val="nil"/>
                    <w:bottom w:val="single" w:sz="8" w:space="0" w:color="000000"/>
                    <w:right w:val="single" w:sz="8" w:space="0" w:color="000000"/>
                  </w:tcBorders>
                  <w:tcMar>
                    <w:top w:w="0" w:type="dxa"/>
                    <w:left w:w="0" w:type="dxa"/>
                    <w:bottom w:w="0" w:type="dxa"/>
                    <w:right w:w="0" w:type="dxa"/>
                  </w:tcMar>
                </w:tcPr>
                <w:p w14:paraId="137293AB" w14:textId="77777777" w:rsidR="00B83002" w:rsidRDefault="00B83002" w:rsidP="00B83002">
                  <w:pPr>
                    <w:spacing w:before="40" w:after="0" w:line="288" w:lineRule="auto"/>
                    <w:ind w:left="300" w:right="460"/>
                    <w:rPr>
                      <w:color w:val="070707"/>
                      <w:sz w:val="17"/>
                      <w:szCs w:val="17"/>
                    </w:rPr>
                  </w:pPr>
                  <w:r>
                    <w:rPr>
                      <w:color w:val="070707"/>
                      <w:sz w:val="17"/>
                      <w:szCs w:val="17"/>
                    </w:rPr>
                    <w:t>Top 20% globally</w:t>
                  </w:r>
                </w:p>
              </w:tc>
            </w:tr>
          </w:tbl>
          <w:p w14:paraId="1A69378A" w14:textId="2AFED324" w:rsidR="00B83002" w:rsidRDefault="00B83002" w:rsidP="00B83002">
            <w:pPr>
              <w:rPr>
                <w:sz w:val="21"/>
                <w:szCs w:val="21"/>
                <w:highlight w:val="white"/>
              </w:rPr>
            </w:pPr>
          </w:p>
        </w:tc>
      </w:tr>
      <w:tr w:rsidR="009219FA" w14:paraId="60483A3F" w14:textId="77777777">
        <w:tc>
          <w:tcPr>
            <w:tcW w:w="9016" w:type="dxa"/>
          </w:tcPr>
          <w:p w14:paraId="22EFB039" w14:textId="77777777" w:rsidR="009219FA" w:rsidRDefault="00A2584A">
            <w:pPr>
              <w:pStyle w:val="Heading4"/>
              <w:keepLines w:val="0"/>
              <w:spacing w:before="120" w:after="120"/>
            </w:pPr>
            <w:r>
              <w:lastRenderedPageBreak/>
              <w:t>Strategies for Engaging with Industry</w:t>
            </w:r>
          </w:p>
        </w:tc>
      </w:tr>
      <w:tr w:rsidR="009219FA" w14:paraId="05ED13F5" w14:textId="77777777">
        <w:tc>
          <w:tcPr>
            <w:tcW w:w="9016" w:type="dxa"/>
          </w:tcPr>
          <w:p w14:paraId="72F31B2C" w14:textId="73400F43" w:rsidR="009219FA" w:rsidRDefault="00A2584A">
            <w:pPr>
              <w:spacing w:before="120" w:after="120" w:line="276" w:lineRule="auto"/>
              <w:rPr>
                <w:sz w:val="21"/>
                <w:szCs w:val="21"/>
              </w:rPr>
            </w:pPr>
            <w:r>
              <w:rPr>
                <w:sz w:val="21"/>
                <w:szCs w:val="21"/>
              </w:rPr>
              <w:t>The Enterprise Goal stated within</w:t>
            </w:r>
            <w:hyperlink r:id="rId46">
              <w:r>
                <w:rPr>
                  <w:color w:val="1155CC"/>
                  <w:sz w:val="21"/>
                  <w:szCs w:val="21"/>
                  <w:u w:val="single"/>
                </w:rPr>
                <w:t xml:space="preserve"> </w:t>
              </w:r>
            </w:hyperlink>
            <w:hyperlink r:id="rId47">
              <w:r>
                <w:rPr>
                  <w:i/>
                  <w:color w:val="1155CC"/>
                  <w:sz w:val="21"/>
                  <w:szCs w:val="21"/>
                  <w:u w:val="single"/>
                </w:rPr>
                <w:t>Impact 2030</w:t>
              </w:r>
            </w:hyperlink>
            <w:r>
              <w:rPr>
                <w:sz w:val="21"/>
                <w:szCs w:val="21"/>
              </w:rPr>
              <w:t xml:space="preserve"> confirms the University’s commitment to developing enduring alliances and partnerships with industry, government and other organisations. This includes philanthropic partners that will enrich Monash’s ability to innovate, infuse our students and staff with enterprising capabilities, and provide opportunities to apply our research to make a significant impact by developing solutions for the betterment of our communities. </w:t>
            </w:r>
          </w:p>
          <w:p w14:paraId="73664B29" w14:textId="77777777" w:rsidR="009219FA" w:rsidRDefault="00A2584A">
            <w:pPr>
              <w:spacing w:before="120" w:after="120" w:line="276" w:lineRule="auto"/>
              <w:rPr>
                <w:sz w:val="21"/>
                <w:szCs w:val="21"/>
              </w:rPr>
            </w:pPr>
            <w:r>
              <w:rPr>
                <w:sz w:val="21"/>
                <w:szCs w:val="21"/>
              </w:rPr>
              <w:t>As part of this commitment, an enterprising Monash will:</w:t>
            </w:r>
          </w:p>
          <w:p w14:paraId="365E5E8E" w14:textId="77777777" w:rsidR="009219FA" w:rsidRDefault="00A2584A">
            <w:pPr>
              <w:numPr>
                <w:ilvl w:val="0"/>
                <w:numId w:val="4"/>
              </w:numPr>
              <w:spacing w:before="120" w:line="276" w:lineRule="auto"/>
              <w:rPr>
                <w:sz w:val="21"/>
                <w:szCs w:val="21"/>
              </w:rPr>
            </w:pPr>
            <w:r>
              <w:rPr>
                <w:sz w:val="21"/>
                <w:szCs w:val="21"/>
              </w:rPr>
              <w:t xml:space="preserve">Facilitate students to join an industry collaboration with one of 50 leading partners as part of a Flagship Rich Educational Experience - </w:t>
            </w:r>
            <w:hyperlink r:id="rId48">
              <w:r>
                <w:rPr>
                  <w:i/>
                  <w:color w:val="1155CC"/>
                  <w:sz w:val="21"/>
                  <w:szCs w:val="21"/>
                  <w:u w:val="single"/>
                </w:rPr>
                <w:t>Monash Innovation Guarantee</w:t>
              </w:r>
            </w:hyperlink>
            <w:r>
              <w:rPr>
                <w:sz w:val="21"/>
                <w:szCs w:val="21"/>
              </w:rPr>
              <w:t>;</w:t>
            </w:r>
          </w:p>
          <w:p w14:paraId="5D5E2E66" w14:textId="77777777" w:rsidR="009219FA" w:rsidRDefault="00A2584A">
            <w:pPr>
              <w:numPr>
                <w:ilvl w:val="0"/>
                <w:numId w:val="4"/>
              </w:numPr>
              <w:pBdr>
                <w:top w:val="nil"/>
                <w:left w:val="nil"/>
                <w:bottom w:val="nil"/>
                <w:right w:val="nil"/>
                <w:between w:val="nil"/>
              </w:pBdr>
              <w:spacing w:line="276" w:lineRule="auto"/>
              <w:rPr>
                <w:sz w:val="21"/>
                <w:szCs w:val="21"/>
              </w:rPr>
            </w:pPr>
            <w:r>
              <w:rPr>
                <w:sz w:val="21"/>
                <w:szCs w:val="21"/>
              </w:rPr>
              <w:t>Provide</w:t>
            </w:r>
            <w:r>
              <w:rPr>
                <w:color w:val="000000"/>
                <w:sz w:val="21"/>
                <w:szCs w:val="21"/>
              </w:rPr>
              <w:t xml:space="preserve"> </w:t>
            </w:r>
            <w:r>
              <w:rPr>
                <w:sz w:val="21"/>
                <w:szCs w:val="21"/>
              </w:rPr>
              <w:t>a</w:t>
            </w:r>
            <w:r>
              <w:rPr>
                <w:color w:val="000000"/>
                <w:sz w:val="21"/>
                <w:szCs w:val="21"/>
              </w:rPr>
              <w:t xml:space="preserve"> hub for entrepreneurial skills,</w:t>
            </w:r>
            <w:r>
              <w:rPr>
                <w:sz w:val="21"/>
                <w:szCs w:val="21"/>
              </w:rPr>
              <w:t xml:space="preserve"> </w:t>
            </w:r>
            <w:r>
              <w:rPr>
                <w:color w:val="000000"/>
                <w:sz w:val="21"/>
                <w:szCs w:val="21"/>
              </w:rPr>
              <w:t>startup success and a change-making community</w:t>
            </w:r>
            <w:r>
              <w:rPr>
                <w:sz w:val="21"/>
                <w:szCs w:val="21"/>
              </w:rPr>
              <w:t xml:space="preserve"> - </w:t>
            </w:r>
            <w:hyperlink r:id="rId49">
              <w:r>
                <w:rPr>
                  <w:i/>
                  <w:color w:val="1155CC"/>
                  <w:sz w:val="21"/>
                  <w:szCs w:val="21"/>
                  <w:u w:val="single"/>
                </w:rPr>
                <w:t>The Generator</w:t>
              </w:r>
            </w:hyperlink>
            <w:r>
              <w:rPr>
                <w:sz w:val="21"/>
                <w:szCs w:val="21"/>
              </w:rPr>
              <w:t>;</w:t>
            </w:r>
          </w:p>
          <w:p w14:paraId="0126DD78" w14:textId="77777777" w:rsidR="009219FA" w:rsidRDefault="00A2584A">
            <w:pPr>
              <w:numPr>
                <w:ilvl w:val="0"/>
                <w:numId w:val="4"/>
              </w:numPr>
              <w:spacing w:line="276" w:lineRule="auto"/>
              <w:rPr>
                <w:sz w:val="21"/>
                <w:szCs w:val="21"/>
              </w:rPr>
            </w:pPr>
            <w:r>
              <w:rPr>
                <w:sz w:val="21"/>
                <w:szCs w:val="21"/>
              </w:rPr>
              <w:t xml:space="preserve">Make direct engagement between students and industry and government partners, including projects and internships, integral to a Monash education – </w:t>
            </w:r>
            <w:hyperlink r:id="rId50">
              <w:r>
                <w:rPr>
                  <w:i/>
                  <w:color w:val="1155CC"/>
                  <w:sz w:val="21"/>
                  <w:szCs w:val="21"/>
                  <w:u w:val="single"/>
                </w:rPr>
                <w:t>work-integrated learning and enterprising experience</w:t>
              </w:r>
            </w:hyperlink>
            <w:r>
              <w:rPr>
                <w:sz w:val="21"/>
                <w:szCs w:val="21"/>
              </w:rPr>
              <w:t xml:space="preserve">; </w:t>
            </w:r>
          </w:p>
          <w:p w14:paraId="4B0AF2F9" w14:textId="77777777" w:rsidR="009219FA" w:rsidRDefault="00A2584A">
            <w:pPr>
              <w:numPr>
                <w:ilvl w:val="0"/>
                <w:numId w:val="4"/>
              </w:numPr>
              <w:spacing w:line="276" w:lineRule="auto"/>
              <w:rPr>
                <w:sz w:val="21"/>
                <w:szCs w:val="21"/>
              </w:rPr>
            </w:pPr>
            <w:r>
              <w:rPr>
                <w:sz w:val="21"/>
                <w:szCs w:val="21"/>
              </w:rPr>
              <w:t xml:space="preserve">Support research translation and embedded graduate research teams through deep industry partnerships – </w:t>
            </w:r>
            <w:hyperlink r:id="rId51">
              <w:r>
                <w:rPr>
                  <w:i/>
                  <w:color w:val="1155CC"/>
                  <w:sz w:val="21"/>
                  <w:szCs w:val="21"/>
                  <w:u w:val="single"/>
                </w:rPr>
                <w:t>industry internship program</w:t>
              </w:r>
            </w:hyperlink>
            <w:r>
              <w:rPr>
                <w:sz w:val="21"/>
                <w:szCs w:val="21"/>
              </w:rPr>
              <w:t>;</w:t>
            </w:r>
          </w:p>
          <w:p w14:paraId="7E182501" w14:textId="77777777" w:rsidR="009219FA" w:rsidRDefault="00A2584A">
            <w:pPr>
              <w:numPr>
                <w:ilvl w:val="0"/>
                <w:numId w:val="4"/>
              </w:numPr>
              <w:spacing w:line="276" w:lineRule="auto"/>
              <w:rPr>
                <w:sz w:val="21"/>
                <w:szCs w:val="21"/>
              </w:rPr>
            </w:pPr>
            <w:r>
              <w:rPr>
                <w:sz w:val="21"/>
                <w:szCs w:val="21"/>
              </w:rPr>
              <w:t xml:space="preserve">Expand professional and lifelong learning opportunities for alumni and through industry partners – </w:t>
            </w:r>
            <w:hyperlink r:id="rId52">
              <w:r>
                <w:rPr>
                  <w:i/>
                  <w:color w:val="1155CC"/>
                  <w:sz w:val="21"/>
                  <w:szCs w:val="21"/>
                  <w:u w:val="single"/>
                </w:rPr>
                <w:t>professional education program</w:t>
              </w:r>
            </w:hyperlink>
            <w:r>
              <w:rPr>
                <w:sz w:val="21"/>
                <w:szCs w:val="21"/>
              </w:rPr>
              <w:t>;</w:t>
            </w:r>
          </w:p>
          <w:p w14:paraId="7F5087E7" w14:textId="77777777" w:rsidR="009219FA" w:rsidRDefault="00A2584A">
            <w:pPr>
              <w:numPr>
                <w:ilvl w:val="0"/>
                <w:numId w:val="4"/>
              </w:numPr>
              <w:spacing w:line="276" w:lineRule="auto"/>
              <w:rPr>
                <w:sz w:val="21"/>
                <w:szCs w:val="21"/>
              </w:rPr>
            </w:pPr>
            <w:r>
              <w:rPr>
                <w:sz w:val="21"/>
                <w:szCs w:val="21"/>
              </w:rPr>
              <w:t>Develop opportunities for staff, students and alumni to conceive and launch new enterprise and social enterprise projects –</w:t>
            </w:r>
            <w:hyperlink r:id="rId53">
              <w:r>
                <w:rPr>
                  <w:sz w:val="21"/>
                  <w:szCs w:val="21"/>
                </w:rPr>
                <w:t xml:space="preserve"> </w:t>
              </w:r>
            </w:hyperlink>
            <w:hyperlink r:id="rId54">
              <w:r>
                <w:rPr>
                  <w:i/>
                  <w:color w:val="1155CC"/>
                  <w:sz w:val="21"/>
                  <w:szCs w:val="21"/>
                  <w:u w:val="single"/>
                </w:rPr>
                <w:t>commercialisation and enterprise</w:t>
              </w:r>
            </w:hyperlink>
            <w:r>
              <w:rPr>
                <w:sz w:val="21"/>
                <w:szCs w:val="21"/>
              </w:rPr>
              <w:t>;</w:t>
            </w:r>
          </w:p>
          <w:p w14:paraId="4F7AA287" w14:textId="77777777" w:rsidR="009219FA" w:rsidRDefault="00A2584A">
            <w:pPr>
              <w:numPr>
                <w:ilvl w:val="0"/>
                <w:numId w:val="4"/>
              </w:numPr>
              <w:spacing w:line="276" w:lineRule="auto"/>
              <w:rPr>
                <w:sz w:val="21"/>
                <w:szCs w:val="21"/>
              </w:rPr>
            </w:pPr>
            <w:r>
              <w:rPr>
                <w:sz w:val="21"/>
                <w:szCs w:val="21"/>
              </w:rPr>
              <w:t>Build industry engagement and colocation in the precincts in which our campuses are located –</w:t>
            </w:r>
            <w:r>
              <w:rPr>
                <w:i/>
                <w:sz w:val="21"/>
                <w:szCs w:val="21"/>
              </w:rPr>
              <w:t xml:space="preserve"> </w:t>
            </w:r>
            <w:hyperlink r:id="rId55">
              <w:r>
                <w:rPr>
                  <w:i/>
                  <w:color w:val="1155CC"/>
                  <w:sz w:val="21"/>
                  <w:szCs w:val="21"/>
                  <w:u w:val="single"/>
                </w:rPr>
                <w:t>campus engagement</w:t>
              </w:r>
            </w:hyperlink>
            <w:r>
              <w:rPr>
                <w:sz w:val="21"/>
                <w:szCs w:val="21"/>
              </w:rPr>
              <w:t>; and</w:t>
            </w:r>
          </w:p>
          <w:p w14:paraId="2EB9E764" w14:textId="77777777" w:rsidR="009219FA" w:rsidRDefault="00A2584A">
            <w:pPr>
              <w:numPr>
                <w:ilvl w:val="0"/>
                <w:numId w:val="4"/>
              </w:numPr>
              <w:spacing w:line="276" w:lineRule="auto"/>
              <w:rPr>
                <w:sz w:val="21"/>
                <w:szCs w:val="21"/>
              </w:rPr>
            </w:pPr>
            <w:r>
              <w:rPr>
                <w:sz w:val="21"/>
                <w:szCs w:val="21"/>
              </w:rPr>
              <w:t xml:space="preserve">Further develop  the </w:t>
            </w:r>
            <w:hyperlink r:id="rId56">
              <w:r>
                <w:rPr>
                  <w:color w:val="1155CC"/>
                  <w:sz w:val="21"/>
                  <w:szCs w:val="21"/>
                  <w:u w:val="single"/>
                </w:rPr>
                <w:t>Monash Technology Precinct</w:t>
              </w:r>
            </w:hyperlink>
            <w:r>
              <w:rPr>
                <w:sz w:val="21"/>
                <w:szCs w:val="21"/>
              </w:rPr>
              <w:t xml:space="preserve"> to enhance the level  of translational and enterprising activity to support opportunities for impact in our city and nation –</w:t>
            </w:r>
            <w:hyperlink r:id="rId57">
              <w:r>
                <w:rPr>
                  <w:sz w:val="21"/>
                  <w:szCs w:val="21"/>
                </w:rPr>
                <w:t xml:space="preserve"> </w:t>
              </w:r>
            </w:hyperlink>
            <w:r>
              <w:rPr>
                <w:sz w:val="21"/>
                <w:szCs w:val="21"/>
              </w:rPr>
              <w:t>including:</w:t>
            </w:r>
          </w:p>
          <w:p w14:paraId="2CEEB2B5" w14:textId="77777777" w:rsidR="009219FA" w:rsidRDefault="00A2584A">
            <w:pPr>
              <w:numPr>
                <w:ilvl w:val="1"/>
                <w:numId w:val="4"/>
              </w:numPr>
              <w:spacing w:line="276" w:lineRule="auto"/>
              <w:rPr>
                <w:sz w:val="21"/>
                <w:szCs w:val="21"/>
              </w:rPr>
            </w:pPr>
            <w:r>
              <w:rPr>
                <w:sz w:val="21"/>
                <w:szCs w:val="21"/>
              </w:rPr>
              <w:t xml:space="preserve">The </w:t>
            </w:r>
            <w:hyperlink r:id="rId58">
              <w:r>
                <w:rPr>
                  <w:color w:val="1155CC"/>
                  <w:sz w:val="21"/>
                  <w:szCs w:val="21"/>
                  <w:u w:val="single"/>
                </w:rPr>
                <w:t>Victorian Heart Hospital</w:t>
              </w:r>
            </w:hyperlink>
            <w:r>
              <w:rPr>
                <w:sz w:val="21"/>
                <w:szCs w:val="21"/>
              </w:rPr>
              <w:t xml:space="preserve">, integrating clinical cardiology services, research and education to create a centre of </w:t>
            </w:r>
            <w:proofErr w:type="gramStart"/>
            <w:r>
              <w:rPr>
                <w:sz w:val="21"/>
                <w:szCs w:val="21"/>
              </w:rPr>
              <w:t>excellence;</w:t>
            </w:r>
            <w:proofErr w:type="gramEnd"/>
          </w:p>
          <w:p w14:paraId="5C4A9940" w14:textId="77777777" w:rsidR="009219FA" w:rsidRDefault="00A2584A">
            <w:pPr>
              <w:numPr>
                <w:ilvl w:val="1"/>
                <w:numId w:val="4"/>
              </w:numPr>
              <w:spacing w:line="276" w:lineRule="auto"/>
              <w:rPr>
                <w:sz w:val="21"/>
                <w:szCs w:val="21"/>
              </w:rPr>
            </w:pPr>
            <w:hyperlink r:id="rId59">
              <w:r>
                <w:rPr>
                  <w:color w:val="1155CC"/>
                  <w:sz w:val="21"/>
                  <w:szCs w:val="21"/>
                  <w:u w:val="single"/>
                </w:rPr>
                <w:t>Monash Innovation Labs</w:t>
              </w:r>
            </w:hyperlink>
            <w:r>
              <w:rPr>
                <w:sz w:val="21"/>
                <w:szCs w:val="21"/>
              </w:rPr>
              <w:t xml:space="preserve">, hosting purpose-built infrastructure like the Monash Smart Manufacturing Hub, Monash Smart Processing, Monash Smart Infrastructure and Analytical Lab </w:t>
            </w:r>
            <w:proofErr w:type="gramStart"/>
            <w:r>
              <w:rPr>
                <w:sz w:val="21"/>
                <w:szCs w:val="21"/>
              </w:rPr>
              <w:t>facilities;</w:t>
            </w:r>
            <w:proofErr w:type="gramEnd"/>
          </w:p>
          <w:p w14:paraId="34E621BD" w14:textId="77777777" w:rsidR="009219FA" w:rsidRDefault="00A2584A">
            <w:pPr>
              <w:numPr>
                <w:ilvl w:val="1"/>
                <w:numId w:val="4"/>
              </w:numPr>
              <w:spacing w:line="276" w:lineRule="auto"/>
              <w:rPr>
                <w:sz w:val="21"/>
                <w:szCs w:val="21"/>
              </w:rPr>
            </w:pPr>
            <w:hyperlink r:id="rId60">
              <w:r>
                <w:rPr>
                  <w:color w:val="1155CC"/>
                  <w:sz w:val="21"/>
                  <w:szCs w:val="21"/>
                  <w:u w:val="single"/>
                </w:rPr>
                <w:t>Velos Accelerator</w:t>
              </w:r>
            </w:hyperlink>
            <w:r>
              <w:rPr>
                <w:sz w:val="21"/>
                <w:szCs w:val="21"/>
              </w:rPr>
              <w:t xml:space="preserve">,  </w:t>
            </w:r>
            <w:r>
              <w:rPr>
                <w:sz w:val="21"/>
                <w:szCs w:val="21"/>
                <w:highlight w:val="white"/>
              </w:rPr>
              <w:t xml:space="preserve">for healthcare innovation aligned with cardiovascular, kidney and metabolic </w:t>
            </w:r>
            <w:proofErr w:type="gramStart"/>
            <w:r>
              <w:rPr>
                <w:sz w:val="21"/>
                <w:szCs w:val="21"/>
                <w:highlight w:val="white"/>
              </w:rPr>
              <w:t>diseases;</w:t>
            </w:r>
            <w:proofErr w:type="gramEnd"/>
          </w:p>
          <w:p w14:paraId="7BA9224E" w14:textId="77777777" w:rsidR="009219FA" w:rsidRDefault="00A2584A">
            <w:pPr>
              <w:numPr>
                <w:ilvl w:val="1"/>
                <w:numId w:val="4"/>
              </w:numPr>
              <w:spacing w:line="276" w:lineRule="auto"/>
              <w:rPr>
                <w:sz w:val="21"/>
                <w:szCs w:val="21"/>
              </w:rPr>
            </w:pPr>
            <w:r>
              <w:rPr>
                <w:sz w:val="21"/>
                <w:szCs w:val="21"/>
              </w:rPr>
              <w:t xml:space="preserve">The </w:t>
            </w:r>
            <w:hyperlink r:id="rId61">
              <w:r>
                <w:rPr>
                  <w:color w:val="1155CC"/>
                  <w:sz w:val="21"/>
                  <w:szCs w:val="21"/>
                  <w:u w:val="single"/>
                </w:rPr>
                <w:t>Australian Synchrotron</w:t>
              </w:r>
            </w:hyperlink>
            <w:r>
              <w:rPr>
                <w:sz w:val="21"/>
                <w:szCs w:val="21"/>
              </w:rPr>
              <w:t>, with applications in health, medical, food, environment, nano-technology, energy, mining, advanced materials, agriculture and cultural heritage;</w:t>
            </w:r>
          </w:p>
          <w:p w14:paraId="2295F197" w14:textId="77777777" w:rsidR="009219FA" w:rsidRDefault="00A2584A">
            <w:pPr>
              <w:numPr>
                <w:ilvl w:val="1"/>
                <w:numId w:val="4"/>
              </w:numPr>
              <w:spacing w:line="276" w:lineRule="auto"/>
              <w:rPr>
                <w:sz w:val="21"/>
                <w:szCs w:val="21"/>
              </w:rPr>
            </w:pPr>
            <w:hyperlink r:id="rId62">
              <w:r>
                <w:rPr>
                  <w:color w:val="1155CC"/>
                  <w:sz w:val="21"/>
                  <w:szCs w:val="21"/>
                  <w:u w:val="single"/>
                </w:rPr>
                <w:t>Moderna mRNA Vaccine Production Facility</w:t>
              </w:r>
            </w:hyperlink>
            <w:r>
              <w:rPr>
                <w:sz w:val="21"/>
                <w:szCs w:val="21"/>
              </w:rPr>
              <w:t>;</w:t>
            </w:r>
          </w:p>
          <w:p w14:paraId="6D61ED04" w14:textId="77777777" w:rsidR="009219FA" w:rsidRDefault="00A2584A">
            <w:pPr>
              <w:numPr>
                <w:ilvl w:val="1"/>
                <w:numId w:val="4"/>
              </w:numPr>
              <w:spacing w:line="276" w:lineRule="auto"/>
              <w:rPr>
                <w:sz w:val="21"/>
                <w:szCs w:val="21"/>
              </w:rPr>
            </w:pPr>
            <w:hyperlink r:id="rId63">
              <w:r>
                <w:rPr>
                  <w:color w:val="1155CC"/>
                  <w:sz w:val="21"/>
                  <w:szCs w:val="21"/>
                  <w:u w:val="single"/>
                </w:rPr>
                <w:t>Melbourne Centre for Nanofabrication</w:t>
              </w:r>
            </w:hyperlink>
            <w:r>
              <w:rPr>
                <w:sz w:val="21"/>
                <w:szCs w:val="21"/>
              </w:rPr>
              <w:t>;  and</w:t>
            </w:r>
          </w:p>
          <w:p w14:paraId="60CEB760" w14:textId="77777777" w:rsidR="009219FA" w:rsidRDefault="00A2584A">
            <w:pPr>
              <w:numPr>
                <w:ilvl w:val="1"/>
                <w:numId w:val="4"/>
              </w:numPr>
              <w:spacing w:after="120" w:line="276" w:lineRule="auto"/>
              <w:rPr>
                <w:sz w:val="21"/>
                <w:szCs w:val="21"/>
              </w:rPr>
            </w:pPr>
            <w:hyperlink r:id="rId64">
              <w:r>
                <w:rPr>
                  <w:color w:val="1155CC"/>
                  <w:sz w:val="21"/>
                  <w:szCs w:val="21"/>
                  <w:u w:val="single"/>
                </w:rPr>
                <w:t>Monash Medical Trials Centre</w:t>
              </w:r>
            </w:hyperlink>
            <w:r>
              <w:rPr>
                <w:sz w:val="21"/>
                <w:szCs w:val="21"/>
              </w:rPr>
              <w:t xml:space="preserve"> at Monash Health.</w:t>
            </w:r>
          </w:p>
          <w:p w14:paraId="755DC0B4" w14:textId="77777777" w:rsidR="009219FA" w:rsidRDefault="00A2584A">
            <w:pPr>
              <w:pStyle w:val="Heading4"/>
              <w:keepNext w:val="0"/>
              <w:keepLines w:val="0"/>
              <w:spacing w:before="120" w:after="120" w:line="276" w:lineRule="auto"/>
              <w:rPr>
                <w:color w:val="000000"/>
                <w:sz w:val="21"/>
                <w:szCs w:val="21"/>
              </w:rPr>
            </w:pPr>
            <w:r>
              <w:rPr>
                <w:color w:val="000000"/>
                <w:sz w:val="21"/>
                <w:szCs w:val="21"/>
              </w:rPr>
              <w:t>Industry Engagement Key Performance Indicators</w:t>
            </w:r>
          </w:p>
          <w:p w14:paraId="28B6A9A3" w14:textId="22FB8167" w:rsidR="009219FA" w:rsidRDefault="00A2584A">
            <w:pPr>
              <w:pStyle w:val="Heading4"/>
              <w:keepNext w:val="0"/>
              <w:keepLines w:val="0"/>
              <w:spacing w:before="120" w:after="120" w:line="276" w:lineRule="auto"/>
              <w:rPr>
                <w:b w:val="0"/>
                <w:color w:val="000000"/>
                <w:sz w:val="21"/>
                <w:szCs w:val="21"/>
              </w:rPr>
            </w:pPr>
            <w:bookmarkStart w:id="2" w:name="_heading=h.9flz2v1r3m8o" w:colFirst="0" w:colLast="0"/>
            <w:bookmarkEnd w:id="2"/>
            <w:r>
              <w:rPr>
                <w:b w:val="0"/>
                <w:color w:val="000000"/>
                <w:sz w:val="21"/>
                <w:szCs w:val="21"/>
              </w:rPr>
              <w:t xml:space="preserve">Monash University’s industry engagement success and impact will be measured and assessed by </w:t>
            </w:r>
            <w:proofErr w:type="gramStart"/>
            <w:r>
              <w:rPr>
                <w:b w:val="0"/>
                <w:color w:val="000000"/>
                <w:sz w:val="21"/>
                <w:szCs w:val="21"/>
              </w:rPr>
              <w:t>a number of</w:t>
            </w:r>
            <w:proofErr w:type="gramEnd"/>
            <w:r>
              <w:rPr>
                <w:b w:val="0"/>
                <w:color w:val="000000"/>
                <w:sz w:val="21"/>
                <w:szCs w:val="21"/>
              </w:rPr>
              <w:t xml:space="preserve"> metrics, including those outlined in the following table. </w:t>
            </w:r>
          </w:p>
          <w:p w14:paraId="25A00CA2" w14:textId="08116FE2" w:rsidR="00705FEC" w:rsidRDefault="00705FEC" w:rsidP="00705FEC"/>
          <w:p w14:paraId="1FFDDA17" w14:textId="68A4658A" w:rsidR="00705FEC" w:rsidRDefault="00705FEC" w:rsidP="00705FEC"/>
          <w:p w14:paraId="05D86063" w14:textId="58F6761A" w:rsidR="00705FEC" w:rsidRDefault="00705FEC" w:rsidP="00705FEC"/>
          <w:p w14:paraId="021DAFDF" w14:textId="77777777" w:rsidR="00705FEC" w:rsidRPr="00705FEC" w:rsidRDefault="00705FEC" w:rsidP="00705FEC"/>
          <w:tbl>
            <w:tblPr>
              <w:tblStyle w:val="a2"/>
              <w:tblW w:w="88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8"/>
              <w:gridCol w:w="2939"/>
              <w:gridCol w:w="2939"/>
            </w:tblGrid>
            <w:tr w:rsidR="009219FA" w14:paraId="23F3819B" w14:textId="77777777">
              <w:tc>
                <w:tcPr>
                  <w:tcW w:w="293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968997" w14:textId="07F0EF29" w:rsidR="009219FA" w:rsidRDefault="00A2584A">
                  <w:pPr>
                    <w:spacing w:before="40" w:after="0" w:line="288" w:lineRule="auto"/>
                    <w:ind w:left="280" w:right="60"/>
                    <w:rPr>
                      <w:rFonts w:ascii="Arial" w:eastAsia="Arial" w:hAnsi="Arial" w:cs="Arial"/>
                      <w:color w:val="070707"/>
                      <w:sz w:val="16"/>
                      <w:szCs w:val="16"/>
                    </w:rPr>
                  </w:pPr>
                  <w:r>
                    <w:rPr>
                      <w:rFonts w:ascii="Arial" w:eastAsia="Arial" w:hAnsi="Arial" w:cs="Arial"/>
                      <w:color w:val="070707"/>
                      <w:sz w:val="16"/>
                      <w:szCs w:val="16"/>
                    </w:rPr>
                    <w:t>Objectives</w:t>
                  </w:r>
                </w:p>
              </w:tc>
              <w:tc>
                <w:tcPr>
                  <w:tcW w:w="2938"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6429223F" w14:textId="77777777" w:rsidR="009219FA" w:rsidRDefault="00A2584A">
                  <w:pPr>
                    <w:spacing w:before="40" w:after="0" w:line="276" w:lineRule="auto"/>
                    <w:ind w:left="280"/>
                    <w:rPr>
                      <w:rFonts w:ascii="Arial" w:eastAsia="Arial" w:hAnsi="Arial" w:cs="Arial"/>
                      <w:color w:val="070707"/>
                      <w:sz w:val="16"/>
                      <w:szCs w:val="16"/>
                    </w:rPr>
                  </w:pPr>
                  <w:r>
                    <w:rPr>
                      <w:rFonts w:ascii="Arial" w:eastAsia="Arial" w:hAnsi="Arial" w:cs="Arial"/>
                      <w:color w:val="070707"/>
                      <w:sz w:val="16"/>
                      <w:szCs w:val="16"/>
                    </w:rPr>
                    <w:t>Measures</w:t>
                  </w:r>
                </w:p>
              </w:tc>
              <w:tc>
                <w:tcPr>
                  <w:tcW w:w="2938"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1913B42A" w14:textId="77777777" w:rsidR="009219FA" w:rsidRDefault="00A2584A">
                  <w:pPr>
                    <w:spacing w:before="40" w:after="0" w:line="276" w:lineRule="auto"/>
                    <w:ind w:left="300"/>
                    <w:rPr>
                      <w:rFonts w:ascii="Arial" w:eastAsia="Arial" w:hAnsi="Arial" w:cs="Arial"/>
                      <w:color w:val="070707"/>
                      <w:sz w:val="16"/>
                      <w:szCs w:val="16"/>
                    </w:rPr>
                  </w:pPr>
                  <w:r>
                    <w:rPr>
                      <w:rFonts w:ascii="Arial" w:eastAsia="Arial" w:hAnsi="Arial" w:cs="Arial"/>
                      <w:color w:val="070707"/>
                      <w:sz w:val="16"/>
                      <w:szCs w:val="16"/>
                    </w:rPr>
                    <w:t>Targets</w:t>
                  </w:r>
                </w:p>
              </w:tc>
            </w:tr>
            <w:tr w:rsidR="009219FA" w14:paraId="3E8C1A81" w14:textId="77777777">
              <w:tc>
                <w:tcPr>
                  <w:tcW w:w="293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BFE2B0" w14:textId="77777777" w:rsidR="009219FA" w:rsidRDefault="00A2584A">
                  <w:pPr>
                    <w:widowControl w:val="0"/>
                    <w:spacing w:before="120" w:after="0" w:line="240" w:lineRule="auto"/>
                    <w:ind w:left="160"/>
                    <w:rPr>
                      <w:rFonts w:ascii="Arial" w:eastAsia="Arial" w:hAnsi="Arial" w:cs="Arial"/>
                      <w:color w:val="00254A"/>
                      <w:sz w:val="16"/>
                      <w:szCs w:val="16"/>
                    </w:rPr>
                  </w:pPr>
                  <w:r>
                    <w:rPr>
                      <w:rFonts w:ascii="Arial" w:eastAsia="Arial" w:hAnsi="Arial" w:cs="Arial"/>
                      <w:color w:val="00254A"/>
                      <w:sz w:val="16"/>
                      <w:szCs w:val="16"/>
                    </w:rPr>
                    <w:t xml:space="preserve"> </w:t>
                  </w:r>
                </w:p>
                <w:p w14:paraId="0F684971" w14:textId="77777777" w:rsidR="009219FA" w:rsidRDefault="00A2584A">
                  <w:pPr>
                    <w:widowControl w:val="0"/>
                    <w:spacing w:after="0" w:line="240" w:lineRule="auto"/>
                    <w:ind w:left="280"/>
                    <w:rPr>
                      <w:rFonts w:ascii="Arial" w:eastAsia="Arial" w:hAnsi="Arial" w:cs="Arial"/>
                      <w:color w:val="070707"/>
                      <w:sz w:val="16"/>
                      <w:szCs w:val="16"/>
                    </w:rPr>
                  </w:pPr>
                  <w:r>
                    <w:rPr>
                      <w:rFonts w:ascii="Arial" w:eastAsia="Arial" w:hAnsi="Arial" w:cs="Arial"/>
                      <w:color w:val="070707"/>
                      <w:sz w:val="16"/>
                      <w:szCs w:val="16"/>
                    </w:rPr>
                    <w:t>Enterprising student experience</w:t>
                  </w:r>
                </w:p>
              </w:tc>
              <w:tc>
                <w:tcPr>
                  <w:tcW w:w="2938"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2ED61CD0" w14:textId="482A74B0" w:rsidR="009219FA" w:rsidRDefault="00A2584A">
                  <w:pPr>
                    <w:widowControl w:val="0"/>
                    <w:spacing w:before="40" w:after="0" w:line="240" w:lineRule="auto"/>
                    <w:ind w:left="280"/>
                    <w:rPr>
                      <w:rFonts w:ascii="Arial" w:eastAsia="Arial" w:hAnsi="Arial" w:cs="Arial"/>
                      <w:color w:val="FF0808"/>
                      <w:sz w:val="16"/>
                      <w:szCs w:val="16"/>
                    </w:rPr>
                  </w:pPr>
                  <w:r>
                    <w:rPr>
                      <w:rFonts w:ascii="Arial" w:eastAsia="Arial" w:hAnsi="Arial" w:cs="Arial"/>
                      <w:color w:val="070707"/>
                      <w:sz w:val="16"/>
                      <w:szCs w:val="16"/>
                    </w:rPr>
                    <w:t>WIL unit enrolments</w:t>
                  </w:r>
                </w:p>
              </w:tc>
              <w:tc>
                <w:tcPr>
                  <w:tcW w:w="2938"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671C2A35" w14:textId="77777777" w:rsidR="009219FA" w:rsidRDefault="00A2584A">
                  <w:pPr>
                    <w:widowControl w:val="0"/>
                    <w:spacing w:before="40" w:after="0" w:line="240" w:lineRule="auto"/>
                    <w:ind w:left="300"/>
                    <w:rPr>
                      <w:rFonts w:ascii="Arial" w:eastAsia="Arial" w:hAnsi="Arial" w:cs="Arial"/>
                      <w:color w:val="070707"/>
                      <w:sz w:val="16"/>
                      <w:szCs w:val="16"/>
                    </w:rPr>
                  </w:pPr>
                  <w:r>
                    <w:rPr>
                      <w:rFonts w:ascii="Arial" w:eastAsia="Arial" w:hAnsi="Arial" w:cs="Arial"/>
                      <w:color w:val="070707"/>
                      <w:sz w:val="16"/>
                      <w:szCs w:val="16"/>
                    </w:rPr>
                    <w:t>20,000+</w:t>
                  </w:r>
                </w:p>
              </w:tc>
            </w:tr>
            <w:tr w:rsidR="009219FA" w14:paraId="1B663E58" w14:textId="77777777">
              <w:tc>
                <w:tcPr>
                  <w:tcW w:w="293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1AC3E" w14:textId="77777777" w:rsidR="009219FA" w:rsidRDefault="009219FA">
                  <w:pPr>
                    <w:widowControl w:val="0"/>
                    <w:pBdr>
                      <w:top w:val="nil"/>
                      <w:left w:val="nil"/>
                      <w:bottom w:val="nil"/>
                      <w:right w:val="nil"/>
                      <w:between w:val="nil"/>
                    </w:pBdr>
                    <w:spacing w:after="0" w:line="240" w:lineRule="auto"/>
                    <w:rPr>
                      <w:b/>
                      <w:color w:val="00254A"/>
                      <w:sz w:val="21"/>
                      <w:szCs w:val="21"/>
                    </w:rPr>
                  </w:pP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2F999726" w14:textId="77777777" w:rsidR="009219FA" w:rsidRDefault="00A2584A">
                  <w:pPr>
                    <w:widowControl w:val="0"/>
                    <w:spacing w:before="40" w:after="0" w:line="240" w:lineRule="auto"/>
                    <w:ind w:left="280"/>
                    <w:rPr>
                      <w:rFonts w:ascii="Arial" w:eastAsia="Arial" w:hAnsi="Arial" w:cs="Arial"/>
                      <w:color w:val="070707"/>
                      <w:sz w:val="16"/>
                      <w:szCs w:val="16"/>
                    </w:rPr>
                  </w:pPr>
                  <w:r>
                    <w:rPr>
                      <w:rFonts w:ascii="Arial" w:eastAsia="Arial" w:hAnsi="Arial" w:cs="Arial"/>
                      <w:color w:val="070707"/>
                      <w:sz w:val="16"/>
                      <w:szCs w:val="16"/>
                    </w:rPr>
                    <w:t xml:space="preserve">Number of </w:t>
                  </w:r>
                  <w:r>
                    <w:rPr>
                      <w:rFonts w:ascii="Arial" w:eastAsia="Arial" w:hAnsi="Arial" w:cs="Arial"/>
                      <w:color w:val="1A1A1A"/>
                      <w:sz w:val="16"/>
                      <w:szCs w:val="16"/>
                    </w:rPr>
                    <w:t xml:space="preserve">students </w:t>
                  </w:r>
                  <w:r>
                    <w:rPr>
                      <w:rFonts w:ascii="Arial" w:eastAsia="Arial" w:hAnsi="Arial" w:cs="Arial"/>
                      <w:color w:val="070707"/>
                      <w:sz w:val="16"/>
                      <w:szCs w:val="16"/>
                    </w:rPr>
                    <w:t>participating in Generator training</w:t>
                  </w: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3248515E" w14:textId="77777777" w:rsidR="009219FA" w:rsidRDefault="00A2584A">
                  <w:pPr>
                    <w:widowControl w:val="0"/>
                    <w:spacing w:before="40" w:after="0" w:line="240" w:lineRule="auto"/>
                    <w:ind w:left="300"/>
                    <w:rPr>
                      <w:rFonts w:ascii="Arial" w:eastAsia="Arial" w:hAnsi="Arial" w:cs="Arial"/>
                      <w:color w:val="070707"/>
                      <w:sz w:val="16"/>
                      <w:szCs w:val="16"/>
                    </w:rPr>
                  </w:pPr>
                  <w:r>
                    <w:rPr>
                      <w:rFonts w:ascii="Arial" w:eastAsia="Arial" w:hAnsi="Arial" w:cs="Arial"/>
                      <w:color w:val="070707"/>
                      <w:sz w:val="16"/>
                      <w:szCs w:val="16"/>
                    </w:rPr>
                    <w:t>2,500+</w:t>
                  </w:r>
                </w:p>
              </w:tc>
            </w:tr>
            <w:tr w:rsidR="009219FA" w14:paraId="6D77EE54" w14:textId="77777777">
              <w:tc>
                <w:tcPr>
                  <w:tcW w:w="293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27C7A" w14:textId="77777777" w:rsidR="009219FA" w:rsidRDefault="009219FA">
                  <w:pPr>
                    <w:widowControl w:val="0"/>
                    <w:pBdr>
                      <w:top w:val="nil"/>
                      <w:left w:val="nil"/>
                      <w:bottom w:val="nil"/>
                      <w:right w:val="nil"/>
                      <w:between w:val="nil"/>
                    </w:pBdr>
                    <w:spacing w:after="0" w:line="240" w:lineRule="auto"/>
                    <w:rPr>
                      <w:b/>
                      <w:color w:val="00254A"/>
                      <w:sz w:val="21"/>
                      <w:szCs w:val="21"/>
                    </w:rPr>
                  </w:pP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0F1E2B3E" w14:textId="77777777" w:rsidR="009219FA" w:rsidRDefault="00A2584A">
                  <w:pPr>
                    <w:widowControl w:val="0"/>
                    <w:spacing w:before="40" w:after="0" w:line="240" w:lineRule="auto"/>
                    <w:ind w:left="280"/>
                    <w:rPr>
                      <w:rFonts w:ascii="Arial" w:eastAsia="Arial" w:hAnsi="Arial" w:cs="Arial"/>
                      <w:color w:val="070707"/>
                      <w:sz w:val="16"/>
                      <w:szCs w:val="16"/>
                    </w:rPr>
                  </w:pPr>
                  <w:r>
                    <w:rPr>
                      <w:rFonts w:ascii="Arial" w:eastAsia="Arial" w:hAnsi="Arial" w:cs="Arial"/>
                      <w:color w:val="070707"/>
                      <w:sz w:val="16"/>
                      <w:szCs w:val="16"/>
                    </w:rPr>
                    <w:t>Number of student start-ups</w:t>
                  </w: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136D919D" w14:textId="77777777" w:rsidR="009219FA" w:rsidRDefault="00A2584A">
                  <w:pPr>
                    <w:widowControl w:val="0"/>
                    <w:spacing w:before="40" w:after="0" w:line="240" w:lineRule="auto"/>
                    <w:ind w:left="300"/>
                    <w:rPr>
                      <w:rFonts w:ascii="Arial" w:eastAsia="Arial" w:hAnsi="Arial" w:cs="Arial"/>
                      <w:color w:val="070707"/>
                      <w:sz w:val="16"/>
                      <w:szCs w:val="16"/>
                    </w:rPr>
                  </w:pPr>
                  <w:r>
                    <w:rPr>
                      <w:rFonts w:ascii="Arial" w:eastAsia="Arial" w:hAnsi="Arial" w:cs="Arial"/>
                      <w:color w:val="070707"/>
                      <w:sz w:val="16"/>
                      <w:szCs w:val="16"/>
                    </w:rPr>
                    <w:t>30+</w:t>
                  </w:r>
                </w:p>
              </w:tc>
            </w:tr>
            <w:tr w:rsidR="009219FA" w14:paraId="00B0FE1F" w14:textId="77777777">
              <w:tc>
                <w:tcPr>
                  <w:tcW w:w="2938" w:type="dxa"/>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tcPr>
                <w:p w14:paraId="2CFEF27F" w14:textId="77777777" w:rsidR="009219FA" w:rsidRDefault="00A2584A">
                  <w:pPr>
                    <w:widowControl w:val="0"/>
                    <w:spacing w:before="40" w:after="0" w:line="240" w:lineRule="auto"/>
                    <w:ind w:left="280"/>
                    <w:rPr>
                      <w:rFonts w:ascii="Arial" w:eastAsia="Arial" w:hAnsi="Arial" w:cs="Arial"/>
                      <w:color w:val="070707"/>
                      <w:sz w:val="16"/>
                      <w:szCs w:val="16"/>
                    </w:rPr>
                  </w:pPr>
                  <w:r>
                    <w:rPr>
                      <w:rFonts w:ascii="Arial" w:eastAsia="Arial" w:hAnsi="Arial" w:cs="Arial"/>
                      <w:color w:val="070707"/>
                      <w:sz w:val="16"/>
                      <w:szCs w:val="16"/>
                    </w:rPr>
                    <w:t>Industry research and education revenue</w:t>
                  </w: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4BA9ADDB" w14:textId="77777777" w:rsidR="009219FA" w:rsidRDefault="00A2584A">
                  <w:pPr>
                    <w:widowControl w:val="0"/>
                    <w:spacing w:before="40" w:after="0" w:line="240" w:lineRule="auto"/>
                    <w:ind w:left="280"/>
                    <w:rPr>
                      <w:rFonts w:ascii="Arial" w:eastAsia="Arial" w:hAnsi="Arial" w:cs="Arial"/>
                      <w:color w:val="070707"/>
                      <w:sz w:val="16"/>
                      <w:szCs w:val="16"/>
                    </w:rPr>
                  </w:pPr>
                  <w:r>
                    <w:rPr>
                      <w:rFonts w:ascii="Arial" w:eastAsia="Arial" w:hAnsi="Arial" w:cs="Arial"/>
                      <w:color w:val="070707"/>
                      <w:sz w:val="16"/>
                      <w:szCs w:val="16"/>
                    </w:rPr>
                    <w:t>Industry and other research income (HERDC Category 2-4)</w:t>
                  </w: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477F7B7B" w14:textId="77777777" w:rsidR="009219FA" w:rsidRDefault="00A2584A">
                  <w:pPr>
                    <w:widowControl w:val="0"/>
                    <w:spacing w:before="40" w:after="0" w:line="240" w:lineRule="auto"/>
                    <w:ind w:left="280"/>
                    <w:rPr>
                      <w:rFonts w:ascii="Arial" w:eastAsia="Arial" w:hAnsi="Arial" w:cs="Arial"/>
                      <w:color w:val="070707"/>
                      <w:sz w:val="16"/>
                      <w:szCs w:val="16"/>
                    </w:rPr>
                  </w:pPr>
                  <w:r>
                    <w:rPr>
                      <w:rFonts w:ascii="Arial" w:eastAsia="Arial" w:hAnsi="Arial" w:cs="Arial"/>
                      <w:color w:val="070707"/>
                      <w:sz w:val="16"/>
                      <w:szCs w:val="16"/>
                    </w:rPr>
                    <w:t>$300m+/yr</w:t>
                  </w:r>
                </w:p>
              </w:tc>
            </w:tr>
            <w:tr w:rsidR="009219FA" w14:paraId="712891AD" w14:textId="77777777">
              <w:tc>
                <w:tcPr>
                  <w:tcW w:w="2938"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1195F9" w14:textId="77777777" w:rsidR="009219FA" w:rsidRDefault="009219FA">
                  <w:pPr>
                    <w:widowControl w:val="0"/>
                    <w:pBdr>
                      <w:top w:val="nil"/>
                      <w:left w:val="nil"/>
                      <w:bottom w:val="nil"/>
                      <w:right w:val="nil"/>
                      <w:between w:val="nil"/>
                    </w:pBdr>
                    <w:spacing w:after="0" w:line="240" w:lineRule="auto"/>
                    <w:rPr>
                      <w:b/>
                      <w:color w:val="00254A"/>
                      <w:sz w:val="21"/>
                      <w:szCs w:val="21"/>
                    </w:rPr>
                  </w:pP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3AB33977" w14:textId="77777777" w:rsidR="009219FA" w:rsidRDefault="00A2584A">
                  <w:pPr>
                    <w:widowControl w:val="0"/>
                    <w:spacing w:before="40" w:after="0" w:line="240" w:lineRule="auto"/>
                    <w:ind w:left="280"/>
                    <w:rPr>
                      <w:rFonts w:ascii="Arial" w:eastAsia="Arial" w:hAnsi="Arial" w:cs="Arial"/>
                      <w:color w:val="070707"/>
                      <w:sz w:val="16"/>
                      <w:szCs w:val="16"/>
                    </w:rPr>
                  </w:pPr>
                  <w:r>
                    <w:rPr>
                      <w:rFonts w:ascii="Arial" w:eastAsia="Arial" w:hAnsi="Arial" w:cs="Arial"/>
                      <w:color w:val="070707"/>
                      <w:sz w:val="16"/>
                      <w:szCs w:val="16"/>
                    </w:rPr>
                    <w:t>Professional development income</w:t>
                  </w: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08B05E91" w14:textId="77777777" w:rsidR="009219FA" w:rsidRDefault="00A2584A">
                  <w:pPr>
                    <w:widowControl w:val="0"/>
                    <w:spacing w:before="40" w:after="0" w:line="240" w:lineRule="auto"/>
                    <w:ind w:left="280"/>
                    <w:rPr>
                      <w:rFonts w:ascii="Arial" w:eastAsia="Arial" w:hAnsi="Arial" w:cs="Arial"/>
                      <w:color w:val="070707"/>
                      <w:sz w:val="16"/>
                      <w:szCs w:val="16"/>
                    </w:rPr>
                  </w:pPr>
                  <w:r>
                    <w:rPr>
                      <w:rFonts w:ascii="Arial" w:eastAsia="Arial" w:hAnsi="Arial" w:cs="Arial"/>
                      <w:color w:val="070707"/>
                      <w:sz w:val="16"/>
                      <w:szCs w:val="16"/>
                    </w:rPr>
                    <w:t>$30m+/yr</w:t>
                  </w:r>
                </w:p>
              </w:tc>
            </w:tr>
            <w:tr w:rsidR="009219FA" w14:paraId="34597167" w14:textId="77777777">
              <w:trPr>
                <w:trHeight w:val="160"/>
              </w:trPr>
              <w:tc>
                <w:tcPr>
                  <w:tcW w:w="2938" w:type="dxa"/>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tcPr>
                <w:p w14:paraId="3C69921C" w14:textId="77777777" w:rsidR="009219FA" w:rsidRDefault="00A2584A">
                  <w:pPr>
                    <w:widowControl w:val="0"/>
                    <w:spacing w:before="40" w:after="0" w:line="288" w:lineRule="auto"/>
                    <w:ind w:left="280"/>
                    <w:rPr>
                      <w:rFonts w:ascii="Arial" w:eastAsia="Arial" w:hAnsi="Arial" w:cs="Arial"/>
                      <w:color w:val="070707"/>
                      <w:sz w:val="16"/>
                      <w:szCs w:val="16"/>
                    </w:rPr>
                  </w:pPr>
                  <w:r>
                    <w:rPr>
                      <w:rFonts w:ascii="Arial" w:eastAsia="Arial" w:hAnsi="Arial" w:cs="Arial"/>
                      <w:color w:val="070707"/>
                      <w:sz w:val="16"/>
                      <w:szCs w:val="16"/>
                    </w:rPr>
                    <w:t>Invention disclosures, LOAs (licences, options and assignments) and patents</w:t>
                  </w:r>
                </w:p>
                <w:p w14:paraId="3917042E" w14:textId="77777777" w:rsidR="009219FA" w:rsidRDefault="00A2584A">
                  <w:pPr>
                    <w:widowControl w:val="0"/>
                    <w:spacing w:after="0" w:line="240" w:lineRule="auto"/>
                    <w:ind w:left="160"/>
                    <w:rPr>
                      <w:rFonts w:ascii="Times New Roman" w:eastAsia="Times New Roman" w:hAnsi="Times New Roman" w:cs="Times New Roman"/>
                      <w:color w:val="00254A"/>
                      <w:sz w:val="16"/>
                      <w:szCs w:val="16"/>
                    </w:rPr>
                  </w:pPr>
                  <w:r>
                    <w:rPr>
                      <w:rFonts w:ascii="Times New Roman" w:eastAsia="Times New Roman" w:hAnsi="Times New Roman" w:cs="Times New Roman"/>
                      <w:color w:val="00254A"/>
                      <w:sz w:val="16"/>
                      <w:szCs w:val="16"/>
                    </w:rPr>
                    <w:t xml:space="preserve"> </w:t>
                  </w: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4308218B" w14:textId="77777777" w:rsidR="009219FA" w:rsidRDefault="00A2584A">
                  <w:pPr>
                    <w:widowControl w:val="0"/>
                    <w:spacing w:before="40" w:after="0" w:line="240" w:lineRule="auto"/>
                    <w:ind w:left="280"/>
                    <w:rPr>
                      <w:rFonts w:ascii="Arial" w:eastAsia="Arial" w:hAnsi="Arial" w:cs="Arial"/>
                      <w:color w:val="070707"/>
                      <w:sz w:val="16"/>
                      <w:szCs w:val="16"/>
                    </w:rPr>
                  </w:pPr>
                  <w:r>
                    <w:rPr>
                      <w:rFonts w:ascii="Arial" w:eastAsia="Arial" w:hAnsi="Arial" w:cs="Arial"/>
                      <w:color w:val="070707"/>
                      <w:sz w:val="16"/>
                      <w:szCs w:val="16"/>
                    </w:rPr>
                    <w:t>Number of inventions</w:t>
                  </w: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29FB9A41" w14:textId="77777777" w:rsidR="009219FA" w:rsidRDefault="00A2584A">
                  <w:pPr>
                    <w:widowControl w:val="0"/>
                    <w:spacing w:before="40" w:after="0" w:line="240" w:lineRule="auto"/>
                    <w:ind w:left="300"/>
                    <w:rPr>
                      <w:rFonts w:ascii="Arial" w:eastAsia="Arial" w:hAnsi="Arial" w:cs="Arial"/>
                      <w:color w:val="070707"/>
                      <w:sz w:val="16"/>
                      <w:szCs w:val="16"/>
                    </w:rPr>
                  </w:pPr>
                  <w:r>
                    <w:rPr>
                      <w:rFonts w:ascii="Arial" w:eastAsia="Arial" w:hAnsi="Arial" w:cs="Arial"/>
                      <w:color w:val="070707"/>
                      <w:sz w:val="16"/>
                      <w:szCs w:val="16"/>
                    </w:rPr>
                    <w:t>250+</w:t>
                  </w:r>
                </w:p>
              </w:tc>
            </w:tr>
            <w:tr w:rsidR="009219FA" w14:paraId="5C8D24F4" w14:textId="77777777">
              <w:trPr>
                <w:trHeight w:val="410"/>
              </w:trPr>
              <w:tc>
                <w:tcPr>
                  <w:tcW w:w="2938"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604253" w14:textId="77777777" w:rsidR="009219FA" w:rsidRDefault="009219FA">
                  <w:pPr>
                    <w:widowControl w:val="0"/>
                    <w:pBdr>
                      <w:top w:val="nil"/>
                      <w:left w:val="nil"/>
                      <w:bottom w:val="nil"/>
                      <w:right w:val="nil"/>
                      <w:between w:val="nil"/>
                    </w:pBdr>
                    <w:spacing w:after="0" w:line="240" w:lineRule="auto"/>
                    <w:rPr>
                      <w:b/>
                      <w:color w:val="00254A"/>
                      <w:sz w:val="21"/>
                      <w:szCs w:val="21"/>
                    </w:rPr>
                  </w:pP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15DD560D" w14:textId="77777777" w:rsidR="009219FA" w:rsidRDefault="00A2584A">
                  <w:pPr>
                    <w:widowControl w:val="0"/>
                    <w:spacing w:before="60" w:after="0" w:line="240" w:lineRule="auto"/>
                    <w:ind w:left="280"/>
                    <w:rPr>
                      <w:rFonts w:ascii="Arial" w:eastAsia="Arial" w:hAnsi="Arial" w:cs="Arial"/>
                      <w:color w:val="070707"/>
                      <w:sz w:val="16"/>
                      <w:szCs w:val="16"/>
                    </w:rPr>
                  </w:pPr>
                  <w:r>
                    <w:rPr>
                      <w:rFonts w:ascii="Arial" w:eastAsia="Arial" w:hAnsi="Arial" w:cs="Arial"/>
                      <w:color w:val="070707"/>
                      <w:sz w:val="16"/>
                      <w:szCs w:val="16"/>
                    </w:rPr>
                    <w:t>Number of LOAs</w:t>
                  </w: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673AF9C7" w14:textId="77777777" w:rsidR="009219FA" w:rsidRDefault="00A2584A">
                  <w:pPr>
                    <w:widowControl w:val="0"/>
                    <w:spacing w:before="60" w:after="0" w:line="240" w:lineRule="auto"/>
                    <w:ind w:left="300"/>
                    <w:rPr>
                      <w:rFonts w:ascii="Arial" w:eastAsia="Arial" w:hAnsi="Arial" w:cs="Arial"/>
                      <w:color w:val="070707"/>
                      <w:sz w:val="16"/>
                      <w:szCs w:val="16"/>
                    </w:rPr>
                  </w:pPr>
                  <w:r>
                    <w:rPr>
                      <w:rFonts w:ascii="Arial" w:eastAsia="Arial" w:hAnsi="Arial" w:cs="Arial"/>
                      <w:color w:val="070707"/>
                      <w:sz w:val="16"/>
                      <w:szCs w:val="16"/>
                    </w:rPr>
                    <w:t>60+</w:t>
                  </w:r>
                </w:p>
              </w:tc>
            </w:tr>
            <w:tr w:rsidR="009219FA" w14:paraId="2F2BF147" w14:textId="77777777">
              <w:trPr>
                <w:trHeight w:val="160"/>
              </w:trPr>
              <w:tc>
                <w:tcPr>
                  <w:tcW w:w="2938"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CF806E" w14:textId="77777777" w:rsidR="009219FA" w:rsidRDefault="009219FA">
                  <w:pPr>
                    <w:widowControl w:val="0"/>
                    <w:spacing w:after="0" w:line="240" w:lineRule="auto"/>
                    <w:rPr>
                      <w:rFonts w:ascii="Times New Roman" w:eastAsia="Times New Roman" w:hAnsi="Times New Roman" w:cs="Times New Roman"/>
                      <w:b/>
                      <w:color w:val="00254A"/>
                      <w:sz w:val="16"/>
                      <w:szCs w:val="16"/>
                    </w:rPr>
                  </w:pPr>
                </w:p>
              </w:tc>
              <w:tc>
                <w:tcPr>
                  <w:tcW w:w="2938"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0C7EC2FF" w14:textId="77777777" w:rsidR="009219FA" w:rsidRDefault="00A2584A">
                  <w:pPr>
                    <w:widowControl w:val="0"/>
                    <w:spacing w:before="40" w:after="0" w:line="240" w:lineRule="auto"/>
                    <w:ind w:left="280"/>
                    <w:rPr>
                      <w:rFonts w:ascii="Arial" w:eastAsia="Arial" w:hAnsi="Arial" w:cs="Arial"/>
                      <w:color w:val="050505"/>
                      <w:sz w:val="16"/>
                      <w:szCs w:val="16"/>
                    </w:rPr>
                  </w:pPr>
                  <w:r>
                    <w:rPr>
                      <w:rFonts w:ascii="Arial" w:eastAsia="Arial" w:hAnsi="Arial" w:cs="Arial"/>
                      <w:color w:val="050505"/>
                      <w:sz w:val="16"/>
                      <w:szCs w:val="16"/>
                    </w:rPr>
                    <w:t>Number of patents</w:t>
                  </w:r>
                </w:p>
              </w:tc>
              <w:tc>
                <w:tcPr>
                  <w:tcW w:w="2938"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760B6B9A" w14:textId="77777777" w:rsidR="009219FA" w:rsidRDefault="00A2584A">
                  <w:pPr>
                    <w:widowControl w:val="0"/>
                    <w:spacing w:before="40" w:after="0" w:line="240" w:lineRule="auto"/>
                    <w:ind w:left="300"/>
                    <w:rPr>
                      <w:rFonts w:ascii="Arial" w:eastAsia="Arial" w:hAnsi="Arial" w:cs="Arial"/>
                      <w:color w:val="050505"/>
                      <w:sz w:val="16"/>
                      <w:szCs w:val="16"/>
                    </w:rPr>
                  </w:pPr>
                  <w:r>
                    <w:rPr>
                      <w:rFonts w:ascii="Arial" w:eastAsia="Arial" w:hAnsi="Arial" w:cs="Arial"/>
                      <w:color w:val="050505"/>
                      <w:sz w:val="16"/>
                      <w:szCs w:val="16"/>
                    </w:rPr>
                    <w:t>50+</w:t>
                  </w:r>
                </w:p>
              </w:tc>
            </w:tr>
            <w:tr w:rsidR="009219FA" w14:paraId="3AADB2E7" w14:textId="77777777">
              <w:tc>
                <w:tcPr>
                  <w:tcW w:w="293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43D3EDDC" w14:textId="77777777" w:rsidR="009219FA" w:rsidRDefault="00A2584A">
                  <w:pPr>
                    <w:widowControl w:val="0"/>
                    <w:spacing w:before="40" w:after="0" w:line="240" w:lineRule="auto"/>
                    <w:ind w:left="260"/>
                    <w:rPr>
                      <w:rFonts w:ascii="Arial" w:eastAsia="Arial" w:hAnsi="Arial" w:cs="Arial"/>
                      <w:color w:val="050505"/>
                      <w:sz w:val="16"/>
                      <w:szCs w:val="16"/>
                    </w:rPr>
                  </w:pPr>
                  <w:r>
                    <w:rPr>
                      <w:rFonts w:ascii="Arial" w:eastAsia="Arial" w:hAnsi="Arial" w:cs="Arial"/>
                      <w:color w:val="050505"/>
                      <w:sz w:val="16"/>
                      <w:szCs w:val="16"/>
                    </w:rPr>
                    <w:t>Start-ups and spinouts</w:t>
                  </w: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3458EC30" w14:textId="77777777" w:rsidR="009219FA" w:rsidRDefault="00A2584A">
                  <w:pPr>
                    <w:widowControl w:val="0"/>
                    <w:spacing w:before="40" w:after="0" w:line="240" w:lineRule="auto"/>
                    <w:ind w:left="280"/>
                    <w:rPr>
                      <w:rFonts w:ascii="Arial" w:eastAsia="Arial" w:hAnsi="Arial" w:cs="Arial"/>
                      <w:color w:val="050505"/>
                      <w:sz w:val="16"/>
                      <w:szCs w:val="16"/>
                    </w:rPr>
                  </w:pPr>
                  <w:r>
                    <w:rPr>
                      <w:rFonts w:ascii="Arial" w:eastAsia="Arial" w:hAnsi="Arial" w:cs="Arial"/>
                      <w:color w:val="050505"/>
                      <w:sz w:val="16"/>
                      <w:szCs w:val="16"/>
                    </w:rPr>
                    <w:t>Number of start-ups/spinouts</w:t>
                  </w: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5269AA0E" w14:textId="77777777" w:rsidR="009219FA" w:rsidRDefault="00A2584A">
                  <w:pPr>
                    <w:widowControl w:val="0"/>
                    <w:spacing w:before="40" w:after="0" w:line="240" w:lineRule="auto"/>
                    <w:ind w:left="280"/>
                    <w:rPr>
                      <w:rFonts w:ascii="Arial" w:eastAsia="Arial" w:hAnsi="Arial" w:cs="Arial"/>
                      <w:color w:val="050505"/>
                      <w:sz w:val="16"/>
                      <w:szCs w:val="16"/>
                    </w:rPr>
                  </w:pPr>
                  <w:r>
                    <w:rPr>
                      <w:rFonts w:ascii="Arial" w:eastAsia="Arial" w:hAnsi="Arial" w:cs="Arial"/>
                      <w:color w:val="050505"/>
                      <w:sz w:val="16"/>
                      <w:szCs w:val="16"/>
                    </w:rPr>
                    <w:t>10+</w:t>
                  </w:r>
                </w:p>
              </w:tc>
            </w:tr>
            <w:tr w:rsidR="009219FA" w14:paraId="0519A83A" w14:textId="77777777">
              <w:tc>
                <w:tcPr>
                  <w:tcW w:w="293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4B51D43" w14:textId="77777777" w:rsidR="009219FA" w:rsidRDefault="00A2584A">
                  <w:pPr>
                    <w:widowControl w:val="0"/>
                    <w:spacing w:before="40" w:after="0" w:line="240" w:lineRule="auto"/>
                    <w:ind w:left="280"/>
                    <w:rPr>
                      <w:rFonts w:ascii="Arial" w:eastAsia="Arial" w:hAnsi="Arial" w:cs="Arial"/>
                      <w:color w:val="050505"/>
                      <w:sz w:val="16"/>
                      <w:szCs w:val="16"/>
                    </w:rPr>
                  </w:pPr>
                  <w:r>
                    <w:rPr>
                      <w:rFonts w:ascii="Arial" w:eastAsia="Arial" w:hAnsi="Arial" w:cs="Arial"/>
                      <w:color w:val="050505"/>
                      <w:sz w:val="16"/>
                      <w:szCs w:val="16"/>
                    </w:rPr>
                    <w:t>Industry, innovation and infrastructure</w:t>
                  </w: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233068E9" w14:textId="77777777" w:rsidR="009219FA" w:rsidRDefault="00A2584A">
                  <w:pPr>
                    <w:widowControl w:val="0"/>
                    <w:spacing w:before="40" w:after="0" w:line="240" w:lineRule="auto"/>
                    <w:ind w:left="280"/>
                    <w:rPr>
                      <w:rFonts w:ascii="Arial" w:eastAsia="Arial" w:hAnsi="Arial" w:cs="Arial"/>
                      <w:color w:val="050505"/>
                      <w:sz w:val="16"/>
                      <w:szCs w:val="16"/>
                    </w:rPr>
                  </w:pPr>
                  <w:r>
                    <w:rPr>
                      <w:rFonts w:ascii="Arial" w:eastAsia="Arial" w:hAnsi="Arial" w:cs="Arial"/>
                      <w:color w:val="050505"/>
                      <w:sz w:val="16"/>
                      <w:szCs w:val="16"/>
                    </w:rPr>
                    <w:t>THE Global Impact Ranking for SDG 9- Industry, Innovation and Infrastructure</w:t>
                  </w:r>
                </w:p>
              </w:tc>
              <w:tc>
                <w:tcPr>
                  <w:tcW w:w="2938" w:type="dxa"/>
                  <w:tcBorders>
                    <w:top w:val="nil"/>
                    <w:left w:val="nil"/>
                    <w:bottom w:val="single" w:sz="8" w:space="0" w:color="000000"/>
                    <w:right w:val="single" w:sz="8" w:space="0" w:color="000000"/>
                  </w:tcBorders>
                  <w:tcMar>
                    <w:top w:w="0" w:type="dxa"/>
                    <w:left w:w="0" w:type="dxa"/>
                    <w:bottom w:w="0" w:type="dxa"/>
                    <w:right w:w="0" w:type="dxa"/>
                  </w:tcMar>
                </w:tcPr>
                <w:p w14:paraId="133576C2" w14:textId="77777777" w:rsidR="009219FA" w:rsidRDefault="00A2584A">
                  <w:pPr>
                    <w:widowControl w:val="0"/>
                    <w:spacing w:before="40" w:after="0" w:line="240" w:lineRule="auto"/>
                    <w:ind w:left="280"/>
                    <w:rPr>
                      <w:rFonts w:ascii="Arial" w:eastAsia="Arial" w:hAnsi="Arial" w:cs="Arial"/>
                      <w:color w:val="050505"/>
                      <w:sz w:val="16"/>
                      <w:szCs w:val="16"/>
                    </w:rPr>
                  </w:pPr>
                  <w:r>
                    <w:rPr>
                      <w:rFonts w:ascii="Arial" w:eastAsia="Arial" w:hAnsi="Arial" w:cs="Arial"/>
                      <w:color w:val="050505"/>
                      <w:sz w:val="16"/>
                      <w:szCs w:val="16"/>
                    </w:rPr>
                    <w:t>Top 50</w:t>
                  </w:r>
                </w:p>
              </w:tc>
            </w:tr>
            <w:tr w:rsidR="009219FA" w14:paraId="6D8A48EE" w14:textId="77777777" w:rsidTr="00705FEC">
              <w:tc>
                <w:tcPr>
                  <w:tcW w:w="293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445771F1" w14:textId="77777777" w:rsidR="009219FA" w:rsidRDefault="00A2584A">
                  <w:pPr>
                    <w:widowControl w:val="0"/>
                    <w:spacing w:before="40" w:after="0" w:line="240" w:lineRule="auto"/>
                    <w:ind w:left="260"/>
                    <w:rPr>
                      <w:rFonts w:ascii="Arial" w:eastAsia="Arial" w:hAnsi="Arial" w:cs="Arial"/>
                      <w:i/>
                      <w:color w:val="050505"/>
                      <w:sz w:val="16"/>
                      <w:szCs w:val="16"/>
                    </w:rPr>
                  </w:pPr>
                  <w:r>
                    <w:rPr>
                      <w:rFonts w:ascii="Arial" w:eastAsia="Arial" w:hAnsi="Arial" w:cs="Arial"/>
                      <w:i/>
                      <w:color w:val="050505"/>
                      <w:sz w:val="16"/>
                      <w:szCs w:val="16"/>
                    </w:rPr>
                    <w:t>Outcomes from major industry partnerships</w:t>
                  </w:r>
                </w:p>
              </w:tc>
              <w:tc>
                <w:tcPr>
                  <w:tcW w:w="2939" w:type="dxa"/>
                  <w:tcBorders>
                    <w:top w:val="nil"/>
                    <w:left w:val="nil"/>
                    <w:bottom w:val="single" w:sz="8" w:space="0" w:color="000000"/>
                    <w:right w:val="single" w:sz="8" w:space="0" w:color="000000"/>
                  </w:tcBorders>
                  <w:tcMar>
                    <w:top w:w="0" w:type="dxa"/>
                    <w:left w:w="0" w:type="dxa"/>
                    <w:bottom w:w="0" w:type="dxa"/>
                    <w:right w:w="0" w:type="dxa"/>
                  </w:tcMar>
                </w:tcPr>
                <w:p w14:paraId="69BAFF38" w14:textId="77777777" w:rsidR="009219FA" w:rsidRDefault="00A2584A">
                  <w:pPr>
                    <w:widowControl w:val="0"/>
                    <w:spacing w:before="40" w:after="0" w:line="240" w:lineRule="auto"/>
                    <w:ind w:left="280"/>
                    <w:rPr>
                      <w:rFonts w:ascii="Arial" w:eastAsia="Arial" w:hAnsi="Arial" w:cs="Arial"/>
                      <w:i/>
                      <w:color w:val="050505"/>
                      <w:sz w:val="16"/>
                      <w:szCs w:val="16"/>
                    </w:rPr>
                  </w:pPr>
                  <w:r>
                    <w:rPr>
                      <w:rFonts w:ascii="Arial" w:eastAsia="Arial" w:hAnsi="Arial" w:cs="Arial"/>
                      <w:i/>
                      <w:color w:val="050505"/>
                      <w:sz w:val="16"/>
                      <w:szCs w:val="16"/>
                    </w:rPr>
                    <w:t>(qualitative)</w:t>
                  </w:r>
                </w:p>
              </w:tc>
              <w:tc>
                <w:tcPr>
                  <w:tcW w:w="2939" w:type="dxa"/>
                  <w:tcBorders>
                    <w:top w:val="nil"/>
                    <w:left w:val="nil"/>
                    <w:bottom w:val="single" w:sz="8" w:space="0" w:color="000000"/>
                    <w:right w:val="single" w:sz="8" w:space="0" w:color="000000"/>
                  </w:tcBorders>
                  <w:tcMar>
                    <w:top w:w="0" w:type="dxa"/>
                    <w:left w:w="0" w:type="dxa"/>
                    <w:bottom w:w="0" w:type="dxa"/>
                    <w:right w:w="0" w:type="dxa"/>
                  </w:tcMar>
                </w:tcPr>
                <w:p w14:paraId="45DDEAEC" w14:textId="26FE618C" w:rsidR="009219FA" w:rsidRDefault="00A2584A">
                  <w:pPr>
                    <w:widowControl w:val="0"/>
                    <w:spacing w:after="0" w:line="240" w:lineRule="auto"/>
                    <w:ind w:left="160"/>
                    <w:rPr>
                      <w:rFonts w:ascii="Times New Roman" w:eastAsia="Times New Roman" w:hAnsi="Times New Roman" w:cs="Times New Roman"/>
                      <w:color w:val="00254A"/>
                      <w:sz w:val="16"/>
                      <w:szCs w:val="16"/>
                    </w:rPr>
                  </w:pPr>
                  <w:r>
                    <w:rPr>
                      <w:rFonts w:ascii="Times New Roman" w:eastAsia="Times New Roman" w:hAnsi="Times New Roman" w:cs="Times New Roman"/>
                      <w:color w:val="00254A"/>
                      <w:sz w:val="16"/>
                      <w:szCs w:val="16"/>
                    </w:rPr>
                    <w:t xml:space="preserve"> </w:t>
                  </w:r>
                </w:p>
              </w:tc>
            </w:tr>
          </w:tbl>
          <w:p w14:paraId="6D1CD38F" w14:textId="77777777" w:rsidR="009219FA" w:rsidRDefault="009219FA">
            <w:pPr>
              <w:pStyle w:val="Heading4"/>
              <w:keepNext w:val="0"/>
              <w:keepLines w:val="0"/>
              <w:spacing w:before="120" w:after="120" w:line="276" w:lineRule="auto"/>
              <w:rPr>
                <w:sz w:val="21"/>
                <w:szCs w:val="21"/>
              </w:rPr>
            </w:pPr>
            <w:bookmarkStart w:id="3" w:name="_heading=h.ttopd4imx8sy" w:colFirst="0" w:colLast="0"/>
            <w:bookmarkEnd w:id="3"/>
          </w:p>
        </w:tc>
      </w:tr>
    </w:tbl>
    <w:p w14:paraId="73234CFB" w14:textId="77777777" w:rsidR="009219FA" w:rsidRDefault="00A2584A">
      <w:pPr>
        <w:spacing w:after="160"/>
        <w:rPr>
          <w:rFonts w:ascii="Times New Roman" w:eastAsia="Times New Roman" w:hAnsi="Times New Roman" w:cs="Times New Roman"/>
          <w:b/>
          <w:sz w:val="24"/>
          <w:szCs w:val="24"/>
        </w:rPr>
      </w:pPr>
      <w:r>
        <w:lastRenderedPageBreak/>
        <w:br w:type="page"/>
      </w: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9219FA" w14:paraId="101FA9E6" w14:textId="77777777">
        <w:tc>
          <w:tcPr>
            <w:tcW w:w="4508" w:type="dxa"/>
          </w:tcPr>
          <w:p w14:paraId="2C4D351E" w14:textId="77777777" w:rsidR="009219FA" w:rsidRDefault="00A2584A">
            <w:pPr>
              <w:spacing w:before="28" w:line="210" w:lineRule="auto"/>
              <w:rPr>
                <w:color w:val="000000"/>
                <w:sz w:val="24"/>
                <w:szCs w:val="24"/>
              </w:rPr>
            </w:pPr>
            <w:r>
              <w:rPr>
                <w:color w:val="000000"/>
                <w:sz w:val="24"/>
                <w:szCs w:val="24"/>
              </w:rPr>
              <w:lastRenderedPageBreak/>
              <w:t>SIGNED for and on behalf of</w:t>
            </w:r>
          </w:p>
          <w:p w14:paraId="28FB8429" w14:textId="77777777" w:rsidR="009219FA" w:rsidRDefault="00A2584A">
            <w:pPr>
              <w:spacing w:before="275" w:line="210" w:lineRule="auto"/>
              <w:rPr>
                <w:color w:val="000000"/>
                <w:sz w:val="24"/>
                <w:szCs w:val="24"/>
              </w:rPr>
            </w:pPr>
            <w:r>
              <w:rPr>
                <w:color w:val="000000"/>
                <w:sz w:val="24"/>
                <w:szCs w:val="24"/>
              </w:rPr>
              <w:t>THE COMMONWEALTH OF AUSTRALIA</w:t>
            </w:r>
          </w:p>
          <w:p w14:paraId="5409DE94" w14:textId="77777777" w:rsidR="009219FA" w:rsidRDefault="00A2584A">
            <w:pPr>
              <w:spacing w:before="275" w:line="210" w:lineRule="auto"/>
              <w:rPr>
                <w:color w:val="000000"/>
                <w:sz w:val="24"/>
                <w:szCs w:val="24"/>
              </w:rPr>
            </w:pPr>
            <w:r>
              <w:rPr>
                <w:color w:val="000000"/>
                <w:sz w:val="24"/>
                <w:szCs w:val="24"/>
              </w:rPr>
              <w:t>by</w:t>
            </w:r>
          </w:p>
        </w:tc>
        <w:tc>
          <w:tcPr>
            <w:tcW w:w="4508" w:type="dxa"/>
          </w:tcPr>
          <w:p w14:paraId="19ACAAC3" w14:textId="77777777" w:rsidR="009219FA" w:rsidRDefault="00A2584A">
            <w:pPr>
              <w:rPr>
                <w:sz w:val="24"/>
                <w:szCs w:val="24"/>
              </w:rPr>
            </w:pPr>
            <w:r>
              <w:rPr>
                <w:sz w:val="24"/>
                <w:szCs w:val="24"/>
              </w:rPr>
              <w:t>In the presence of:</w:t>
            </w:r>
          </w:p>
        </w:tc>
      </w:tr>
      <w:tr w:rsidR="009219FA" w14:paraId="6B306683" w14:textId="77777777">
        <w:tc>
          <w:tcPr>
            <w:tcW w:w="4508" w:type="dxa"/>
          </w:tcPr>
          <w:p w14:paraId="29C592BB" w14:textId="4D20029B" w:rsidR="009219FA" w:rsidRDefault="004B6E4A">
            <w:pPr>
              <w:pBdr>
                <w:bottom w:val="single" w:sz="12" w:space="1" w:color="000000"/>
              </w:pBdr>
              <w:rPr>
                <w:b/>
              </w:rPr>
            </w:pPr>
            <w:r w:rsidRPr="001E1D51">
              <w:rPr>
                <w:b/>
                <w:bCs/>
              </w:rPr>
              <w:t>Jessica Mohr</w:t>
            </w:r>
            <w:r w:rsidRPr="00DC5CCA">
              <w:rPr>
                <w:sz w:val="20"/>
                <w:szCs w:val="20"/>
              </w:rPr>
              <w:tab/>
            </w:r>
          </w:p>
          <w:p w14:paraId="1B9ACFED" w14:textId="77777777" w:rsidR="009219FA" w:rsidRDefault="00A2584A">
            <w:r>
              <w:t>Full name (please print)</w:t>
            </w:r>
          </w:p>
        </w:tc>
        <w:tc>
          <w:tcPr>
            <w:tcW w:w="4508" w:type="dxa"/>
          </w:tcPr>
          <w:p w14:paraId="1D276F39" w14:textId="306CD099" w:rsidR="009219FA" w:rsidRDefault="00E40F64">
            <w:pPr>
              <w:pBdr>
                <w:bottom w:val="single" w:sz="12" w:space="1" w:color="000000"/>
              </w:pBdr>
              <w:rPr>
                <w:b/>
              </w:rPr>
            </w:pPr>
            <w:r w:rsidRPr="001E1D51">
              <w:rPr>
                <w:b/>
                <w:bCs/>
              </w:rPr>
              <w:t>Rachel Searl</w:t>
            </w:r>
          </w:p>
          <w:p w14:paraId="0CE2930F" w14:textId="77777777" w:rsidR="009219FA" w:rsidRDefault="00A2584A">
            <w:r>
              <w:t>Witness (please print)</w:t>
            </w:r>
          </w:p>
        </w:tc>
      </w:tr>
      <w:tr w:rsidR="009219FA" w14:paraId="539D2913" w14:textId="77777777">
        <w:tc>
          <w:tcPr>
            <w:tcW w:w="4508" w:type="dxa"/>
          </w:tcPr>
          <w:p w14:paraId="3AD9950B" w14:textId="14371404" w:rsidR="009219FA" w:rsidRDefault="007F6B16">
            <w:pPr>
              <w:pBdr>
                <w:bottom w:val="single" w:sz="12" w:space="1" w:color="000000"/>
              </w:pBdr>
              <w:rPr>
                <w:b/>
              </w:rPr>
            </w:pPr>
            <w:r w:rsidRPr="00DC5CCA">
              <w:rPr>
                <w:b/>
                <w:bCs/>
              </w:rPr>
              <w:t>First Assistant Secretary</w:t>
            </w:r>
          </w:p>
          <w:p w14:paraId="48379EBD" w14:textId="77777777" w:rsidR="009219FA" w:rsidRDefault="00A2584A">
            <w:r>
              <w:t>Position</w:t>
            </w:r>
          </w:p>
          <w:p w14:paraId="18D1870A" w14:textId="77777777" w:rsidR="009219FA" w:rsidRDefault="00A2584A">
            <w:r>
              <w:t>of the Department of Education</w:t>
            </w:r>
          </w:p>
        </w:tc>
        <w:tc>
          <w:tcPr>
            <w:tcW w:w="4508" w:type="dxa"/>
          </w:tcPr>
          <w:p w14:paraId="39363DF6" w14:textId="2A5B7A92" w:rsidR="009219FA" w:rsidRDefault="00963833">
            <w:pPr>
              <w:pBdr>
                <w:bottom w:val="single" w:sz="12" w:space="1" w:color="000000"/>
              </w:pBdr>
              <w:rPr>
                <w:b/>
              </w:rPr>
            </w:pPr>
            <w:r w:rsidRPr="00E91A60">
              <w:rPr>
                <w:b/>
                <w:bCs/>
              </w:rPr>
              <w:t>Executive Officer</w:t>
            </w:r>
          </w:p>
          <w:p w14:paraId="70F3CA1A" w14:textId="77777777" w:rsidR="009219FA" w:rsidRDefault="00A2584A">
            <w:r>
              <w:t>Position or profession of witness (please print)</w:t>
            </w:r>
          </w:p>
        </w:tc>
      </w:tr>
      <w:tr w:rsidR="009219FA" w14:paraId="430F673A" w14:textId="77777777">
        <w:tc>
          <w:tcPr>
            <w:tcW w:w="4508" w:type="dxa"/>
          </w:tcPr>
          <w:p w14:paraId="4F3DB1D1" w14:textId="77777777" w:rsidR="009219FA" w:rsidRDefault="009219FA">
            <w:pPr>
              <w:pBdr>
                <w:bottom w:val="single" w:sz="12" w:space="1" w:color="000000"/>
              </w:pBdr>
              <w:rPr>
                <w:b/>
              </w:rPr>
            </w:pPr>
          </w:p>
          <w:p w14:paraId="0CDB78B1" w14:textId="77777777" w:rsidR="009219FA" w:rsidRDefault="00A2584A">
            <w:r>
              <w:t>Signature</w:t>
            </w:r>
          </w:p>
        </w:tc>
        <w:tc>
          <w:tcPr>
            <w:tcW w:w="4508" w:type="dxa"/>
          </w:tcPr>
          <w:p w14:paraId="5AB1E901" w14:textId="77777777" w:rsidR="009219FA" w:rsidRDefault="009219FA">
            <w:pPr>
              <w:pBdr>
                <w:bottom w:val="single" w:sz="12" w:space="1" w:color="000000"/>
              </w:pBdr>
              <w:rPr>
                <w:b/>
              </w:rPr>
            </w:pPr>
          </w:p>
          <w:p w14:paraId="7644A8DF" w14:textId="77777777" w:rsidR="009219FA" w:rsidRDefault="00A2584A">
            <w:r>
              <w:t>Signature</w:t>
            </w:r>
          </w:p>
        </w:tc>
      </w:tr>
      <w:tr w:rsidR="009219FA" w14:paraId="207234C5" w14:textId="77777777">
        <w:tc>
          <w:tcPr>
            <w:tcW w:w="4508" w:type="dxa"/>
          </w:tcPr>
          <w:p w14:paraId="40F7EB6B" w14:textId="43565FFF" w:rsidR="009219FA" w:rsidRPr="00A8644C" w:rsidRDefault="00A8644C">
            <w:pPr>
              <w:pBdr>
                <w:bottom w:val="single" w:sz="12" w:space="1" w:color="000000"/>
              </w:pBdr>
              <w:rPr>
                <w:bCs/>
              </w:rPr>
            </w:pPr>
            <w:r>
              <w:rPr>
                <w:bCs/>
              </w:rPr>
              <w:t>01/12/2025</w:t>
            </w:r>
          </w:p>
          <w:p w14:paraId="020F4F6D" w14:textId="77777777" w:rsidR="009219FA" w:rsidRDefault="00A2584A">
            <w:r>
              <w:t>Date</w:t>
            </w:r>
          </w:p>
        </w:tc>
        <w:tc>
          <w:tcPr>
            <w:tcW w:w="4508" w:type="dxa"/>
          </w:tcPr>
          <w:p w14:paraId="2066BD20" w14:textId="77777777" w:rsidR="009219FA" w:rsidRDefault="009219FA">
            <w:pPr>
              <w:rPr>
                <w:b/>
              </w:rPr>
            </w:pPr>
          </w:p>
        </w:tc>
      </w:tr>
      <w:tr w:rsidR="009219FA" w14:paraId="568E9E8B" w14:textId="77777777">
        <w:tc>
          <w:tcPr>
            <w:tcW w:w="4508" w:type="dxa"/>
          </w:tcPr>
          <w:p w14:paraId="585F2043" w14:textId="744BC908" w:rsidR="009219FA" w:rsidRDefault="00A2584A">
            <w:pPr>
              <w:spacing w:before="28" w:line="210" w:lineRule="auto"/>
              <w:rPr>
                <w:color w:val="000000"/>
                <w:sz w:val="24"/>
                <w:szCs w:val="24"/>
              </w:rPr>
            </w:pPr>
            <w:r>
              <w:rPr>
                <w:color w:val="000000"/>
                <w:sz w:val="24"/>
                <w:szCs w:val="24"/>
              </w:rPr>
              <w:t>SIGNED for and on behalf of</w:t>
            </w:r>
          </w:p>
          <w:p w14:paraId="54659B1B" w14:textId="60A2A8F6" w:rsidR="009219FA" w:rsidRDefault="00A2584A">
            <w:pPr>
              <w:spacing w:before="28" w:line="210" w:lineRule="auto"/>
              <w:rPr>
                <w:color w:val="000000"/>
                <w:sz w:val="24"/>
                <w:szCs w:val="24"/>
              </w:rPr>
            </w:pPr>
            <w:r>
              <w:rPr>
                <w:color w:val="000000"/>
                <w:sz w:val="24"/>
                <w:szCs w:val="24"/>
              </w:rPr>
              <w:t>MONASH UNIVERSITY</w:t>
            </w:r>
          </w:p>
          <w:p w14:paraId="58FC42CF" w14:textId="7A54E327" w:rsidR="009219FA" w:rsidRDefault="008F57AD">
            <w:pPr>
              <w:spacing w:before="275" w:line="210" w:lineRule="auto"/>
              <w:rPr>
                <w:color w:val="000000"/>
              </w:rPr>
            </w:pPr>
            <w:r w:rsidRPr="008F57AD">
              <w:drawing>
                <wp:anchor distT="0" distB="0" distL="114300" distR="114300" simplePos="0" relativeHeight="251687936" behindDoc="1" locked="0" layoutInCell="1" allowOverlap="1" wp14:anchorId="55A847D8" wp14:editId="5C0C809B">
                  <wp:simplePos x="0" y="0"/>
                  <wp:positionH relativeFrom="column">
                    <wp:posOffset>-17145</wp:posOffset>
                  </wp:positionH>
                  <wp:positionV relativeFrom="paragraph">
                    <wp:posOffset>158114</wp:posOffset>
                  </wp:positionV>
                  <wp:extent cx="6012180" cy="788657"/>
                  <wp:effectExtent l="0" t="0" r="0" b="0"/>
                  <wp:wrapNone/>
                  <wp:docPr id="211279678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796785" name="Picture 1" descr="A close up of a sign&#10;&#10;AI-generated content may be incorrect."/>
                          <pic:cNvPicPr/>
                        </pic:nvPicPr>
                        <pic:blipFill>
                          <a:blip r:embed="rId65">
                            <a:extLst>
                              <a:ext uri="{28A0092B-C50C-407E-A947-70E740481C1C}">
                                <a14:useLocalDpi xmlns:a14="http://schemas.microsoft.com/office/drawing/2010/main" val="0"/>
                              </a:ext>
                            </a:extLst>
                          </a:blip>
                          <a:stretch>
                            <a:fillRect/>
                          </a:stretch>
                        </pic:blipFill>
                        <pic:spPr>
                          <a:xfrm>
                            <a:off x="0" y="0"/>
                            <a:ext cx="6052684" cy="793970"/>
                          </a:xfrm>
                          <a:prstGeom prst="rect">
                            <a:avLst/>
                          </a:prstGeom>
                        </pic:spPr>
                      </pic:pic>
                    </a:graphicData>
                  </a:graphic>
                  <wp14:sizeRelH relativeFrom="margin">
                    <wp14:pctWidth>0</wp14:pctWidth>
                  </wp14:sizeRelH>
                  <wp14:sizeRelV relativeFrom="margin">
                    <wp14:pctHeight>0</wp14:pctHeight>
                  </wp14:sizeRelV>
                </wp:anchor>
              </w:drawing>
            </w:r>
          </w:p>
        </w:tc>
        <w:tc>
          <w:tcPr>
            <w:tcW w:w="4508" w:type="dxa"/>
          </w:tcPr>
          <w:p w14:paraId="609BDD88" w14:textId="11D261CD" w:rsidR="009219FA" w:rsidRDefault="00A2584A">
            <w:r>
              <w:rPr>
                <w:sz w:val="24"/>
                <w:szCs w:val="24"/>
              </w:rPr>
              <w:t>In the presence of:</w:t>
            </w:r>
          </w:p>
        </w:tc>
      </w:tr>
      <w:tr w:rsidR="009219FA" w14:paraId="0F38EBD2" w14:textId="77777777">
        <w:tc>
          <w:tcPr>
            <w:tcW w:w="4508" w:type="dxa"/>
          </w:tcPr>
          <w:p w14:paraId="1F872B16" w14:textId="68552BBB" w:rsidR="009219FA" w:rsidRDefault="009219FA"/>
        </w:tc>
        <w:tc>
          <w:tcPr>
            <w:tcW w:w="4508" w:type="dxa"/>
          </w:tcPr>
          <w:p w14:paraId="726E5ED4" w14:textId="6DA9CBC9" w:rsidR="009219FA" w:rsidRDefault="009219FA"/>
        </w:tc>
      </w:tr>
      <w:tr w:rsidR="009219FA" w14:paraId="23ADC679" w14:textId="77777777">
        <w:trPr>
          <w:trHeight w:val="80"/>
        </w:trPr>
        <w:tc>
          <w:tcPr>
            <w:tcW w:w="4508" w:type="dxa"/>
          </w:tcPr>
          <w:p w14:paraId="582BC2D6" w14:textId="21C91CE0" w:rsidR="009219FA" w:rsidRDefault="009219FA"/>
        </w:tc>
        <w:tc>
          <w:tcPr>
            <w:tcW w:w="4508" w:type="dxa"/>
          </w:tcPr>
          <w:p w14:paraId="6FC2EA92" w14:textId="2079C027" w:rsidR="009219FA" w:rsidRDefault="009219FA"/>
        </w:tc>
      </w:tr>
    </w:tbl>
    <w:p w14:paraId="5CA3C4EE" w14:textId="505F7D40" w:rsidR="009219FA" w:rsidRDefault="009219FA"/>
    <w:p w14:paraId="11C6C86A" w14:textId="24660414" w:rsidR="009219FA" w:rsidRDefault="00A8644C">
      <w:pPr>
        <w:pBdr>
          <w:top w:val="nil"/>
          <w:left w:val="nil"/>
          <w:bottom w:val="nil"/>
          <w:right w:val="nil"/>
          <w:between w:val="nil"/>
        </w:pBdr>
        <w:spacing w:before="120" w:after="120" w:line="240" w:lineRule="auto"/>
        <w:rPr>
          <w:color w:val="000000"/>
        </w:rPr>
      </w:pPr>
      <w:r>
        <w:rPr>
          <w:color w:val="000000"/>
        </w:rPr>
        <w:br/>
      </w:r>
      <w:r w:rsidR="00286560">
        <w:rPr>
          <w:color w:val="000000"/>
        </w:rPr>
        <w:t>Date</w:t>
      </w:r>
      <w:r w:rsidR="00C52859">
        <w:rPr>
          <w:rFonts w:ascii="Aptos" w:eastAsia="Aptos" w:hAnsi="Aptos" w:cs="Times New Roman"/>
          <w:noProof/>
          <w:kern w:val="2"/>
          <w:sz w:val="24"/>
          <w:szCs w:val="24"/>
          <w:lang w:eastAsia="en-US"/>
        </w:rPr>
        <mc:AlternateContent>
          <mc:Choice Requires="wpi">
            <w:drawing>
              <wp:anchor distT="0" distB="0" distL="114300" distR="114300" simplePos="0" relativeHeight="251686912" behindDoc="0" locked="0" layoutInCell="1" allowOverlap="1" wp14:anchorId="6F36D088" wp14:editId="1459604C">
                <wp:simplePos x="0" y="0"/>
                <wp:positionH relativeFrom="column">
                  <wp:posOffset>3533940</wp:posOffset>
                </wp:positionH>
                <wp:positionV relativeFrom="paragraph">
                  <wp:posOffset>582055</wp:posOffset>
                </wp:positionV>
                <wp:extent cx="209880" cy="360"/>
                <wp:effectExtent l="133350" t="133350" r="76200" b="133350"/>
                <wp:wrapNone/>
                <wp:docPr id="785618827" name="Ink 38"/>
                <wp:cNvGraphicFramePr/>
                <a:graphic xmlns:a="http://schemas.openxmlformats.org/drawingml/2006/main">
                  <a:graphicData uri="http://schemas.microsoft.com/office/word/2010/wordprocessingInk">
                    <w14:contentPart bwMode="auto" r:id="rId66">
                      <w14:nvContentPartPr>
                        <w14:cNvContentPartPr/>
                      </w14:nvContentPartPr>
                      <w14:xfrm>
                        <a:off x="0" y="0"/>
                        <a:ext cx="209880" cy="360"/>
                      </w14:xfrm>
                    </w14:contentPart>
                  </a:graphicData>
                </a:graphic>
              </wp:anchor>
            </w:drawing>
          </mc:Choice>
          <mc:Fallback>
            <w:pict>
              <v:shapetype w14:anchorId="3DF37F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8" o:spid="_x0000_s1026" type="#_x0000_t75" style="position:absolute;margin-left:273.3pt;margin-top:40.9pt;width:26.45pt;height:9.9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">
                <v:imagedata r:id="rId68" o:title=""/>
              </v:shape>
            </w:pict>
          </mc:Fallback>
        </mc:AlternateContent>
      </w:r>
      <w:r w:rsidR="00C52859">
        <w:rPr>
          <w:rFonts w:ascii="Aptos" w:eastAsia="Aptos" w:hAnsi="Aptos" w:cs="Times New Roman"/>
          <w:noProof/>
          <w:kern w:val="2"/>
          <w:sz w:val="24"/>
          <w:szCs w:val="24"/>
          <w:lang w:eastAsia="en-US"/>
        </w:rPr>
        <mc:AlternateContent>
          <mc:Choice Requires="wpi">
            <w:drawing>
              <wp:anchor distT="0" distB="0" distL="114300" distR="114300" simplePos="0" relativeHeight="251678720" behindDoc="0" locked="0" layoutInCell="1" allowOverlap="1" wp14:anchorId="2A97D648" wp14:editId="78B74648">
                <wp:simplePos x="0" y="0"/>
                <wp:positionH relativeFrom="column">
                  <wp:posOffset>2047860</wp:posOffset>
                </wp:positionH>
                <wp:positionV relativeFrom="paragraph">
                  <wp:posOffset>572695</wp:posOffset>
                </wp:positionV>
                <wp:extent cx="88200" cy="15480"/>
                <wp:effectExtent l="133350" t="133350" r="83820" b="137160"/>
                <wp:wrapNone/>
                <wp:docPr id="771949303" name="Ink 29"/>
                <wp:cNvGraphicFramePr/>
                <a:graphic xmlns:a="http://schemas.openxmlformats.org/drawingml/2006/main">
                  <a:graphicData uri="http://schemas.microsoft.com/office/word/2010/wordprocessingInk">
                    <w14:contentPart bwMode="auto" r:id="rId69">
                      <w14:nvContentPartPr>
                        <w14:cNvContentPartPr/>
                      </w14:nvContentPartPr>
                      <w14:xfrm>
                        <a:off x="0" y="0"/>
                        <a:ext cx="88200" cy="15480"/>
                      </w14:xfrm>
                    </w14:contentPart>
                  </a:graphicData>
                </a:graphic>
              </wp:anchor>
            </w:drawing>
          </mc:Choice>
          <mc:Fallback>
            <w:pict>
              <v:shapetype w14:anchorId="514F75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156.3pt;margin-top:40.15pt;width:16.9pt;height:11.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">
                <v:imagedata r:id="rId70" o:title=""/>
              </v:shape>
            </w:pict>
          </mc:Fallback>
        </mc:AlternateContent>
      </w:r>
      <w:r w:rsidR="00C52859">
        <w:rPr>
          <w:rFonts w:ascii="Aptos" w:eastAsia="Aptos" w:hAnsi="Aptos" w:cs="Times New Roman"/>
          <w:noProof/>
          <w:kern w:val="2"/>
          <w:sz w:val="24"/>
          <w:szCs w:val="24"/>
          <w:lang w:eastAsia="en-US"/>
        </w:rPr>
        <mc:AlternateContent>
          <mc:Choice Requires="wpi">
            <w:drawing>
              <wp:anchor distT="0" distB="0" distL="114300" distR="114300" simplePos="0" relativeHeight="251675648" behindDoc="0" locked="0" layoutInCell="1" allowOverlap="1" wp14:anchorId="1F7AA013" wp14:editId="60F768AF">
                <wp:simplePos x="0" y="0"/>
                <wp:positionH relativeFrom="column">
                  <wp:posOffset>1543140</wp:posOffset>
                </wp:positionH>
                <wp:positionV relativeFrom="paragraph">
                  <wp:posOffset>601135</wp:posOffset>
                </wp:positionV>
                <wp:extent cx="724320" cy="19440"/>
                <wp:effectExtent l="133350" t="133350" r="114300" b="133350"/>
                <wp:wrapNone/>
                <wp:docPr id="1111845160" name="Ink 26"/>
                <wp:cNvGraphicFramePr/>
                <a:graphic xmlns:a="http://schemas.openxmlformats.org/drawingml/2006/main">
                  <a:graphicData uri="http://schemas.microsoft.com/office/word/2010/wordprocessingInk">
                    <w14:contentPart bwMode="auto" r:id="rId71">
                      <w14:nvContentPartPr>
                        <w14:cNvContentPartPr/>
                      </w14:nvContentPartPr>
                      <w14:xfrm>
                        <a:off x="0" y="0"/>
                        <a:ext cx="724320" cy="19440"/>
                      </w14:xfrm>
                    </w14:contentPart>
                  </a:graphicData>
                </a:graphic>
              </wp:anchor>
            </w:drawing>
          </mc:Choice>
          <mc:Fallback>
            <w:pict>
              <v:shape w14:anchorId="71764381" id="Ink 26" o:spid="_x0000_s1026" type="#_x0000_t75" style="position:absolute;margin-left:116.55pt;margin-top:42.4pt;width:67pt;height:11.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">
                <v:imagedata r:id="rId78" o:title=""/>
              </v:shape>
            </w:pict>
          </mc:Fallback>
        </mc:AlternateContent>
      </w:r>
      <w:r w:rsidR="00C52859">
        <w:rPr>
          <w:rFonts w:ascii="Aptos" w:eastAsia="Aptos" w:hAnsi="Aptos" w:cs="Times New Roman"/>
          <w:noProof/>
          <w:kern w:val="2"/>
          <w:sz w:val="24"/>
          <w:szCs w:val="24"/>
          <w:lang w:eastAsia="en-US"/>
        </w:rPr>
        <mc:AlternateContent>
          <mc:Choice Requires="wpi">
            <w:drawing>
              <wp:anchor distT="0" distB="0" distL="114300" distR="114300" simplePos="0" relativeHeight="251673600" behindDoc="0" locked="0" layoutInCell="1" allowOverlap="1" wp14:anchorId="77ED8704" wp14:editId="75CB9F0C">
                <wp:simplePos x="0" y="0"/>
                <wp:positionH relativeFrom="column">
                  <wp:posOffset>2124180</wp:posOffset>
                </wp:positionH>
                <wp:positionV relativeFrom="paragraph">
                  <wp:posOffset>247975</wp:posOffset>
                </wp:positionV>
                <wp:extent cx="216000" cy="5040"/>
                <wp:effectExtent l="133350" t="133350" r="88900" b="128905"/>
                <wp:wrapNone/>
                <wp:docPr id="150903437" name="Ink 24"/>
                <wp:cNvGraphicFramePr/>
                <a:graphic xmlns:a="http://schemas.openxmlformats.org/drawingml/2006/main">
                  <a:graphicData uri="http://schemas.microsoft.com/office/word/2010/wordprocessingInk">
                    <w14:contentPart bwMode="auto" r:id="rId79">
                      <w14:nvContentPartPr>
                        <w14:cNvContentPartPr/>
                      </w14:nvContentPartPr>
                      <w14:xfrm>
                        <a:off x="0" y="0"/>
                        <a:ext cx="216000" cy="5040"/>
                      </w14:xfrm>
                    </w14:contentPart>
                  </a:graphicData>
                </a:graphic>
              </wp:anchor>
            </w:drawing>
          </mc:Choice>
          <mc:Fallback>
            <w:pict>
              <v:shape w14:anchorId="1597D410" id="Ink 24" o:spid="_x0000_s1026" type="#_x0000_t75" style="position:absolute;margin-left:162.3pt;margin-top:14.6pt;width:26.9pt;height:10.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">
                <v:imagedata r:id="rId80" o:title=""/>
              </v:shape>
            </w:pict>
          </mc:Fallback>
        </mc:AlternateContent>
      </w:r>
      <w:r w:rsidR="00286560">
        <w:rPr>
          <w:color w:val="000000"/>
        </w:rPr>
        <w:t xml:space="preserve"> </w:t>
      </w:r>
      <w:r>
        <w:rPr>
          <w:color w:val="000000"/>
        </w:rPr>
        <w:t>11 November 2025</w:t>
      </w:r>
    </w:p>
    <w:sectPr w:rsidR="009219FA">
      <w:headerReference w:type="default" r:id="rId81"/>
      <w:footerReference w:type="default" r:id="rId82"/>
      <w:footerReference w:type="first" r:id="rId83"/>
      <w:pgSz w:w="11906" w:h="16838"/>
      <w:pgMar w:top="851" w:right="1440" w:bottom="1134"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A1E54" w14:textId="77777777" w:rsidR="00016740" w:rsidRDefault="00016740">
      <w:pPr>
        <w:spacing w:after="0" w:line="240" w:lineRule="auto"/>
      </w:pPr>
      <w:r>
        <w:separator/>
      </w:r>
    </w:p>
  </w:endnote>
  <w:endnote w:type="continuationSeparator" w:id="0">
    <w:p w14:paraId="5FB3BB32" w14:textId="77777777" w:rsidR="00016740" w:rsidRDefault="0001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4F86" w14:textId="77777777" w:rsidR="009219FA" w:rsidRDefault="00A2584A">
    <w:pPr>
      <w:pBdr>
        <w:top w:val="single" w:sz="4" w:space="1" w:color="D9D9D9"/>
        <w:left w:val="nil"/>
        <w:bottom w:val="nil"/>
        <w:right w:val="nil"/>
        <w:between w:val="nil"/>
      </w:pBdr>
      <w:tabs>
        <w:tab w:val="center" w:pos="4513"/>
        <w:tab w:val="right" w:pos="9026"/>
      </w:tabs>
      <w:spacing w:after="0" w:line="240" w:lineRule="auto"/>
      <w:jc w:val="right"/>
      <w:rPr>
        <w:b/>
        <w:color w:val="5F636A"/>
      </w:rPr>
    </w:pPr>
    <w:r>
      <w:rPr>
        <w:color w:val="5F636A"/>
      </w:rPr>
      <w:fldChar w:fldCharType="begin"/>
    </w:r>
    <w:r>
      <w:rPr>
        <w:color w:val="5F636A"/>
      </w:rPr>
      <w:instrText>PAGE</w:instrText>
    </w:r>
    <w:r>
      <w:rPr>
        <w:color w:val="5F636A"/>
      </w:rPr>
      <w:fldChar w:fldCharType="separate"/>
    </w:r>
    <w:r w:rsidR="00670B7A">
      <w:rPr>
        <w:noProof/>
        <w:color w:val="5F636A"/>
      </w:rPr>
      <w:t>2</w:t>
    </w:r>
    <w:r>
      <w:rPr>
        <w:color w:val="5F636A"/>
      </w:rPr>
      <w:fldChar w:fldCharType="end"/>
    </w:r>
    <w:r>
      <w:rPr>
        <w:b/>
        <w:color w:val="5F636A"/>
      </w:rPr>
      <w:t xml:space="preserve"> | </w:t>
    </w:r>
    <w:r>
      <w:rPr>
        <w:color w:val="7F7F7F"/>
      </w:rPr>
      <w:t>Page</w:t>
    </w:r>
  </w:p>
  <w:p w14:paraId="18DF9C93" w14:textId="77777777" w:rsidR="009219FA" w:rsidRDefault="009219FA">
    <w:pPr>
      <w:pBdr>
        <w:top w:val="nil"/>
        <w:left w:val="nil"/>
        <w:bottom w:val="nil"/>
        <w:right w:val="nil"/>
        <w:between w:val="nil"/>
      </w:pBdr>
      <w:tabs>
        <w:tab w:val="center" w:pos="4513"/>
        <w:tab w:val="right" w:pos="9026"/>
      </w:tabs>
      <w:spacing w:after="0" w:line="240" w:lineRule="auto"/>
      <w:jc w:val="right"/>
      <w:rPr>
        <w:color w:val="5F636A"/>
      </w:rPr>
    </w:pPr>
  </w:p>
  <w:p w14:paraId="55868586" w14:textId="77777777" w:rsidR="009219FA" w:rsidRDefault="009219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9DD2" w14:textId="77777777" w:rsidR="009219FA" w:rsidRDefault="00A2584A">
    <w:pPr>
      <w:pBdr>
        <w:top w:val="single" w:sz="4" w:space="1" w:color="D9D9D9"/>
        <w:left w:val="nil"/>
        <w:bottom w:val="nil"/>
        <w:right w:val="nil"/>
        <w:between w:val="nil"/>
      </w:pBdr>
      <w:tabs>
        <w:tab w:val="center" w:pos="4513"/>
        <w:tab w:val="right" w:pos="9026"/>
      </w:tabs>
      <w:spacing w:after="0" w:line="240" w:lineRule="auto"/>
      <w:jc w:val="right"/>
      <w:rPr>
        <w:b/>
        <w:color w:val="5F636A"/>
      </w:rPr>
    </w:pPr>
    <w:r>
      <w:rPr>
        <w:color w:val="5F636A"/>
      </w:rPr>
      <w:fldChar w:fldCharType="begin"/>
    </w:r>
    <w:r>
      <w:rPr>
        <w:color w:val="5F636A"/>
      </w:rPr>
      <w:instrText>PAGE</w:instrText>
    </w:r>
    <w:r>
      <w:rPr>
        <w:color w:val="5F636A"/>
      </w:rPr>
      <w:fldChar w:fldCharType="separate"/>
    </w:r>
    <w:r w:rsidR="00670B7A">
      <w:rPr>
        <w:noProof/>
        <w:color w:val="5F636A"/>
      </w:rPr>
      <w:t>1</w:t>
    </w:r>
    <w:r>
      <w:rPr>
        <w:color w:val="5F636A"/>
      </w:rPr>
      <w:fldChar w:fldCharType="end"/>
    </w:r>
    <w:r>
      <w:rPr>
        <w:b/>
        <w:color w:val="5F636A"/>
      </w:rPr>
      <w:t xml:space="preserve"> | </w:t>
    </w:r>
    <w:r>
      <w:rPr>
        <w:color w:val="7F7F7F"/>
      </w:rPr>
      <w:t>Page</w:t>
    </w:r>
  </w:p>
  <w:p w14:paraId="1E8C28EE" w14:textId="77777777" w:rsidR="009219FA" w:rsidRDefault="009219FA">
    <w:pPr>
      <w:pBdr>
        <w:top w:val="nil"/>
        <w:left w:val="nil"/>
        <w:bottom w:val="nil"/>
        <w:right w:val="nil"/>
        <w:between w:val="nil"/>
      </w:pBdr>
      <w:tabs>
        <w:tab w:val="center" w:pos="4513"/>
        <w:tab w:val="right" w:pos="9026"/>
      </w:tabs>
      <w:spacing w:after="0" w:line="240" w:lineRule="auto"/>
      <w:jc w:val="right"/>
      <w:rPr>
        <w:color w:val="5F636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2AD7" w14:textId="77777777" w:rsidR="00016740" w:rsidRDefault="00016740">
      <w:pPr>
        <w:spacing w:after="0" w:line="240" w:lineRule="auto"/>
      </w:pPr>
      <w:r>
        <w:separator/>
      </w:r>
    </w:p>
  </w:footnote>
  <w:footnote w:type="continuationSeparator" w:id="0">
    <w:p w14:paraId="587EF304" w14:textId="77777777" w:rsidR="00016740" w:rsidRDefault="00016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3690" w14:textId="1D941621" w:rsidR="009219FA" w:rsidRDefault="009219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100"/>
    <w:multiLevelType w:val="multilevel"/>
    <w:tmpl w:val="63DE9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DC52F7"/>
    <w:multiLevelType w:val="multilevel"/>
    <w:tmpl w:val="12860AA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1B0F10"/>
    <w:multiLevelType w:val="multilevel"/>
    <w:tmpl w:val="384AD6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3B5157C4"/>
    <w:multiLevelType w:val="multilevel"/>
    <w:tmpl w:val="72861DB0"/>
    <w:lvl w:ilvl="0">
      <w:start w:val="1"/>
      <w:numFmt w:val="decimal"/>
      <w:pStyle w:val="List"/>
      <w:lvlText w:val="%1."/>
      <w:lvlJc w:val="left"/>
      <w:pPr>
        <w:tabs>
          <w:tab w:val="num" w:pos="720"/>
        </w:tabs>
        <w:ind w:left="720" w:hanging="720"/>
      </w:pPr>
    </w:lvl>
    <w:lvl w:ilvl="1">
      <w:start w:val="1"/>
      <w:numFmt w:val="decimal"/>
      <w:pStyle w:val="List2"/>
      <w:lvlText w:val="%2."/>
      <w:lvlJc w:val="left"/>
      <w:pPr>
        <w:tabs>
          <w:tab w:val="num" w:pos="1440"/>
        </w:tabs>
        <w:ind w:left="1440" w:hanging="720"/>
      </w:pPr>
    </w:lvl>
    <w:lvl w:ilvl="2">
      <w:start w:val="1"/>
      <w:numFmt w:val="decimal"/>
      <w:pStyle w:val="List3"/>
      <w:lvlText w:val="%3."/>
      <w:lvlJc w:val="left"/>
      <w:pPr>
        <w:tabs>
          <w:tab w:val="num" w:pos="2160"/>
        </w:tabs>
        <w:ind w:left="2160" w:hanging="720"/>
      </w:pPr>
    </w:lvl>
    <w:lvl w:ilvl="3">
      <w:start w:val="1"/>
      <w:numFmt w:val="decimal"/>
      <w:pStyle w:val="Lis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51A56"/>
    <w:multiLevelType w:val="multilevel"/>
    <w:tmpl w:val="33EAF3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0BD4F0C"/>
    <w:multiLevelType w:val="multilevel"/>
    <w:tmpl w:val="75A22EBA"/>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B36CE9"/>
    <w:multiLevelType w:val="multilevel"/>
    <w:tmpl w:val="CD54C158"/>
    <w:lvl w:ilvl="0">
      <w:start w:val="1"/>
      <w:numFmt w:val="bullet"/>
      <w:pStyle w:val="ListBullet"/>
      <w:lvlText w:val="●"/>
      <w:lvlJc w:val="left"/>
      <w:pPr>
        <w:ind w:left="720" w:hanging="360"/>
      </w:pPr>
      <w:rPr>
        <w:u w:val="none"/>
      </w:rPr>
    </w:lvl>
    <w:lvl w:ilvl="1">
      <w:start w:val="1"/>
      <w:numFmt w:val="bullet"/>
      <w:pStyle w:val="ListBullet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8595D9E"/>
    <w:multiLevelType w:val="multilevel"/>
    <w:tmpl w:val="81587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FD20BF9"/>
    <w:multiLevelType w:val="multilevel"/>
    <w:tmpl w:val="F790F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6A72B43"/>
    <w:multiLevelType w:val="multilevel"/>
    <w:tmpl w:val="BE0EA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6A713C"/>
    <w:multiLevelType w:val="multilevel"/>
    <w:tmpl w:val="AA9EFCB8"/>
    <w:lvl w:ilvl="0">
      <w:start w:val="1"/>
      <w:numFmt w:val="bullet"/>
      <w:pStyle w:val="ListNumber"/>
      <w:lvlText w:val="●"/>
      <w:lvlJc w:val="left"/>
      <w:pPr>
        <w:ind w:left="720" w:hanging="360"/>
      </w:pPr>
      <w:rPr>
        <w:u w:val="none"/>
      </w:rPr>
    </w:lvl>
    <w:lvl w:ilvl="1">
      <w:start w:val="1"/>
      <w:numFmt w:val="bullet"/>
      <w:pStyle w:val="ListNumber2"/>
      <w:lvlText w:val="○"/>
      <w:lvlJc w:val="left"/>
      <w:pPr>
        <w:ind w:left="1440" w:hanging="360"/>
      </w:pPr>
      <w:rPr>
        <w:u w:val="none"/>
      </w:rPr>
    </w:lvl>
    <w:lvl w:ilvl="2">
      <w:start w:val="1"/>
      <w:numFmt w:val="bullet"/>
      <w:pStyle w:val="ListNumber3"/>
      <w:lvlText w:val="■"/>
      <w:lvlJc w:val="left"/>
      <w:pPr>
        <w:ind w:left="2160" w:hanging="360"/>
      </w:pPr>
      <w:rPr>
        <w:u w:val="none"/>
      </w:rPr>
    </w:lvl>
    <w:lvl w:ilvl="3">
      <w:start w:val="1"/>
      <w:numFmt w:val="bullet"/>
      <w:pStyle w:val="ListNumber4"/>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844A4F"/>
    <w:multiLevelType w:val="multilevel"/>
    <w:tmpl w:val="07605B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25392834">
    <w:abstractNumId w:val="6"/>
  </w:num>
  <w:num w:numId="2" w16cid:durableId="598300151">
    <w:abstractNumId w:val="9"/>
  </w:num>
  <w:num w:numId="3" w16cid:durableId="581834184">
    <w:abstractNumId w:val="5"/>
  </w:num>
  <w:num w:numId="4" w16cid:durableId="108621903">
    <w:abstractNumId w:val="0"/>
  </w:num>
  <w:num w:numId="5" w16cid:durableId="804200734">
    <w:abstractNumId w:val="10"/>
  </w:num>
  <w:num w:numId="6" w16cid:durableId="1278870304">
    <w:abstractNumId w:val="8"/>
  </w:num>
  <w:num w:numId="7" w16cid:durableId="680088350">
    <w:abstractNumId w:val="7"/>
  </w:num>
  <w:num w:numId="8" w16cid:durableId="1193230967">
    <w:abstractNumId w:val="1"/>
  </w:num>
  <w:num w:numId="9" w16cid:durableId="760494014">
    <w:abstractNumId w:val="11"/>
  </w:num>
  <w:num w:numId="10" w16cid:durableId="1110970898">
    <w:abstractNumId w:val="2"/>
  </w:num>
  <w:num w:numId="11" w16cid:durableId="1557274787">
    <w:abstractNumId w:val="4"/>
  </w:num>
  <w:num w:numId="12" w16cid:durableId="375934688">
    <w:abstractNumId w:val="3"/>
  </w:num>
  <w:num w:numId="13" w16cid:durableId="421528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7664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FA"/>
    <w:rsid w:val="00004FC6"/>
    <w:rsid w:val="00016740"/>
    <w:rsid w:val="000371A3"/>
    <w:rsid w:val="00046C97"/>
    <w:rsid w:val="00086A5F"/>
    <w:rsid w:val="000A594D"/>
    <w:rsid w:val="000E7CFB"/>
    <w:rsid w:val="000F2AFE"/>
    <w:rsid w:val="00140D47"/>
    <w:rsid w:val="0015549C"/>
    <w:rsid w:val="00286560"/>
    <w:rsid w:val="00302F7E"/>
    <w:rsid w:val="00313342"/>
    <w:rsid w:val="003843F2"/>
    <w:rsid w:val="004B6E4A"/>
    <w:rsid w:val="005518E7"/>
    <w:rsid w:val="005544A5"/>
    <w:rsid w:val="005D5296"/>
    <w:rsid w:val="005F6A10"/>
    <w:rsid w:val="00670B7A"/>
    <w:rsid w:val="006C37D4"/>
    <w:rsid w:val="00705FEC"/>
    <w:rsid w:val="00745BF4"/>
    <w:rsid w:val="00780E3A"/>
    <w:rsid w:val="007F6B16"/>
    <w:rsid w:val="00813745"/>
    <w:rsid w:val="00842144"/>
    <w:rsid w:val="008A4FC8"/>
    <w:rsid w:val="008E4E33"/>
    <w:rsid w:val="008F57AD"/>
    <w:rsid w:val="00907EBF"/>
    <w:rsid w:val="009219FA"/>
    <w:rsid w:val="00957BBF"/>
    <w:rsid w:val="00963833"/>
    <w:rsid w:val="00964194"/>
    <w:rsid w:val="009D6F2A"/>
    <w:rsid w:val="00A2584A"/>
    <w:rsid w:val="00A82535"/>
    <w:rsid w:val="00A8644C"/>
    <w:rsid w:val="00AA02D1"/>
    <w:rsid w:val="00B25E50"/>
    <w:rsid w:val="00B83002"/>
    <w:rsid w:val="00C52859"/>
    <w:rsid w:val="00C62DD8"/>
    <w:rsid w:val="00C958EE"/>
    <w:rsid w:val="00CC0303"/>
    <w:rsid w:val="00CE7187"/>
    <w:rsid w:val="00D8329A"/>
    <w:rsid w:val="00D85B69"/>
    <w:rsid w:val="00DB29EF"/>
    <w:rsid w:val="00DF2C7E"/>
    <w:rsid w:val="00E206A8"/>
    <w:rsid w:val="00E40F64"/>
    <w:rsid w:val="00E977C8"/>
    <w:rsid w:val="00EC366A"/>
    <w:rsid w:val="00EF5368"/>
    <w:rsid w:val="00FE4E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78CB69"/>
  <w15:docId w15:val="{0E1385F8-5953-4F76-80E9-198ECA9E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1440" w:after="0" w:line="640" w:lineRule="auto"/>
      <w:outlineLvl w:val="0"/>
    </w:pPr>
    <w:rPr>
      <w:b/>
      <w:color w:val="5F636A"/>
      <w:sz w:val="60"/>
      <w:szCs w:val="60"/>
    </w:rPr>
  </w:style>
  <w:style w:type="paragraph" w:styleId="Heading2">
    <w:name w:val="heading 2"/>
    <w:basedOn w:val="Normal"/>
    <w:next w:val="Normal"/>
    <w:link w:val="Heading2Char"/>
    <w:uiPriority w:val="9"/>
    <w:unhideWhenUsed/>
    <w:qFormat/>
    <w:pPr>
      <w:keepNext/>
      <w:keepLines/>
      <w:spacing w:before="720" w:after="160"/>
      <w:outlineLvl w:val="1"/>
    </w:pPr>
    <w:rPr>
      <w:b/>
      <w:color w:val="F16464"/>
      <w:sz w:val="44"/>
      <w:szCs w:val="44"/>
    </w:rPr>
  </w:style>
  <w:style w:type="paragraph" w:styleId="Heading3">
    <w:name w:val="heading 3"/>
    <w:basedOn w:val="Normal"/>
    <w:next w:val="Normal"/>
    <w:link w:val="Heading3Char"/>
    <w:uiPriority w:val="9"/>
    <w:unhideWhenUsed/>
    <w:qFormat/>
    <w:pPr>
      <w:keepNext/>
      <w:keepLines/>
      <w:spacing w:before="320" w:after="60"/>
      <w:outlineLvl w:val="2"/>
    </w:pPr>
    <w:rPr>
      <w:b/>
      <w:color w:val="008599"/>
      <w:sz w:val="32"/>
      <w:szCs w:val="32"/>
    </w:rPr>
  </w:style>
  <w:style w:type="paragraph" w:styleId="Heading4">
    <w:name w:val="heading 4"/>
    <w:basedOn w:val="Normal"/>
    <w:next w:val="Normal"/>
    <w:link w:val="Heading4Char"/>
    <w:uiPriority w:val="9"/>
    <w:unhideWhenUsed/>
    <w:qFormat/>
    <w:pPr>
      <w:keepNext/>
      <w:keepLines/>
      <w:spacing w:before="360" w:after="0"/>
      <w:outlineLvl w:val="3"/>
    </w:pPr>
    <w:rPr>
      <w:b/>
      <w:color w:val="00254A"/>
      <w:sz w:val="28"/>
      <w:szCs w:val="28"/>
    </w:rPr>
  </w:style>
  <w:style w:type="paragraph" w:styleId="Heading5">
    <w:name w:val="heading 5"/>
    <w:basedOn w:val="Normal"/>
    <w:next w:val="Normal"/>
    <w:link w:val="Heading5Char"/>
    <w:uiPriority w:val="9"/>
    <w:semiHidden/>
    <w:unhideWhenUsed/>
    <w:qFormat/>
    <w:pPr>
      <w:keepNext/>
      <w:keepLines/>
      <w:spacing w:before="40" w:after="0"/>
      <w:outlineLvl w:val="4"/>
    </w:pPr>
    <w:rPr>
      <w:b/>
      <w:color w:val="004C6C"/>
      <w:sz w:val="26"/>
      <w:szCs w:val="26"/>
    </w:rPr>
  </w:style>
  <w:style w:type="paragraph" w:styleId="Heading6">
    <w:name w:val="heading 6"/>
    <w:basedOn w:val="Normal"/>
    <w:next w:val="Normal"/>
    <w:link w:val="Heading6Char"/>
    <w:uiPriority w:val="9"/>
    <w:semiHidden/>
    <w:unhideWhenUsed/>
    <w:qFormat/>
    <w:pPr>
      <w:keepNext/>
      <w:keepLines/>
      <w:spacing w:before="40" w:after="0"/>
      <w:outlineLvl w:val="5"/>
    </w:pPr>
    <w:rPr>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2"/>
      </w:numPr>
      <w:spacing w:after="200"/>
      <w:contextualSpacing/>
    </w:pPr>
  </w:style>
  <w:style w:type="paragraph" w:styleId="List2">
    <w:name w:val="List 2"/>
    <w:basedOn w:val="Normal"/>
    <w:uiPriority w:val="98"/>
    <w:qFormat/>
    <w:rsid w:val="00F85913"/>
    <w:pPr>
      <w:numPr>
        <w:ilvl w:val="1"/>
        <w:numId w:val="12"/>
      </w:numPr>
      <w:spacing w:after="200"/>
      <w:contextualSpacing/>
    </w:pPr>
  </w:style>
  <w:style w:type="paragraph" w:styleId="List3">
    <w:name w:val="List 3"/>
    <w:basedOn w:val="Normal"/>
    <w:uiPriority w:val="98"/>
    <w:qFormat/>
    <w:rsid w:val="00BC248C"/>
    <w:pPr>
      <w:numPr>
        <w:ilvl w:val="2"/>
        <w:numId w:val="12"/>
      </w:numPr>
      <w:spacing w:after="200"/>
      <w:contextualSpacing/>
    </w:pPr>
  </w:style>
  <w:style w:type="paragraph" w:styleId="List4">
    <w:name w:val="List 4"/>
    <w:basedOn w:val="Normal"/>
    <w:uiPriority w:val="98"/>
    <w:qFormat/>
    <w:rsid w:val="00BC248C"/>
    <w:pPr>
      <w:numPr>
        <w:ilvl w:val="3"/>
        <w:numId w:val="12"/>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tabs>
        <w:tab w:val="num" w:pos="720"/>
      </w:tabs>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tabs>
        <w:tab w:val="num" w:pos="720"/>
      </w:tabs>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eastAsia="Times New Roman" w:cs="Times New Roman"/>
      <w:szCs w:val="24"/>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8B671D"/>
    <w:pPr>
      <w:spacing w:after="200" w:line="276" w:lineRule="auto"/>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8B671D"/>
    <w:rPr>
      <w:rFonts w:ascii="Calibri" w:hAnsi="Calibri"/>
    </w:rPr>
  </w:style>
  <w:style w:type="paragraph" w:styleId="CommentText">
    <w:name w:val="annotation text"/>
    <w:basedOn w:val="Normal"/>
    <w:link w:val="CommentTextChar"/>
    <w:rsid w:val="00F664E9"/>
    <w:pPr>
      <w:spacing w:after="0" w:line="240" w:lineRule="auto"/>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rsid w:val="00F664E9"/>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FC0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A48"/>
    <w:rPr>
      <w:rFonts w:ascii="Segoe UI" w:hAnsi="Segoe UI" w:cs="Segoe UI"/>
      <w:sz w:val="18"/>
      <w:szCs w:val="18"/>
    </w:rPr>
  </w:style>
  <w:style w:type="character" w:styleId="CommentReference">
    <w:name w:val="annotation reference"/>
    <w:basedOn w:val="DefaultParagraphFont"/>
    <w:uiPriority w:val="99"/>
    <w:semiHidden/>
    <w:unhideWhenUsed/>
    <w:rsid w:val="00890364"/>
    <w:rPr>
      <w:sz w:val="16"/>
      <w:szCs w:val="16"/>
    </w:rPr>
  </w:style>
  <w:style w:type="paragraph" w:styleId="CommentSubject">
    <w:name w:val="annotation subject"/>
    <w:basedOn w:val="CommentText"/>
    <w:next w:val="CommentText"/>
    <w:link w:val="CommentSubjectChar"/>
    <w:uiPriority w:val="99"/>
    <w:semiHidden/>
    <w:unhideWhenUsed/>
    <w:rsid w:val="00890364"/>
    <w:pPr>
      <w:spacing w:after="24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890364"/>
    <w:rPr>
      <w:rFonts w:ascii="Arial" w:eastAsia="Times New Roman" w:hAnsi="Arial" w:cs="Times New Roman"/>
      <w:b/>
      <w:bCs/>
      <w:sz w:val="20"/>
      <w:szCs w:val="20"/>
      <w:lang w:val="en-US"/>
    </w:rPr>
  </w:style>
  <w:style w:type="paragraph" w:styleId="NormalWeb">
    <w:name w:val="Normal (Web)"/>
    <w:basedOn w:val="Normal"/>
    <w:uiPriority w:val="99"/>
    <w:unhideWhenUsed/>
    <w:rsid w:val="004101A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65C0"/>
    <w:rPr>
      <w:color w:val="CE372F" w:themeColor="followedHyperlink"/>
      <w:u w:val="single"/>
    </w:rPr>
  </w:style>
  <w:style w:type="paragraph" w:styleId="Subtitle">
    <w:name w:val="Subtitle"/>
    <w:basedOn w:val="Normal"/>
    <w:next w:val="Normal"/>
    <w:link w:val="SubtitleChar"/>
    <w:uiPriority w:val="11"/>
    <w:qFormat/>
    <w:pPr>
      <w:spacing w:before="120" w:after="140"/>
    </w:pPr>
    <w:rPr>
      <w:color w:val="008599"/>
      <w:sz w:val="40"/>
      <w:szCs w:val="40"/>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monash.edu/__data/assets/pdf_file/0005/1573502/18P-0628-Indigenous-Framework-Monash-University.pdf" TargetMode="External"/><Relationship Id="rId21" Type="http://schemas.openxmlformats.org/officeDocument/2006/relationships/hyperlink" Target="https://www.monash.edu/about/who/campus-cohesion" TargetMode="External"/><Relationship Id="rId42" Type="http://schemas.openxmlformats.org/officeDocument/2006/relationships/hyperlink" Target="https://www.monash.edu/graduate-research/partnerships/grip" TargetMode="External"/><Relationship Id="rId47" Type="http://schemas.openxmlformats.org/officeDocument/2006/relationships/hyperlink" Target="https://www.monash.edu/about/strategic-direction/strategic-plan" TargetMode="External"/><Relationship Id="rId63" Type="http://schemas.openxmlformats.org/officeDocument/2006/relationships/hyperlink" Target="https://nanomelbourne.com/" TargetMode="External"/><Relationship Id="rId68" Type="http://schemas.openxmlformats.org/officeDocument/2006/relationships/image" Target="media/image4.png"/><Relationship Id="rId84" Type="http://schemas.openxmlformats.org/officeDocument/2006/relationships/fontTable" Target="fontTable.xml"/><Relationship Id="rId16" Type="http://schemas.openxmlformats.org/officeDocument/2006/relationships/hyperlink" Target="https://www.monash.edu/__data/assets/pdf_file/0012/3747189/Strategic-Commitment-SHGBV-Prevention-and-Response_20240807-2.pdf" TargetMode="External"/><Relationship Id="rId11" Type="http://schemas.openxmlformats.org/officeDocument/2006/relationships/image" Target="media/image1.png"/><Relationship Id="rId24" Type="http://schemas.openxmlformats.org/officeDocument/2006/relationships/hyperlink" Target="https://publicpolicydms.monash.edu/Monash/documents/1909243" TargetMode="External"/><Relationship Id="rId32" Type="http://schemas.openxmlformats.org/officeDocument/2006/relationships/hyperlink" Target="https://www.monash.edu/access-inclusion-success/pass" TargetMode="External"/><Relationship Id="rId37" Type="http://schemas.openxmlformats.org/officeDocument/2006/relationships/hyperlink" Target="https://cevaw.org/" TargetMode="External"/><Relationship Id="rId40" Type="http://schemas.openxmlformats.org/officeDocument/2006/relationships/hyperlink" Target="https://www.monash.edu/law/research/centres/castancentre" TargetMode="External"/><Relationship Id="rId45" Type="http://schemas.openxmlformats.org/officeDocument/2006/relationships/hyperlink" Target="https://www.monash.edu/monash-innovation-labs" TargetMode="External"/><Relationship Id="rId53" Type="http://schemas.openxmlformats.org/officeDocument/2006/relationships/hyperlink" Target="https://www.monash.edu/monash-innovation" TargetMode="External"/><Relationship Id="rId58" Type="http://schemas.openxmlformats.org/officeDocument/2006/relationships/hyperlink" Target="https://victorianhearthospital.org/" TargetMode="External"/><Relationship Id="rId66" Type="http://schemas.openxmlformats.org/officeDocument/2006/relationships/customXml" Target="ink/ink1.xml"/><Relationship Id="rId79" Type="http://schemas.openxmlformats.org/officeDocument/2006/relationships/customXml" Target="ink/ink4.xml"/><Relationship Id="rId5" Type="http://schemas.openxmlformats.org/officeDocument/2006/relationships/numbering" Target="numbering.xml"/><Relationship Id="rId61" Type="http://schemas.openxmlformats.org/officeDocument/2006/relationships/hyperlink" Target="https://www.ansto.gov.au/facilities/australian-synchrotron" TargetMode="External"/><Relationship Id="rId82" Type="http://schemas.openxmlformats.org/officeDocument/2006/relationships/footer" Target="footer1.xml"/><Relationship Id="rId19" Type="http://schemas.openxmlformats.org/officeDocument/2006/relationships/hyperlink" Target="https://www.monash.edu/about/who/equity-diversity-inclusion/respect-at-monash/national-code-taskforce" TargetMode="External"/><Relationship Id="rId14" Type="http://schemas.openxmlformats.org/officeDocument/2006/relationships/hyperlink" Target="https://www.qilt.edu.au/" TargetMode="External"/><Relationship Id="rId22" Type="http://schemas.openxmlformats.org/officeDocument/2006/relationships/hyperlink" Target="https://www.education.gov.au/countering-foreign-interference-australian-university-sector/resources/guidelines-counter-foreign-interference-australian-university-sector" TargetMode="External"/><Relationship Id="rId27" Type="http://schemas.openxmlformats.org/officeDocument/2006/relationships/hyperlink" Target="https://www.monash.edu/study/how-to-apply/entry-requirements/entry-schemes" TargetMode="External"/><Relationship Id="rId30" Type="http://schemas.openxmlformats.org/officeDocument/2006/relationships/hyperlink" Target="https://www.monashcollege.edu.au/courses/english" TargetMode="External"/><Relationship Id="rId35" Type="http://schemas.openxmlformats.org/officeDocument/2006/relationships/hyperlink" Target="https://www.21centuryweather.org.au/" TargetMode="External"/><Relationship Id="rId43" Type="http://schemas.openxmlformats.org/officeDocument/2006/relationships/hyperlink" Target="https://www.monash.edu/industry/monash-technology-precinct" TargetMode="External"/><Relationship Id="rId48" Type="http://schemas.openxmlformats.org/officeDocument/2006/relationships/hyperlink" Target="https://www.monash.edu/flagship-rich-experiences/mig" TargetMode="External"/><Relationship Id="rId56" Type="http://schemas.openxmlformats.org/officeDocument/2006/relationships/hyperlink" Target="https://www.monash.edu/industry/monash-technology-precinct/explore-the-precinct/enterprise-ecosystem" TargetMode="External"/><Relationship Id="rId64" Type="http://schemas.openxmlformats.org/officeDocument/2006/relationships/hyperlink" Target="https://www.monash.edu/medicine/clinical-trials-centre" TargetMode="External"/><Relationship Id="rId69" Type="http://schemas.openxmlformats.org/officeDocument/2006/relationships/customXml" Target="ink/ink2.xml"/><Relationship Id="rId8" Type="http://schemas.openxmlformats.org/officeDocument/2006/relationships/webSettings" Target="webSettings.xml"/><Relationship Id="rId51" Type="http://schemas.openxmlformats.org/officeDocument/2006/relationships/hyperlink" Target="https://www.monash.edu/students/careers/industry-experiences/internships" TargetMode="External"/><Relationship Id="rId80" Type="http://schemas.openxmlformats.org/officeDocument/2006/relationships/image" Target="media/image10.png"/><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monash.edu/__data/assets/pdf_file/0004/3747190/PRAP-08.08.2024.pdf" TargetMode="External"/><Relationship Id="rId25" Type="http://schemas.openxmlformats.org/officeDocument/2006/relationships/hyperlink" Target="https://www.monash.edu/about/who/equity-diversity-inclusion/new-equity,-diversity-and-inclusion-framework-2022-2030" TargetMode="External"/><Relationship Id="rId33" Type="http://schemas.openxmlformats.org/officeDocument/2006/relationships/hyperlink" Target="https://www.monash.edu/flagship-rich-experiences/gig" TargetMode="External"/><Relationship Id="rId38" Type="http://schemas.openxmlformats.org/officeDocument/2006/relationships/hyperlink" Target="https://ahfp.monash/" TargetMode="External"/><Relationship Id="rId46" Type="http://schemas.openxmlformats.org/officeDocument/2006/relationships/hyperlink" Target="https://www.monash.edu/__data/assets/pdf_file/0009/2680389/Strategic-Plan-2030.pdf" TargetMode="External"/><Relationship Id="rId59" Type="http://schemas.openxmlformats.org/officeDocument/2006/relationships/hyperlink" Target="https://www.monash.edu/monash-innovation-labs" TargetMode="External"/><Relationship Id="rId20" Type="http://schemas.openxmlformats.org/officeDocument/2006/relationships/hyperlink" Target="https://www.monash.edu/about/safety-security/safer-community-unit" TargetMode="External"/><Relationship Id="rId41" Type="http://schemas.openxmlformats.org/officeDocument/2006/relationships/hyperlink" Target="https://www.monash.edu/graduate-research/partnerships/grip" TargetMode="External"/><Relationship Id="rId54" Type="http://schemas.openxmlformats.org/officeDocument/2006/relationships/hyperlink" Target="https://www.monash.edu/monash-innovation" TargetMode="External"/><Relationship Id="rId62" Type="http://schemas.openxmlformats.org/officeDocument/2006/relationships/hyperlink" Target="https://www.modernatx.com/en-AU" TargetMode="External"/><Relationship Id="rId70" Type="http://schemas.openxmlformats.org/officeDocument/2006/relationships/image" Target="media/image5.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onash.edu/enterprise-intelligence-and-insights/setu" TargetMode="External"/><Relationship Id="rId23" Type="http://schemas.openxmlformats.org/officeDocument/2006/relationships/hyperlink" Target="https://www.legislation.vic.gov.au/in-force/acts/monash-university-act-2009/008" TargetMode="External"/><Relationship Id="rId28" Type="http://schemas.openxmlformats.org/officeDocument/2006/relationships/hyperlink" Target="https://www.monash.edu/english-connect" TargetMode="External"/><Relationship Id="rId36" Type="http://schemas.openxmlformats.org/officeDocument/2006/relationships/hyperlink" Target="https://arcsaef.com/" TargetMode="External"/><Relationship Id="rId49" Type="http://schemas.openxmlformats.org/officeDocument/2006/relationships/hyperlink" Target="https://www.monash.edu/entrepreneurship" TargetMode="External"/><Relationship Id="rId57" Type="http://schemas.openxmlformats.org/officeDocument/2006/relationships/hyperlink" Target="https://www.monash.edu/industry/monash-technology-precinct/explore-the-precinct/enterprise-ecosystem" TargetMode="External"/><Relationship Id="rId10" Type="http://schemas.openxmlformats.org/officeDocument/2006/relationships/endnotes" Target="endnotes.xml"/><Relationship Id="rId31" Type="http://schemas.openxmlformats.org/officeDocument/2006/relationships/hyperlink" Target="https://www.monash.edu/access-inclusion-success/peer-mentoring" TargetMode="External"/><Relationship Id="rId44" Type="http://schemas.openxmlformats.org/officeDocument/2006/relationships/hyperlink" Target="https://www.monash.edu/industry/monash-technology-precinct" TargetMode="External"/><Relationship Id="rId52" Type="http://schemas.openxmlformats.org/officeDocument/2006/relationships/hyperlink" Target="https://www.monash.edu/study/monash-professional-development" TargetMode="External"/><Relationship Id="rId60" Type="http://schemas.openxmlformats.org/officeDocument/2006/relationships/hyperlink" Target="https://www.monash.edu/velos-accelerator" TargetMode="External"/><Relationship Id="rId65" Type="http://schemas.openxmlformats.org/officeDocument/2006/relationships/image" Target="media/image3.png"/><Relationship Id="rId78" Type="http://schemas.openxmlformats.org/officeDocument/2006/relationships/image" Target="media/image9.png"/><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onash.edu/about/strategic-direction/strategic-plan" TargetMode="External"/><Relationship Id="rId18" Type="http://schemas.openxmlformats.org/officeDocument/2006/relationships/hyperlink" Target="https://www.monash.edu/__data/assets/pdf_file/0004/3747190/PRAP-08.08.2024.pdf" TargetMode="External"/><Relationship Id="rId39" Type="http://schemas.openxmlformats.org/officeDocument/2006/relationships/hyperlink" Target="https://www.monash.edu/research/partnership-for-australia-indonesia-research-pair" TargetMode="External"/><Relationship Id="rId34" Type="http://schemas.openxmlformats.org/officeDocument/2006/relationships/hyperlink" Target="https://www.monash.edu/insights/planning/university-planning/documents/Monash-University_Research-Implementation-Plan.pdf" TargetMode="External"/><Relationship Id="rId50" Type="http://schemas.openxmlformats.org/officeDocument/2006/relationships/hyperlink" Target="https://www.monash.edu/students/careers/industry-experiences" TargetMode="External"/><Relationship Id="rId55" Type="http://schemas.openxmlformats.org/officeDocument/2006/relationships/hyperlink" Target="https://www.monash.edu/industry/monash-technology-precinct/explore-the-precinct" TargetMode="External"/><Relationship Id="rId7" Type="http://schemas.openxmlformats.org/officeDocument/2006/relationships/settings" Target="settings.xml"/><Relationship Id="rId71" Type="http://schemas.openxmlformats.org/officeDocument/2006/relationships/customXml" Target="ink/ink3.xml"/><Relationship Id="rId2" Type="http://schemas.openxmlformats.org/officeDocument/2006/relationships/customXml" Target="../customXml/item2.xml"/><Relationship Id="rId29" Type="http://schemas.openxmlformats.org/officeDocument/2006/relationships/hyperlink" Target="https://www.monash.edu/student-academic-success"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2T04:28:42.451"/>
    </inkml:context>
    <inkml:brush xml:id="br0">
      <inkml:brushProperty name="width" value="0.35" units="cm"/>
      <inkml:brushProperty name="height" value="0.35" units="cm"/>
      <inkml:brushProperty name="color" value="#FFFFFF"/>
    </inkml:brush>
  </inkml:definitions>
  <inkml:trace contextRef="#ctx0" brushRef="#br0">0 0 23892,'582'0'0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2T04:28:17.009"/>
    </inkml:context>
    <inkml:brush xml:id="br0">
      <inkml:brushProperty name="width" value="0.35" units="cm"/>
      <inkml:brushProperty name="height" value="0.35" units="cm"/>
      <inkml:brushProperty name="color" value="#FFFFFF"/>
    </inkml:brush>
  </inkml:definitions>
  <inkml:trace contextRef="#ctx0" brushRef="#br0">0 1 24575,'0'4'0,"5"2"0,5 0 0,6-2 0,5-1 0,3-1 0,2-1 0,1 0 0,5-1 0,-3 4 0,-1 2 0,-2-1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2T04:28:06.267"/>
    </inkml:context>
    <inkml:brush xml:id="br0">
      <inkml:brushProperty name="width" value="0.35" units="cm"/>
      <inkml:brushProperty name="height" value="0.35" units="cm"/>
      <inkml:brushProperty name="color" value="#FFFFFF"/>
    </inkml:brush>
  </inkml:definitions>
  <inkml:trace contextRef="#ctx0" brushRef="#br0">0 0 24484,'2011'53'0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2T04:28:03.530"/>
    </inkml:context>
    <inkml:brush xml:id="br0">
      <inkml:brushProperty name="width" value="0.35" units="cm"/>
      <inkml:brushProperty name="height" value="0.35" units="cm"/>
      <inkml:brushProperty name="color" value="#FFFFFF"/>
    </inkml:brush>
  </inkml:definitions>
  <inkml:trace contextRef="#ctx0" brushRef="#br0">0 3 24575,'175'-3'0,"186"6"0,-298 7-1365</inkml:trace>
</inkml:ink>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SIiTPJkvjcFkXw6PsLHTmhtChg==">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</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D7D31-3F22-4307-B811-E265367B70DD}">
  <ds:schemaRef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fea52c8c-9806-4a1c-8ca9-6928160f6c09"/>
    <ds:schemaRef ds:uri="http://schemas.microsoft.com/office/infopath/2007/PartnerControls"/>
    <ds:schemaRef ds:uri="6e75ac5a-1f9e-40aa-9df5-998dd543a947"/>
    <ds:schemaRef ds:uri="http://purl.org/dc/terms/"/>
  </ds:schemaRefs>
</ds:datastoreItem>
</file>

<file path=customXml/itemProps2.xml><?xml version="1.0" encoding="utf-8"?>
<ds:datastoreItem xmlns:ds="http://schemas.openxmlformats.org/officeDocument/2006/customXml" ds:itemID="{BE006E57-D46C-400B-A612-A17719BE1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A5EC586-59C9-4867-9CEB-CC3078D537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4882</Words>
  <Characters>29981</Characters>
  <Application>Microsoft Office Word</Application>
  <DocSecurity>0</DocSecurity>
  <Lines>599</Lines>
  <Paragraphs>328</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34535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ASHTON,Michael</dc:creator>
  <cp:lastModifiedBy>LEAP,Andrew</cp:lastModifiedBy>
  <cp:revision>22</cp:revision>
  <cp:lastPrinted>2025-12-01T05:16:00Z</cp:lastPrinted>
  <dcterms:created xsi:type="dcterms:W3CDTF">2025-11-23T22:26:00Z</dcterms:created>
  <dcterms:modified xsi:type="dcterms:W3CDTF">2025-12-18T03:37:00Z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