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DCF43EC">
        <w:trPr>
          <w:cantSplit/>
        </w:trPr>
        <w:tc>
          <w:tcPr>
            <w:tcW w:w="5000" w:type="pct"/>
            <w:tcBorders>
              <w:bottom w:val="single" w:sz="4" w:space="0" w:color="auto"/>
            </w:tcBorders>
          </w:tcPr>
          <w:p w14:paraId="26FC6577" w14:textId="0462B48D" w:rsidR="001B109C" w:rsidRPr="00ED4E4A" w:rsidRDefault="001B109C" w:rsidP="00ED4E4A">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ED4E4A">
              <w:t>Macquarie University</w:t>
            </w:r>
          </w:p>
        </w:tc>
      </w:tr>
      <w:tr w:rsidR="001B109C" w:rsidRPr="00E41388" w14:paraId="2126955C" w14:textId="77777777" w:rsidTr="6DCF43EC">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DCF43EC">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Entering into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enter into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962F05">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6DCF43EC">
        <w:trPr>
          <w:cantSplit/>
        </w:trPr>
        <w:tc>
          <w:tcPr>
            <w:tcW w:w="5000" w:type="pct"/>
          </w:tcPr>
          <w:p w14:paraId="0268BB79" w14:textId="77777777" w:rsidR="001B109C" w:rsidRDefault="00F30BFA" w:rsidP="00F30BFA">
            <w:pPr>
              <w:pStyle w:val="Heading4"/>
              <w:keepLines w:val="0"/>
              <w:spacing w:before="180" w:after="60"/>
            </w:pPr>
            <w:r w:rsidRPr="00F30BFA">
              <w:lastRenderedPageBreak/>
              <w:t>M</w:t>
            </w:r>
            <w:r w:rsidR="001B109C" w:rsidRPr="00F30BFA">
              <w:t xml:space="preserve">ission </w:t>
            </w:r>
            <w:r w:rsidR="0049333E">
              <w:t>and</w:t>
            </w:r>
            <w:r w:rsidR="001B109C" w:rsidRPr="00F30BFA">
              <w:t xml:space="preserve"> </w:t>
            </w:r>
            <w:r>
              <w:t>Strategic Planning</w:t>
            </w:r>
          </w:p>
          <w:p w14:paraId="06ECC051" w14:textId="77777777" w:rsidR="00857F53" w:rsidRPr="00FD42BC" w:rsidRDefault="00857F53" w:rsidP="00857F53">
            <w:pPr>
              <w:pStyle w:val="NormalIndent"/>
              <w:ind w:left="0"/>
              <w:rPr>
                <w:rFonts w:cstheme="minorHAnsi"/>
              </w:rPr>
            </w:pPr>
            <w:r w:rsidRPr="00FD42BC">
              <w:rPr>
                <w:rFonts w:cstheme="minorHAnsi"/>
              </w:rPr>
              <w:t>Macquarie University is a university of service, engagement, and empowerment. We serve our students, staff, and communities, working with partners to lift productivity, build skills, and improve living standards through the transformative impact of education. Our mission aligns with Australia’s priorities in workforce development, research translation, and a better and fairer education system that supports a stronger economy. </w:t>
            </w:r>
          </w:p>
          <w:p w14:paraId="439A8F1D" w14:textId="3C823813" w:rsidR="00857F53" w:rsidRPr="00FD42BC" w:rsidRDefault="00BA4299" w:rsidP="00857F53">
            <w:pPr>
              <w:pStyle w:val="NormalIndent"/>
              <w:ind w:left="0"/>
              <w:rPr>
                <w:rFonts w:cstheme="minorHAnsi"/>
              </w:rPr>
            </w:pPr>
            <w:r>
              <w:rPr>
                <w:rFonts w:cstheme="minorHAnsi"/>
              </w:rPr>
              <w:t>Macquarie’s</w:t>
            </w:r>
            <w:r w:rsidR="00857F53" w:rsidRPr="00FD42BC">
              <w:rPr>
                <w:rFonts w:cstheme="minorHAnsi"/>
              </w:rPr>
              <w:t xml:space="preserve"> vision is to be a transformative power</w:t>
            </w:r>
            <w:r w:rsidR="00F11608">
              <w:rPr>
                <w:rFonts w:cstheme="minorHAnsi"/>
              </w:rPr>
              <w:t>,</w:t>
            </w:r>
            <w:r w:rsidR="00857F53" w:rsidRPr="00FD42BC">
              <w:rPr>
                <w:rFonts w:cstheme="minorHAnsi"/>
              </w:rPr>
              <w:t xml:space="preserve"> known for the quality of our education and the experience of our students, </w:t>
            </w:r>
            <w:r w:rsidR="00F11608">
              <w:rPr>
                <w:rFonts w:cstheme="minorHAnsi"/>
              </w:rPr>
              <w:t xml:space="preserve">and </w:t>
            </w:r>
            <w:r w:rsidR="00857F53" w:rsidRPr="00FD42BC">
              <w:rPr>
                <w:rFonts w:cstheme="minorHAnsi"/>
              </w:rPr>
              <w:t xml:space="preserve">for research and healthcare that delivers solutions to national and global challenges. </w:t>
            </w:r>
            <w:r w:rsidR="00025EAD">
              <w:rPr>
                <w:rFonts w:cstheme="minorHAnsi"/>
              </w:rPr>
              <w:t>Macquarie</w:t>
            </w:r>
            <w:r w:rsidR="00857F53" w:rsidRPr="00FD42BC">
              <w:rPr>
                <w:rFonts w:cstheme="minorHAnsi"/>
              </w:rPr>
              <w:t xml:space="preserve"> aim</w:t>
            </w:r>
            <w:r w:rsidR="00025EAD">
              <w:rPr>
                <w:rFonts w:cstheme="minorHAnsi"/>
              </w:rPr>
              <w:t>s</w:t>
            </w:r>
            <w:r w:rsidR="00857F53" w:rsidRPr="00FD42BC">
              <w:rPr>
                <w:rFonts w:cstheme="minorHAnsi"/>
              </w:rPr>
              <w:t xml:space="preserve"> to be a destination of choice for students, an employer of choice for staff, a provider of choice for healthcare, a nexus for partnership and innovation, and more deeply aligned with First Nations peoples.</w:t>
            </w:r>
          </w:p>
          <w:p w14:paraId="1B711209" w14:textId="67778D99" w:rsidR="00857F53" w:rsidRPr="00FD42BC" w:rsidRDefault="00857F53" w:rsidP="00857F53">
            <w:pPr>
              <w:pStyle w:val="NormalIndent"/>
              <w:ind w:left="0"/>
              <w:rPr>
                <w:rFonts w:cstheme="minorHAnsi"/>
              </w:rPr>
            </w:pPr>
            <w:hyperlink r:id="rId14" w:tooltip="https://www.mq.edu.au/about/about-the-university/vision-strategy/our-university-a-framing-of-dynamic-futures" w:history="1">
              <w:r w:rsidRPr="00FD42BC">
                <w:rPr>
                  <w:rStyle w:val="Hyperlink"/>
                  <w:rFonts w:cstheme="minorHAnsi"/>
                  <w:b/>
                  <w:bCs/>
                </w:rPr>
                <w:t>Our University: A Framing of Dynamic Futures</w:t>
              </w:r>
            </w:hyperlink>
            <w:r w:rsidRPr="00FD42BC">
              <w:rPr>
                <w:rFonts w:cstheme="minorHAnsi"/>
                <w:u w:val="single"/>
              </w:rPr>
              <w:t xml:space="preserve"> is </w:t>
            </w:r>
            <w:r w:rsidR="00025EAD">
              <w:rPr>
                <w:rFonts w:cstheme="minorHAnsi"/>
                <w:u w:val="single"/>
              </w:rPr>
              <w:t>the University’s</w:t>
            </w:r>
            <w:r w:rsidRPr="00FD42BC">
              <w:rPr>
                <w:rFonts w:cstheme="minorHAnsi"/>
                <w:u w:val="single"/>
              </w:rPr>
              <w:t xml:space="preserve"> strategic framework and sets the long-term priorities. The </w:t>
            </w:r>
            <w:hyperlink r:id="rId15" w:tooltip="https://www.mq.edu.au/about/about-the-university/vision-strategy/operating-plan" w:history="1">
              <w:r w:rsidRPr="00FD42BC">
                <w:rPr>
                  <w:rStyle w:val="Hyperlink"/>
                  <w:rFonts w:cstheme="minorHAnsi"/>
                  <w:b/>
                  <w:bCs/>
                </w:rPr>
                <w:t>University Operating Plan 2025–2030</w:t>
              </w:r>
            </w:hyperlink>
            <w:r w:rsidRPr="00FD42BC">
              <w:rPr>
                <w:rFonts w:cstheme="minorHAnsi"/>
                <w:b/>
                <w:bCs/>
              </w:rPr>
              <w:t> </w:t>
            </w:r>
            <w:r w:rsidRPr="00FD42BC">
              <w:rPr>
                <w:rFonts w:cstheme="minorHAnsi"/>
              </w:rPr>
              <w:t>provides the bridge between the long-term strategic framework and the three core mission strategies as set out below, ensuring day-to-day delivery aligns with the University’s long-term vision.</w:t>
            </w:r>
          </w:p>
          <w:p w14:paraId="5BCDAAE6" w14:textId="77777777" w:rsidR="00857F53" w:rsidRPr="00FD42BC" w:rsidRDefault="00857F53" w:rsidP="00857F53">
            <w:pPr>
              <w:pStyle w:val="NormalIndent"/>
              <w:ind w:left="0"/>
              <w:rPr>
                <w:rFonts w:cstheme="minorHAnsi"/>
              </w:rPr>
            </w:pPr>
            <w:r w:rsidRPr="00FD42BC">
              <w:rPr>
                <w:rFonts w:cstheme="minorHAnsi"/>
              </w:rPr>
              <w:t>Implementation is guided by principles of adaptability, alignment, and outcomes-focus, with an integrated institutional performance scorecard tracking Key Performance Indicators (KPIs) across two-time horizons: immediate (2025–2026) and medium-term (2027–2030) priorities.</w:t>
            </w:r>
          </w:p>
          <w:p w14:paraId="7C222C44" w14:textId="77777777" w:rsidR="00857F53" w:rsidRDefault="00857F53" w:rsidP="00857F53">
            <w:pPr>
              <w:pStyle w:val="NormalIndent"/>
              <w:ind w:left="0"/>
              <w:rPr>
                <w:rFonts w:cstheme="minorHAnsi"/>
                <w:b/>
                <w:bCs/>
              </w:rPr>
            </w:pPr>
          </w:p>
          <w:p w14:paraId="4609306D" w14:textId="77777777" w:rsidR="00857F53" w:rsidRPr="00FD42BC" w:rsidRDefault="00857F53" w:rsidP="00857F53">
            <w:pPr>
              <w:pStyle w:val="NormalIndent"/>
              <w:ind w:left="0"/>
              <w:rPr>
                <w:rFonts w:cstheme="minorHAnsi"/>
              </w:rPr>
            </w:pPr>
            <w:r w:rsidRPr="00FD42BC">
              <w:rPr>
                <w:rFonts w:cstheme="minorHAnsi"/>
                <w:b/>
                <w:bCs/>
              </w:rPr>
              <w:t>Three Core Mission Strategies</w:t>
            </w:r>
          </w:p>
          <w:p w14:paraId="6993AC06" w14:textId="432DDF4E" w:rsidR="00857F53" w:rsidRPr="00FD42BC" w:rsidRDefault="00857F53" w:rsidP="00857F53">
            <w:pPr>
              <w:pStyle w:val="NormalIndent"/>
              <w:numPr>
                <w:ilvl w:val="0"/>
                <w:numId w:val="20"/>
              </w:numPr>
              <w:ind w:left="457" w:hanging="425"/>
              <w:rPr>
                <w:rFonts w:cstheme="minorHAnsi"/>
              </w:rPr>
            </w:pPr>
            <w:r w:rsidRPr="00FD42BC">
              <w:rPr>
                <w:rFonts w:cstheme="minorHAnsi"/>
                <w:b/>
                <w:bCs/>
              </w:rPr>
              <w:t>Education</w:t>
            </w:r>
            <w:r w:rsidRPr="00FD42BC">
              <w:rPr>
                <w:rFonts w:cstheme="minorHAnsi"/>
              </w:rPr>
              <w:t>: through </w:t>
            </w:r>
            <w:hyperlink r:id="rId16" w:tooltip="https://www.mq.edu.au/about/about-the-university/vision-strategy/the-macquarie-advantage" w:history="1">
              <w:r w:rsidRPr="00FD42BC">
                <w:rPr>
                  <w:rStyle w:val="Hyperlink"/>
                  <w:rFonts w:cstheme="minorHAnsi"/>
                </w:rPr>
                <w:t>The Macquarie Advantage</w:t>
              </w:r>
            </w:hyperlink>
            <w:r w:rsidRPr="00FD42BC">
              <w:rPr>
                <w:rFonts w:cstheme="minorHAnsi"/>
              </w:rPr>
              <w:t xml:space="preserve"> strategy, </w:t>
            </w:r>
            <w:r w:rsidR="00B95699">
              <w:rPr>
                <w:rFonts w:cstheme="minorHAnsi"/>
              </w:rPr>
              <w:t>the University</w:t>
            </w:r>
            <w:r w:rsidRPr="00FD42BC">
              <w:rPr>
                <w:rFonts w:cstheme="minorHAnsi"/>
              </w:rPr>
              <w:t xml:space="preserve"> will deliver quality teaching, strong student experience, industry-aligned programs in priority fields that improve graduate outcomes and strengthen Australia’s skills pipeline in health, education, cyber security, and emerging technologies like artificial intelligence, safe and inclusive learning environments, and a connected digital and physical campus.</w:t>
            </w:r>
          </w:p>
          <w:p w14:paraId="613B47A2" w14:textId="7AD28432" w:rsidR="00857F53" w:rsidRPr="00FD42BC" w:rsidRDefault="00857F53" w:rsidP="00857F53">
            <w:pPr>
              <w:pStyle w:val="NormalIndent"/>
              <w:numPr>
                <w:ilvl w:val="0"/>
                <w:numId w:val="21"/>
              </w:numPr>
              <w:ind w:left="457" w:hanging="425"/>
              <w:rPr>
                <w:rFonts w:cstheme="minorHAnsi"/>
              </w:rPr>
            </w:pPr>
            <w:r w:rsidRPr="00FD42BC">
              <w:rPr>
                <w:rFonts w:cstheme="minorHAnsi"/>
                <w:b/>
                <w:bCs/>
              </w:rPr>
              <w:t>Research</w:t>
            </w:r>
            <w:r w:rsidRPr="00FD42BC">
              <w:rPr>
                <w:rFonts w:cstheme="minorHAnsi"/>
              </w:rPr>
              <w:t>: guided by </w:t>
            </w:r>
            <w:hyperlink r:id="rId17" w:tooltip="https://www.mq.edu.au/about/about-the-university/vision-strategy/research-strategy" w:history="1">
              <w:r w:rsidRPr="00FD42BC">
                <w:rPr>
                  <w:rStyle w:val="Hyperlink"/>
                  <w:rFonts w:cstheme="minorHAnsi"/>
                </w:rPr>
                <w:t>Research Strategy 2035: World-leading Research; World-changing Impact</w:t>
              </w:r>
            </w:hyperlink>
            <w:r w:rsidRPr="00FD42BC">
              <w:rPr>
                <w:rFonts w:cstheme="minorHAnsi"/>
              </w:rPr>
              <w:t xml:space="preserve">, </w:t>
            </w:r>
            <w:r w:rsidR="00B95699">
              <w:rPr>
                <w:rFonts w:cstheme="minorHAnsi"/>
              </w:rPr>
              <w:t>the University</w:t>
            </w:r>
            <w:r w:rsidRPr="00FD42BC">
              <w:rPr>
                <w:rFonts w:cstheme="minorHAnsi"/>
              </w:rPr>
              <w:t xml:space="preserve"> will accelerate research performance, develop the next generation of researchers, strengthen collaboration and deliver research that addresses national and global challenges</w:t>
            </w:r>
            <w:r w:rsidRPr="00FD42BC">
              <w:rPr>
                <w:rFonts w:cstheme="minorHAnsi"/>
                <w:u w:val="single"/>
              </w:rPr>
              <w:t>.</w:t>
            </w:r>
          </w:p>
          <w:p w14:paraId="3A37E972" w14:textId="14D96348" w:rsidR="00857F53" w:rsidRPr="00FD42BC" w:rsidRDefault="00857F53" w:rsidP="00857F53">
            <w:pPr>
              <w:pStyle w:val="NormalIndent"/>
              <w:numPr>
                <w:ilvl w:val="0"/>
                <w:numId w:val="22"/>
              </w:numPr>
              <w:ind w:left="457" w:hanging="425"/>
              <w:rPr>
                <w:rFonts w:cstheme="minorHAnsi"/>
              </w:rPr>
            </w:pPr>
            <w:r w:rsidRPr="00FD42BC">
              <w:rPr>
                <w:rFonts w:cstheme="minorHAnsi"/>
                <w:b/>
                <w:bCs/>
              </w:rPr>
              <w:t>Health</w:t>
            </w:r>
            <w:r w:rsidRPr="00FD42BC">
              <w:rPr>
                <w:rFonts w:cstheme="minorHAnsi"/>
              </w:rPr>
              <w:t>: through </w:t>
            </w:r>
            <w:hyperlink r:id="rId18" w:tooltip="https://www.mq.edu.au/about/about-the-university/vision-strategy/health-strategy" w:history="1">
              <w:r w:rsidRPr="00FD42BC">
                <w:rPr>
                  <w:rStyle w:val="Hyperlink"/>
                  <w:rFonts w:cstheme="minorHAnsi"/>
                </w:rPr>
                <w:t>Heal. Learn. Discover. MQ Health Strategic Plan 2022–2026</w:t>
              </w:r>
            </w:hyperlink>
            <w:r w:rsidRPr="00FD42BC">
              <w:rPr>
                <w:rFonts w:cstheme="minorHAnsi"/>
              </w:rPr>
              <w:t xml:space="preserve">, </w:t>
            </w:r>
            <w:r w:rsidR="00B95699">
              <w:rPr>
                <w:rFonts w:cstheme="minorHAnsi"/>
              </w:rPr>
              <w:t>the University</w:t>
            </w:r>
            <w:r w:rsidRPr="00FD42BC">
              <w:rPr>
                <w:rFonts w:cstheme="minorHAnsi"/>
              </w:rPr>
              <w:t xml:space="preserve"> will integrate education, research, and clinical care to improve health outcomes</w:t>
            </w:r>
            <w:r w:rsidRPr="00FD42BC">
              <w:rPr>
                <w:rFonts w:cstheme="minorHAnsi"/>
                <w:u w:val="single"/>
              </w:rPr>
              <w:t>.</w:t>
            </w:r>
          </w:p>
          <w:p w14:paraId="0E037ADB" w14:textId="77777777" w:rsidR="00857F53" w:rsidRDefault="00857F53" w:rsidP="00857F53">
            <w:pPr>
              <w:pStyle w:val="NormalIndent"/>
              <w:ind w:left="0"/>
              <w:rPr>
                <w:rFonts w:cstheme="minorHAnsi"/>
              </w:rPr>
            </w:pPr>
          </w:p>
          <w:p w14:paraId="368CDF21" w14:textId="77777777" w:rsidR="00857F53" w:rsidRPr="00FD42BC" w:rsidRDefault="00857F53" w:rsidP="00857F53">
            <w:pPr>
              <w:pStyle w:val="NormalIndent"/>
              <w:ind w:left="0"/>
              <w:rPr>
                <w:rFonts w:cstheme="minorHAnsi"/>
              </w:rPr>
            </w:pPr>
            <w:r w:rsidRPr="00FD42BC">
              <w:rPr>
                <w:rFonts w:cstheme="minorHAnsi"/>
              </w:rPr>
              <w:t>Macquarie’s approach to </w:t>
            </w:r>
            <w:r w:rsidRPr="00FD42BC">
              <w:rPr>
                <w:rFonts w:cstheme="minorHAnsi"/>
                <w:b/>
                <w:bCs/>
              </w:rPr>
              <w:t>national and sector priorities</w:t>
            </w:r>
            <w:r w:rsidRPr="00FD42BC">
              <w:rPr>
                <w:rFonts w:cstheme="minorHAnsi"/>
              </w:rPr>
              <w:t> includes:</w:t>
            </w:r>
          </w:p>
          <w:p w14:paraId="5558B7F9" w14:textId="26581F6A" w:rsidR="00857F53" w:rsidRPr="00FD42BC" w:rsidRDefault="00857F53" w:rsidP="00857F53">
            <w:pPr>
              <w:pStyle w:val="NormalIndent"/>
              <w:numPr>
                <w:ilvl w:val="0"/>
                <w:numId w:val="23"/>
              </w:numPr>
              <w:ind w:left="457" w:hanging="457"/>
              <w:rPr>
                <w:rFonts w:cstheme="minorHAnsi"/>
              </w:rPr>
            </w:pPr>
            <w:r w:rsidRPr="00FD42BC">
              <w:rPr>
                <w:rFonts w:cstheme="minorHAnsi"/>
              </w:rPr>
              <w:t>Contributing to Australia’s workforce and skills needs through programs in health, education, engineering, cyber security, and other high-demand areas, including the Nuclear-Powered Submarine Student Pathways Program</w:t>
            </w:r>
          </w:p>
          <w:p w14:paraId="4796B422" w14:textId="1DB9DD1B" w:rsidR="00857F53" w:rsidRPr="00FD42BC" w:rsidRDefault="00857F53" w:rsidP="00857F53">
            <w:pPr>
              <w:pStyle w:val="NormalIndent"/>
              <w:numPr>
                <w:ilvl w:val="0"/>
                <w:numId w:val="23"/>
              </w:numPr>
              <w:ind w:left="457" w:hanging="457"/>
              <w:rPr>
                <w:rFonts w:cstheme="minorHAnsi"/>
              </w:rPr>
            </w:pPr>
            <w:r w:rsidRPr="00FD42BC">
              <w:rPr>
                <w:rFonts w:cstheme="minorHAnsi"/>
              </w:rPr>
              <w:t>Continuing investment in cyber and data security. Macquarie is also founding partner of the </w:t>
            </w:r>
            <w:r w:rsidRPr="00FD42BC">
              <w:rPr>
                <w:rFonts w:cstheme="minorHAnsi"/>
                <w:b/>
                <w:bCs/>
              </w:rPr>
              <w:t>Institute of Applied Technology Digital (IAT-Digital)</w:t>
            </w:r>
            <w:r w:rsidRPr="00FD42BC">
              <w:rPr>
                <w:rFonts w:cstheme="minorHAnsi"/>
              </w:rPr>
              <w:t> a flagship example of industry-driven, skills-focused education</w:t>
            </w:r>
          </w:p>
          <w:p w14:paraId="7B894CAC" w14:textId="7E64261A" w:rsidR="00857F53" w:rsidRPr="00FD42BC" w:rsidRDefault="00857F53" w:rsidP="00857F53">
            <w:pPr>
              <w:pStyle w:val="NormalIndent"/>
              <w:numPr>
                <w:ilvl w:val="0"/>
                <w:numId w:val="23"/>
              </w:numPr>
              <w:ind w:left="457" w:hanging="457"/>
              <w:rPr>
                <w:rFonts w:cstheme="minorHAnsi"/>
              </w:rPr>
            </w:pPr>
            <w:r w:rsidRPr="00FD42BC">
              <w:rPr>
                <w:rFonts w:cstheme="minorHAnsi"/>
              </w:rPr>
              <w:t>Maintaining a proactive approach to student and staff safety through policy, induction, and support services</w:t>
            </w:r>
          </w:p>
          <w:p w14:paraId="5D4F57E5" w14:textId="6316B6B8" w:rsidR="00857F53" w:rsidRPr="00FD42BC" w:rsidRDefault="00857F53" w:rsidP="00857F53">
            <w:pPr>
              <w:pStyle w:val="NormalIndent"/>
              <w:numPr>
                <w:ilvl w:val="0"/>
                <w:numId w:val="23"/>
              </w:numPr>
              <w:ind w:left="457" w:hanging="457"/>
              <w:rPr>
                <w:rFonts w:cstheme="minorHAnsi"/>
              </w:rPr>
            </w:pPr>
            <w:r w:rsidRPr="00FD42BC">
              <w:rPr>
                <w:rFonts w:cstheme="minorHAnsi"/>
              </w:rPr>
              <w:t>Sustaining strong governance to counter foreign interference, led by senior executive oversight and close engagement with Commonwealth agencies</w:t>
            </w:r>
          </w:p>
          <w:p w14:paraId="47EBDE4F" w14:textId="796C93AC" w:rsidR="00857F53" w:rsidRPr="00FD42BC" w:rsidRDefault="00857F53" w:rsidP="00857F53">
            <w:pPr>
              <w:pStyle w:val="NormalIndent"/>
              <w:numPr>
                <w:ilvl w:val="0"/>
                <w:numId w:val="23"/>
              </w:numPr>
              <w:ind w:left="457" w:hanging="457"/>
              <w:rPr>
                <w:rFonts w:cstheme="minorHAnsi"/>
              </w:rPr>
            </w:pPr>
            <w:r w:rsidRPr="00FD42BC">
              <w:rPr>
                <w:rFonts w:cstheme="minorHAnsi"/>
              </w:rPr>
              <w:lastRenderedPageBreak/>
              <w:t>Upholding freedom of speech and academic freedom under policies aligned with the national Model Code, reinforced in induction and governance processes</w:t>
            </w:r>
          </w:p>
          <w:p w14:paraId="3EBC48AD" w14:textId="1D88E390" w:rsidR="00857F53" w:rsidRPr="00FD42BC" w:rsidRDefault="002D495B" w:rsidP="00857F53">
            <w:pPr>
              <w:pStyle w:val="NormalIndent"/>
              <w:numPr>
                <w:ilvl w:val="0"/>
                <w:numId w:val="23"/>
              </w:numPr>
              <w:ind w:left="457" w:hanging="457"/>
              <w:rPr>
                <w:rFonts w:cstheme="minorHAnsi"/>
              </w:rPr>
            </w:pPr>
            <w:r>
              <w:rPr>
                <w:rFonts w:cstheme="minorHAnsi"/>
              </w:rPr>
              <w:t>A</w:t>
            </w:r>
            <w:r w:rsidR="00857F53" w:rsidRPr="00FD42BC">
              <w:rPr>
                <w:rFonts w:cstheme="minorHAnsi"/>
              </w:rPr>
              <w:t>dvancing sustainability, inclusion, and reconciliation with First Nations peoples, and building partnerships that support national priorities and address global challenges.</w:t>
            </w:r>
          </w:p>
          <w:p w14:paraId="583CF5BB" w14:textId="77777777" w:rsidR="00857F53" w:rsidRPr="00FD42BC" w:rsidRDefault="00857F53" w:rsidP="00857F53">
            <w:pPr>
              <w:pStyle w:val="NormalIndent"/>
              <w:ind w:left="174"/>
              <w:rPr>
                <w:rFonts w:cstheme="minorHAnsi"/>
              </w:rPr>
            </w:pPr>
          </w:p>
          <w:p w14:paraId="35ABDB74" w14:textId="2B3C40D3" w:rsidR="00857F53" w:rsidRPr="00FD42BC" w:rsidRDefault="00AA6FFE" w:rsidP="00857F53">
            <w:pPr>
              <w:pStyle w:val="NormalIndent"/>
              <w:ind w:left="0"/>
              <w:rPr>
                <w:rFonts w:cstheme="minorHAnsi"/>
              </w:rPr>
            </w:pPr>
            <w:r>
              <w:rPr>
                <w:rFonts w:cstheme="minorHAnsi"/>
              </w:rPr>
              <w:t>Macquarie University is</w:t>
            </w:r>
            <w:r w:rsidR="00857F53" w:rsidRPr="00FD42BC">
              <w:rPr>
                <w:rFonts w:cstheme="minorHAnsi"/>
              </w:rPr>
              <w:t xml:space="preserve"> focused on meeting the needs of significant population growth in our local region, particularly in North Ryde and Macquarie Park, where rapid residential development and new schools are driving demand for teachers, health professionals, and higher-education places.</w:t>
            </w:r>
          </w:p>
          <w:p w14:paraId="43C124C8" w14:textId="3BAA52CC" w:rsidR="00857F53" w:rsidRPr="00857F53" w:rsidRDefault="00857F53" w:rsidP="00857F53">
            <w:pPr>
              <w:pStyle w:val="NormalIndent"/>
              <w:ind w:left="0"/>
              <w:rPr>
                <w:rFonts w:cstheme="minorHAnsi"/>
              </w:rPr>
            </w:pPr>
            <w:r w:rsidRPr="00FD42BC">
              <w:rPr>
                <w:rFonts w:cstheme="minorHAnsi"/>
              </w:rPr>
              <w:t>This integration of the Strategic Framework, the Operating Plan, and the Mission Strategies</w:t>
            </w:r>
            <w:r w:rsidRPr="00FD42BC">
              <w:rPr>
                <w:rFonts w:cstheme="minorHAnsi"/>
                <w:b/>
                <w:bCs/>
              </w:rPr>
              <w:t> </w:t>
            </w:r>
            <w:r w:rsidRPr="00FD42BC">
              <w:rPr>
                <w:rFonts w:cstheme="minorHAnsi"/>
              </w:rPr>
              <w:t>ensures that teaching, research, and healthcare are supported by the right capabilities and resources. It also positions the University to align with evolving national policy directions and to address future workforce, equity, and participation needs.</w:t>
            </w:r>
          </w:p>
        </w:tc>
      </w:tr>
      <w:tr w:rsidR="001B109C" w:rsidRPr="00E41388" w14:paraId="0EA45E0C" w14:textId="77777777" w:rsidTr="6DCF43EC">
        <w:trPr>
          <w:cantSplit/>
        </w:trPr>
        <w:tc>
          <w:tcPr>
            <w:tcW w:w="5000" w:type="pct"/>
          </w:tcPr>
          <w:p w14:paraId="551DD28A" w14:textId="23C24B2C" w:rsidR="00857F53" w:rsidRPr="00857F53" w:rsidRDefault="00462848" w:rsidP="00857F53">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p w14:paraId="3DFD96C0" w14:textId="28B58C30" w:rsidR="00857F53" w:rsidRDefault="00857F53" w:rsidP="00857F53">
            <w:bookmarkStart w:id="0" w:name="_Hlk150338733"/>
            <w:bookmarkStart w:id="1" w:name="_Hlk150338471"/>
            <w:r>
              <w:t>Equity is embedded in </w:t>
            </w:r>
            <w:hyperlink r:id="rId19" w:history="1">
              <w:r>
                <w:rPr>
                  <w:rStyle w:val="Hyperlink"/>
                  <w:i/>
                  <w:iCs/>
                </w:rPr>
                <w:t>The Macquarie Advantage</w:t>
              </w:r>
            </w:hyperlink>
            <w:r>
              <w:t xml:space="preserve">, </w:t>
            </w:r>
            <w:r w:rsidR="009D60F1">
              <w:t>Macquarie University’s</w:t>
            </w:r>
            <w:r>
              <w:t xml:space="preserve"> education strategy, and drives our commitment to widening participation and success in higher education. </w:t>
            </w:r>
            <w:r w:rsidR="005508AB">
              <w:t>Through this strategy the University</w:t>
            </w:r>
            <w:r>
              <w:t xml:space="preserve"> focus</w:t>
            </w:r>
            <w:r w:rsidR="005508AB">
              <w:t>es</w:t>
            </w:r>
            <w:r>
              <w:t xml:space="preserve"> on improving access, retention, and completion for students from under-represented backgrounds, including First Nations peoples, students from low socio-economic status communities, those from regional and remote areas, and students with disability. </w:t>
            </w:r>
          </w:p>
          <w:p w14:paraId="448D0FF4" w14:textId="16697803" w:rsidR="00857F53" w:rsidRDefault="00857F53" w:rsidP="00857F53">
            <w:r>
              <w:t>Alongside these priorities,</w:t>
            </w:r>
            <w:r w:rsidR="009D60F1">
              <w:t xml:space="preserve"> the University</w:t>
            </w:r>
            <w:r>
              <w:t xml:space="preserve"> also provide</w:t>
            </w:r>
            <w:r w:rsidR="009D60F1">
              <w:t>s</w:t>
            </w:r>
            <w:r>
              <w:t xml:space="preserve"> tailored support for international students, recognising their significant contribution to our community and the unique barriers they face. Guided by institution-wide strategies, </w:t>
            </w:r>
            <w:r w:rsidR="004D097D">
              <w:t>the University</w:t>
            </w:r>
            <w:r>
              <w:t xml:space="preserve"> combine</w:t>
            </w:r>
            <w:r w:rsidR="004D097D">
              <w:t>s</w:t>
            </w:r>
            <w:r>
              <w:t xml:space="preserve"> targeted financial assistance, culturally safe pathways, regional partnerships, and digital innovation to remove barriers and enable every student to thrive.</w:t>
            </w:r>
          </w:p>
          <w:p w14:paraId="72A9D310" w14:textId="77777777" w:rsidR="00857F53" w:rsidRDefault="00857F53" w:rsidP="00857F53">
            <w:pPr>
              <w:spacing w:before="240" w:after="60"/>
              <w:rPr>
                <w:b/>
                <w:bCs/>
              </w:rPr>
            </w:pPr>
            <w:r>
              <w:rPr>
                <w:b/>
                <w:bCs/>
              </w:rPr>
              <w:t>Strategic Framework</w:t>
            </w:r>
          </w:p>
          <w:p w14:paraId="7812FB54" w14:textId="11AEACEC" w:rsidR="00857F53" w:rsidRDefault="004D097D" w:rsidP="00857F53">
            <w:pPr>
              <w:spacing w:after="60"/>
            </w:pPr>
            <w:r>
              <w:t>Macquarie’s</w:t>
            </w:r>
            <w:r w:rsidR="00857F53">
              <w:t xml:space="preserve"> approach is guided by:</w:t>
            </w:r>
          </w:p>
          <w:p w14:paraId="0B40C2B9" w14:textId="77777777" w:rsidR="00857F53" w:rsidRDefault="00857F53" w:rsidP="00857F53">
            <w:pPr>
              <w:numPr>
                <w:ilvl w:val="0"/>
                <w:numId w:val="24"/>
              </w:numPr>
              <w:spacing w:after="60" w:line="276" w:lineRule="auto"/>
              <w:ind w:left="714" w:hanging="357"/>
            </w:pPr>
            <w:r>
              <w:rPr>
                <w:i/>
                <w:iCs/>
              </w:rPr>
              <w:t>Macquarie University Indigenous Strategy 2026–2030</w:t>
            </w:r>
            <w:r>
              <w:t xml:space="preserve"> (building on </w:t>
            </w:r>
            <w:hyperlink r:id="rId20" w:history="1">
              <w:r>
                <w:rPr>
                  <w:rStyle w:val="Hyperlink"/>
                </w:rPr>
                <w:t>Indigenous Strategy 2016–2025</w:t>
              </w:r>
            </w:hyperlink>
            <w:r>
              <w:t>)</w:t>
            </w:r>
          </w:p>
          <w:p w14:paraId="4E7AFAC3" w14:textId="77777777" w:rsidR="00857F53" w:rsidRDefault="00857F53" w:rsidP="00857F53">
            <w:pPr>
              <w:numPr>
                <w:ilvl w:val="0"/>
                <w:numId w:val="24"/>
              </w:numPr>
              <w:spacing w:after="60" w:line="276" w:lineRule="auto"/>
              <w:ind w:left="714" w:hanging="357"/>
            </w:pPr>
            <w:hyperlink r:id="rId21" w:history="1">
              <w:r>
                <w:rPr>
                  <w:rStyle w:val="Hyperlink"/>
                  <w:i/>
                  <w:iCs/>
                </w:rPr>
                <w:t>Diversity, Inclusion and Belonging Framework 2024–2028</w:t>
              </w:r>
            </w:hyperlink>
          </w:p>
          <w:p w14:paraId="5EF2F696" w14:textId="77777777" w:rsidR="00857F53" w:rsidRDefault="00857F53" w:rsidP="00857F53">
            <w:pPr>
              <w:numPr>
                <w:ilvl w:val="0"/>
                <w:numId w:val="24"/>
              </w:numPr>
              <w:spacing w:after="60" w:line="276" w:lineRule="auto"/>
              <w:ind w:left="714" w:hanging="357"/>
            </w:pPr>
            <w:hyperlink r:id="rId22" w:history="1">
              <w:r>
                <w:rPr>
                  <w:rStyle w:val="Hyperlink"/>
                  <w:i/>
                  <w:iCs/>
                </w:rPr>
                <w:t>Support for Students Policy</w:t>
              </w:r>
              <w:r>
                <w:rPr>
                  <w:rStyle w:val="Hyperlink"/>
                </w:rPr>
                <w:t> </w:t>
              </w:r>
            </w:hyperlink>
            <w:r>
              <w:t>and </w:t>
            </w:r>
            <w:hyperlink r:id="rId23" w:history="1">
              <w:r>
                <w:rPr>
                  <w:rStyle w:val="Hyperlink"/>
                  <w:i/>
                  <w:iCs/>
                </w:rPr>
                <w:t>Student Cohort Monitoring Procedure</w:t>
              </w:r>
            </w:hyperlink>
          </w:p>
          <w:p w14:paraId="29EAB9FA" w14:textId="77777777" w:rsidR="00857F53" w:rsidRDefault="00857F53" w:rsidP="00857F53">
            <w:pPr>
              <w:numPr>
                <w:ilvl w:val="0"/>
                <w:numId w:val="24"/>
              </w:numPr>
              <w:spacing w:after="60" w:line="276" w:lineRule="auto"/>
              <w:ind w:left="714" w:hanging="357"/>
            </w:pPr>
            <w:hyperlink r:id="rId24" w:history="1">
              <w:r>
                <w:rPr>
                  <w:rStyle w:val="Hyperlink"/>
                </w:rPr>
                <w:t>Disability support services</w:t>
              </w:r>
            </w:hyperlink>
            <w:r>
              <w:t xml:space="preserve"> and </w:t>
            </w:r>
            <w:hyperlink r:id="rId25" w:history="1">
              <w:r>
                <w:rPr>
                  <w:rStyle w:val="Hyperlink"/>
                  <w:i/>
                  <w:iCs/>
                </w:rPr>
                <w:t>Widening Participation</w:t>
              </w:r>
              <w:r>
                <w:rPr>
                  <w:rStyle w:val="Hyperlink"/>
                </w:rPr>
                <w:t> </w:t>
              </w:r>
            </w:hyperlink>
            <w:r>
              <w:t>initiatives</w:t>
            </w:r>
          </w:p>
          <w:p w14:paraId="2CED6B5C" w14:textId="77777777" w:rsidR="00857F53" w:rsidRDefault="00857F53" w:rsidP="00857F53">
            <w:r>
              <w:t>These frameworks ensure equity is embedded in institutional planning, delivery, and accountability.</w:t>
            </w:r>
          </w:p>
          <w:p w14:paraId="2B3C8376" w14:textId="77777777" w:rsidR="00857F53" w:rsidRDefault="00857F53" w:rsidP="00857F53">
            <w:pPr>
              <w:spacing w:before="240" w:after="60"/>
              <w:rPr>
                <w:b/>
                <w:bCs/>
              </w:rPr>
            </w:pPr>
            <w:r>
              <w:rPr>
                <w:b/>
                <w:bCs/>
              </w:rPr>
              <w:t>Key Priorities and Initiatives</w:t>
            </w:r>
          </w:p>
          <w:p w14:paraId="4B8C13F1" w14:textId="77777777" w:rsidR="00857F53" w:rsidRDefault="00857F53" w:rsidP="00857F53">
            <w:pPr>
              <w:pStyle w:val="ListParagraph"/>
              <w:numPr>
                <w:ilvl w:val="0"/>
                <w:numId w:val="25"/>
              </w:numPr>
              <w:spacing w:before="240" w:after="60"/>
              <w:rPr>
                <w:b/>
                <w:bCs/>
              </w:rPr>
            </w:pPr>
            <w:r>
              <w:rPr>
                <w:b/>
                <w:bCs/>
              </w:rPr>
              <w:t>Scholarships and Financial Assistance</w:t>
            </w:r>
          </w:p>
          <w:p w14:paraId="57E5E8BB" w14:textId="532247C0" w:rsidR="00857F53" w:rsidRDefault="00343C23" w:rsidP="00857F53">
            <w:pPr>
              <w:spacing w:before="60" w:after="60"/>
            </w:pPr>
            <w:r>
              <w:t>Macquarie</w:t>
            </w:r>
            <w:r w:rsidR="00857F53">
              <w:t xml:space="preserve"> </w:t>
            </w:r>
            <w:r>
              <w:t xml:space="preserve">University </w:t>
            </w:r>
            <w:r w:rsidR="00857F53">
              <w:t>reduce</w:t>
            </w:r>
            <w:r>
              <w:t>s</w:t>
            </w:r>
            <w:r w:rsidR="00857F53">
              <w:t xml:space="preserve"> financial barriers through:</w:t>
            </w:r>
          </w:p>
          <w:p w14:paraId="2A1E2228" w14:textId="77777777" w:rsidR="00857F53" w:rsidRDefault="00857F53" w:rsidP="00857F53">
            <w:pPr>
              <w:numPr>
                <w:ilvl w:val="0"/>
                <w:numId w:val="26"/>
              </w:numPr>
              <w:spacing w:before="60" w:after="60" w:line="276" w:lineRule="auto"/>
              <w:ind w:left="714" w:hanging="357"/>
            </w:pPr>
            <w:r>
              <w:rPr>
                <w:i/>
                <w:iCs/>
              </w:rPr>
              <w:t xml:space="preserve">Coursework Scholarship Framework: </w:t>
            </w:r>
            <w:r>
              <w:t>transparent, equitable governance of all awards</w:t>
            </w:r>
          </w:p>
          <w:p w14:paraId="6111124D" w14:textId="77777777" w:rsidR="00857F53" w:rsidRDefault="00857F53" w:rsidP="00857F53">
            <w:pPr>
              <w:numPr>
                <w:ilvl w:val="0"/>
                <w:numId w:val="26"/>
              </w:numPr>
              <w:spacing w:before="60" w:after="60" w:line="276" w:lineRule="auto"/>
              <w:ind w:left="714" w:hanging="357"/>
            </w:pPr>
            <w:r>
              <w:rPr>
                <w:i/>
                <w:iCs/>
              </w:rPr>
              <w:t xml:space="preserve">Targeted equity scholarships: </w:t>
            </w:r>
            <w:r>
              <w:t>30 scholarships supporting nearly 400 students in 2025</w:t>
            </w:r>
          </w:p>
          <w:p w14:paraId="66F7EF88" w14:textId="77777777" w:rsidR="00857F53" w:rsidRDefault="00857F53" w:rsidP="00857F53">
            <w:pPr>
              <w:numPr>
                <w:ilvl w:val="0"/>
                <w:numId w:val="26"/>
              </w:numPr>
              <w:spacing w:before="60" w:after="60" w:line="276" w:lineRule="auto"/>
              <w:ind w:left="714" w:hanging="357"/>
            </w:pPr>
            <w:r>
              <w:rPr>
                <w:i/>
                <w:iCs/>
              </w:rPr>
              <w:t xml:space="preserve">Indigenous Scholarship Strategy: </w:t>
            </w:r>
            <w:r>
              <w:t>combining financial, cultural, and academic support</w:t>
            </w:r>
          </w:p>
          <w:p w14:paraId="50AD3342" w14:textId="556A1DBA" w:rsidR="00857F53" w:rsidRDefault="00857F53" w:rsidP="00857F53">
            <w:pPr>
              <w:numPr>
                <w:ilvl w:val="0"/>
                <w:numId w:val="26"/>
              </w:numPr>
              <w:spacing w:before="60" w:after="60" w:line="276" w:lineRule="auto"/>
              <w:ind w:left="714" w:hanging="357"/>
            </w:pPr>
            <w:r>
              <w:rPr>
                <w:i/>
                <w:iCs/>
              </w:rPr>
              <w:t xml:space="preserve">Accommodation and relocation bursaries: </w:t>
            </w:r>
            <w:r>
              <w:t>easing hardship for regional and remote students</w:t>
            </w:r>
            <w:r w:rsidR="00854C48">
              <w:t>.</w:t>
            </w:r>
          </w:p>
          <w:p w14:paraId="1F9458AD" w14:textId="7AB04054" w:rsidR="00857F53" w:rsidRDefault="009A49A7" w:rsidP="00857F53">
            <w:pPr>
              <w:pStyle w:val="ListParagraph"/>
              <w:numPr>
                <w:ilvl w:val="0"/>
                <w:numId w:val="25"/>
              </w:numPr>
              <w:spacing w:before="240" w:after="60"/>
              <w:rPr>
                <w:b/>
                <w:bCs/>
              </w:rPr>
            </w:pPr>
            <w:r>
              <w:rPr>
                <w:b/>
                <w:bCs/>
              </w:rPr>
              <w:t xml:space="preserve">First Nations peoples </w:t>
            </w:r>
            <w:r w:rsidR="00857F53">
              <w:rPr>
                <w:b/>
                <w:bCs/>
              </w:rPr>
              <w:t>Access and Success</w:t>
            </w:r>
          </w:p>
          <w:p w14:paraId="191A9554" w14:textId="3961FD34" w:rsidR="00857F53" w:rsidRDefault="00343C23" w:rsidP="00857F53">
            <w:pPr>
              <w:spacing w:before="60" w:after="60"/>
            </w:pPr>
            <w:r>
              <w:t xml:space="preserve">Macquarie University </w:t>
            </w:r>
            <w:r w:rsidR="00857F53">
              <w:t>expand</w:t>
            </w:r>
            <w:r>
              <w:t>s</w:t>
            </w:r>
            <w:r w:rsidR="00857F53">
              <w:t xml:space="preserve"> </w:t>
            </w:r>
            <w:r w:rsidR="0037235A">
              <w:t>First Nation</w:t>
            </w:r>
            <w:r w:rsidR="00857F53">
              <w:t>s</w:t>
            </w:r>
            <w:r w:rsidR="0037235A">
              <w:t xml:space="preserve"> </w:t>
            </w:r>
            <w:r w:rsidR="006819DD">
              <w:t>p</w:t>
            </w:r>
            <w:r w:rsidR="0037235A">
              <w:t>eoples</w:t>
            </w:r>
            <w:r w:rsidR="00C43650">
              <w:t>’</w:t>
            </w:r>
            <w:r w:rsidR="00857F53">
              <w:t xml:space="preserve"> participation, retention, and success via:</w:t>
            </w:r>
          </w:p>
          <w:p w14:paraId="2BDF7F00" w14:textId="77777777" w:rsidR="00857F53" w:rsidRDefault="00857F53" w:rsidP="00857F53">
            <w:pPr>
              <w:numPr>
                <w:ilvl w:val="0"/>
                <w:numId w:val="27"/>
              </w:numPr>
              <w:spacing w:before="60" w:after="60" w:line="276" w:lineRule="auto"/>
              <w:ind w:left="714" w:hanging="357"/>
            </w:pPr>
            <w:r>
              <w:rPr>
                <w:i/>
                <w:iCs/>
              </w:rPr>
              <w:t xml:space="preserve">Pathway programs: </w:t>
            </w:r>
            <w:r>
              <w:t>culturally safe entry routes across all levels of study</w:t>
            </w:r>
          </w:p>
          <w:p w14:paraId="3817E16B" w14:textId="77777777" w:rsidR="00857F53" w:rsidRDefault="00857F53" w:rsidP="00857F53">
            <w:pPr>
              <w:numPr>
                <w:ilvl w:val="0"/>
                <w:numId w:val="27"/>
              </w:numPr>
              <w:spacing w:before="60" w:after="60" w:line="276" w:lineRule="auto"/>
              <w:ind w:left="714" w:hanging="357"/>
            </w:pPr>
            <w:r>
              <w:rPr>
                <w:i/>
                <w:iCs/>
              </w:rPr>
              <w:t xml:space="preserve">Walanga Muru: </w:t>
            </w:r>
            <w:r>
              <w:t>a hub for academic support, cultural identity, and community connection</w:t>
            </w:r>
          </w:p>
          <w:p w14:paraId="072F851D" w14:textId="6303464E" w:rsidR="00857F53" w:rsidRDefault="00857F53" w:rsidP="00857F53">
            <w:pPr>
              <w:numPr>
                <w:ilvl w:val="0"/>
                <w:numId w:val="27"/>
              </w:numPr>
              <w:spacing w:before="60" w:after="60" w:line="276" w:lineRule="auto"/>
              <w:ind w:left="714" w:hanging="357"/>
            </w:pPr>
            <w:r>
              <w:rPr>
                <w:i/>
                <w:iCs/>
              </w:rPr>
              <w:t xml:space="preserve">Mudang-Dali Connected Curriculum: </w:t>
            </w:r>
            <w:r>
              <w:t xml:space="preserve">embedding </w:t>
            </w:r>
            <w:r w:rsidR="00C43650">
              <w:t>First Nations</w:t>
            </w:r>
            <w:r>
              <w:t xml:space="preserve"> perspectives into discipline learning</w:t>
            </w:r>
            <w:r w:rsidR="00854C48">
              <w:t>.</w:t>
            </w:r>
          </w:p>
          <w:p w14:paraId="451268B3" w14:textId="77777777" w:rsidR="00857F53" w:rsidRDefault="00857F53" w:rsidP="00857F53">
            <w:pPr>
              <w:pStyle w:val="ListParagraph"/>
              <w:numPr>
                <w:ilvl w:val="0"/>
                <w:numId w:val="25"/>
              </w:numPr>
              <w:spacing w:before="240" w:after="60"/>
              <w:rPr>
                <w:b/>
                <w:bCs/>
              </w:rPr>
            </w:pPr>
            <w:r>
              <w:rPr>
                <w:b/>
                <w:bCs/>
              </w:rPr>
              <w:t>Regional and Community Partnerships</w:t>
            </w:r>
          </w:p>
          <w:p w14:paraId="6E477996" w14:textId="43ECBD5B" w:rsidR="00857F53" w:rsidRDefault="00343C23" w:rsidP="00857F53">
            <w:pPr>
              <w:spacing w:before="60" w:after="60"/>
            </w:pPr>
            <w:r>
              <w:t>Macquarie University</w:t>
            </w:r>
            <w:r w:rsidR="00857F53">
              <w:t xml:space="preserve"> strengthen</w:t>
            </w:r>
            <w:r>
              <w:t>s</w:t>
            </w:r>
            <w:r w:rsidR="00857F53">
              <w:t xml:space="preserve"> engagement and aspiration through:</w:t>
            </w:r>
          </w:p>
          <w:p w14:paraId="4710522C" w14:textId="77777777" w:rsidR="00857F53" w:rsidRDefault="00857F53" w:rsidP="00857F53">
            <w:pPr>
              <w:numPr>
                <w:ilvl w:val="0"/>
                <w:numId w:val="28"/>
              </w:numPr>
              <w:spacing w:before="60" w:after="60" w:line="276" w:lineRule="auto"/>
              <w:ind w:left="714" w:hanging="357"/>
            </w:pPr>
            <w:r>
              <w:rPr>
                <w:i/>
                <w:iCs/>
              </w:rPr>
              <w:lastRenderedPageBreak/>
              <w:t xml:space="preserve">Widening Participation Outreach: </w:t>
            </w:r>
            <w:r>
              <w:t>nascent and emerging relationships with key stakeholders including TAFE Broken Hill, NSW Country Universities Centre Far West, and NSW Regional Development Australia Far West</w:t>
            </w:r>
          </w:p>
          <w:p w14:paraId="582D445D" w14:textId="77777777" w:rsidR="00857F53" w:rsidRDefault="00857F53" w:rsidP="00857F53">
            <w:pPr>
              <w:numPr>
                <w:ilvl w:val="0"/>
                <w:numId w:val="28"/>
              </w:numPr>
              <w:spacing w:before="60" w:after="60" w:line="276" w:lineRule="auto"/>
              <w:ind w:left="714" w:hanging="357"/>
            </w:pPr>
            <w:r>
              <w:rPr>
                <w:i/>
                <w:iCs/>
              </w:rPr>
              <w:t xml:space="preserve">Health education pathways: </w:t>
            </w:r>
            <w:r>
              <w:t>partnerships with, among others, Far West Local Health District and Maari Ma Aboriginal Health Corporation to create routes into health careers</w:t>
            </w:r>
          </w:p>
          <w:p w14:paraId="5BA49094" w14:textId="157774AA" w:rsidR="00857F53" w:rsidRDefault="00857F53" w:rsidP="00857F53">
            <w:pPr>
              <w:numPr>
                <w:ilvl w:val="0"/>
                <w:numId w:val="28"/>
              </w:numPr>
              <w:spacing w:before="60" w:after="60" w:line="276" w:lineRule="auto"/>
              <w:ind w:left="714" w:hanging="357"/>
            </w:pPr>
            <w:r>
              <w:rPr>
                <w:i/>
                <w:iCs/>
              </w:rPr>
              <w:t>The Bush Uni:</w:t>
            </w:r>
            <w:r>
              <w:t xml:space="preserve"> Wuyagiba and </w:t>
            </w:r>
            <w:r>
              <w:rPr>
                <w:rFonts w:ascii="Aptos" w:hAnsi="Aptos"/>
                <w:color w:val="000000"/>
                <w:shd w:val="clear" w:color="auto" w:fill="FFFFFF"/>
              </w:rPr>
              <w:t>Gaarthalala</w:t>
            </w:r>
            <w:r>
              <w:t xml:space="preserve"> Study Hubs educate remote </w:t>
            </w:r>
            <w:r w:rsidR="002814CB">
              <w:t>First Nations</w:t>
            </w:r>
            <w:r>
              <w:t xml:space="preserve"> leaders of tomorrow. </w:t>
            </w:r>
          </w:p>
          <w:p w14:paraId="534B7414" w14:textId="77777777" w:rsidR="00857F53" w:rsidRDefault="00857F53" w:rsidP="00857F53">
            <w:pPr>
              <w:pStyle w:val="ListParagraph"/>
              <w:numPr>
                <w:ilvl w:val="0"/>
                <w:numId w:val="25"/>
              </w:numPr>
              <w:spacing w:before="240" w:after="60"/>
              <w:rPr>
                <w:b/>
                <w:bCs/>
              </w:rPr>
            </w:pPr>
            <w:r>
              <w:rPr>
                <w:b/>
                <w:bCs/>
              </w:rPr>
              <w:t>Equity of Access and Inclusive Learning</w:t>
            </w:r>
          </w:p>
          <w:p w14:paraId="10B0F5D7" w14:textId="7DBBEF32" w:rsidR="00857F53" w:rsidRDefault="00343C23" w:rsidP="00857F53">
            <w:pPr>
              <w:spacing w:before="60" w:after="60"/>
            </w:pPr>
            <w:r>
              <w:t>Macquarie University</w:t>
            </w:r>
            <w:r w:rsidR="00857F53">
              <w:t xml:space="preserve"> broaden</w:t>
            </w:r>
            <w:r>
              <w:t>s</w:t>
            </w:r>
            <w:r w:rsidR="00857F53">
              <w:t xml:space="preserve"> participation by:</w:t>
            </w:r>
          </w:p>
          <w:p w14:paraId="6FD3F306" w14:textId="77777777" w:rsidR="00857F53" w:rsidRDefault="00857F53" w:rsidP="00857F53">
            <w:pPr>
              <w:numPr>
                <w:ilvl w:val="0"/>
                <w:numId w:val="29"/>
              </w:numPr>
              <w:spacing w:before="60" w:after="60" w:line="276" w:lineRule="auto"/>
              <w:ind w:left="714" w:hanging="357"/>
            </w:pPr>
            <w:r>
              <w:rPr>
                <w:i/>
                <w:iCs/>
              </w:rPr>
              <w:t xml:space="preserve">Entry pathways: </w:t>
            </w:r>
            <w:r>
              <w:t>UniReady enabling program, early entry schemes, Macquarie University College programs, and the Aboriginal and Torres Strait Islander Entry Pathway (ATSIEP)</w:t>
            </w:r>
          </w:p>
          <w:p w14:paraId="311F16AE" w14:textId="77777777" w:rsidR="00857F53" w:rsidRDefault="00857F53" w:rsidP="00857F53">
            <w:pPr>
              <w:numPr>
                <w:ilvl w:val="0"/>
                <w:numId w:val="29"/>
              </w:numPr>
              <w:spacing w:before="60" w:after="60" w:line="276" w:lineRule="auto"/>
              <w:ind w:left="714" w:hanging="357"/>
            </w:pPr>
            <w:r>
              <w:rPr>
                <w:i/>
                <w:iCs/>
              </w:rPr>
              <w:t xml:space="preserve">Digital transformation: </w:t>
            </w:r>
            <w:r>
              <w:t>redesigning processes and using advanced analytics to identify and support students at risk earlier</w:t>
            </w:r>
          </w:p>
          <w:p w14:paraId="10B5E176" w14:textId="0FAD0118" w:rsidR="00857F53" w:rsidRDefault="00857F53" w:rsidP="00857F53">
            <w:pPr>
              <w:numPr>
                <w:ilvl w:val="0"/>
                <w:numId w:val="29"/>
              </w:numPr>
              <w:spacing w:before="60" w:after="60" w:line="276" w:lineRule="auto"/>
              <w:ind w:left="714" w:hanging="357"/>
            </w:pPr>
            <w:r>
              <w:rPr>
                <w:i/>
                <w:iCs/>
              </w:rPr>
              <w:t xml:space="preserve">International student support: </w:t>
            </w:r>
            <w:r>
              <w:t>transition programs, advisory services, and language development initiatives to strengthen belonging and academic success</w:t>
            </w:r>
            <w:r w:rsidR="00854C48">
              <w:t>.</w:t>
            </w:r>
          </w:p>
          <w:p w14:paraId="2C9733F3" w14:textId="77777777" w:rsidR="00857F53" w:rsidRDefault="00857F53" w:rsidP="00857F53">
            <w:pPr>
              <w:spacing w:before="240" w:after="60"/>
              <w:rPr>
                <w:b/>
                <w:bCs/>
              </w:rPr>
            </w:pPr>
            <w:r>
              <w:rPr>
                <w:b/>
                <w:bCs/>
              </w:rPr>
              <w:t>Measuring Impact</w:t>
            </w:r>
          </w:p>
          <w:p w14:paraId="767F59C9" w14:textId="360E1B93" w:rsidR="00857F53" w:rsidRPr="00857F53" w:rsidRDefault="009D598D" w:rsidP="00857F53">
            <w:r>
              <w:t>The University</w:t>
            </w:r>
            <w:r w:rsidR="00857F53">
              <w:t xml:space="preserve"> tracks access, retention, progression, and completion for all equity cohorts, benchmarked against national data. Results are disaggregated to highlight performance gaps and inform targeted interventions. Performance is reported regularly to Council, the Executive Group, and Academic Senate, embedding accountability and continuous improvement across the University.</w:t>
            </w:r>
            <w:bookmarkEnd w:id="0"/>
            <w:bookmarkEnd w:id="1"/>
          </w:p>
        </w:tc>
      </w:tr>
      <w:tr w:rsidR="001B109C" w:rsidRPr="00E41388" w14:paraId="39ADE404" w14:textId="77777777" w:rsidTr="6DCF43EC">
        <w:trPr>
          <w:cantSplit/>
        </w:trPr>
        <w:tc>
          <w:tcPr>
            <w:tcW w:w="5000" w:type="pct"/>
          </w:tcPr>
          <w:p w14:paraId="68309CF0" w14:textId="77777777" w:rsidR="001B109C" w:rsidRDefault="001B109C" w:rsidP="00F30BFA">
            <w:pPr>
              <w:pStyle w:val="Heading4"/>
              <w:keepLines w:val="0"/>
              <w:spacing w:before="180" w:after="60"/>
            </w:pPr>
            <w:r>
              <w:lastRenderedPageBreak/>
              <w:t xml:space="preserve">Strategies for </w:t>
            </w:r>
            <w:r w:rsidR="00F30BFA">
              <w:t>Improving T</w:t>
            </w:r>
            <w:r w:rsidRPr="00E169EE">
              <w:t xml:space="preserve">eaching and </w:t>
            </w:r>
            <w:r w:rsidR="00F30BFA">
              <w:t>L</w:t>
            </w:r>
            <w:r w:rsidRPr="00E169EE">
              <w:t>earning</w:t>
            </w:r>
          </w:p>
          <w:p w14:paraId="2C0194EE" w14:textId="31D872A1" w:rsidR="00857F53" w:rsidRDefault="00857F53" w:rsidP="00857F53">
            <w:r>
              <w:t xml:space="preserve">Macquarie </w:t>
            </w:r>
            <w:r w:rsidR="009D598D">
              <w:t xml:space="preserve">University </w:t>
            </w:r>
            <w:r>
              <w:t xml:space="preserve">is committed to strengthening teaching quality and student success. </w:t>
            </w:r>
            <w:r w:rsidR="009D598D">
              <w:t>The University</w:t>
            </w:r>
            <w:r>
              <w:t xml:space="preserve"> </w:t>
            </w:r>
            <w:r w:rsidR="00F932D8">
              <w:t>draws on the</w:t>
            </w:r>
            <w:r>
              <w:t xml:space="preserve"> outcomes of the </w:t>
            </w:r>
            <w:r>
              <w:rPr>
                <w:i/>
                <w:iCs/>
              </w:rPr>
              <w:t>Q</w:t>
            </w:r>
            <w:r w:rsidR="00663A74">
              <w:rPr>
                <w:i/>
                <w:iCs/>
              </w:rPr>
              <w:t>uality Indicators for Learning and Teaching (Q</w:t>
            </w:r>
            <w:r>
              <w:rPr>
                <w:i/>
                <w:iCs/>
              </w:rPr>
              <w:t>ILT</w:t>
            </w:r>
            <w:r w:rsidR="00463CF1">
              <w:rPr>
                <w:i/>
                <w:iCs/>
              </w:rPr>
              <w:t>)</w:t>
            </w:r>
            <w:r>
              <w:rPr>
                <w:i/>
                <w:iCs/>
              </w:rPr>
              <w:t xml:space="preserve"> Student Experience Survey (SES)</w:t>
            </w:r>
            <w:r>
              <w:t> and </w:t>
            </w:r>
            <w:r>
              <w:rPr>
                <w:i/>
                <w:iCs/>
              </w:rPr>
              <w:t>Graduate Outcomes Survey (GOS)</w:t>
            </w:r>
            <w:r w:rsidR="00F932D8">
              <w:t xml:space="preserve">, together with </w:t>
            </w:r>
            <w:r>
              <w:t xml:space="preserve">wider drivers such as technology, workforce demand, and student expectations, to shape </w:t>
            </w:r>
            <w:r w:rsidR="00F932D8">
              <w:t>its</w:t>
            </w:r>
            <w:r>
              <w:t xml:space="preserve"> education strategy, </w:t>
            </w:r>
            <w:hyperlink r:id="rId26" w:history="1">
              <w:r>
                <w:rPr>
                  <w:rStyle w:val="Hyperlink"/>
                  <w:i/>
                  <w:iCs/>
                </w:rPr>
                <w:t>The Macquarie Advantage</w:t>
              </w:r>
            </w:hyperlink>
            <w:r>
              <w:t xml:space="preserve">. </w:t>
            </w:r>
            <w:r w:rsidR="00CE6ADF">
              <w:t>Macquarie’s</w:t>
            </w:r>
            <w:r>
              <w:t xml:space="preserve"> priorities centre on curriculum and assessment reform, proactive student support, and digitally enabled learning environments. Together, these strategies respond directly to student feedback, lift teaching quality, and improve retention, completion, and graduate outcomes.</w:t>
            </w:r>
          </w:p>
          <w:p w14:paraId="53BB3DF5" w14:textId="77777777" w:rsidR="00857F53" w:rsidRDefault="00857F53" w:rsidP="00857F53">
            <w:pPr>
              <w:pStyle w:val="ListParagraph"/>
              <w:numPr>
                <w:ilvl w:val="0"/>
                <w:numId w:val="30"/>
              </w:numPr>
              <w:spacing w:before="240" w:after="60"/>
              <w:rPr>
                <w:b/>
                <w:bCs/>
              </w:rPr>
            </w:pPr>
            <w:r>
              <w:rPr>
                <w:b/>
                <w:bCs/>
              </w:rPr>
              <w:t>Student Support and Wellbeing</w:t>
            </w:r>
          </w:p>
          <w:p w14:paraId="5144D57E" w14:textId="3AF267AD" w:rsidR="00857F53" w:rsidRDefault="00CE6ADF" w:rsidP="00857F53">
            <w:pPr>
              <w:spacing w:before="60" w:after="60"/>
            </w:pPr>
            <w:r>
              <w:t>Macquarie University</w:t>
            </w:r>
            <w:r w:rsidR="00857F53">
              <w:t xml:space="preserve"> </w:t>
            </w:r>
            <w:r>
              <w:t>is</w:t>
            </w:r>
            <w:r w:rsidR="00857F53">
              <w:t xml:space="preserve"> embedding proactive, whole-of-institution support to help students thrive:</w:t>
            </w:r>
          </w:p>
          <w:p w14:paraId="58BF156B" w14:textId="77777777" w:rsidR="00857F53" w:rsidRDefault="00857F53" w:rsidP="00857F53">
            <w:pPr>
              <w:numPr>
                <w:ilvl w:val="0"/>
                <w:numId w:val="31"/>
              </w:numPr>
              <w:spacing w:before="60" w:after="60" w:line="276" w:lineRule="auto"/>
              <w:ind w:left="714" w:hanging="357"/>
            </w:pPr>
            <w:r>
              <w:rPr>
                <w:i/>
                <w:iCs/>
              </w:rPr>
              <w:t xml:space="preserve">Integrated wellbeing model: </w:t>
            </w:r>
            <w:r>
              <w:t>expanded services, digital tools, and targeted interventions</w:t>
            </w:r>
          </w:p>
          <w:p w14:paraId="35A59120" w14:textId="77777777" w:rsidR="00857F53" w:rsidRDefault="00857F53" w:rsidP="00857F53">
            <w:pPr>
              <w:numPr>
                <w:ilvl w:val="0"/>
                <w:numId w:val="31"/>
              </w:numPr>
              <w:spacing w:before="60" w:after="60" w:line="276" w:lineRule="auto"/>
              <w:ind w:left="714" w:hanging="357"/>
            </w:pPr>
            <w:r>
              <w:rPr>
                <w:i/>
                <w:iCs/>
              </w:rPr>
              <w:t xml:space="preserve">Gender-Based Violence Prevention and Response Plan: </w:t>
            </w:r>
            <w:r>
              <w:t>measures aligned with the new National Code to ensure a safe, respectful environment</w:t>
            </w:r>
          </w:p>
          <w:p w14:paraId="2BBD37A4" w14:textId="77777777" w:rsidR="00857F53" w:rsidRDefault="00857F53" w:rsidP="00857F53">
            <w:pPr>
              <w:numPr>
                <w:ilvl w:val="0"/>
                <w:numId w:val="31"/>
              </w:numPr>
              <w:spacing w:before="60" w:after="60" w:line="276" w:lineRule="auto"/>
              <w:ind w:left="714" w:hanging="357"/>
            </w:pPr>
            <w:r>
              <w:rPr>
                <w:i/>
                <w:iCs/>
              </w:rPr>
              <w:t xml:space="preserve">Early identification and support: </w:t>
            </w:r>
            <w:r>
              <w:t>predictive analytics and targeted outreach for at-risk students, including those with &gt;50% fail rates</w:t>
            </w:r>
          </w:p>
          <w:p w14:paraId="150C5F34" w14:textId="7B0FB8A0" w:rsidR="00857F53" w:rsidRDefault="00857F53" w:rsidP="00857F53">
            <w:pPr>
              <w:numPr>
                <w:ilvl w:val="0"/>
                <w:numId w:val="31"/>
              </w:numPr>
              <w:spacing w:before="60" w:after="60" w:line="276" w:lineRule="auto"/>
              <w:ind w:left="714" w:hanging="357"/>
            </w:pPr>
            <w:r>
              <w:rPr>
                <w:i/>
                <w:iCs/>
              </w:rPr>
              <w:t xml:space="preserve">International student support: </w:t>
            </w:r>
            <w:r>
              <w:t>tailored academic transition programs, language development, dedicated advisory services, and peer networks to strengthen belonging, improve outcomes, and address the unique challenges faced by international cohorts</w:t>
            </w:r>
            <w:r w:rsidR="00854C48">
              <w:t>.</w:t>
            </w:r>
          </w:p>
          <w:p w14:paraId="16AD1274" w14:textId="77777777" w:rsidR="00857F53" w:rsidRDefault="00857F53" w:rsidP="00857F53">
            <w:pPr>
              <w:pStyle w:val="ListParagraph"/>
              <w:numPr>
                <w:ilvl w:val="0"/>
                <w:numId w:val="30"/>
              </w:numPr>
              <w:spacing w:before="240" w:after="60"/>
              <w:rPr>
                <w:b/>
                <w:bCs/>
              </w:rPr>
            </w:pPr>
            <w:r>
              <w:rPr>
                <w:b/>
                <w:bCs/>
              </w:rPr>
              <w:t>Academic Excellence</w:t>
            </w:r>
          </w:p>
          <w:p w14:paraId="08A9A756" w14:textId="32E956EA" w:rsidR="00857F53" w:rsidRDefault="00CE6ADF" w:rsidP="00857F53">
            <w:pPr>
              <w:spacing w:before="60" w:after="60"/>
            </w:pPr>
            <w:r>
              <w:t>Macquarie University is</w:t>
            </w:r>
            <w:r w:rsidR="00857F53">
              <w:t xml:space="preserve"> reshaping curriculum, assessment, and pedagogy to improve teaching quality:</w:t>
            </w:r>
          </w:p>
          <w:p w14:paraId="6F8554BF" w14:textId="77777777" w:rsidR="00857F53" w:rsidRDefault="00857F53" w:rsidP="00857F53">
            <w:pPr>
              <w:numPr>
                <w:ilvl w:val="0"/>
                <w:numId w:val="32"/>
              </w:numPr>
              <w:spacing w:before="60" w:after="60" w:line="276" w:lineRule="auto"/>
              <w:ind w:left="714" w:hanging="357"/>
            </w:pPr>
            <w:r>
              <w:rPr>
                <w:i/>
                <w:iCs/>
              </w:rPr>
              <w:t xml:space="preserve">Curriculum architecture: </w:t>
            </w:r>
            <w:r>
              <w:t>a common first year, curated majors aligned with workforce demand, and streamlined double degrees</w:t>
            </w:r>
          </w:p>
          <w:p w14:paraId="691120AA" w14:textId="77777777" w:rsidR="00857F53" w:rsidRDefault="00857F53" w:rsidP="00857F53">
            <w:pPr>
              <w:numPr>
                <w:ilvl w:val="0"/>
                <w:numId w:val="32"/>
              </w:numPr>
              <w:spacing w:before="60" w:after="60" w:line="276" w:lineRule="auto"/>
              <w:ind w:left="714" w:hanging="357"/>
            </w:pPr>
            <w:r>
              <w:rPr>
                <w:i/>
                <w:iCs/>
              </w:rPr>
              <w:t xml:space="preserve">Assessment redesign: </w:t>
            </w:r>
            <w:r>
              <w:t>reducing assessment load, limiting exams (except where required), and embedding programmatic assessment</w:t>
            </w:r>
          </w:p>
          <w:p w14:paraId="511F0E92" w14:textId="77777777" w:rsidR="00857F53" w:rsidRDefault="00857F53" w:rsidP="00857F53">
            <w:pPr>
              <w:numPr>
                <w:ilvl w:val="0"/>
                <w:numId w:val="32"/>
              </w:numPr>
              <w:spacing w:before="60" w:after="60" w:line="276" w:lineRule="auto"/>
              <w:ind w:left="714" w:hanging="357"/>
            </w:pPr>
            <w:r>
              <w:rPr>
                <w:i/>
                <w:iCs/>
              </w:rPr>
              <w:t xml:space="preserve">AI in assessment: </w:t>
            </w:r>
            <w:r>
              <w:t>a two-lane approach: AI-enabled assessments to prepare graduates for future workplaces, and safeguarded assessments to ensure core capability and integrity, supported by a University-wide innovation fund</w:t>
            </w:r>
          </w:p>
          <w:p w14:paraId="2F7ED7B3" w14:textId="780B8789" w:rsidR="00857F53" w:rsidRDefault="00857F53" w:rsidP="00857F53">
            <w:pPr>
              <w:numPr>
                <w:ilvl w:val="0"/>
                <w:numId w:val="32"/>
              </w:numPr>
              <w:spacing w:before="60" w:after="60" w:line="276" w:lineRule="auto"/>
              <w:ind w:left="714" w:hanging="357"/>
            </w:pPr>
            <w:r>
              <w:rPr>
                <w:i/>
                <w:iCs/>
              </w:rPr>
              <w:t xml:space="preserve">The Macquarie Academy: </w:t>
            </w:r>
            <w:r>
              <w:t xml:space="preserve">professional development, pedagogical innovation, and </w:t>
            </w:r>
            <w:r w:rsidR="005450C4">
              <w:t>“</w:t>
            </w:r>
            <w:r>
              <w:t>Advance HE recognition</w:t>
            </w:r>
            <w:r w:rsidR="005450C4">
              <w:t>”</w:t>
            </w:r>
            <w:r>
              <w:t xml:space="preserve"> to uplift teaching quality</w:t>
            </w:r>
          </w:p>
          <w:p w14:paraId="3025ADA5" w14:textId="252ADA32" w:rsidR="00857F53" w:rsidRDefault="00857F53" w:rsidP="00857F53">
            <w:pPr>
              <w:numPr>
                <w:ilvl w:val="0"/>
                <w:numId w:val="32"/>
              </w:numPr>
              <w:spacing w:before="60" w:after="60" w:line="276" w:lineRule="auto"/>
              <w:ind w:left="714" w:hanging="357"/>
            </w:pPr>
            <w:r>
              <w:rPr>
                <w:i/>
                <w:iCs/>
              </w:rPr>
              <w:t xml:space="preserve">Future Ready Program: </w:t>
            </w:r>
            <w:r>
              <w:t>~250 interdisciplinary, real-world projects embedded in every undergraduate degree from 2026 to strengthen employability</w:t>
            </w:r>
            <w:r w:rsidR="00854C48">
              <w:t>.</w:t>
            </w:r>
          </w:p>
          <w:p w14:paraId="30834E96" w14:textId="77777777" w:rsidR="00857F53" w:rsidRDefault="00857F53" w:rsidP="00857F53">
            <w:pPr>
              <w:pStyle w:val="ListParagraph"/>
              <w:numPr>
                <w:ilvl w:val="0"/>
                <w:numId w:val="30"/>
              </w:numPr>
              <w:spacing w:before="240" w:after="60"/>
              <w:rPr>
                <w:b/>
                <w:bCs/>
              </w:rPr>
            </w:pPr>
            <w:r>
              <w:rPr>
                <w:b/>
                <w:bCs/>
              </w:rPr>
              <w:t>Educational Environments</w:t>
            </w:r>
          </w:p>
          <w:p w14:paraId="386A9A72" w14:textId="58D84391" w:rsidR="00857F53" w:rsidRDefault="00CE6ADF" w:rsidP="00857F53">
            <w:pPr>
              <w:spacing w:before="60" w:after="60"/>
            </w:pPr>
            <w:r>
              <w:t>Macquarie University is</w:t>
            </w:r>
            <w:r w:rsidR="00857F53">
              <w:t xml:space="preserve"> creating student-centred, digitally enabled environments that enhance teaching and engagement:</w:t>
            </w:r>
          </w:p>
          <w:p w14:paraId="6CB3EBF7" w14:textId="77777777" w:rsidR="00857F53" w:rsidRDefault="00857F53" w:rsidP="00857F53">
            <w:pPr>
              <w:numPr>
                <w:ilvl w:val="0"/>
                <w:numId w:val="33"/>
              </w:numPr>
              <w:spacing w:before="60" w:after="60" w:line="276" w:lineRule="auto"/>
              <w:ind w:left="714" w:hanging="357"/>
            </w:pPr>
            <w:r>
              <w:rPr>
                <w:i/>
                <w:iCs/>
              </w:rPr>
              <w:t>Next Generation Digital Learning</w:t>
            </w:r>
            <w:r>
              <w:t> – a connected ecosystem supporting pedagogical innovation</w:t>
            </w:r>
          </w:p>
          <w:p w14:paraId="4D7059CB" w14:textId="77777777" w:rsidR="00857F53" w:rsidRDefault="00857F53" w:rsidP="00857F53">
            <w:pPr>
              <w:numPr>
                <w:ilvl w:val="0"/>
                <w:numId w:val="33"/>
              </w:numPr>
              <w:spacing w:before="60" w:after="60" w:line="276" w:lineRule="auto"/>
              <w:ind w:left="714" w:hanging="357"/>
            </w:pPr>
            <w:r>
              <w:rPr>
                <w:i/>
                <w:iCs/>
              </w:rPr>
              <w:lastRenderedPageBreak/>
              <w:t>Student 360 Program</w:t>
            </w:r>
            <w:r>
              <w:t> – integrated data and services for coordinated, personalised support across the student lifecycle</w:t>
            </w:r>
          </w:p>
          <w:p w14:paraId="09E216BD" w14:textId="7801849B" w:rsidR="00857F53" w:rsidRPr="00857F53" w:rsidRDefault="00857F53" w:rsidP="00857F53">
            <w:pPr>
              <w:numPr>
                <w:ilvl w:val="0"/>
                <w:numId w:val="33"/>
              </w:numPr>
              <w:spacing w:before="60" w:after="60" w:line="276" w:lineRule="auto"/>
              <w:ind w:left="714" w:hanging="357"/>
            </w:pPr>
            <w:r>
              <w:rPr>
                <w:i/>
                <w:iCs/>
              </w:rPr>
              <w:t>AI tools for learning and support</w:t>
            </w:r>
            <w:r>
              <w:t> – 24/7 writing feedback, the AI “Virtual Peer” for academic and administrative support, and a forthcoming AI assistant for staff</w:t>
            </w:r>
            <w:r w:rsidR="00854C48">
              <w:t>.</w:t>
            </w:r>
          </w:p>
          <w:p w14:paraId="418F136C" w14:textId="77777777" w:rsidR="00857F53" w:rsidRDefault="00857F53" w:rsidP="00857F53">
            <w:pPr>
              <w:spacing w:before="240" w:after="60"/>
              <w:rPr>
                <w:b/>
                <w:bCs/>
              </w:rPr>
            </w:pPr>
            <w:r>
              <w:rPr>
                <w:b/>
                <w:bCs/>
              </w:rPr>
              <w:t>Measuring Impact</w:t>
            </w:r>
          </w:p>
          <w:p w14:paraId="5E8BF11E" w14:textId="53C10C96" w:rsidR="00857F53" w:rsidRPr="00857F53" w:rsidRDefault="00857F53" w:rsidP="00857F53">
            <w:pPr>
              <w:pStyle w:val="NormalIndent"/>
              <w:spacing w:before="0" w:after="0"/>
              <w:ind w:left="0"/>
              <w:rPr>
                <w:rFonts w:asciiTheme="minorHAnsi" w:hAnsiTheme="minorHAnsi" w:cstheme="minorHAnsi"/>
                <w:i/>
                <w:color w:val="FF0000"/>
                <w:szCs w:val="22"/>
              </w:rPr>
            </w:pPr>
            <w:r>
              <w:t>Teaching quality and student success are tracked systematically through QILT (SES and GOS), progression, retention, and completion metrics, benchmarked against national data. Results are disaggregated to identify performance gaps and inform early interventions. Performance is reported to Council, the Executive Group, and Academic Senate, ensuring transparency, accountability, and continuous improvement.</w:t>
            </w:r>
          </w:p>
        </w:tc>
      </w:tr>
      <w:tr w:rsidR="001B109C" w:rsidRPr="00E41388" w14:paraId="3EB68E1B" w14:textId="77777777" w:rsidTr="6DCF43EC">
        <w:trPr>
          <w:cantSplit/>
        </w:trPr>
        <w:tc>
          <w:tcPr>
            <w:tcW w:w="5000" w:type="pct"/>
          </w:tcPr>
          <w:p w14:paraId="1685B6F1" w14:textId="77777777" w:rsidR="001B109C"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p w14:paraId="46B78066" w14:textId="229589FC" w:rsidR="00A37D60" w:rsidRDefault="00857F53" w:rsidP="00857F53">
            <w:pPr>
              <w:pStyle w:val="NormalIndent"/>
              <w:spacing w:before="0"/>
              <w:ind w:left="0"/>
              <w:rPr>
                <w:rFonts w:cstheme="minorBidi"/>
              </w:rPr>
            </w:pPr>
            <w:r>
              <w:rPr>
                <w:rFonts w:cstheme="minorBidi"/>
              </w:rPr>
              <w:t xml:space="preserve">Macquarie </w:t>
            </w:r>
            <w:r w:rsidR="00805266">
              <w:rPr>
                <w:rFonts w:cstheme="minorBidi"/>
              </w:rPr>
              <w:t xml:space="preserve">University </w:t>
            </w:r>
            <w:r>
              <w:rPr>
                <w:rFonts w:cstheme="minorBidi"/>
              </w:rPr>
              <w:t xml:space="preserve">will deliver research strategies in support of our </w:t>
            </w:r>
            <w:r w:rsidR="007B552A">
              <w:rPr>
                <w:rFonts w:cstheme="minorBidi"/>
              </w:rPr>
              <w:t>k</w:t>
            </w:r>
            <w:r>
              <w:rPr>
                <w:rFonts w:cstheme="minorBidi"/>
              </w:rPr>
              <w:t xml:space="preserve">ey </w:t>
            </w:r>
            <w:r w:rsidR="007B552A">
              <w:rPr>
                <w:rFonts w:cstheme="minorBidi"/>
              </w:rPr>
              <w:t>research o</w:t>
            </w:r>
            <w:r>
              <w:rPr>
                <w:rFonts w:cstheme="minorBidi"/>
              </w:rPr>
              <w:t xml:space="preserve">bjectives: accelerating world-leading research performance, preparing world-ready graduate research candidates, engaging as a collaborator of choice, and producing research with impact. </w:t>
            </w:r>
          </w:p>
          <w:p w14:paraId="22C7F4DF" w14:textId="57B2612E" w:rsidR="00857F53" w:rsidRPr="00F932D8" w:rsidRDefault="00857F53" w:rsidP="00857F53">
            <w:pPr>
              <w:pStyle w:val="NormalIndent"/>
              <w:spacing w:before="0"/>
              <w:ind w:left="0"/>
              <w:rPr>
                <w:rFonts w:cstheme="minorBidi"/>
              </w:rPr>
            </w:pPr>
            <w:hyperlink r:id="rId27" w:history="1">
              <w:r w:rsidRPr="00F932D8">
                <w:rPr>
                  <w:rStyle w:val="Hyperlink"/>
                  <w:rFonts w:cstheme="minorBidi"/>
                  <w:i/>
                  <w:iCs/>
                </w:rPr>
                <w:t>Research Strategy 2025 -203</w:t>
              </w:r>
              <w:r w:rsidRPr="008B4191">
                <w:rPr>
                  <w:rStyle w:val="Hyperlink"/>
                </w:rPr>
                <w:t>5</w:t>
              </w:r>
            </w:hyperlink>
            <w:r w:rsidRPr="00F932D8">
              <w:rPr>
                <w:rFonts w:cstheme="minorBidi"/>
              </w:rPr>
              <w:t xml:space="preserve"> and its associated KPIs launched in early 2025 and provides a clear, enduring strategic direction without constraining the creative and dynamic nature of cutting-edge research, innovation, and impact in our ever-changing world.  </w:t>
            </w:r>
          </w:p>
          <w:p w14:paraId="6C09E720" w14:textId="7147019E" w:rsidR="00857F53" w:rsidRPr="00F932D8" w:rsidRDefault="00857F53" w:rsidP="00857F53">
            <w:pPr>
              <w:pStyle w:val="NormalIndent"/>
              <w:spacing w:before="0"/>
              <w:ind w:left="0"/>
              <w:rPr>
                <w:rFonts w:cstheme="minorBidi"/>
              </w:rPr>
            </w:pPr>
            <w:r w:rsidRPr="00F932D8">
              <w:rPr>
                <w:rFonts w:cstheme="minorBidi"/>
              </w:rPr>
              <w:t xml:space="preserve">Macquarie’s 10 Research Centres offer strength at scale, strong team leadership, excellence, competitive advantage, strategic value, new external opportunities, and collaboration to solve real-world problems. </w:t>
            </w:r>
          </w:p>
          <w:p w14:paraId="52F4A7D7" w14:textId="72AE56FD" w:rsidR="00857F53" w:rsidRPr="00F932D8" w:rsidRDefault="00857F53" w:rsidP="00857F53">
            <w:pPr>
              <w:pStyle w:val="NormalIndent"/>
              <w:spacing w:before="0" w:after="0"/>
              <w:ind w:left="0"/>
              <w:rPr>
                <w:rFonts w:cstheme="minorBidi"/>
              </w:rPr>
            </w:pPr>
            <w:r w:rsidRPr="00F932D8">
              <w:rPr>
                <w:rFonts w:cstheme="minorBidi"/>
              </w:rPr>
              <w:t>Macquarie’s ecosystem for</w:t>
            </w:r>
            <w:r w:rsidR="00F932D8" w:rsidRPr="00F932D8">
              <w:rPr>
                <w:rFonts w:cstheme="minorBidi"/>
              </w:rPr>
              <w:t xml:space="preserve"> advancing </w:t>
            </w:r>
            <w:r w:rsidRPr="00F932D8">
              <w:rPr>
                <w:rFonts w:cstheme="minorBidi"/>
              </w:rPr>
              <w:t>research</w:t>
            </w:r>
            <w:r w:rsidR="00F932D8" w:rsidRPr="00F932D8">
              <w:rPr>
                <w:rFonts w:cstheme="minorBidi"/>
              </w:rPr>
              <w:t xml:space="preserve"> quality and keeping</w:t>
            </w:r>
            <w:r w:rsidRPr="00F932D8">
              <w:rPr>
                <w:rFonts w:cstheme="minorBidi"/>
              </w:rPr>
              <w:t xml:space="preserve"> </w:t>
            </w:r>
            <w:r w:rsidR="00BC1B01" w:rsidRPr="00F932D8">
              <w:rPr>
                <w:rFonts w:cstheme="minorBidi"/>
              </w:rPr>
              <w:t xml:space="preserve">performance at </w:t>
            </w:r>
            <w:r w:rsidR="00F932D8" w:rsidRPr="00F932D8">
              <w:rPr>
                <w:rFonts w:cstheme="minorBidi"/>
              </w:rPr>
              <w:t xml:space="preserve">world-class levels draws on a mix of </w:t>
            </w:r>
            <w:r w:rsidRPr="00F932D8">
              <w:rPr>
                <w:rFonts w:cstheme="minorBidi"/>
              </w:rPr>
              <w:t>internal and external quality assurance and reporting mechanisms:</w:t>
            </w:r>
          </w:p>
          <w:p w14:paraId="0ED7CEA2" w14:textId="77777777" w:rsidR="00857F53" w:rsidRPr="00F932D8" w:rsidRDefault="00857F53" w:rsidP="00857F53">
            <w:pPr>
              <w:pStyle w:val="ListParagraph"/>
              <w:numPr>
                <w:ilvl w:val="0"/>
                <w:numId w:val="34"/>
              </w:numPr>
              <w:spacing w:after="0"/>
              <w:rPr>
                <w:rFonts w:eastAsiaTheme="minorEastAsia"/>
                <w:lang w:eastAsia="en-AU"/>
              </w:rPr>
            </w:pPr>
            <w:r w:rsidRPr="00F932D8">
              <w:rPr>
                <w:rFonts w:eastAsiaTheme="minorEastAsia"/>
                <w:lang w:eastAsia="en-AU"/>
              </w:rPr>
              <w:t>Governance, reporting and accountability structures (</w:t>
            </w:r>
            <w:hyperlink r:id="rId28" w:history="1">
              <w:r w:rsidRPr="00F932D8">
                <w:rPr>
                  <w:rStyle w:val="Hyperlink"/>
                  <w:rFonts w:eastAsiaTheme="minorEastAsia"/>
                  <w:lang w:eastAsia="en-AU"/>
                </w:rPr>
                <w:t>Academic Senate Rules</w:t>
              </w:r>
            </w:hyperlink>
            <w:r w:rsidRPr="00F932D8">
              <w:rPr>
                <w:rFonts w:eastAsiaTheme="minorEastAsia"/>
                <w:lang w:eastAsia="en-AU"/>
              </w:rPr>
              <w:t xml:space="preserve">, </w:t>
            </w:r>
            <w:hyperlink r:id="rId29" w:history="1">
              <w:r w:rsidRPr="00F932D8">
                <w:rPr>
                  <w:rStyle w:val="Hyperlink"/>
                  <w:rFonts w:eastAsiaTheme="minorEastAsia"/>
                  <w:lang w:eastAsia="en-AU"/>
                </w:rPr>
                <w:t>Academic Senate Research Committee</w:t>
              </w:r>
            </w:hyperlink>
            <w:r w:rsidRPr="00F932D8">
              <w:rPr>
                <w:rFonts w:eastAsiaTheme="minorEastAsia"/>
                <w:lang w:eastAsia="en-AU"/>
              </w:rPr>
              <w:t xml:space="preserve">, </w:t>
            </w:r>
            <w:hyperlink r:id="rId30" w:history="1">
              <w:r w:rsidRPr="00F932D8">
                <w:rPr>
                  <w:rStyle w:val="Hyperlink"/>
                  <w:rFonts w:eastAsiaTheme="minorEastAsia"/>
                  <w:lang w:eastAsia="en-AU"/>
                </w:rPr>
                <w:t>Research Degree Subcommittee</w:t>
              </w:r>
            </w:hyperlink>
            <w:r w:rsidRPr="00F932D8">
              <w:rPr>
                <w:rFonts w:eastAsiaTheme="minorEastAsia"/>
                <w:lang w:eastAsia="en-AU"/>
              </w:rPr>
              <w:t xml:space="preserve">, </w:t>
            </w:r>
            <w:hyperlink r:id="rId31" w:history="1">
              <w:r w:rsidRPr="00F932D8">
                <w:rPr>
                  <w:rStyle w:val="Hyperlink"/>
                  <w:rFonts w:eastAsiaTheme="minorEastAsia"/>
                  <w:lang w:eastAsia="en-AU"/>
                </w:rPr>
                <w:t>Faculty Board</w:t>
              </w:r>
            </w:hyperlink>
            <w:r w:rsidRPr="00F932D8">
              <w:rPr>
                <w:rFonts w:eastAsiaTheme="minorEastAsia"/>
                <w:lang w:eastAsia="en-AU"/>
              </w:rPr>
              <w:t>)</w:t>
            </w:r>
          </w:p>
          <w:p w14:paraId="081EC312" w14:textId="254C25A4" w:rsidR="00857F53" w:rsidRPr="00F932D8" w:rsidRDefault="00857F53" w:rsidP="00857F53">
            <w:pPr>
              <w:pStyle w:val="ListParagraph"/>
              <w:numPr>
                <w:ilvl w:val="0"/>
                <w:numId w:val="34"/>
              </w:numPr>
              <w:spacing w:after="0"/>
            </w:pPr>
            <w:r w:rsidRPr="00F932D8">
              <w:rPr>
                <w:rFonts w:eastAsiaTheme="minorEastAsia"/>
                <w:lang w:eastAsia="en-AU"/>
              </w:rPr>
              <w:t xml:space="preserve">Institutional research strategies (including our new </w:t>
            </w:r>
            <w:hyperlink r:id="rId32" w:history="1">
              <w:r w:rsidRPr="00F932D8">
                <w:rPr>
                  <w:rStyle w:val="Hyperlink"/>
                  <w:rFonts w:eastAsiaTheme="minorEastAsia"/>
                  <w:i/>
                  <w:iCs/>
                  <w:lang w:eastAsia="en-AU"/>
                </w:rPr>
                <w:t>Research Strategy 2035</w:t>
              </w:r>
            </w:hyperlink>
            <w:r w:rsidRPr="00F932D8">
              <w:rPr>
                <w:rFonts w:eastAsiaTheme="minorEastAsia"/>
                <w:lang w:eastAsia="en-AU"/>
              </w:rPr>
              <w:t>)</w:t>
            </w:r>
          </w:p>
          <w:p w14:paraId="1F2E2F15" w14:textId="77777777" w:rsidR="00857F53" w:rsidRDefault="00857F53" w:rsidP="00857F53">
            <w:pPr>
              <w:pStyle w:val="ListParagraph"/>
              <w:numPr>
                <w:ilvl w:val="0"/>
                <w:numId w:val="34"/>
              </w:numPr>
              <w:spacing w:after="0"/>
            </w:pPr>
            <w:r>
              <w:rPr>
                <w:rFonts w:eastAsiaTheme="minorEastAsia"/>
                <w:lang w:eastAsia="en-AU"/>
              </w:rPr>
              <w:t xml:space="preserve">University policies (including our </w:t>
            </w:r>
            <w:hyperlink r:id="rId33" w:history="1">
              <w:r>
                <w:rPr>
                  <w:rStyle w:val="Hyperlink"/>
                  <w:rFonts w:eastAsiaTheme="minorEastAsia"/>
                  <w:lang w:eastAsia="en-AU"/>
                </w:rPr>
                <w:t>Research Quality Assurance Polic</w:t>
              </w:r>
            </w:hyperlink>
            <w:r>
              <w:rPr>
                <w:rFonts w:eastAsiaTheme="minorEastAsia"/>
                <w:lang w:eastAsia="en-AU"/>
              </w:rPr>
              <w:t xml:space="preserve">y, </w:t>
            </w:r>
            <w:hyperlink r:id="rId34" w:history="1">
              <w:r>
                <w:rPr>
                  <w:rStyle w:val="Hyperlink"/>
                  <w:rFonts w:eastAsiaTheme="minorEastAsia"/>
                  <w:lang w:eastAsia="en-AU"/>
                </w:rPr>
                <w:t>Macquarie University Code for the Responsible Conduct of Research</w:t>
              </w:r>
            </w:hyperlink>
            <w:r>
              <w:rPr>
                <w:rFonts w:eastAsiaTheme="minorEastAsia"/>
                <w:lang w:eastAsia="en-AU"/>
              </w:rPr>
              <w:t xml:space="preserve">, and a suite of Graduate Research policies covering </w:t>
            </w:r>
            <w:hyperlink r:id="rId35" w:history="1">
              <w:r>
                <w:rPr>
                  <w:rStyle w:val="Hyperlink"/>
                  <w:rFonts w:eastAsiaTheme="minorEastAsia"/>
                  <w:lang w:eastAsia="en-AU"/>
                </w:rPr>
                <w:t>admission</w:t>
              </w:r>
            </w:hyperlink>
            <w:r>
              <w:rPr>
                <w:rFonts w:eastAsiaTheme="minorEastAsia"/>
                <w:lang w:eastAsia="en-AU"/>
              </w:rPr>
              <w:t xml:space="preserve">, </w:t>
            </w:r>
            <w:hyperlink r:id="rId36" w:history="1">
              <w:r>
                <w:rPr>
                  <w:rStyle w:val="Hyperlink"/>
                  <w:rFonts w:eastAsiaTheme="minorEastAsia"/>
                  <w:lang w:eastAsia="en-AU"/>
                </w:rPr>
                <w:t>supervision</w:t>
              </w:r>
            </w:hyperlink>
            <w:r>
              <w:rPr>
                <w:rFonts w:eastAsiaTheme="minorEastAsia"/>
                <w:lang w:eastAsia="en-AU"/>
              </w:rPr>
              <w:t xml:space="preserve"> and </w:t>
            </w:r>
            <w:hyperlink r:id="rId37" w:history="1">
              <w:r>
                <w:rPr>
                  <w:rStyle w:val="Hyperlink"/>
                  <w:rFonts w:eastAsiaTheme="minorEastAsia"/>
                  <w:lang w:eastAsia="en-AU"/>
                </w:rPr>
                <w:t>examination</w:t>
              </w:r>
            </w:hyperlink>
            <w:r>
              <w:rPr>
                <w:rFonts w:eastAsiaTheme="minorEastAsia"/>
                <w:lang w:eastAsia="en-AU"/>
              </w:rPr>
              <w:t>)</w:t>
            </w:r>
          </w:p>
          <w:p w14:paraId="49D0EC2E" w14:textId="77777777" w:rsidR="00857F53" w:rsidRDefault="00857F53" w:rsidP="00857F53">
            <w:pPr>
              <w:pStyle w:val="ListParagraph"/>
              <w:numPr>
                <w:ilvl w:val="0"/>
                <w:numId w:val="34"/>
              </w:numPr>
              <w:spacing w:after="0"/>
              <w:rPr>
                <w:rFonts w:eastAsiaTheme="minorEastAsia"/>
                <w:lang w:eastAsia="en-AU"/>
              </w:rPr>
            </w:pPr>
            <w:r>
              <w:rPr>
                <w:rFonts w:eastAsiaTheme="minorEastAsia"/>
                <w:lang w:eastAsia="en-AU"/>
              </w:rPr>
              <w:t>Qualifications, experience and skills of staff and supervisors (</w:t>
            </w:r>
            <w:hyperlink r:id="rId38" w:history="1">
              <w:r>
                <w:rPr>
                  <w:rStyle w:val="Hyperlink"/>
                  <w:rFonts w:eastAsiaTheme="minorEastAsia"/>
                  <w:lang w:eastAsia="en-AU"/>
                </w:rPr>
                <w:t>Academic Promotion Policy</w:t>
              </w:r>
            </w:hyperlink>
            <w:r>
              <w:rPr>
                <w:rFonts w:eastAsiaTheme="minorEastAsia"/>
                <w:lang w:eastAsia="en-AU"/>
              </w:rPr>
              <w:t xml:space="preserve"> and </w:t>
            </w:r>
            <w:hyperlink r:id="rId39" w:history="1">
              <w:r>
                <w:rPr>
                  <w:rStyle w:val="Hyperlink"/>
                  <w:rFonts w:eastAsiaTheme="minorEastAsia"/>
                  <w:lang w:eastAsia="en-AU"/>
                </w:rPr>
                <w:t>mandatory supervisory training</w:t>
              </w:r>
            </w:hyperlink>
            <w:r>
              <w:rPr>
                <w:rFonts w:eastAsiaTheme="minorEastAsia"/>
                <w:lang w:eastAsia="en-AU"/>
              </w:rPr>
              <w:t>)</w:t>
            </w:r>
          </w:p>
          <w:p w14:paraId="6F017959" w14:textId="77777777" w:rsidR="00857F53" w:rsidRDefault="00857F53" w:rsidP="00857F53">
            <w:pPr>
              <w:pStyle w:val="ListParagraph"/>
              <w:numPr>
                <w:ilvl w:val="0"/>
                <w:numId w:val="34"/>
              </w:numPr>
              <w:spacing w:after="0"/>
            </w:pPr>
            <w:r>
              <w:rPr>
                <w:rFonts w:eastAsiaTheme="minorEastAsia"/>
                <w:lang w:eastAsia="en-AU"/>
              </w:rPr>
              <w:t>External and internal quality assurance (including internal and external competitive peer review of grants, publications, internal mentoring of research activities, ethics review of research projects, and research reporting), and</w:t>
            </w:r>
          </w:p>
          <w:p w14:paraId="269946F7" w14:textId="77777777" w:rsidR="00857F53" w:rsidRDefault="00857F53" w:rsidP="00857F53">
            <w:pPr>
              <w:pStyle w:val="ListParagraph"/>
              <w:numPr>
                <w:ilvl w:val="0"/>
                <w:numId w:val="34"/>
              </w:numPr>
              <w:spacing w:after="0"/>
              <w:rPr>
                <w:rFonts w:eastAsiaTheme="minorEastAsia"/>
                <w:lang w:eastAsia="en-AU"/>
              </w:rPr>
            </w:pPr>
            <w:r>
              <w:rPr>
                <w:rFonts w:eastAsiaTheme="minorEastAsia"/>
                <w:lang w:eastAsia="en-AU"/>
              </w:rPr>
              <w:t>Research data capabilities and insights that inform actions, practices and policies that support individual researchers, collectives, disciplines, departments/schools, and Faculties across the University.</w:t>
            </w:r>
          </w:p>
          <w:p w14:paraId="6144407A" w14:textId="77777777" w:rsidR="00857F53" w:rsidRDefault="00857F53" w:rsidP="00857F53">
            <w:pPr>
              <w:pStyle w:val="ListParagraph"/>
              <w:spacing w:after="0"/>
              <w:rPr>
                <w:rFonts w:eastAsiaTheme="minorEastAsia"/>
                <w:lang w:eastAsia="en-AU"/>
              </w:rPr>
            </w:pPr>
          </w:p>
          <w:p w14:paraId="126A84DB" w14:textId="04FF52BF" w:rsidR="00857F53" w:rsidRDefault="00857F53" w:rsidP="00857F53">
            <w:pPr>
              <w:pStyle w:val="NormalIndent"/>
              <w:spacing w:before="0" w:after="0"/>
              <w:ind w:left="0"/>
              <w:rPr>
                <w:rFonts w:cstheme="minorBidi"/>
              </w:rPr>
            </w:pPr>
            <w:r>
              <w:rPr>
                <w:rFonts w:cstheme="minorBidi"/>
              </w:rPr>
              <w:t xml:space="preserve">Macquarie </w:t>
            </w:r>
            <w:r w:rsidR="00F36AFC">
              <w:rPr>
                <w:rFonts w:cstheme="minorBidi"/>
              </w:rPr>
              <w:t xml:space="preserve">University </w:t>
            </w:r>
            <w:r>
              <w:rPr>
                <w:rFonts w:cstheme="minorBidi"/>
              </w:rPr>
              <w:t>delivers sector-leading graduate research training experiences and skill development programs through:</w:t>
            </w:r>
          </w:p>
          <w:p w14:paraId="1B7774B1" w14:textId="538882C8" w:rsidR="00857F53" w:rsidRDefault="00857F53" w:rsidP="00857F53">
            <w:pPr>
              <w:pStyle w:val="NormalIndent"/>
              <w:numPr>
                <w:ilvl w:val="0"/>
                <w:numId w:val="35"/>
              </w:numPr>
              <w:spacing w:before="0" w:after="0"/>
              <w:rPr>
                <w:rFonts w:cstheme="minorBidi"/>
              </w:rPr>
            </w:pPr>
            <w:r>
              <w:rPr>
                <w:rFonts w:cstheme="minorBidi"/>
              </w:rPr>
              <w:t>Enhanced opportunities for internships and innovative industry-linked graduate research programs. This includes the launch of an Entrepreneurial PhD stream, which</w:t>
            </w:r>
            <w:r>
              <w:t xml:space="preserve"> will equip graduates with the training, skills and practical experience needed to commercialise the outcomes of their PhD research, either through licensing agreements or the creation of a start-up company</w:t>
            </w:r>
            <w:r w:rsidR="00F932D8">
              <w:t>.</w:t>
            </w:r>
          </w:p>
          <w:p w14:paraId="50C46771" w14:textId="1FCCCE41" w:rsidR="00857F53" w:rsidRDefault="00857F53" w:rsidP="00857F53">
            <w:pPr>
              <w:pStyle w:val="NormalIndent"/>
              <w:numPr>
                <w:ilvl w:val="0"/>
                <w:numId w:val="35"/>
              </w:numPr>
              <w:spacing w:before="0" w:after="0"/>
              <w:rPr>
                <w:rFonts w:cstheme="minorBidi"/>
              </w:rPr>
            </w:pPr>
            <w:r>
              <w:rPr>
                <w:rFonts w:cstheme="minorBidi"/>
              </w:rPr>
              <w:t>Embedding of our Graduate Researcher Development Framework, a four-domain, 30-competency skills taxonomy, and integrat</w:t>
            </w:r>
            <w:r w:rsidR="00F932D8">
              <w:rPr>
                <w:rFonts w:cstheme="minorBidi"/>
              </w:rPr>
              <w:t>ing the</w:t>
            </w:r>
            <w:r>
              <w:rPr>
                <w:rFonts w:cstheme="minorBidi"/>
              </w:rPr>
              <w:t xml:space="preserve"> Graduate Researcher Development Program (GRDP). This enables students to recognise the key capabilities valued in both academic and non-academic careers to better appreciate, develop and articulate these to potential employers. We will track growth in student engagement with the GRDP, which currently averages 1,147 activities each month</w:t>
            </w:r>
          </w:p>
          <w:p w14:paraId="19C13C49" w14:textId="77777777" w:rsidR="00857F53" w:rsidRDefault="00857F53" w:rsidP="00857F53">
            <w:pPr>
              <w:pStyle w:val="NormalIndent"/>
              <w:numPr>
                <w:ilvl w:val="0"/>
                <w:numId w:val="35"/>
              </w:numPr>
              <w:spacing w:before="0" w:after="0"/>
              <w:rPr>
                <w:rFonts w:cstheme="minorBidi"/>
              </w:rPr>
            </w:pPr>
            <w:r>
              <w:rPr>
                <w:rFonts w:cstheme="minorBidi"/>
              </w:rPr>
              <w:t>Implementation of our Global Research Training Strategy, which focuses</w:t>
            </w:r>
            <w:r>
              <w:t xml:space="preserve"> resources on high-quality international partnerships to prepare world-ready graduate researchers through diverse academic environments and collaborative supervision across multiple institutions, and</w:t>
            </w:r>
          </w:p>
          <w:p w14:paraId="25327504" w14:textId="77777777" w:rsidR="00857F53" w:rsidRDefault="00857F53" w:rsidP="00857F53">
            <w:pPr>
              <w:pStyle w:val="NormalIndent"/>
              <w:numPr>
                <w:ilvl w:val="0"/>
                <w:numId w:val="35"/>
              </w:numPr>
              <w:spacing w:before="0" w:after="0"/>
              <w:rPr>
                <w:rFonts w:cstheme="minorBidi"/>
              </w:rPr>
            </w:pPr>
            <w:r>
              <w:t xml:space="preserve">Implementation of a distinctive stackable research degree structure in 2025, comprising the Graduate Diploma of Research, Master of Research (MRes), and PhD pathway, which </w:t>
            </w:r>
            <w:r>
              <w:lastRenderedPageBreak/>
              <w:t xml:space="preserve">allows students to progress through incremental levels of research training rather than committing directly to a PhD program. </w:t>
            </w:r>
          </w:p>
          <w:p w14:paraId="1BBFF2A5" w14:textId="77777777" w:rsidR="00857F53" w:rsidRDefault="00857F53" w:rsidP="00857F53">
            <w:pPr>
              <w:pStyle w:val="NormalIndent"/>
              <w:spacing w:before="0" w:after="0"/>
              <w:ind w:left="720"/>
              <w:rPr>
                <w:rFonts w:cstheme="minorBidi"/>
              </w:rPr>
            </w:pPr>
          </w:p>
          <w:p w14:paraId="653571FC" w14:textId="77777777" w:rsidR="00C5400E" w:rsidRDefault="00857F53" w:rsidP="00857F53">
            <w:pPr>
              <w:pStyle w:val="NormalIndent"/>
              <w:spacing w:before="0" w:after="0"/>
              <w:ind w:left="0"/>
              <w:rPr>
                <w:rFonts w:cstheme="minorHAnsi"/>
                <w:iCs/>
              </w:rPr>
            </w:pPr>
            <w:r>
              <w:rPr>
                <w:rFonts w:cstheme="minorHAnsi"/>
                <w:iCs/>
              </w:rPr>
              <w:t xml:space="preserve">Macquarie’s Research, Innovation and Enterprise team provides support for research entrepreneurship and spin-out companies. 2024 successes include: </w:t>
            </w:r>
          </w:p>
          <w:p w14:paraId="0A0EAFE1" w14:textId="77777777" w:rsidR="00C5400E" w:rsidRDefault="00857F53" w:rsidP="00C5400E">
            <w:pPr>
              <w:pStyle w:val="NormalIndent"/>
              <w:numPr>
                <w:ilvl w:val="1"/>
                <w:numId w:val="22"/>
              </w:numPr>
              <w:spacing w:before="0" w:after="0"/>
              <w:rPr>
                <w:rFonts w:cstheme="minorHAnsi"/>
                <w:iCs/>
              </w:rPr>
            </w:pPr>
            <w:r>
              <w:rPr>
                <w:rFonts w:cstheme="minorHAnsi"/>
                <w:iCs/>
              </w:rPr>
              <w:t xml:space="preserve">60 IP innovation disclosures (up from 53 in prior two years); </w:t>
            </w:r>
          </w:p>
          <w:p w14:paraId="4B71E3D5" w14:textId="463EBDFB" w:rsidR="00C5400E" w:rsidRDefault="00F932D8" w:rsidP="00C5400E">
            <w:pPr>
              <w:pStyle w:val="NormalIndent"/>
              <w:numPr>
                <w:ilvl w:val="1"/>
                <w:numId w:val="22"/>
              </w:numPr>
              <w:spacing w:before="0" w:after="0"/>
              <w:rPr>
                <w:rFonts w:cstheme="minorHAnsi"/>
                <w:iCs/>
              </w:rPr>
            </w:pPr>
            <w:r>
              <w:rPr>
                <w:rFonts w:cstheme="minorHAnsi"/>
                <w:iCs/>
              </w:rPr>
              <w:t>seven s</w:t>
            </w:r>
            <w:r w:rsidR="00857F53">
              <w:rPr>
                <w:rFonts w:cstheme="minorHAnsi"/>
                <w:iCs/>
              </w:rPr>
              <w:t xml:space="preserve">pin-out companies (compared to </w:t>
            </w:r>
            <w:r>
              <w:rPr>
                <w:rFonts w:cstheme="minorHAnsi"/>
                <w:iCs/>
              </w:rPr>
              <w:t>three</w:t>
            </w:r>
            <w:r w:rsidR="00857F53">
              <w:rPr>
                <w:rFonts w:cstheme="minorHAnsi"/>
                <w:iCs/>
              </w:rPr>
              <w:t xml:space="preserve"> in 2023) with a 2025 pipeline of an additiona</w:t>
            </w:r>
            <w:r>
              <w:rPr>
                <w:rFonts w:cstheme="minorHAnsi"/>
                <w:iCs/>
              </w:rPr>
              <w:t xml:space="preserve">l </w:t>
            </w:r>
            <w:r w:rsidR="00857F53">
              <w:rPr>
                <w:rFonts w:cstheme="minorHAnsi"/>
                <w:iCs/>
              </w:rPr>
              <w:t>10</w:t>
            </w:r>
            <w:r w:rsidR="00C5400E">
              <w:rPr>
                <w:rFonts w:cstheme="minorHAnsi"/>
                <w:iCs/>
              </w:rPr>
              <w:t>;</w:t>
            </w:r>
          </w:p>
          <w:p w14:paraId="093A241C" w14:textId="40C8C726" w:rsidR="00857F53" w:rsidRDefault="00C5400E" w:rsidP="00C5400E">
            <w:pPr>
              <w:pStyle w:val="NormalIndent"/>
              <w:numPr>
                <w:ilvl w:val="1"/>
                <w:numId w:val="22"/>
              </w:numPr>
              <w:spacing w:before="0" w:after="0"/>
              <w:rPr>
                <w:rFonts w:cstheme="minorHAnsi"/>
                <w:iCs/>
              </w:rPr>
            </w:pPr>
            <w:r w:rsidRPr="00C5400E">
              <w:rPr>
                <w:rFonts w:cstheme="minorHAnsi"/>
                <w:iCs/>
              </w:rPr>
              <w:t>equity holdings in spin-out companies have increased by 4</w:t>
            </w:r>
            <w:r>
              <w:rPr>
                <w:rFonts w:cstheme="minorHAnsi"/>
                <w:iCs/>
              </w:rPr>
              <w:t>5</w:t>
            </w:r>
            <w:r w:rsidRPr="00C5400E">
              <w:rPr>
                <w:rFonts w:cstheme="minorHAnsi"/>
                <w:iCs/>
              </w:rPr>
              <w:t xml:space="preserve">%, </w:t>
            </w:r>
            <w:r w:rsidR="00857F53" w:rsidRPr="00C5400E">
              <w:rPr>
                <w:rFonts w:cstheme="minorHAnsi"/>
                <w:iCs/>
              </w:rPr>
              <w:t>from $6.166m</w:t>
            </w:r>
            <w:r w:rsidRPr="00C5400E">
              <w:rPr>
                <w:rFonts w:cstheme="minorHAnsi"/>
                <w:iCs/>
              </w:rPr>
              <w:t xml:space="preserve"> to $8.915m (</w:t>
            </w:r>
            <w:r w:rsidR="00857F53" w:rsidRPr="00C5400E">
              <w:rPr>
                <w:rFonts w:cstheme="minorHAnsi"/>
                <w:iCs/>
              </w:rPr>
              <w:t xml:space="preserve">2023 to 2024). </w:t>
            </w:r>
            <w:r w:rsidR="00E030D1" w:rsidRPr="00C5400E">
              <w:rPr>
                <w:rFonts w:cstheme="minorHAnsi"/>
                <w:iCs/>
              </w:rPr>
              <w:t>The U</w:t>
            </w:r>
            <w:r w:rsidR="00933642" w:rsidRPr="00C5400E">
              <w:rPr>
                <w:rFonts w:cstheme="minorHAnsi"/>
                <w:iCs/>
              </w:rPr>
              <w:t>niversity is focussed on continuing this success</w:t>
            </w:r>
            <w:r w:rsidR="005419DF" w:rsidRPr="00C5400E">
              <w:rPr>
                <w:rFonts w:cstheme="minorHAnsi"/>
                <w:iCs/>
              </w:rPr>
              <w:t xml:space="preserve"> in 2025-2026.</w:t>
            </w:r>
          </w:p>
          <w:p w14:paraId="54D9B30B" w14:textId="4E31114F" w:rsidR="00C5400E" w:rsidRPr="00C5400E" w:rsidRDefault="00C5400E" w:rsidP="008B4191">
            <w:pPr>
              <w:pStyle w:val="NormalIndent"/>
              <w:spacing w:before="0" w:after="0"/>
              <w:ind w:left="1440"/>
              <w:rPr>
                <w:rFonts w:cstheme="minorHAnsi"/>
                <w:iCs/>
              </w:rPr>
            </w:pPr>
          </w:p>
        </w:tc>
      </w:tr>
      <w:tr w:rsidR="001B109C" w:rsidRPr="00E41388" w14:paraId="23C06863" w14:textId="77777777" w:rsidTr="6DCF43EC">
        <w:trPr>
          <w:cantSplit/>
        </w:trPr>
        <w:tc>
          <w:tcPr>
            <w:tcW w:w="5000" w:type="pct"/>
          </w:tcPr>
          <w:p w14:paraId="0F594507" w14:textId="77777777" w:rsidR="001B109C"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p w14:paraId="6EB9DFB4" w14:textId="6966F2E3" w:rsidR="00857F53" w:rsidRDefault="00857F53" w:rsidP="00857F53">
            <w:pPr>
              <w:kinsoku w:val="0"/>
              <w:overflowPunct w:val="0"/>
              <w:autoSpaceDE w:val="0"/>
              <w:autoSpaceDN w:val="0"/>
              <w:adjustRightInd w:val="0"/>
              <w:spacing w:before="57" w:after="0"/>
              <w:ind w:left="40" w:right="62"/>
              <w:rPr>
                <w:rFonts w:ascii="Calibri" w:hAnsi="Calibri" w:cs="Calibri"/>
              </w:rPr>
            </w:pPr>
            <w:r>
              <w:rPr>
                <w:rFonts w:ascii="Calibri" w:hAnsi="Calibri" w:cs="Calibri"/>
              </w:rPr>
              <w:t xml:space="preserve">Macquarie </w:t>
            </w:r>
            <w:r w:rsidR="00F463D0">
              <w:rPr>
                <w:rFonts w:ascii="Calibri" w:hAnsi="Calibri" w:cs="Calibri"/>
              </w:rPr>
              <w:t xml:space="preserve">University’s </w:t>
            </w:r>
            <w:r>
              <w:rPr>
                <w:rFonts w:ascii="Calibri" w:hAnsi="Calibri" w:cs="Calibri"/>
              </w:rPr>
              <w:t>Research, Innovation</w:t>
            </w:r>
            <w:r>
              <w:rPr>
                <w:rFonts w:ascii="Calibri" w:hAnsi="Calibri" w:cs="Calibri"/>
                <w:spacing w:val="-1"/>
              </w:rPr>
              <w:t xml:space="preserve"> </w:t>
            </w:r>
            <w:r>
              <w:rPr>
                <w:rFonts w:ascii="Calibri" w:hAnsi="Calibri" w:cs="Calibri"/>
              </w:rPr>
              <w:t>and</w:t>
            </w:r>
            <w:r>
              <w:rPr>
                <w:rFonts w:ascii="Calibri" w:hAnsi="Calibri" w:cs="Calibri"/>
                <w:spacing w:val="-1"/>
              </w:rPr>
              <w:t xml:space="preserve"> </w:t>
            </w:r>
            <w:r>
              <w:rPr>
                <w:rFonts w:ascii="Calibri" w:hAnsi="Calibri" w:cs="Calibri"/>
              </w:rPr>
              <w:t>Enterprise</w:t>
            </w:r>
            <w:r>
              <w:rPr>
                <w:rFonts w:ascii="Calibri" w:hAnsi="Calibri" w:cs="Calibri"/>
                <w:spacing w:val="-2"/>
              </w:rPr>
              <w:t xml:space="preserve"> </w:t>
            </w:r>
            <w:r>
              <w:rPr>
                <w:rFonts w:ascii="Calibri" w:hAnsi="Calibri" w:cs="Calibri"/>
              </w:rPr>
              <w:t>team</w:t>
            </w:r>
            <w:r>
              <w:rPr>
                <w:rFonts w:ascii="Calibri" w:hAnsi="Calibri" w:cs="Calibri"/>
                <w:spacing w:val="-1"/>
              </w:rPr>
              <w:t xml:space="preserve"> </w:t>
            </w:r>
            <w:r>
              <w:rPr>
                <w:rFonts w:ascii="Calibri" w:hAnsi="Calibri" w:cs="Calibri"/>
              </w:rPr>
              <w:t>was</w:t>
            </w:r>
            <w:r>
              <w:rPr>
                <w:rFonts w:ascii="Calibri" w:hAnsi="Calibri" w:cs="Calibri"/>
                <w:spacing w:val="-2"/>
              </w:rPr>
              <w:t xml:space="preserve"> </w:t>
            </w:r>
            <w:r>
              <w:rPr>
                <w:rFonts w:ascii="Calibri" w:hAnsi="Calibri" w:cs="Calibri"/>
              </w:rPr>
              <w:t>established</w:t>
            </w:r>
            <w:r>
              <w:rPr>
                <w:rFonts w:ascii="Calibri" w:hAnsi="Calibri" w:cs="Calibri"/>
                <w:spacing w:val="-1"/>
              </w:rPr>
              <w:t xml:space="preserve"> </w:t>
            </w:r>
            <w:r>
              <w:rPr>
                <w:rFonts w:ascii="Calibri" w:hAnsi="Calibri" w:cs="Calibri"/>
              </w:rPr>
              <w:t>to build</w:t>
            </w:r>
            <w:r>
              <w:rPr>
                <w:rFonts w:ascii="Calibri" w:hAnsi="Calibri" w:cs="Calibri"/>
                <w:spacing w:val="-1"/>
              </w:rPr>
              <w:t xml:space="preserve"> </w:t>
            </w:r>
            <w:r>
              <w:rPr>
                <w:rFonts w:ascii="Calibri" w:hAnsi="Calibri" w:cs="Calibri"/>
              </w:rPr>
              <w:t>a profile</w:t>
            </w:r>
            <w:r>
              <w:rPr>
                <w:rFonts w:ascii="Calibri" w:hAnsi="Calibri" w:cs="Calibri"/>
                <w:spacing w:val="-2"/>
              </w:rPr>
              <w:t xml:space="preserve"> </w:t>
            </w:r>
            <w:r>
              <w:rPr>
                <w:rFonts w:ascii="Calibri" w:hAnsi="Calibri" w:cs="Calibri"/>
              </w:rPr>
              <w:t>with external</w:t>
            </w:r>
            <w:r>
              <w:rPr>
                <w:rFonts w:ascii="Calibri" w:hAnsi="Calibri" w:cs="Calibri"/>
                <w:spacing w:val="-2"/>
              </w:rPr>
              <w:t xml:space="preserve"> </w:t>
            </w:r>
            <w:r>
              <w:rPr>
                <w:rFonts w:ascii="Calibri" w:hAnsi="Calibri" w:cs="Calibri"/>
              </w:rPr>
              <w:t>partners</w:t>
            </w:r>
            <w:r>
              <w:rPr>
                <w:rFonts w:ascii="Calibri" w:hAnsi="Calibri" w:cs="Calibri"/>
                <w:spacing w:val="-2"/>
              </w:rPr>
              <w:t xml:space="preserve"> </w:t>
            </w:r>
            <w:r>
              <w:rPr>
                <w:rFonts w:ascii="Calibri" w:hAnsi="Calibri" w:cs="Calibri"/>
              </w:rPr>
              <w:t>as a</w:t>
            </w:r>
            <w:r>
              <w:rPr>
                <w:rFonts w:ascii="Calibri" w:hAnsi="Calibri" w:cs="Calibri"/>
                <w:spacing w:val="-3"/>
              </w:rPr>
              <w:t xml:space="preserve"> </w:t>
            </w:r>
            <w:r>
              <w:rPr>
                <w:rFonts w:ascii="Calibri" w:hAnsi="Calibri" w:cs="Calibri"/>
              </w:rPr>
              <w:t>sought-after collaborator, to provide</w:t>
            </w:r>
            <w:r>
              <w:rPr>
                <w:rFonts w:ascii="Calibri" w:hAnsi="Calibri" w:cs="Calibri"/>
                <w:spacing w:val="-2"/>
              </w:rPr>
              <w:t xml:space="preserve"> </w:t>
            </w:r>
            <w:r>
              <w:rPr>
                <w:rFonts w:ascii="Calibri" w:hAnsi="Calibri" w:cs="Calibri"/>
              </w:rPr>
              <w:t>easier navigation</w:t>
            </w:r>
            <w:r>
              <w:rPr>
                <w:rFonts w:ascii="Calibri" w:hAnsi="Calibri" w:cs="Calibri"/>
                <w:spacing w:val="-1"/>
              </w:rPr>
              <w:t xml:space="preserve"> </w:t>
            </w:r>
            <w:r>
              <w:rPr>
                <w:rFonts w:ascii="Calibri" w:hAnsi="Calibri" w:cs="Calibri"/>
              </w:rPr>
              <w:t>points for</w:t>
            </w:r>
            <w:r>
              <w:rPr>
                <w:rFonts w:ascii="Calibri" w:hAnsi="Calibri" w:cs="Calibri"/>
                <w:spacing w:val="-2"/>
              </w:rPr>
              <w:t xml:space="preserve"> </w:t>
            </w:r>
            <w:r>
              <w:rPr>
                <w:rFonts w:ascii="Calibri" w:hAnsi="Calibri" w:cs="Calibri"/>
              </w:rPr>
              <w:t>external</w:t>
            </w:r>
            <w:r>
              <w:rPr>
                <w:rFonts w:ascii="Calibri" w:hAnsi="Calibri" w:cs="Calibri"/>
                <w:spacing w:val="-1"/>
              </w:rPr>
              <w:t xml:space="preserve"> </w:t>
            </w:r>
            <w:r>
              <w:rPr>
                <w:rFonts w:ascii="Calibri" w:hAnsi="Calibri" w:cs="Calibri"/>
              </w:rPr>
              <w:t>research</w:t>
            </w:r>
            <w:r>
              <w:rPr>
                <w:rFonts w:ascii="Calibri" w:hAnsi="Calibri" w:cs="Calibri"/>
                <w:spacing w:val="-1"/>
              </w:rPr>
              <w:t xml:space="preserve"> </w:t>
            </w:r>
            <w:r>
              <w:rPr>
                <w:rFonts w:ascii="Calibri" w:hAnsi="Calibri" w:cs="Calibri"/>
              </w:rPr>
              <w:t>partners, support</w:t>
            </w:r>
            <w:r>
              <w:rPr>
                <w:rFonts w:ascii="Calibri" w:hAnsi="Calibri" w:cs="Calibri"/>
                <w:spacing w:val="-4"/>
              </w:rPr>
              <w:t xml:space="preserve"> </w:t>
            </w:r>
            <w:r>
              <w:rPr>
                <w:rFonts w:ascii="Calibri" w:hAnsi="Calibri" w:cs="Calibri"/>
              </w:rPr>
              <w:t>researchers in</w:t>
            </w:r>
            <w:r>
              <w:rPr>
                <w:rFonts w:ascii="Calibri" w:hAnsi="Calibri" w:cs="Calibri"/>
                <w:spacing w:val="-1"/>
              </w:rPr>
              <w:t xml:space="preserve"> </w:t>
            </w:r>
            <w:r>
              <w:rPr>
                <w:rFonts w:ascii="Calibri" w:hAnsi="Calibri" w:cs="Calibri"/>
              </w:rPr>
              <w:t>their efforts</w:t>
            </w:r>
            <w:r>
              <w:rPr>
                <w:rFonts w:ascii="Calibri" w:hAnsi="Calibri" w:cs="Calibri"/>
                <w:spacing w:val="-5"/>
              </w:rPr>
              <w:t xml:space="preserve"> </w:t>
            </w:r>
            <w:r>
              <w:rPr>
                <w:rFonts w:ascii="Calibri" w:hAnsi="Calibri" w:cs="Calibri"/>
              </w:rPr>
              <w:t>to form</w:t>
            </w:r>
            <w:r>
              <w:rPr>
                <w:rFonts w:ascii="Calibri" w:hAnsi="Calibri" w:cs="Calibri"/>
                <w:spacing w:val="-1"/>
              </w:rPr>
              <w:t xml:space="preserve"> </w:t>
            </w:r>
            <w:r>
              <w:rPr>
                <w:rFonts w:ascii="Calibri" w:hAnsi="Calibri" w:cs="Calibri"/>
              </w:rPr>
              <w:t xml:space="preserve">meaningful </w:t>
            </w:r>
            <w:hyperlink r:id="rId40" w:history="1">
              <w:r>
                <w:rPr>
                  <w:rStyle w:val="Hyperlink"/>
                  <w:rFonts w:ascii="Calibri" w:hAnsi="Calibri" w:cs="Calibri"/>
                </w:rPr>
                <w:t>research</w:t>
              </w:r>
              <w:r>
                <w:rPr>
                  <w:rStyle w:val="Hyperlink"/>
                  <w:rFonts w:ascii="Calibri" w:hAnsi="Calibri" w:cs="Calibri"/>
                  <w:spacing w:val="-1"/>
                </w:rPr>
                <w:t xml:space="preserve"> </w:t>
              </w:r>
              <w:r>
                <w:rPr>
                  <w:rStyle w:val="Hyperlink"/>
                  <w:rFonts w:ascii="Calibri" w:hAnsi="Calibri" w:cs="Calibri"/>
                </w:rPr>
                <w:t>collaborations</w:t>
              </w:r>
            </w:hyperlink>
            <w:r>
              <w:rPr>
                <w:rFonts w:ascii="Calibri" w:hAnsi="Calibri" w:cs="Calibri"/>
              </w:rPr>
              <w:t xml:space="preserve"> with</w:t>
            </w:r>
            <w:r>
              <w:rPr>
                <w:rFonts w:ascii="Calibri" w:hAnsi="Calibri" w:cs="Calibri"/>
                <w:spacing w:val="-1"/>
              </w:rPr>
              <w:t xml:space="preserve"> </w:t>
            </w:r>
            <w:r>
              <w:rPr>
                <w:rFonts w:ascii="Calibri" w:hAnsi="Calibri" w:cs="Calibri"/>
              </w:rPr>
              <w:t>industry,</w:t>
            </w:r>
            <w:r>
              <w:rPr>
                <w:rFonts w:ascii="Calibri" w:hAnsi="Calibri" w:cs="Calibri"/>
                <w:spacing w:val="-2"/>
              </w:rPr>
              <w:t xml:space="preserve"> </w:t>
            </w:r>
            <w:r>
              <w:rPr>
                <w:rFonts w:ascii="Calibri" w:hAnsi="Calibri" w:cs="Calibri"/>
              </w:rPr>
              <w:t>government</w:t>
            </w:r>
            <w:r>
              <w:rPr>
                <w:rFonts w:ascii="Calibri" w:hAnsi="Calibri" w:cs="Calibri"/>
                <w:spacing w:val="-4"/>
              </w:rPr>
              <w:t xml:space="preserve"> </w:t>
            </w:r>
            <w:r>
              <w:rPr>
                <w:rFonts w:ascii="Calibri" w:hAnsi="Calibri" w:cs="Calibri"/>
              </w:rPr>
              <w:t>and</w:t>
            </w:r>
            <w:r>
              <w:rPr>
                <w:rFonts w:ascii="Calibri" w:hAnsi="Calibri" w:cs="Calibri"/>
                <w:spacing w:val="-1"/>
              </w:rPr>
              <w:t xml:space="preserve"> </w:t>
            </w:r>
            <w:r>
              <w:rPr>
                <w:rFonts w:ascii="Calibri" w:hAnsi="Calibri" w:cs="Calibri"/>
              </w:rPr>
              <w:t>the community,</w:t>
            </w:r>
            <w:r>
              <w:rPr>
                <w:rFonts w:ascii="Calibri" w:hAnsi="Calibri" w:cs="Calibri"/>
                <w:spacing w:val="-1"/>
              </w:rPr>
              <w:t xml:space="preserve"> </w:t>
            </w:r>
            <w:r>
              <w:rPr>
                <w:rFonts w:ascii="Calibri" w:hAnsi="Calibri" w:cs="Calibri"/>
              </w:rPr>
              <w:t>and</w:t>
            </w:r>
            <w:r>
              <w:rPr>
                <w:rFonts w:ascii="Calibri" w:hAnsi="Calibri" w:cs="Calibri"/>
                <w:spacing w:val="-1"/>
              </w:rPr>
              <w:t xml:space="preserve"> </w:t>
            </w:r>
            <w:r>
              <w:rPr>
                <w:rFonts w:ascii="Calibri" w:hAnsi="Calibri" w:cs="Calibri"/>
              </w:rPr>
              <w:t>facilitate</w:t>
            </w:r>
            <w:r>
              <w:rPr>
                <w:rFonts w:ascii="Calibri" w:hAnsi="Calibri" w:cs="Calibri"/>
                <w:spacing w:val="-2"/>
              </w:rPr>
              <w:t xml:space="preserve"> </w:t>
            </w:r>
            <w:r>
              <w:rPr>
                <w:rFonts w:ascii="Calibri" w:hAnsi="Calibri" w:cs="Calibri"/>
              </w:rPr>
              <w:t xml:space="preserve">the </w:t>
            </w:r>
            <w:hyperlink r:id="rId41" w:history="1">
              <w:r>
                <w:rPr>
                  <w:rStyle w:val="Hyperlink"/>
                  <w:rFonts w:ascii="Calibri" w:hAnsi="Calibri" w:cs="Calibri"/>
                </w:rPr>
                <w:t>commercialisation</w:t>
              </w:r>
            </w:hyperlink>
            <w:r>
              <w:rPr>
                <w:rFonts w:ascii="Calibri" w:hAnsi="Calibri" w:cs="Calibri"/>
                <w:spacing w:val="-1"/>
              </w:rPr>
              <w:t xml:space="preserve"> </w:t>
            </w:r>
            <w:r>
              <w:rPr>
                <w:rFonts w:ascii="Calibri" w:hAnsi="Calibri" w:cs="Calibri"/>
              </w:rPr>
              <w:t>and</w:t>
            </w:r>
            <w:r>
              <w:rPr>
                <w:rFonts w:ascii="Calibri" w:hAnsi="Calibri" w:cs="Calibri"/>
                <w:spacing w:val="-1"/>
              </w:rPr>
              <w:t xml:space="preserve"> </w:t>
            </w:r>
            <w:r>
              <w:rPr>
                <w:rFonts w:ascii="Calibri" w:hAnsi="Calibri" w:cs="Calibri"/>
              </w:rPr>
              <w:t>real-world</w:t>
            </w:r>
            <w:r>
              <w:rPr>
                <w:rFonts w:ascii="Calibri" w:hAnsi="Calibri" w:cs="Calibri"/>
                <w:spacing w:val="-1"/>
              </w:rPr>
              <w:t xml:space="preserve"> </w:t>
            </w:r>
            <w:r>
              <w:rPr>
                <w:rFonts w:ascii="Calibri" w:hAnsi="Calibri" w:cs="Calibri"/>
              </w:rPr>
              <w:t>adoption</w:t>
            </w:r>
            <w:r>
              <w:rPr>
                <w:rFonts w:ascii="Calibri" w:hAnsi="Calibri" w:cs="Calibri"/>
                <w:spacing w:val="-1"/>
              </w:rPr>
              <w:t xml:space="preserve"> </w:t>
            </w:r>
            <w:r>
              <w:rPr>
                <w:rFonts w:ascii="Calibri" w:hAnsi="Calibri" w:cs="Calibri"/>
              </w:rPr>
              <w:t>by</w:t>
            </w:r>
            <w:r>
              <w:rPr>
                <w:rFonts w:ascii="Calibri" w:hAnsi="Calibri" w:cs="Calibri"/>
                <w:spacing w:val="-1"/>
              </w:rPr>
              <w:t xml:space="preserve"> </w:t>
            </w:r>
            <w:r>
              <w:rPr>
                <w:rFonts w:ascii="Calibri" w:hAnsi="Calibri" w:cs="Calibri"/>
              </w:rPr>
              <w:t>end-users of</w:t>
            </w:r>
            <w:r>
              <w:rPr>
                <w:rFonts w:ascii="Calibri" w:hAnsi="Calibri" w:cs="Calibri"/>
                <w:spacing w:val="-2"/>
              </w:rPr>
              <w:t xml:space="preserve"> </w:t>
            </w:r>
            <w:r>
              <w:rPr>
                <w:rFonts w:ascii="Calibri" w:hAnsi="Calibri" w:cs="Calibri"/>
              </w:rPr>
              <w:t>knowledge and</w:t>
            </w:r>
            <w:r>
              <w:rPr>
                <w:rFonts w:ascii="Calibri" w:hAnsi="Calibri" w:cs="Calibri"/>
                <w:spacing w:val="-1"/>
              </w:rPr>
              <w:t xml:space="preserve"> </w:t>
            </w:r>
            <w:r>
              <w:rPr>
                <w:rFonts w:ascii="Calibri" w:hAnsi="Calibri" w:cs="Calibri"/>
              </w:rPr>
              <w:t>I</w:t>
            </w:r>
            <w:r w:rsidR="004A3D60">
              <w:rPr>
                <w:rFonts w:ascii="Calibri" w:hAnsi="Calibri" w:cs="Calibri"/>
              </w:rPr>
              <w:t>ntellectual Property</w:t>
            </w:r>
            <w:r>
              <w:rPr>
                <w:rFonts w:ascii="Calibri" w:hAnsi="Calibri" w:cs="Calibri"/>
              </w:rPr>
              <w:t xml:space="preserve"> arising</w:t>
            </w:r>
            <w:r>
              <w:rPr>
                <w:rFonts w:ascii="Calibri" w:hAnsi="Calibri" w:cs="Calibri"/>
                <w:spacing w:val="-1"/>
              </w:rPr>
              <w:t xml:space="preserve"> </w:t>
            </w:r>
            <w:r>
              <w:rPr>
                <w:rFonts w:ascii="Calibri" w:hAnsi="Calibri" w:cs="Calibri"/>
              </w:rPr>
              <w:t>from</w:t>
            </w:r>
            <w:r>
              <w:rPr>
                <w:rFonts w:ascii="Calibri" w:hAnsi="Calibri" w:cs="Calibri"/>
                <w:spacing w:val="-1"/>
              </w:rPr>
              <w:t xml:space="preserve"> </w:t>
            </w:r>
            <w:r>
              <w:rPr>
                <w:rFonts w:ascii="Calibri" w:hAnsi="Calibri" w:cs="Calibri"/>
              </w:rPr>
              <w:t>our</w:t>
            </w:r>
            <w:r>
              <w:rPr>
                <w:rFonts w:ascii="Calibri" w:hAnsi="Calibri" w:cs="Calibri"/>
                <w:spacing w:val="-2"/>
              </w:rPr>
              <w:t xml:space="preserve"> </w:t>
            </w:r>
            <w:r>
              <w:rPr>
                <w:rFonts w:ascii="Calibri" w:hAnsi="Calibri" w:cs="Calibri"/>
              </w:rPr>
              <w:t>research</w:t>
            </w:r>
            <w:r>
              <w:rPr>
                <w:rFonts w:ascii="Calibri" w:hAnsi="Calibri" w:cs="Calibri"/>
                <w:spacing w:val="-1"/>
              </w:rPr>
              <w:t xml:space="preserve"> </w:t>
            </w:r>
            <w:r>
              <w:rPr>
                <w:rFonts w:ascii="Calibri" w:hAnsi="Calibri" w:cs="Calibri"/>
              </w:rPr>
              <w:t>programs.</w:t>
            </w:r>
          </w:p>
          <w:p w14:paraId="6BC7E523" w14:textId="77777777" w:rsidR="00857F53" w:rsidRDefault="00857F53" w:rsidP="00857F53">
            <w:pPr>
              <w:kinsoku w:val="0"/>
              <w:overflowPunct w:val="0"/>
              <w:autoSpaceDE w:val="0"/>
              <w:autoSpaceDN w:val="0"/>
              <w:adjustRightInd w:val="0"/>
              <w:spacing w:before="119" w:after="0"/>
              <w:ind w:left="40" w:right="62"/>
              <w:rPr>
                <w:rFonts w:ascii="Calibri" w:hAnsi="Calibri" w:cs="Calibri"/>
                <w:spacing w:val="-1"/>
              </w:rPr>
            </w:pPr>
            <w:r>
              <w:rPr>
                <w:rFonts w:ascii="Calibri" w:hAnsi="Calibri" w:cs="Calibri"/>
              </w:rPr>
              <w:t>In</w:t>
            </w:r>
            <w:r>
              <w:rPr>
                <w:rFonts w:ascii="Calibri" w:hAnsi="Calibri" w:cs="Calibri"/>
                <w:spacing w:val="-1"/>
              </w:rPr>
              <w:t xml:space="preserve"> </w:t>
            </w:r>
            <w:r>
              <w:rPr>
                <w:rFonts w:ascii="Calibri" w:hAnsi="Calibri" w:cs="Calibri"/>
              </w:rPr>
              <w:t>2025 - 2026,</w:t>
            </w:r>
            <w:r>
              <w:rPr>
                <w:rFonts w:ascii="Calibri" w:hAnsi="Calibri" w:cs="Calibri"/>
                <w:spacing w:val="-1"/>
              </w:rPr>
              <w:t xml:space="preserve"> </w:t>
            </w:r>
            <w:r>
              <w:rPr>
                <w:rFonts w:ascii="Calibri" w:hAnsi="Calibri" w:cs="Calibri"/>
              </w:rPr>
              <w:t>Macquarie’s key</w:t>
            </w:r>
            <w:r>
              <w:rPr>
                <w:rFonts w:ascii="Calibri" w:hAnsi="Calibri" w:cs="Calibri"/>
                <w:spacing w:val="-1"/>
              </w:rPr>
              <w:t xml:space="preserve"> </w:t>
            </w:r>
            <w:r>
              <w:rPr>
                <w:rFonts w:ascii="Calibri" w:hAnsi="Calibri" w:cs="Calibri"/>
              </w:rPr>
              <w:t>priorities</w:t>
            </w:r>
            <w:r>
              <w:rPr>
                <w:rFonts w:ascii="Calibri" w:hAnsi="Calibri" w:cs="Calibri"/>
                <w:spacing w:val="-2"/>
              </w:rPr>
              <w:t xml:space="preserve"> </w:t>
            </w:r>
            <w:r>
              <w:rPr>
                <w:rFonts w:ascii="Calibri" w:hAnsi="Calibri" w:cs="Calibri"/>
              </w:rPr>
              <w:t>for</w:t>
            </w:r>
            <w:r>
              <w:rPr>
                <w:rFonts w:ascii="Calibri" w:hAnsi="Calibri" w:cs="Calibri"/>
                <w:spacing w:val="-2"/>
              </w:rPr>
              <w:t xml:space="preserve"> </w:t>
            </w:r>
            <w:r>
              <w:rPr>
                <w:rFonts w:ascii="Calibri" w:hAnsi="Calibri" w:cs="Calibri"/>
              </w:rPr>
              <w:t>engaging</w:t>
            </w:r>
            <w:r>
              <w:rPr>
                <w:rFonts w:ascii="Calibri" w:hAnsi="Calibri" w:cs="Calibri"/>
                <w:spacing w:val="-1"/>
              </w:rPr>
              <w:t xml:space="preserve"> </w:t>
            </w:r>
            <w:r>
              <w:rPr>
                <w:rFonts w:ascii="Calibri" w:hAnsi="Calibri" w:cs="Calibri"/>
              </w:rPr>
              <w:t>with</w:t>
            </w:r>
            <w:r>
              <w:rPr>
                <w:rFonts w:ascii="Calibri" w:hAnsi="Calibri" w:cs="Calibri"/>
                <w:spacing w:val="-1"/>
              </w:rPr>
              <w:t xml:space="preserve"> </w:t>
            </w:r>
            <w:r>
              <w:rPr>
                <w:rFonts w:ascii="Calibri" w:hAnsi="Calibri" w:cs="Calibri"/>
              </w:rPr>
              <w:t>industry will</w:t>
            </w:r>
            <w:r>
              <w:rPr>
                <w:rFonts w:ascii="Calibri" w:hAnsi="Calibri" w:cs="Calibri"/>
                <w:spacing w:val="-3"/>
              </w:rPr>
              <w:t xml:space="preserve"> </w:t>
            </w:r>
            <w:r>
              <w:rPr>
                <w:rFonts w:ascii="Calibri" w:hAnsi="Calibri" w:cs="Calibri"/>
              </w:rPr>
              <w:t>be to:</w:t>
            </w:r>
            <w:r>
              <w:rPr>
                <w:rFonts w:ascii="Calibri" w:hAnsi="Calibri" w:cs="Calibri"/>
                <w:spacing w:val="-1"/>
              </w:rPr>
              <w:t xml:space="preserve"> </w:t>
            </w:r>
          </w:p>
          <w:p w14:paraId="6EAE6D84" w14:textId="5E2016E6" w:rsidR="00857F53" w:rsidRDefault="004A3D60" w:rsidP="00857F53">
            <w:pPr>
              <w:pStyle w:val="ListParagraph"/>
              <w:numPr>
                <w:ilvl w:val="0"/>
                <w:numId w:val="36"/>
              </w:numPr>
              <w:kinsoku w:val="0"/>
              <w:overflowPunct w:val="0"/>
              <w:autoSpaceDE w:val="0"/>
              <w:autoSpaceDN w:val="0"/>
              <w:adjustRightInd w:val="0"/>
              <w:spacing w:before="119" w:after="0"/>
              <w:ind w:right="62"/>
              <w:rPr>
                <w:rFonts w:ascii="Calibri" w:hAnsi="Calibri" w:cs="Calibri"/>
              </w:rPr>
            </w:pPr>
            <w:r>
              <w:rPr>
                <w:rFonts w:ascii="Calibri" w:hAnsi="Calibri" w:cs="Calibri"/>
              </w:rPr>
              <w:t>E</w:t>
            </w:r>
            <w:r w:rsidR="00857F53">
              <w:rPr>
                <w:rFonts w:ascii="Calibri" w:hAnsi="Calibri" w:cs="Calibri"/>
              </w:rPr>
              <w:t>nhance strategic</w:t>
            </w:r>
            <w:r w:rsidR="00857F53">
              <w:rPr>
                <w:rFonts w:ascii="Calibri" w:hAnsi="Calibri" w:cs="Calibri"/>
                <w:spacing w:val="-2"/>
              </w:rPr>
              <w:t xml:space="preserve"> </w:t>
            </w:r>
            <w:r w:rsidR="00857F53">
              <w:rPr>
                <w:rFonts w:ascii="Calibri" w:hAnsi="Calibri" w:cs="Calibri"/>
              </w:rPr>
              <w:t>partnerships</w:t>
            </w:r>
            <w:r w:rsidR="00857F53">
              <w:rPr>
                <w:rFonts w:ascii="Calibri" w:hAnsi="Calibri" w:cs="Calibri"/>
                <w:spacing w:val="-2"/>
              </w:rPr>
              <w:t xml:space="preserve"> </w:t>
            </w:r>
            <w:r w:rsidR="00857F53">
              <w:rPr>
                <w:rFonts w:ascii="Calibri" w:hAnsi="Calibri" w:cs="Calibri"/>
              </w:rPr>
              <w:t>with</w:t>
            </w:r>
            <w:r w:rsidR="00857F53">
              <w:rPr>
                <w:rFonts w:ascii="Calibri" w:hAnsi="Calibri" w:cs="Calibri"/>
                <w:spacing w:val="-3"/>
              </w:rPr>
              <w:t xml:space="preserve"> </w:t>
            </w:r>
            <w:r w:rsidR="00857F53">
              <w:rPr>
                <w:rFonts w:ascii="Calibri" w:hAnsi="Calibri" w:cs="Calibri"/>
              </w:rPr>
              <w:t>industry partners</w:t>
            </w:r>
            <w:r w:rsidR="00857F53">
              <w:rPr>
                <w:rFonts w:ascii="Calibri" w:hAnsi="Calibri" w:cs="Calibri"/>
                <w:spacing w:val="-2"/>
              </w:rPr>
              <w:t xml:space="preserve"> </w:t>
            </w:r>
            <w:r w:rsidR="00857F53">
              <w:rPr>
                <w:rFonts w:ascii="Calibri" w:hAnsi="Calibri" w:cs="Calibri"/>
              </w:rPr>
              <w:t>such</w:t>
            </w:r>
            <w:r w:rsidR="00857F53">
              <w:rPr>
                <w:rFonts w:ascii="Calibri" w:hAnsi="Calibri" w:cs="Calibri"/>
                <w:spacing w:val="-1"/>
              </w:rPr>
              <w:t xml:space="preserve"> </w:t>
            </w:r>
            <w:r w:rsidR="00857F53">
              <w:rPr>
                <w:rFonts w:ascii="Calibri" w:hAnsi="Calibri" w:cs="Calibri"/>
              </w:rPr>
              <w:t>as</w:t>
            </w:r>
            <w:r w:rsidR="00857F53">
              <w:rPr>
                <w:rFonts w:ascii="Calibri" w:hAnsi="Calibri" w:cs="Calibri"/>
                <w:spacing w:val="-2"/>
              </w:rPr>
              <w:t xml:space="preserve"> </w:t>
            </w:r>
            <w:r w:rsidR="00857F53">
              <w:rPr>
                <w:rFonts w:ascii="Calibri" w:hAnsi="Calibri" w:cs="Calibri"/>
              </w:rPr>
              <w:t>Cochlear,</w:t>
            </w:r>
            <w:r w:rsidR="00857F53">
              <w:rPr>
                <w:rFonts w:ascii="Calibri" w:hAnsi="Calibri" w:cs="Calibri"/>
                <w:spacing w:val="-2"/>
              </w:rPr>
              <w:t xml:space="preserve"> ADI, </w:t>
            </w:r>
            <w:r w:rsidR="00857F53">
              <w:rPr>
                <w:rFonts w:ascii="Calibri" w:hAnsi="Calibri" w:cs="Calibri"/>
              </w:rPr>
              <w:t>Tata, Fujitsu,</w:t>
            </w:r>
            <w:r w:rsidR="00857F53">
              <w:rPr>
                <w:rFonts w:ascii="Calibri" w:hAnsi="Calibri" w:cs="Calibri"/>
                <w:spacing w:val="-2"/>
              </w:rPr>
              <w:t xml:space="preserve"> </w:t>
            </w:r>
            <w:r w:rsidR="00857F53">
              <w:rPr>
                <w:rFonts w:ascii="Calibri" w:hAnsi="Calibri" w:cs="Calibri"/>
              </w:rPr>
              <w:t>Optus, NextSense, NSW Government, Snowy Hydro, Celosia, DFCRC, Rozetta, Sydney FC</w:t>
            </w:r>
            <w:r w:rsidR="00857F53">
              <w:rPr>
                <w:rFonts w:ascii="Calibri" w:hAnsi="Calibri" w:cs="Calibri"/>
                <w:spacing w:val="-1"/>
              </w:rPr>
              <w:t xml:space="preserve"> </w:t>
            </w:r>
            <w:r w:rsidR="00857F53">
              <w:rPr>
                <w:rFonts w:ascii="Calibri" w:hAnsi="Calibri" w:cs="Calibri"/>
              </w:rPr>
              <w:t>and</w:t>
            </w:r>
            <w:r w:rsidR="00857F53">
              <w:rPr>
                <w:rFonts w:ascii="Calibri" w:hAnsi="Calibri" w:cs="Calibri"/>
                <w:spacing w:val="-1"/>
              </w:rPr>
              <w:t xml:space="preserve"> </w:t>
            </w:r>
            <w:r w:rsidR="00857F53">
              <w:rPr>
                <w:rFonts w:ascii="Calibri" w:hAnsi="Calibri" w:cs="Calibri"/>
              </w:rPr>
              <w:t>Google</w:t>
            </w:r>
          </w:p>
          <w:p w14:paraId="34AC6042" w14:textId="05904709" w:rsidR="00857F53" w:rsidRDefault="004A3D60" w:rsidP="00857F53">
            <w:pPr>
              <w:pStyle w:val="ListParagraph"/>
              <w:numPr>
                <w:ilvl w:val="0"/>
                <w:numId w:val="36"/>
              </w:numPr>
              <w:rPr>
                <w:rFonts w:ascii="Calibri" w:hAnsi="Calibri" w:cs="Calibri"/>
              </w:rPr>
            </w:pPr>
            <w:r>
              <w:rPr>
                <w:rFonts w:ascii="Calibri" w:hAnsi="Calibri" w:cs="Calibri"/>
              </w:rPr>
              <w:t>C</w:t>
            </w:r>
            <w:r w:rsidR="00857F53">
              <w:rPr>
                <w:rFonts w:ascii="Calibri" w:hAnsi="Calibri" w:cs="Calibri"/>
              </w:rPr>
              <w:t>ontinue to</w:t>
            </w:r>
            <w:r w:rsidR="00857F53">
              <w:rPr>
                <w:rFonts w:ascii="Calibri" w:hAnsi="Calibri" w:cs="Calibri"/>
                <w:spacing w:val="-1"/>
              </w:rPr>
              <w:t xml:space="preserve"> </w:t>
            </w:r>
            <w:r w:rsidR="00857F53">
              <w:rPr>
                <w:rFonts w:ascii="Calibri" w:hAnsi="Calibri" w:cs="Calibri"/>
              </w:rPr>
              <w:t>incubate</w:t>
            </w:r>
            <w:r w:rsidR="00857F53">
              <w:rPr>
                <w:rFonts w:ascii="Calibri" w:hAnsi="Calibri" w:cs="Calibri"/>
                <w:spacing w:val="-2"/>
              </w:rPr>
              <w:t xml:space="preserve"> </w:t>
            </w:r>
            <w:r w:rsidR="00857F53">
              <w:rPr>
                <w:rFonts w:ascii="Calibri" w:hAnsi="Calibri" w:cs="Calibri"/>
              </w:rPr>
              <w:t>Macquarie and</w:t>
            </w:r>
            <w:r w:rsidR="00857F53">
              <w:rPr>
                <w:rFonts w:ascii="Calibri" w:hAnsi="Calibri" w:cs="Calibri"/>
                <w:spacing w:val="-3"/>
              </w:rPr>
              <w:t xml:space="preserve"> </w:t>
            </w:r>
            <w:r w:rsidR="00857F53">
              <w:rPr>
                <w:rFonts w:ascii="Calibri" w:hAnsi="Calibri" w:cs="Calibri"/>
              </w:rPr>
              <w:t>community start-ups (with</w:t>
            </w:r>
            <w:r w:rsidR="00857F53">
              <w:rPr>
                <w:rFonts w:ascii="Calibri" w:hAnsi="Calibri" w:cs="Calibri"/>
                <w:spacing w:val="-3"/>
              </w:rPr>
              <w:t xml:space="preserve"> </w:t>
            </w:r>
            <w:r w:rsidR="00857F53">
              <w:rPr>
                <w:rFonts w:ascii="Calibri" w:hAnsi="Calibri" w:cs="Calibri"/>
              </w:rPr>
              <w:t>&gt;150 companies supported</w:t>
            </w:r>
            <w:r w:rsidR="00857F53">
              <w:rPr>
                <w:rFonts w:ascii="Calibri" w:hAnsi="Calibri" w:cs="Calibri"/>
                <w:spacing w:val="-1"/>
              </w:rPr>
              <w:t xml:space="preserve"> </w:t>
            </w:r>
            <w:r w:rsidR="00857F53">
              <w:rPr>
                <w:rFonts w:ascii="Calibri" w:hAnsi="Calibri" w:cs="Calibri"/>
              </w:rPr>
              <w:t xml:space="preserve">since 2017), including through the provision of tailored training programs for researchers seeking to engage with industry and/or realise the impact of their research </w:t>
            </w:r>
          </w:p>
          <w:p w14:paraId="53F58ED4" w14:textId="61820343" w:rsidR="00857F53" w:rsidRDefault="004A3D60" w:rsidP="00857F53">
            <w:pPr>
              <w:pStyle w:val="ListParagraph"/>
              <w:numPr>
                <w:ilvl w:val="0"/>
                <w:numId w:val="36"/>
              </w:numPr>
            </w:pPr>
            <w:r>
              <w:rPr>
                <w:rFonts w:ascii="Calibri" w:hAnsi="Calibri" w:cs="Calibri"/>
              </w:rPr>
              <w:t>D</w:t>
            </w:r>
            <w:r w:rsidR="00857F53">
              <w:rPr>
                <w:rFonts w:ascii="Calibri" w:hAnsi="Calibri" w:cs="Calibri"/>
              </w:rPr>
              <w:t xml:space="preserve">evelop dedicated </w:t>
            </w:r>
            <w:r w:rsidR="003E346F">
              <w:rPr>
                <w:rFonts w:ascii="Calibri" w:hAnsi="Calibri" w:cs="Calibri"/>
              </w:rPr>
              <w:t>Physical Containment Level 2 (</w:t>
            </w:r>
            <w:r w:rsidR="00857F53">
              <w:rPr>
                <w:rFonts w:ascii="Calibri" w:hAnsi="Calibri" w:cs="Calibri"/>
              </w:rPr>
              <w:t>PC2</w:t>
            </w:r>
            <w:r w:rsidR="003E346F">
              <w:rPr>
                <w:rFonts w:ascii="Calibri" w:hAnsi="Calibri" w:cs="Calibri"/>
              </w:rPr>
              <w:t>)</w:t>
            </w:r>
            <w:r w:rsidR="00857F53">
              <w:rPr>
                <w:rFonts w:ascii="Calibri" w:hAnsi="Calibri" w:cs="Calibri"/>
              </w:rPr>
              <w:t xml:space="preserve"> facilities for deep tech incubation </w:t>
            </w:r>
            <w:r w:rsidR="00857F53">
              <w:t>to support innovators in biotech</w:t>
            </w:r>
            <w:r w:rsidR="00857F53">
              <w:rPr>
                <w:spacing w:val="-2"/>
              </w:rPr>
              <w:t xml:space="preserve"> </w:t>
            </w:r>
            <w:r w:rsidR="00857F53">
              <w:t>through the</w:t>
            </w:r>
            <w:r w:rsidR="00857F53">
              <w:rPr>
                <w:spacing w:val="-1"/>
              </w:rPr>
              <w:t xml:space="preserve"> </w:t>
            </w:r>
            <w:r w:rsidR="00857F53">
              <w:t>'valley of death'</w:t>
            </w:r>
          </w:p>
          <w:p w14:paraId="0E754677" w14:textId="763A2DD7" w:rsidR="00857F53" w:rsidRDefault="004A3D60" w:rsidP="00857F53">
            <w:pPr>
              <w:pStyle w:val="ListParagraph"/>
              <w:numPr>
                <w:ilvl w:val="0"/>
                <w:numId w:val="36"/>
              </w:numPr>
              <w:kinsoku w:val="0"/>
              <w:overflowPunct w:val="0"/>
              <w:autoSpaceDE w:val="0"/>
              <w:autoSpaceDN w:val="0"/>
              <w:adjustRightInd w:val="0"/>
              <w:spacing w:before="122" w:after="0"/>
              <w:rPr>
                <w:rFonts w:ascii="Calibri" w:hAnsi="Calibri" w:cs="Calibri"/>
              </w:rPr>
            </w:pPr>
            <w:r>
              <w:rPr>
                <w:rFonts w:ascii="Calibri" w:hAnsi="Calibri" w:cs="Calibri"/>
              </w:rPr>
              <w:t>I</w:t>
            </w:r>
            <w:r w:rsidR="00857F53">
              <w:rPr>
                <w:rFonts w:ascii="Calibri" w:hAnsi="Calibri" w:cs="Calibri"/>
              </w:rPr>
              <w:t xml:space="preserve">ncrease its involvement, as either a lead or node organisation, in several </w:t>
            </w:r>
            <w:r w:rsidR="00C5400E">
              <w:rPr>
                <w:rFonts w:ascii="Calibri" w:hAnsi="Calibri" w:cs="Calibri"/>
              </w:rPr>
              <w:t>Collaborative Research Centres (</w:t>
            </w:r>
            <w:r w:rsidR="00857F53">
              <w:rPr>
                <w:rFonts w:ascii="Calibri" w:hAnsi="Calibri" w:cs="Calibri"/>
              </w:rPr>
              <w:t>CRCs</w:t>
            </w:r>
            <w:r w:rsidR="00C5400E">
              <w:rPr>
                <w:rFonts w:ascii="Calibri" w:hAnsi="Calibri" w:cs="Calibri"/>
              </w:rPr>
              <w:t>)</w:t>
            </w:r>
            <w:r w:rsidR="00857F53">
              <w:rPr>
                <w:rFonts w:ascii="Calibri" w:hAnsi="Calibri" w:cs="Calibri"/>
              </w:rPr>
              <w:t xml:space="preserve"> and other industry programs such as those through Australia’s Economic Accelerator, the Australian Research Council and the Medical Research Future Fund – Macquarie is a participant in all three short-listed CRC bids from the 2025 round, and is involved in many of the proposals under development for the 2026 round </w:t>
            </w:r>
          </w:p>
          <w:p w14:paraId="441D08D7" w14:textId="467CBA77" w:rsidR="00857F53" w:rsidRDefault="004A3D60" w:rsidP="00857F53">
            <w:pPr>
              <w:pStyle w:val="ListParagraph"/>
              <w:numPr>
                <w:ilvl w:val="0"/>
                <w:numId w:val="36"/>
              </w:numPr>
              <w:kinsoku w:val="0"/>
              <w:overflowPunct w:val="0"/>
              <w:autoSpaceDE w:val="0"/>
              <w:autoSpaceDN w:val="0"/>
              <w:adjustRightInd w:val="0"/>
              <w:spacing w:before="122" w:after="0"/>
              <w:rPr>
                <w:rFonts w:ascii="Calibri" w:hAnsi="Calibri" w:cs="Calibri"/>
              </w:rPr>
            </w:pPr>
            <w:r>
              <w:rPr>
                <w:rFonts w:ascii="Calibri" w:hAnsi="Calibri" w:cs="Calibri"/>
              </w:rPr>
              <w:t>E</w:t>
            </w:r>
            <w:r w:rsidR="00857F53">
              <w:rPr>
                <w:rFonts w:ascii="Calibri" w:hAnsi="Calibri" w:cs="Calibri"/>
              </w:rPr>
              <w:t>xplore the creation of additional internal granting or investment schemes to support new industry relationships and new company creation</w:t>
            </w:r>
          </w:p>
          <w:p w14:paraId="28E8F021" w14:textId="3954BFD8" w:rsidR="00857F53" w:rsidRDefault="004A3D60" w:rsidP="00857F53">
            <w:pPr>
              <w:pStyle w:val="ListParagraph"/>
              <w:numPr>
                <w:ilvl w:val="0"/>
                <w:numId w:val="36"/>
              </w:numPr>
              <w:kinsoku w:val="0"/>
              <w:overflowPunct w:val="0"/>
              <w:autoSpaceDE w:val="0"/>
              <w:autoSpaceDN w:val="0"/>
              <w:adjustRightInd w:val="0"/>
              <w:spacing w:before="122" w:after="0"/>
              <w:rPr>
                <w:rFonts w:ascii="Calibri" w:hAnsi="Calibri" w:cs="Calibri"/>
              </w:rPr>
            </w:pPr>
            <w:r>
              <w:rPr>
                <w:rFonts w:ascii="Calibri" w:hAnsi="Calibri" w:cs="Calibri"/>
              </w:rPr>
              <w:t>R</w:t>
            </w:r>
            <w:r w:rsidR="00857F53">
              <w:rPr>
                <w:rFonts w:ascii="Calibri" w:hAnsi="Calibri" w:cs="Calibri"/>
              </w:rPr>
              <w:t xml:space="preserve">efine policies related to researcher entrepreneurship and university research costing processes to provide an even better support structure for industry engagement and translation </w:t>
            </w:r>
          </w:p>
          <w:p w14:paraId="0B50FB88" w14:textId="47F56544" w:rsidR="00857F53" w:rsidRDefault="004A3D60" w:rsidP="00857F53">
            <w:pPr>
              <w:pStyle w:val="ListParagraph"/>
              <w:numPr>
                <w:ilvl w:val="0"/>
                <w:numId w:val="36"/>
              </w:numPr>
              <w:kinsoku w:val="0"/>
              <w:overflowPunct w:val="0"/>
              <w:autoSpaceDE w:val="0"/>
              <w:autoSpaceDN w:val="0"/>
              <w:adjustRightInd w:val="0"/>
              <w:spacing w:before="122" w:after="0"/>
              <w:rPr>
                <w:rFonts w:ascii="Calibri" w:hAnsi="Calibri" w:cs="Calibri"/>
              </w:rPr>
            </w:pPr>
            <w:r>
              <w:rPr>
                <w:rFonts w:ascii="Calibri" w:hAnsi="Calibri" w:cs="Calibri"/>
              </w:rPr>
              <w:t>B</w:t>
            </w:r>
            <w:r w:rsidR="00857F53">
              <w:rPr>
                <w:rFonts w:ascii="Calibri" w:hAnsi="Calibri" w:cs="Calibri"/>
              </w:rPr>
              <w:t>uild a Partner360 CRM system to provide a holistic view of Macquarie’s partnerships with third-party entities, professionalise its approach to partnering, and render the institution a preferred partner for industry and other collaborators</w:t>
            </w:r>
          </w:p>
          <w:p w14:paraId="3CCE4635" w14:textId="63EEEF88" w:rsidR="00857F53" w:rsidRDefault="004A3D60" w:rsidP="00857F53">
            <w:pPr>
              <w:pStyle w:val="ListParagraph"/>
              <w:numPr>
                <w:ilvl w:val="0"/>
                <w:numId w:val="36"/>
              </w:numPr>
              <w:kinsoku w:val="0"/>
              <w:overflowPunct w:val="0"/>
              <w:autoSpaceDE w:val="0"/>
              <w:autoSpaceDN w:val="0"/>
              <w:adjustRightInd w:val="0"/>
              <w:spacing w:before="122" w:after="0"/>
              <w:rPr>
                <w:rFonts w:ascii="Calibri" w:hAnsi="Calibri" w:cs="Calibri"/>
              </w:rPr>
            </w:pPr>
            <w:r>
              <w:rPr>
                <w:rFonts w:ascii="Calibri" w:hAnsi="Calibri" w:cs="Calibri"/>
              </w:rPr>
              <w:t>O</w:t>
            </w:r>
            <w:r w:rsidR="00857F53">
              <w:rPr>
                <w:rFonts w:ascii="Calibri" w:hAnsi="Calibri" w:cs="Calibri"/>
              </w:rPr>
              <w:t>perate a corporate engagement community of practice and key account management approach to building relationships with the highest priority partners</w:t>
            </w:r>
          </w:p>
          <w:p w14:paraId="506822C3" w14:textId="1619547B" w:rsidR="00857F53" w:rsidRDefault="004A3D60" w:rsidP="00857F53">
            <w:pPr>
              <w:pStyle w:val="ListParagraph"/>
              <w:numPr>
                <w:ilvl w:val="0"/>
                <w:numId w:val="36"/>
              </w:numPr>
              <w:kinsoku w:val="0"/>
              <w:overflowPunct w:val="0"/>
              <w:autoSpaceDE w:val="0"/>
              <w:autoSpaceDN w:val="0"/>
              <w:adjustRightInd w:val="0"/>
              <w:spacing w:before="122" w:after="0"/>
              <w:rPr>
                <w:rFonts w:ascii="Calibri" w:hAnsi="Calibri" w:cs="Calibri"/>
              </w:rPr>
            </w:pPr>
            <w:r>
              <w:rPr>
                <w:rFonts w:ascii="Calibri" w:hAnsi="Calibri" w:cs="Calibri"/>
              </w:rPr>
              <w:t>C</w:t>
            </w:r>
            <w:r w:rsidR="00857F53">
              <w:rPr>
                <w:rFonts w:ascii="Calibri" w:hAnsi="Calibri" w:cs="Calibri"/>
              </w:rPr>
              <w:t>ontinue to strengthen relationships with industry partners in the adjacent Macquarie Park Innovation District and strengthen its standing as Australia’s original and most economically significant innovation district</w:t>
            </w:r>
            <w:r w:rsidR="00712295">
              <w:rPr>
                <w:rFonts w:ascii="Calibri" w:hAnsi="Calibri" w:cs="Calibri"/>
              </w:rPr>
              <w:t>.</w:t>
            </w:r>
          </w:p>
          <w:p w14:paraId="460A85EE" w14:textId="77777777" w:rsidR="00857F53" w:rsidRDefault="00857F53" w:rsidP="00857F53">
            <w:pPr>
              <w:kinsoku w:val="0"/>
              <w:overflowPunct w:val="0"/>
              <w:autoSpaceDE w:val="0"/>
              <w:autoSpaceDN w:val="0"/>
              <w:adjustRightInd w:val="0"/>
              <w:spacing w:after="0"/>
              <w:rPr>
                <w:rFonts w:ascii="Calibri" w:hAnsi="Calibri" w:cs="Calibri"/>
              </w:rPr>
            </w:pPr>
          </w:p>
          <w:p w14:paraId="1CC0D54D" w14:textId="51439CE0" w:rsidR="00857F53" w:rsidRDefault="00857F53" w:rsidP="00857F53">
            <w:pPr>
              <w:kinsoku w:val="0"/>
              <w:overflowPunct w:val="0"/>
              <w:autoSpaceDE w:val="0"/>
              <w:autoSpaceDN w:val="0"/>
              <w:adjustRightInd w:val="0"/>
              <w:spacing w:after="0"/>
              <w:rPr>
                <w:rFonts w:ascii="Calibri" w:hAnsi="Calibri" w:cs="Calibri"/>
                <w:spacing w:val="-3"/>
              </w:rPr>
            </w:pPr>
            <w:r>
              <w:rPr>
                <w:rFonts w:ascii="Calibri" w:hAnsi="Calibri" w:cs="Calibri"/>
                <w:spacing w:val="-3"/>
              </w:rPr>
              <w:t>The Graduate Research Academy (GRA) is leading Macquarie’s engagement with industry. In 2025</w:t>
            </w:r>
            <w:r>
              <w:rPr>
                <w:rFonts w:ascii="Calibri" w:hAnsi="Calibri" w:cs="Calibri"/>
              </w:rPr>
              <w:t>–</w:t>
            </w:r>
            <w:r>
              <w:rPr>
                <w:rFonts w:ascii="Calibri" w:hAnsi="Calibri" w:cs="Calibri"/>
                <w:spacing w:val="-3"/>
              </w:rPr>
              <w:t>2026</w:t>
            </w:r>
            <w:r>
              <w:rPr>
                <w:rFonts w:ascii="Calibri" w:hAnsi="Calibri" w:cs="Calibri"/>
              </w:rPr>
              <w:t xml:space="preserve">, </w:t>
            </w:r>
            <w:r>
              <w:rPr>
                <w:rFonts w:ascii="Calibri" w:hAnsi="Calibri" w:cs="Calibri"/>
                <w:spacing w:val="-3"/>
              </w:rPr>
              <w:t xml:space="preserve">the GRA will </w:t>
            </w:r>
            <w:r>
              <w:rPr>
                <w:rFonts w:ascii="Calibri" w:hAnsi="Calibri" w:cs="Calibri"/>
              </w:rPr>
              <w:t>build</w:t>
            </w:r>
            <w:r>
              <w:rPr>
                <w:rFonts w:ascii="Calibri" w:hAnsi="Calibri" w:cs="Calibri"/>
                <w:spacing w:val="-3"/>
              </w:rPr>
              <w:t xml:space="preserve"> on Macquarie’s early success in competitive co-funded schemes, including the National Industry PhD Program, CSIRO Industry PhD Programs, and CSIRO Next Generation Graduates Program, to strengthen Macquarie’s relationships with participating industries and provide graduate research students with valuable industry experience.</w:t>
            </w:r>
            <w:r>
              <w:rPr>
                <w:rFonts w:ascii="Calibri" w:hAnsi="Calibri" w:cs="Calibri"/>
              </w:rPr>
              <w:t xml:space="preserve"> Since 2023, </w:t>
            </w:r>
            <w:r w:rsidR="00E04CC7">
              <w:rPr>
                <w:rFonts w:ascii="Calibri" w:hAnsi="Calibri" w:cs="Calibri"/>
              </w:rPr>
              <w:t>the University has</w:t>
            </w:r>
            <w:r>
              <w:rPr>
                <w:rFonts w:ascii="Calibri" w:hAnsi="Calibri" w:cs="Calibri"/>
              </w:rPr>
              <w:t xml:space="preserve"> seen a 49% increase in the number of graduate research students supported by industry-funded scholarships and a 103% growth in the value of these scholarships. </w:t>
            </w:r>
          </w:p>
          <w:p w14:paraId="2CC3BCA5" w14:textId="77777777" w:rsidR="00857F53" w:rsidRDefault="00857F53" w:rsidP="00857F53">
            <w:pPr>
              <w:kinsoku w:val="0"/>
              <w:overflowPunct w:val="0"/>
              <w:autoSpaceDE w:val="0"/>
              <w:autoSpaceDN w:val="0"/>
              <w:adjustRightInd w:val="0"/>
              <w:spacing w:after="0"/>
              <w:rPr>
                <w:rFonts w:ascii="Calibri" w:hAnsi="Calibri" w:cs="Calibri"/>
                <w:spacing w:val="-3"/>
              </w:rPr>
            </w:pPr>
          </w:p>
          <w:p w14:paraId="451DCFF9" w14:textId="03F7EED6" w:rsidR="00857F53" w:rsidRPr="00857F53" w:rsidRDefault="00857F53" w:rsidP="00857F53">
            <w:r>
              <w:rPr>
                <w:rFonts w:cs="Calibri"/>
                <w:spacing w:val="-3"/>
              </w:rPr>
              <w:t xml:space="preserve">Macquarie </w:t>
            </w:r>
            <w:r>
              <w:rPr>
                <w:rFonts w:cs="Calibri"/>
              </w:rPr>
              <w:t xml:space="preserve">will </w:t>
            </w:r>
            <w:r>
              <w:rPr>
                <w:rFonts w:cs="Calibri"/>
                <w:spacing w:val="-3"/>
              </w:rPr>
              <w:t xml:space="preserve">support graduate research students wishing to undertake an industry internship with </w:t>
            </w:r>
            <w:r>
              <w:rPr>
                <w:rFonts w:cs="Calibri"/>
              </w:rPr>
              <w:t xml:space="preserve">access to an industry-ready bootcamp program, </w:t>
            </w:r>
            <w:r>
              <w:rPr>
                <w:rFonts w:cs="Calibri"/>
                <w:spacing w:val="-3"/>
              </w:rPr>
              <w:t>internship leave, amended candidature load to account for the time on the internship, top-up scholarships</w:t>
            </w:r>
            <w:r>
              <w:rPr>
                <w:rFonts w:cs="Calibri"/>
              </w:rPr>
              <w:t xml:space="preserve"> and other forms of funding</w:t>
            </w:r>
            <w:r>
              <w:rPr>
                <w:rFonts w:cs="Calibri"/>
                <w:spacing w:val="-3"/>
              </w:rPr>
              <w:t xml:space="preserve">, and additional training in areas such as partnerships, commercialisation, career management and </w:t>
            </w:r>
            <w:r>
              <w:rPr>
                <w:rFonts w:cs="Calibri"/>
                <w:spacing w:val="-3"/>
              </w:rPr>
              <w:lastRenderedPageBreak/>
              <w:t>pitching.</w:t>
            </w:r>
            <w:r>
              <w:rPr>
                <w:rFonts w:cs="Calibri"/>
              </w:rPr>
              <w:t xml:space="preserve"> </w:t>
            </w:r>
            <w:r w:rsidR="009E3ADC">
              <w:rPr>
                <w:rFonts w:cs="Calibri"/>
              </w:rPr>
              <w:t>The University</w:t>
            </w:r>
            <w:r>
              <w:rPr>
                <w:rFonts w:cs="Calibri"/>
              </w:rPr>
              <w:t xml:space="preserve"> will track student engagement in industry internships and other training and development opportunities.</w:t>
            </w:r>
          </w:p>
        </w:tc>
      </w:tr>
    </w:tbl>
    <w:p w14:paraId="2BE0E0F4" w14:textId="770646B9" w:rsidR="001B109C" w:rsidRDefault="001B109C" w:rsidP="001B109C">
      <w:pPr>
        <w:spacing w:after="160"/>
        <w:rPr>
          <w:rFonts w:ascii="Times New Roman" w:hAnsi="Times New Roman" w:cs="Times New Roman"/>
          <w:b/>
          <w:bCs/>
          <w:sz w:val="24"/>
          <w:szCs w:val="24"/>
        </w:rPr>
      </w:pPr>
    </w:p>
    <w:p w14:paraId="75E24FC5" w14:textId="07695755" w:rsidR="005559B2" w:rsidRDefault="005559B2">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F480E33" w14:textId="77777777" w:rsidR="005559B2" w:rsidRDefault="005559B2" w:rsidP="001B109C">
      <w:pPr>
        <w:spacing w:after="160"/>
        <w:rPr>
          <w:rFonts w:ascii="Times New Roman" w:hAnsi="Times New Roman" w:cs="Times New Roman"/>
          <w:b/>
          <w:bCs/>
          <w:sz w:val="24"/>
          <w:szCs w:val="24"/>
        </w:rPr>
      </w:pP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62F05">
        <w:tc>
          <w:tcPr>
            <w:tcW w:w="4508" w:type="dxa"/>
          </w:tcPr>
          <w:p w14:paraId="68C798FC" w14:textId="77777777" w:rsidR="001B109C" w:rsidRPr="00E114B4" w:rsidRDefault="001B109C" w:rsidP="00962F05">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962F05">
            <w:pPr>
              <w:rPr>
                <w:rFonts w:cstheme="minorHAnsi"/>
                <w:sz w:val="24"/>
                <w:szCs w:val="24"/>
              </w:rPr>
            </w:pPr>
            <w:r w:rsidRPr="00E114B4">
              <w:rPr>
                <w:rFonts w:cstheme="minorHAnsi"/>
                <w:sz w:val="24"/>
                <w:szCs w:val="24"/>
              </w:rPr>
              <w:t>In the presence of:</w:t>
            </w:r>
          </w:p>
        </w:tc>
      </w:tr>
      <w:tr w:rsidR="001B109C" w:rsidRPr="00E169EE" w14:paraId="186905E2" w14:textId="77777777" w:rsidTr="00962F05">
        <w:tc>
          <w:tcPr>
            <w:tcW w:w="4508" w:type="dxa"/>
          </w:tcPr>
          <w:p w14:paraId="32153A99" w14:textId="6EDBE46B" w:rsidR="001B109C" w:rsidRPr="00E114B4" w:rsidRDefault="008F65BA" w:rsidP="00962F05">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rsidP="00962F05">
            <w:pPr>
              <w:rPr>
                <w:rFonts w:cstheme="minorHAnsi"/>
              </w:rPr>
            </w:pPr>
            <w:r w:rsidRPr="00E114B4">
              <w:rPr>
                <w:rFonts w:cstheme="minorHAnsi"/>
              </w:rPr>
              <w:t>Full name (please print)</w:t>
            </w:r>
          </w:p>
        </w:tc>
        <w:tc>
          <w:tcPr>
            <w:tcW w:w="4508" w:type="dxa"/>
          </w:tcPr>
          <w:p w14:paraId="091A8D51" w14:textId="5C1083C6" w:rsidR="001B109C" w:rsidRPr="00E114B4" w:rsidRDefault="00955D27"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1B109C" w:rsidRPr="00E169EE" w14:paraId="6D0DB948" w14:textId="77777777" w:rsidTr="00962F05">
        <w:tc>
          <w:tcPr>
            <w:tcW w:w="4508" w:type="dxa"/>
          </w:tcPr>
          <w:p w14:paraId="101367FA" w14:textId="382B1FF1" w:rsidR="001B109C" w:rsidRPr="00E114B4" w:rsidRDefault="000A5E73"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508" w:type="dxa"/>
          </w:tcPr>
          <w:p w14:paraId="69045716" w14:textId="5E76D4E6" w:rsidR="001B109C" w:rsidRPr="00E114B4" w:rsidRDefault="00550D8B" w:rsidP="00962F05">
            <w:pPr>
              <w:pBdr>
                <w:bottom w:val="single" w:sz="12" w:space="1" w:color="auto"/>
              </w:pBdr>
              <w:rPr>
                <w:rFonts w:cstheme="minorHAnsi"/>
                <w:b/>
                <w:bCs/>
              </w:rPr>
            </w:pPr>
            <w:r w:rsidRPr="00E91A60">
              <w:rPr>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1B109C" w:rsidRPr="00E169EE" w14:paraId="38C68E43" w14:textId="77777777" w:rsidTr="00962F05">
        <w:tc>
          <w:tcPr>
            <w:tcW w:w="4508" w:type="dxa"/>
          </w:tcPr>
          <w:p w14:paraId="4289F3D2" w14:textId="77777777" w:rsidR="001B109C" w:rsidRPr="00E114B4" w:rsidRDefault="001B109C" w:rsidP="00962F05">
            <w:pPr>
              <w:pBdr>
                <w:bottom w:val="single" w:sz="12" w:space="1" w:color="auto"/>
              </w:pBdr>
              <w:rPr>
                <w:rFonts w:cstheme="minorHAnsi"/>
                <w:b/>
                <w:bCs/>
              </w:rPr>
            </w:pPr>
          </w:p>
          <w:p w14:paraId="415B9216" w14:textId="77777777" w:rsidR="001B109C" w:rsidRPr="00E114B4" w:rsidRDefault="001B109C" w:rsidP="00962F05">
            <w:pPr>
              <w:rPr>
                <w:rFonts w:cstheme="minorHAnsi"/>
              </w:rPr>
            </w:pPr>
            <w:r w:rsidRPr="00E114B4">
              <w:rPr>
                <w:rFonts w:cstheme="minorHAnsi"/>
              </w:rPr>
              <w:t>Signature</w:t>
            </w:r>
          </w:p>
        </w:tc>
        <w:tc>
          <w:tcPr>
            <w:tcW w:w="4508"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1B109C" w:rsidRPr="00E169EE" w14:paraId="4B1444B6" w14:textId="77777777" w:rsidTr="00962F05">
        <w:tc>
          <w:tcPr>
            <w:tcW w:w="4508" w:type="dxa"/>
          </w:tcPr>
          <w:p w14:paraId="344C64D3" w14:textId="219FC0D0" w:rsidR="001B109C" w:rsidRPr="005C6FE5" w:rsidRDefault="005C6FE5" w:rsidP="00962F05">
            <w:pPr>
              <w:pBdr>
                <w:bottom w:val="single" w:sz="12" w:space="1" w:color="auto"/>
              </w:pBdr>
              <w:rPr>
                <w:rFonts w:cstheme="minorHAnsi"/>
              </w:rPr>
            </w:pPr>
            <w:r>
              <w:rPr>
                <w:rFonts w:cstheme="minorHAnsi"/>
              </w:rPr>
              <w:t>01/12/2025</w:t>
            </w:r>
          </w:p>
          <w:p w14:paraId="71C4CD3D" w14:textId="77777777" w:rsidR="001B109C" w:rsidRPr="00E169EE" w:rsidRDefault="001B109C" w:rsidP="00962F05">
            <w:pPr>
              <w:rPr>
                <w:rFonts w:cstheme="minorHAnsi"/>
              </w:rPr>
            </w:pPr>
            <w:r w:rsidRPr="00E169EE">
              <w:rPr>
                <w:rFonts w:cstheme="minorHAnsi"/>
              </w:rPr>
              <w:t>Date</w:t>
            </w:r>
          </w:p>
        </w:tc>
        <w:tc>
          <w:tcPr>
            <w:tcW w:w="4508" w:type="dxa"/>
          </w:tcPr>
          <w:p w14:paraId="26028E27" w14:textId="77777777" w:rsidR="001B109C" w:rsidRPr="00F60B66" w:rsidRDefault="001B109C" w:rsidP="00962F05">
            <w:pPr>
              <w:rPr>
                <w:rFonts w:cstheme="minorHAnsi"/>
                <w:b/>
                <w:bCs/>
                <w:highlight w:val="yellow"/>
              </w:rPr>
            </w:pPr>
          </w:p>
        </w:tc>
      </w:tr>
      <w:tr w:rsidR="001B109C" w:rsidRPr="00E169EE" w14:paraId="45CC96F9" w14:textId="77777777" w:rsidTr="00962F05">
        <w:tc>
          <w:tcPr>
            <w:tcW w:w="4508" w:type="dxa"/>
          </w:tcPr>
          <w:p w14:paraId="114E5D42" w14:textId="1D63D7E1" w:rsidR="001B109C" w:rsidRDefault="001B109C" w:rsidP="00962F05">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w:t>
            </w:r>
            <w:r w:rsidR="0015589C">
              <w:rPr>
                <w:rFonts w:eastAsia="Calibri" w:cstheme="minorHAnsi"/>
                <w:color w:val="000000"/>
                <w:spacing w:val="-3"/>
                <w:sz w:val="24"/>
                <w:szCs w:val="24"/>
              </w:rPr>
              <w:t>f</w:t>
            </w:r>
          </w:p>
          <w:p w14:paraId="14E69022" w14:textId="74C6522D" w:rsidR="0015589C" w:rsidRPr="00E169EE" w:rsidRDefault="0015589C" w:rsidP="00962F05">
            <w:pPr>
              <w:spacing w:before="28" w:line="210" w:lineRule="exact"/>
              <w:textAlignment w:val="baseline"/>
              <w:rPr>
                <w:rFonts w:eastAsia="Calibri" w:cstheme="minorHAnsi"/>
                <w:color w:val="000000"/>
                <w:spacing w:val="-3"/>
                <w:sz w:val="24"/>
                <w:szCs w:val="24"/>
              </w:rPr>
            </w:pPr>
            <w:r>
              <w:rPr>
                <w:rFonts w:eastAsia="Calibri" w:cstheme="minorHAnsi"/>
                <w:color w:val="000000"/>
                <w:spacing w:val="-3"/>
                <w:sz w:val="24"/>
                <w:szCs w:val="24"/>
              </w:rPr>
              <w:t>MACQUARIE UNIVERSITY</w:t>
            </w:r>
          </w:p>
          <w:p w14:paraId="065C6AB9" w14:textId="77777777" w:rsidR="001B109C" w:rsidRPr="00E169EE" w:rsidRDefault="001B109C" w:rsidP="00962F05">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962F05">
            <w:pPr>
              <w:rPr>
                <w:rFonts w:cstheme="minorHAnsi"/>
              </w:rPr>
            </w:pPr>
            <w:r w:rsidRPr="002F4604">
              <w:rPr>
                <w:rFonts w:cstheme="minorHAnsi"/>
                <w:sz w:val="24"/>
                <w:szCs w:val="24"/>
              </w:rPr>
              <w:t>In the presence of:</w:t>
            </w:r>
          </w:p>
        </w:tc>
      </w:tr>
      <w:tr w:rsidR="001B109C" w:rsidRPr="00E169EE" w14:paraId="5AAB6D63" w14:textId="77777777" w:rsidTr="00962F05">
        <w:tc>
          <w:tcPr>
            <w:tcW w:w="4508" w:type="dxa"/>
          </w:tcPr>
          <w:p w14:paraId="54C8A9A5" w14:textId="0F2108DD" w:rsidR="001B109C" w:rsidRPr="00E169EE" w:rsidRDefault="0015589C" w:rsidP="00962F05">
            <w:pPr>
              <w:pBdr>
                <w:bottom w:val="single" w:sz="12" w:space="1" w:color="auto"/>
              </w:pBdr>
              <w:rPr>
                <w:rFonts w:cstheme="minorHAnsi"/>
                <w:b/>
                <w:bCs/>
              </w:rPr>
            </w:pPr>
            <w:r>
              <w:rPr>
                <w:rFonts w:cstheme="minorHAnsi"/>
                <w:b/>
                <w:bCs/>
              </w:rPr>
              <w:t>Professor S Bruce Dowton MD</w:t>
            </w:r>
          </w:p>
          <w:p w14:paraId="3120FAF4" w14:textId="77777777" w:rsidR="001B109C" w:rsidRPr="00E169EE" w:rsidRDefault="001B109C" w:rsidP="00962F05">
            <w:pPr>
              <w:rPr>
                <w:rFonts w:cstheme="minorHAnsi"/>
              </w:rPr>
            </w:pPr>
            <w:r w:rsidRPr="00E169EE">
              <w:rPr>
                <w:rFonts w:cstheme="minorHAnsi"/>
              </w:rPr>
              <w:t>Full name (please print)</w:t>
            </w:r>
          </w:p>
        </w:tc>
        <w:tc>
          <w:tcPr>
            <w:tcW w:w="4508" w:type="dxa"/>
          </w:tcPr>
          <w:p w14:paraId="59483E94" w14:textId="6F0A06F9" w:rsidR="001B109C" w:rsidRPr="002F4604" w:rsidRDefault="0015589C" w:rsidP="00962F05">
            <w:pPr>
              <w:pBdr>
                <w:bottom w:val="single" w:sz="12" w:space="1" w:color="auto"/>
              </w:pBdr>
              <w:rPr>
                <w:rFonts w:cstheme="minorHAnsi"/>
                <w:b/>
                <w:bCs/>
              </w:rPr>
            </w:pPr>
            <w:r>
              <w:rPr>
                <w:rFonts w:cstheme="minorHAnsi"/>
                <w:b/>
                <w:bCs/>
              </w:rPr>
              <w:t>Joanne L Overall</w:t>
            </w:r>
          </w:p>
          <w:p w14:paraId="439588BC" w14:textId="77777777" w:rsidR="001B109C" w:rsidRPr="002F4604" w:rsidRDefault="001B109C" w:rsidP="00962F05">
            <w:pPr>
              <w:rPr>
                <w:rFonts w:cstheme="minorHAnsi"/>
              </w:rPr>
            </w:pPr>
            <w:r w:rsidRPr="002F4604">
              <w:rPr>
                <w:rFonts w:cstheme="minorHAnsi"/>
              </w:rPr>
              <w:t>Witness (please print)</w:t>
            </w:r>
          </w:p>
        </w:tc>
      </w:tr>
      <w:tr w:rsidR="001B109C" w:rsidRPr="00E169EE" w14:paraId="20B90866" w14:textId="77777777" w:rsidTr="00962F05">
        <w:tc>
          <w:tcPr>
            <w:tcW w:w="4508" w:type="dxa"/>
          </w:tcPr>
          <w:p w14:paraId="7D9047AD" w14:textId="130102E4" w:rsidR="001B109C" w:rsidRPr="00E169EE" w:rsidRDefault="0015589C" w:rsidP="00962F05">
            <w:pPr>
              <w:pBdr>
                <w:bottom w:val="single" w:sz="12" w:space="1" w:color="auto"/>
              </w:pBdr>
              <w:spacing w:after="0"/>
              <w:rPr>
                <w:rFonts w:cstheme="minorHAnsi"/>
                <w:b/>
                <w:bCs/>
              </w:rPr>
            </w:pPr>
            <w:r>
              <w:rPr>
                <w:rFonts w:cstheme="minorHAnsi"/>
                <w:b/>
                <w:bCs/>
              </w:rPr>
              <w:t>Vice-Chancellor and President</w:t>
            </w:r>
          </w:p>
          <w:p w14:paraId="231ABA73" w14:textId="77777777" w:rsidR="001B109C" w:rsidRPr="00E169EE" w:rsidRDefault="001B109C" w:rsidP="00962F05">
            <w:pPr>
              <w:spacing w:after="0"/>
              <w:rPr>
                <w:rFonts w:cstheme="minorHAnsi"/>
              </w:rPr>
            </w:pPr>
            <w:r w:rsidRPr="00E169EE">
              <w:rPr>
                <w:rFonts w:cstheme="minorHAnsi"/>
              </w:rPr>
              <w:t>Position</w:t>
            </w:r>
          </w:p>
          <w:p w14:paraId="536F9855" w14:textId="77777777" w:rsidR="001B109C" w:rsidRPr="00E169EE" w:rsidRDefault="001B109C" w:rsidP="00962F05">
            <w:pPr>
              <w:spacing w:after="0"/>
              <w:rPr>
                <w:rFonts w:cstheme="minorHAnsi"/>
              </w:rPr>
            </w:pPr>
          </w:p>
        </w:tc>
        <w:tc>
          <w:tcPr>
            <w:tcW w:w="4508" w:type="dxa"/>
          </w:tcPr>
          <w:p w14:paraId="7B33C473" w14:textId="07166898" w:rsidR="001B109C" w:rsidRPr="002F4604" w:rsidRDefault="0015589C" w:rsidP="00962F05">
            <w:pPr>
              <w:pBdr>
                <w:bottom w:val="single" w:sz="12" w:space="1" w:color="auto"/>
              </w:pBdr>
              <w:spacing w:after="0"/>
              <w:rPr>
                <w:rFonts w:cstheme="minorHAnsi"/>
                <w:b/>
                <w:bCs/>
              </w:rPr>
            </w:pPr>
            <w:r>
              <w:rPr>
                <w:rFonts w:cstheme="minorHAnsi"/>
                <w:b/>
                <w:bCs/>
              </w:rPr>
              <w:t>Executive Assistant</w:t>
            </w:r>
          </w:p>
          <w:p w14:paraId="0C046C3D" w14:textId="77777777" w:rsidR="001B109C" w:rsidRPr="002F4604" w:rsidRDefault="001B109C" w:rsidP="00962F05">
            <w:pPr>
              <w:spacing w:after="0"/>
              <w:rPr>
                <w:rFonts w:cstheme="minorHAnsi"/>
              </w:rPr>
            </w:pPr>
            <w:r w:rsidRPr="002F4604">
              <w:rPr>
                <w:rFonts w:cstheme="minorHAnsi"/>
              </w:rPr>
              <w:t>Position or profession of witness (please print)</w:t>
            </w:r>
          </w:p>
        </w:tc>
      </w:tr>
      <w:tr w:rsidR="001B109C" w:rsidRPr="00E169EE" w14:paraId="51440CFB" w14:textId="77777777" w:rsidTr="00962F05">
        <w:trPr>
          <w:trHeight w:val="80"/>
        </w:trPr>
        <w:tc>
          <w:tcPr>
            <w:tcW w:w="4508" w:type="dxa"/>
          </w:tcPr>
          <w:p w14:paraId="7583F948" w14:textId="7265475D" w:rsidR="001B109C" w:rsidRPr="00E169EE" w:rsidRDefault="001B109C" w:rsidP="00962F05">
            <w:pPr>
              <w:pBdr>
                <w:bottom w:val="single" w:sz="12" w:space="1" w:color="auto"/>
              </w:pBdr>
              <w:spacing w:after="0"/>
              <w:rPr>
                <w:rFonts w:cstheme="minorHAnsi"/>
                <w:b/>
                <w:bCs/>
              </w:rPr>
            </w:pPr>
          </w:p>
          <w:p w14:paraId="62FF4341" w14:textId="77777777" w:rsidR="001B109C" w:rsidRPr="00E169EE" w:rsidRDefault="001B109C" w:rsidP="00962F05">
            <w:pPr>
              <w:spacing w:after="0"/>
              <w:rPr>
                <w:rFonts w:cstheme="minorHAnsi"/>
              </w:rPr>
            </w:pPr>
            <w:r w:rsidRPr="00E169EE">
              <w:rPr>
                <w:rFonts w:cstheme="minorHAnsi"/>
              </w:rPr>
              <w:t>Signature</w:t>
            </w:r>
          </w:p>
        </w:tc>
        <w:tc>
          <w:tcPr>
            <w:tcW w:w="4508" w:type="dxa"/>
          </w:tcPr>
          <w:p w14:paraId="75C3F771" w14:textId="60C1F037" w:rsidR="001B109C" w:rsidRPr="002F4604" w:rsidRDefault="001B109C" w:rsidP="00962F05">
            <w:pPr>
              <w:pBdr>
                <w:bottom w:val="single" w:sz="12" w:space="1" w:color="auto"/>
              </w:pBdr>
              <w:spacing w:after="0"/>
              <w:rPr>
                <w:rFonts w:cstheme="minorHAnsi"/>
                <w:b/>
                <w:bCs/>
              </w:rPr>
            </w:pPr>
          </w:p>
          <w:p w14:paraId="79F89A4A" w14:textId="77777777" w:rsidR="001B109C" w:rsidRPr="002F4604" w:rsidRDefault="001B109C" w:rsidP="00962F05">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42"/>
      <w:footerReference w:type="first" r:id="rId43"/>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297E" w14:textId="77777777" w:rsidR="000741E2" w:rsidRDefault="000741E2" w:rsidP="000A6228">
      <w:pPr>
        <w:spacing w:after="0" w:line="240" w:lineRule="auto"/>
      </w:pPr>
      <w:r>
        <w:separator/>
      </w:r>
    </w:p>
  </w:endnote>
  <w:endnote w:type="continuationSeparator" w:id="0">
    <w:p w14:paraId="74023C87" w14:textId="77777777" w:rsidR="000741E2" w:rsidRDefault="000741E2" w:rsidP="000A6228">
      <w:pPr>
        <w:spacing w:after="0" w:line="240" w:lineRule="auto"/>
      </w:pPr>
      <w:r>
        <w:continuationSeparator/>
      </w:r>
    </w:p>
  </w:endnote>
  <w:endnote w:type="continuationNotice" w:id="1">
    <w:p w14:paraId="637F3E80" w14:textId="77777777" w:rsidR="000741E2" w:rsidRDefault="00074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2832" w14:textId="77777777" w:rsidR="000741E2" w:rsidRDefault="000741E2" w:rsidP="000A6228">
      <w:pPr>
        <w:spacing w:after="0" w:line="240" w:lineRule="auto"/>
      </w:pPr>
      <w:r>
        <w:separator/>
      </w:r>
    </w:p>
  </w:footnote>
  <w:footnote w:type="continuationSeparator" w:id="0">
    <w:p w14:paraId="318F6262" w14:textId="77777777" w:rsidR="000741E2" w:rsidRDefault="000741E2" w:rsidP="000A6228">
      <w:pPr>
        <w:spacing w:after="0" w:line="240" w:lineRule="auto"/>
      </w:pPr>
      <w:r>
        <w:continuationSeparator/>
      </w:r>
    </w:p>
  </w:footnote>
  <w:footnote w:type="continuationNotice" w:id="1">
    <w:p w14:paraId="6AFB5365" w14:textId="77777777" w:rsidR="000741E2" w:rsidRDefault="000741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165BEB"/>
    <w:multiLevelType w:val="hybridMultilevel"/>
    <w:tmpl w:val="0D6EAA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5DD1E70"/>
    <w:multiLevelType w:val="multilevel"/>
    <w:tmpl w:val="D060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3C32A1"/>
    <w:multiLevelType w:val="multilevel"/>
    <w:tmpl w:val="FF36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E26CD5"/>
    <w:multiLevelType w:val="multilevel"/>
    <w:tmpl w:val="DCD43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BC6BED"/>
    <w:multiLevelType w:val="multilevel"/>
    <w:tmpl w:val="630A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5307B5"/>
    <w:multiLevelType w:val="multilevel"/>
    <w:tmpl w:val="92CAE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15701FA0"/>
    <w:multiLevelType w:val="multilevel"/>
    <w:tmpl w:val="01B85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046D2"/>
    <w:multiLevelType w:val="multilevel"/>
    <w:tmpl w:val="75D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9"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40F5D3B"/>
    <w:multiLevelType w:val="hybridMultilevel"/>
    <w:tmpl w:val="FFFFFFFF"/>
    <w:lvl w:ilvl="0" w:tplc="48D4483C">
      <w:start w:val="1"/>
      <w:numFmt w:val="bullet"/>
      <w:lvlText w:val=""/>
      <w:lvlJc w:val="left"/>
      <w:pPr>
        <w:ind w:left="720" w:hanging="360"/>
      </w:pPr>
      <w:rPr>
        <w:rFonts w:ascii="Symbol" w:hAnsi="Symbol" w:hint="default"/>
      </w:rPr>
    </w:lvl>
    <w:lvl w:ilvl="1" w:tplc="8230FEF2">
      <w:start w:val="1"/>
      <w:numFmt w:val="bullet"/>
      <w:lvlText w:val="o"/>
      <w:lvlJc w:val="left"/>
      <w:pPr>
        <w:ind w:left="1440" w:hanging="360"/>
      </w:pPr>
      <w:rPr>
        <w:rFonts w:ascii="Courier New" w:hAnsi="Courier New" w:cs="Times New Roman" w:hint="default"/>
      </w:rPr>
    </w:lvl>
    <w:lvl w:ilvl="2" w:tplc="30DE11FE">
      <w:start w:val="1"/>
      <w:numFmt w:val="bullet"/>
      <w:lvlText w:val=""/>
      <w:lvlJc w:val="left"/>
      <w:pPr>
        <w:ind w:left="2160" w:hanging="360"/>
      </w:pPr>
      <w:rPr>
        <w:rFonts w:ascii="Wingdings" w:hAnsi="Wingdings" w:hint="default"/>
      </w:rPr>
    </w:lvl>
    <w:lvl w:ilvl="3" w:tplc="A19C58AE">
      <w:start w:val="1"/>
      <w:numFmt w:val="bullet"/>
      <w:lvlText w:val=""/>
      <w:lvlJc w:val="left"/>
      <w:pPr>
        <w:ind w:left="2880" w:hanging="360"/>
      </w:pPr>
      <w:rPr>
        <w:rFonts w:ascii="Symbol" w:hAnsi="Symbol" w:hint="default"/>
      </w:rPr>
    </w:lvl>
    <w:lvl w:ilvl="4" w:tplc="A1024748">
      <w:start w:val="1"/>
      <w:numFmt w:val="bullet"/>
      <w:lvlText w:val="o"/>
      <w:lvlJc w:val="left"/>
      <w:pPr>
        <w:ind w:left="3600" w:hanging="360"/>
      </w:pPr>
      <w:rPr>
        <w:rFonts w:ascii="Courier New" w:hAnsi="Courier New" w:cs="Times New Roman" w:hint="default"/>
      </w:rPr>
    </w:lvl>
    <w:lvl w:ilvl="5" w:tplc="FE2EAE9C">
      <w:start w:val="1"/>
      <w:numFmt w:val="bullet"/>
      <w:lvlText w:val=""/>
      <w:lvlJc w:val="left"/>
      <w:pPr>
        <w:ind w:left="4320" w:hanging="360"/>
      </w:pPr>
      <w:rPr>
        <w:rFonts w:ascii="Wingdings" w:hAnsi="Wingdings" w:hint="default"/>
      </w:rPr>
    </w:lvl>
    <w:lvl w:ilvl="6" w:tplc="15ACD806">
      <w:start w:val="1"/>
      <w:numFmt w:val="bullet"/>
      <w:lvlText w:val=""/>
      <w:lvlJc w:val="left"/>
      <w:pPr>
        <w:ind w:left="5040" w:hanging="360"/>
      </w:pPr>
      <w:rPr>
        <w:rFonts w:ascii="Symbol" w:hAnsi="Symbol" w:hint="default"/>
      </w:rPr>
    </w:lvl>
    <w:lvl w:ilvl="7" w:tplc="1D4AF954">
      <w:start w:val="1"/>
      <w:numFmt w:val="bullet"/>
      <w:lvlText w:val="o"/>
      <w:lvlJc w:val="left"/>
      <w:pPr>
        <w:ind w:left="5760" w:hanging="360"/>
      </w:pPr>
      <w:rPr>
        <w:rFonts w:ascii="Courier New" w:hAnsi="Courier New" w:cs="Times New Roman" w:hint="default"/>
      </w:rPr>
    </w:lvl>
    <w:lvl w:ilvl="8" w:tplc="B79C891E">
      <w:start w:val="1"/>
      <w:numFmt w:val="bullet"/>
      <w:lvlText w:val=""/>
      <w:lvlJc w:val="left"/>
      <w:pPr>
        <w:ind w:left="6480" w:hanging="360"/>
      </w:pPr>
      <w:rPr>
        <w:rFonts w:ascii="Wingdings" w:hAnsi="Wingdings" w:hint="default"/>
      </w:rPr>
    </w:lvl>
  </w:abstractNum>
  <w:abstractNum w:abstractNumId="21" w15:restartNumberingAfterBreak="0">
    <w:nsid w:val="267624AD"/>
    <w:multiLevelType w:val="multilevel"/>
    <w:tmpl w:val="9216E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EA36FB7"/>
    <w:multiLevelType w:val="multilevel"/>
    <w:tmpl w:val="AD647DCA"/>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B72920"/>
    <w:multiLevelType w:val="hybridMultilevel"/>
    <w:tmpl w:val="05D4F980"/>
    <w:lvl w:ilvl="0" w:tplc="64964BE6">
      <w:start w:val="1"/>
      <w:numFmt w:val="bullet"/>
      <w:lvlText w:val=""/>
      <w:lvlJc w:val="left"/>
      <w:pPr>
        <w:ind w:left="720" w:hanging="360"/>
      </w:pPr>
      <w:rPr>
        <w:rFonts w:ascii="Symbol" w:hAnsi="Symbol" w:hint="default"/>
      </w:rPr>
    </w:lvl>
    <w:lvl w:ilvl="1" w:tplc="3AB22A50">
      <w:start w:val="1"/>
      <w:numFmt w:val="bullet"/>
      <w:lvlText w:val="o"/>
      <w:lvlJc w:val="left"/>
      <w:pPr>
        <w:ind w:left="1440" w:hanging="360"/>
      </w:pPr>
      <w:rPr>
        <w:rFonts w:ascii="Courier New" w:hAnsi="Courier New" w:cs="Times New Roman" w:hint="default"/>
      </w:rPr>
    </w:lvl>
    <w:lvl w:ilvl="2" w:tplc="C6F0924C">
      <w:start w:val="1"/>
      <w:numFmt w:val="bullet"/>
      <w:lvlText w:val=""/>
      <w:lvlJc w:val="left"/>
      <w:pPr>
        <w:ind w:left="2160" w:hanging="360"/>
      </w:pPr>
      <w:rPr>
        <w:rFonts w:ascii="Wingdings" w:hAnsi="Wingdings" w:hint="default"/>
      </w:rPr>
    </w:lvl>
    <w:lvl w:ilvl="3" w:tplc="08CCE9E8">
      <w:start w:val="1"/>
      <w:numFmt w:val="bullet"/>
      <w:lvlText w:val=""/>
      <w:lvlJc w:val="left"/>
      <w:pPr>
        <w:ind w:left="2880" w:hanging="360"/>
      </w:pPr>
      <w:rPr>
        <w:rFonts w:ascii="Symbol" w:hAnsi="Symbol" w:hint="default"/>
      </w:rPr>
    </w:lvl>
    <w:lvl w:ilvl="4" w:tplc="28709E22">
      <w:start w:val="1"/>
      <w:numFmt w:val="bullet"/>
      <w:lvlText w:val="o"/>
      <w:lvlJc w:val="left"/>
      <w:pPr>
        <w:ind w:left="3600" w:hanging="360"/>
      </w:pPr>
      <w:rPr>
        <w:rFonts w:ascii="Courier New" w:hAnsi="Courier New" w:cs="Times New Roman" w:hint="default"/>
      </w:rPr>
    </w:lvl>
    <w:lvl w:ilvl="5" w:tplc="F3E0A128">
      <w:start w:val="1"/>
      <w:numFmt w:val="bullet"/>
      <w:lvlText w:val=""/>
      <w:lvlJc w:val="left"/>
      <w:pPr>
        <w:ind w:left="4320" w:hanging="360"/>
      </w:pPr>
      <w:rPr>
        <w:rFonts w:ascii="Wingdings" w:hAnsi="Wingdings" w:hint="default"/>
      </w:rPr>
    </w:lvl>
    <w:lvl w:ilvl="6" w:tplc="15FE1110">
      <w:start w:val="1"/>
      <w:numFmt w:val="bullet"/>
      <w:lvlText w:val=""/>
      <w:lvlJc w:val="left"/>
      <w:pPr>
        <w:ind w:left="5040" w:hanging="360"/>
      </w:pPr>
      <w:rPr>
        <w:rFonts w:ascii="Symbol" w:hAnsi="Symbol" w:hint="default"/>
      </w:rPr>
    </w:lvl>
    <w:lvl w:ilvl="7" w:tplc="0576C672">
      <w:start w:val="1"/>
      <w:numFmt w:val="bullet"/>
      <w:lvlText w:val="o"/>
      <w:lvlJc w:val="left"/>
      <w:pPr>
        <w:ind w:left="5760" w:hanging="360"/>
      </w:pPr>
      <w:rPr>
        <w:rFonts w:ascii="Courier New" w:hAnsi="Courier New" w:cs="Times New Roman" w:hint="default"/>
      </w:rPr>
    </w:lvl>
    <w:lvl w:ilvl="8" w:tplc="753CEFFC">
      <w:start w:val="1"/>
      <w:numFmt w:val="bullet"/>
      <w:lvlText w:val=""/>
      <w:lvlJc w:val="left"/>
      <w:pPr>
        <w:ind w:left="6480" w:hanging="360"/>
      </w:pPr>
      <w:rPr>
        <w:rFonts w:ascii="Wingdings" w:hAnsi="Wingdings" w:hint="default"/>
      </w:r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9A31E34"/>
    <w:multiLevelType w:val="multilevel"/>
    <w:tmpl w:val="B7585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9A5B5A"/>
    <w:multiLevelType w:val="multilevel"/>
    <w:tmpl w:val="B0205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EE05DA"/>
    <w:multiLevelType w:val="hybridMultilevel"/>
    <w:tmpl w:val="687CE1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65033E6"/>
    <w:multiLevelType w:val="multilevel"/>
    <w:tmpl w:val="5470D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54F46"/>
    <w:multiLevelType w:val="hybridMultilevel"/>
    <w:tmpl w:val="0D6EAA0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79560429">
    <w:abstractNumId w:val="19"/>
  </w:num>
  <w:num w:numId="2" w16cid:durableId="1141925489">
    <w:abstractNumId w:val="5"/>
  </w:num>
  <w:num w:numId="3" w16cid:durableId="1430395506">
    <w:abstractNumId w:val="4"/>
  </w:num>
  <w:num w:numId="4" w16cid:durableId="1762024761">
    <w:abstractNumId w:val="3"/>
  </w:num>
  <w:num w:numId="5" w16cid:durableId="861433996">
    <w:abstractNumId w:val="23"/>
  </w:num>
  <w:num w:numId="6" w16cid:durableId="120733662">
    <w:abstractNumId w:val="2"/>
  </w:num>
  <w:num w:numId="7" w16cid:durableId="2022584168">
    <w:abstractNumId w:val="1"/>
  </w:num>
  <w:num w:numId="8" w16cid:durableId="534267804">
    <w:abstractNumId w:val="0"/>
  </w:num>
  <w:num w:numId="9" w16cid:durableId="1265042610">
    <w:abstractNumId w:val="22"/>
  </w:num>
  <w:num w:numId="10" w16cid:durableId="1943879001">
    <w:abstractNumId w:val="8"/>
  </w:num>
  <w:num w:numId="11" w16cid:durableId="419833051">
    <w:abstractNumId w:val="31"/>
  </w:num>
  <w:num w:numId="12" w16cid:durableId="1758015391">
    <w:abstractNumId w:val="18"/>
  </w:num>
  <w:num w:numId="13" w16cid:durableId="13956604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5"/>
  </w:num>
  <w:num w:numId="15" w16cid:durableId="928125744">
    <w:abstractNumId w:val="6"/>
  </w:num>
  <w:num w:numId="16" w16cid:durableId="1172835113">
    <w:abstractNumId w:val="32"/>
  </w:num>
  <w:num w:numId="17" w16cid:durableId="1022434231">
    <w:abstractNumId w:val="26"/>
  </w:num>
  <w:num w:numId="18" w16cid:durableId="618417265">
    <w:abstractNumId w:val="12"/>
  </w:num>
  <w:num w:numId="19" w16cid:durableId="271010807">
    <w:abstractNumId w:val="28"/>
  </w:num>
  <w:num w:numId="20" w16cid:durableId="1710913876">
    <w:abstractNumId w:val="10"/>
  </w:num>
  <w:num w:numId="21" w16cid:durableId="485510340">
    <w:abstractNumId w:val="29"/>
  </w:num>
  <w:num w:numId="22" w16cid:durableId="385226610">
    <w:abstractNumId w:val="24"/>
  </w:num>
  <w:num w:numId="23" w16cid:durableId="434910925">
    <w:abstractNumId w:val="17"/>
  </w:num>
  <w:num w:numId="24" w16cid:durableId="2090075360">
    <w:abstractNumId w:val="21"/>
  </w:num>
  <w:num w:numId="25" w16cid:durableId="19607247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5549901">
    <w:abstractNumId w:val="9"/>
  </w:num>
  <w:num w:numId="27" w16cid:durableId="485510444">
    <w:abstractNumId w:val="11"/>
  </w:num>
  <w:num w:numId="28" w16cid:durableId="1913587891">
    <w:abstractNumId w:val="16"/>
  </w:num>
  <w:num w:numId="29" w16cid:durableId="1704212418">
    <w:abstractNumId w:val="13"/>
  </w:num>
  <w:num w:numId="30" w16cid:durableId="1457026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4291955">
    <w:abstractNumId w:val="27"/>
  </w:num>
  <w:num w:numId="32" w16cid:durableId="668020214">
    <w:abstractNumId w:val="14"/>
  </w:num>
  <w:num w:numId="33" w16cid:durableId="47461410">
    <w:abstractNumId w:val="33"/>
  </w:num>
  <w:num w:numId="34" w16cid:durableId="1188371954">
    <w:abstractNumId w:val="20"/>
  </w:num>
  <w:num w:numId="35" w16cid:durableId="363137332">
    <w:abstractNumId w:val="25"/>
  </w:num>
  <w:num w:numId="36" w16cid:durableId="9907126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5EAD"/>
    <w:rsid w:val="00045E1D"/>
    <w:rsid w:val="000521D7"/>
    <w:rsid w:val="000741E2"/>
    <w:rsid w:val="00080E29"/>
    <w:rsid w:val="000960CF"/>
    <w:rsid w:val="000A0B58"/>
    <w:rsid w:val="000A3A19"/>
    <w:rsid w:val="000A5E73"/>
    <w:rsid w:val="000A6228"/>
    <w:rsid w:val="000B5D40"/>
    <w:rsid w:val="000B7EC6"/>
    <w:rsid w:val="00107D87"/>
    <w:rsid w:val="00107DD5"/>
    <w:rsid w:val="0012343A"/>
    <w:rsid w:val="00133B8D"/>
    <w:rsid w:val="0013611E"/>
    <w:rsid w:val="001515BF"/>
    <w:rsid w:val="0015549C"/>
    <w:rsid w:val="0015589C"/>
    <w:rsid w:val="001703FA"/>
    <w:rsid w:val="0017134D"/>
    <w:rsid w:val="00196CDA"/>
    <w:rsid w:val="001B109C"/>
    <w:rsid w:val="001B4E45"/>
    <w:rsid w:val="001B5AC8"/>
    <w:rsid w:val="001C1523"/>
    <w:rsid w:val="001D3BDB"/>
    <w:rsid w:val="001E3BF1"/>
    <w:rsid w:val="001E6DBC"/>
    <w:rsid w:val="002101D9"/>
    <w:rsid w:val="00217414"/>
    <w:rsid w:val="00221D8F"/>
    <w:rsid w:val="002272DB"/>
    <w:rsid w:val="00235752"/>
    <w:rsid w:val="00241CF3"/>
    <w:rsid w:val="00243025"/>
    <w:rsid w:val="0025581D"/>
    <w:rsid w:val="00267994"/>
    <w:rsid w:val="00276047"/>
    <w:rsid w:val="002775F3"/>
    <w:rsid w:val="002814CB"/>
    <w:rsid w:val="0029618B"/>
    <w:rsid w:val="002A4458"/>
    <w:rsid w:val="002B2CD0"/>
    <w:rsid w:val="002C1F0F"/>
    <w:rsid w:val="002D3EFA"/>
    <w:rsid w:val="002D495B"/>
    <w:rsid w:val="002D589A"/>
    <w:rsid w:val="002E491A"/>
    <w:rsid w:val="002F4604"/>
    <w:rsid w:val="00304890"/>
    <w:rsid w:val="003201CA"/>
    <w:rsid w:val="00324C55"/>
    <w:rsid w:val="00343C23"/>
    <w:rsid w:val="0037235A"/>
    <w:rsid w:val="003E346F"/>
    <w:rsid w:val="0040155D"/>
    <w:rsid w:val="0041713E"/>
    <w:rsid w:val="00421D3F"/>
    <w:rsid w:val="00423785"/>
    <w:rsid w:val="0042692C"/>
    <w:rsid w:val="00427C23"/>
    <w:rsid w:val="00452D26"/>
    <w:rsid w:val="00462848"/>
    <w:rsid w:val="00463568"/>
    <w:rsid w:val="00463CF1"/>
    <w:rsid w:val="0049333E"/>
    <w:rsid w:val="004A06CD"/>
    <w:rsid w:val="004A3D60"/>
    <w:rsid w:val="004A4B6F"/>
    <w:rsid w:val="004A4CF9"/>
    <w:rsid w:val="004D097D"/>
    <w:rsid w:val="004D1CE9"/>
    <w:rsid w:val="004D2965"/>
    <w:rsid w:val="004D2D9D"/>
    <w:rsid w:val="004E6C1C"/>
    <w:rsid w:val="00510A07"/>
    <w:rsid w:val="00520BA6"/>
    <w:rsid w:val="00541139"/>
    <w:rsid w:val="005419DF"/>
    <w:rsid w:val="005450C4"/>
    <w:rsid w:val="00547FB7"/>
    <w:rsid w:val="005508AB"/>
    <w:rsid w:val="00550D8B"/>
    <w:rsid w:val="005559B2"/>
    <w:rsid w:val="0057028F"/>
    <w:rsid w:val="00591F57"/>
    <w:rsid w:val="005A75C9"/>
    <w:rsid w:val="005B187D"/>
    <w:rsid w:val="005C6FE5"/>
    <w:rsid w:val="005E2445"/>
    <w:rsid w:val="005F015E"/>
    <w:rsid w:val="005F35D6"/>
    <w:rsid w:val="006016D5"/>
    <w:rsid w:val="00615122"/>
    <w:rsid w:val="006232DC"/>
    <w:rsid w:val="0063094F"/>
    <w:rsid w:val="00663A74"/>
    <w:rsid w:val="006819DD"/>
    <w:rsid w:val="006A0FD2"/>
    <w:rsid w:val="006A5374"/>
    <w:rsid w:val="006B2B77"/>
    <w:rsid w:val="006C1BBB"/>
    <w:rsid w:val="006D67F3"/>
    <w:rsid w:val="006E6078"/>
    <w:rsid w:val="006F1FFF"/>
    <w:rsid w:val="006F2406"/>
    <w:rsid w:val="006F6D10"/>
    <w:rsid w:val="00712295"/>
    <w:rsid w:val="00712B94"/>
    <w:rsid w:val="00717352"/>
    <w:rsid w:val="007517BA"/>
    <w:rsid w:val="00770F9B"/>
    <w:rsid w:val="0077782B"/>
    <w:rsid w:val="007B2CA1"/>
    <w:rsid w:val="007B552A"/>
    <w:rsid w:val="007D0ABC"/>
    <w:rsid w:val="007E1D68"/>
    <w:rsid w:val="008034C4"/>
    <w:rsid w:val="008042F5"/>
    <w:rsid w:val="00805266"/>
    <w:rsid w:val="00854C48"/>
    <w:rsid w:val="00857F53"/>
    <w:rsid w:val="0086428D"/>
    <w:rsid w:val="00864379"/>
    <w:rsid w:val="00886959"/>
    <w:rsid w:val="00893A34"/>
    <w:rsid w:val="008A36E1"/>
    <w:rsid w:val="008A37A7"/>
    <w:rsid w:val="008A7AB4"/>
    <w:rsid w:val="008B0736"/>
    <w:rsid w:val="008B4191"/>
    <w:rsid w:val="008C1F5A"/>
    <w:rsid w:val="008D4FA9"/>
    <w:rsid w:val="008F65BA"/>
    <w:rsid w:val="00907EBF"/>
    <w:rsid w:val="00913D0F"/>
    <w:rsid w:val="00933642"/>
    <w:rsid w:val="009354D0"/>
    <w:rsid w:val="00950B06"/>
    <w:rsid w:val="009555A7"/>
    <w:rsid w:val="00955D27"/>
    <w:rsid w:val="00970069"/>
    <w:rsid w:val="009721EB"/>
    <w:rsid w:val="009741FE"/>
    <w:rsid w:val="009769D1"/>
    <w:rsid w:val="00980B05"/>
    <w:rsid w:val="00994D60"/>
    <w:rsid w:val="009A08CE"/>
    <w:rsid w:val="009A49A7"/>
    <w:rsid w:val="009B36A4"/>
    <w:rsid w:val="009B706E"/>
    <w:rsid w:val="009C1E72"/>
    <w:rsid w:val="009C423A"/>
    <w:rsid w:val="009D598D"/>
    <w:rsid w:val="009D60F1"/>
    <w:rsid w:val="009E3ADC"/>
    <w:rsid w:val="009E79ED"/>
    <w:rsid w:val="00A07596"/>
    <w:rsid w:val="00A17A08"/>
    <w:rsid w:val="00A2072C"/>
    <w:rsid w:val="00A21EFD"/>
    <w:rsid w:val="00A314D3"/>
    <w:rsid w:val="00A37D60"/>
    <w:rsid w:val="00A60673"/>
    <w:rsid w:val="00A77102"/>
    <w:rsid w:val="00A818DE"/>
    <w:rsid w:val="00AA6FFE"/>
    <w:rsid w:val="00AB2A61"/>
    <w:rsid w:val="00AC1872"/>
    <w:rsid w:val="00AC21EE"/>
    <w:rsid w:val="00AD1285"/>
    <w:rsid w:val="00AD13D0"/>
    <w:rsid w:val="00AD631F"/>
    <w:rsid w:val="00AE21FF"/>
    <w:rsid w:val="00AF1F18"/>
    <w:rsid w:val="00B04FA8"/>
    <w:rsid w:val="00B0726E"/>
    <w:rsid w:val="00B219D1"/>
    <w:rsid w:val="00B2252B"/>
    <w:rsid w:val="00B37F99"/>
    <w:rsid w:val="00B443C9"/>
    <w:rsid w:val="00B64B3D"/>
    <w:rsid w:val="00B66462"/>
    <w:rsid w:val="00B72125"/>
    <w:rsid w:val="00B81FA4"/>
    <w:rsid w:val="00B8794C"/>
    <w:rsid w:val="00B95699"/>
    <w:rsid w:val="00B95EF4"/>
    <w:rsid w:val="00BA4299"/>
    <w:rsid w:val="00BB6509"/>
    <w:rsid w:val="00BC1B01"/>
    <w:rsid w:val="00BC248C"/>
    <w:rsid w:val="00C01EC0"/>
    <w:rsid w:val="00C212D2"/>
    <w:rsid w:val="00C2270F"/>
    <w:rsid w:val="00C244EE"/>
    <w:rsid w:val="00C319A4"/>
    <w:rsid w:val="00C32AE5"/>
    <w:rsid w:val="00C43650"/>
    <w:rsid w:val="00C5400E"/>
    <w:rsid w:val="00C72224"/>
    <w:rsid w:val="00C75706"/>
    <w:rsid w:val="00CA4815"/>
    <w:rsid w:val="00CC1725"/>
    <w:rsid w:val="00CE6ADF"/>
    <w:rsid w:val="00CF6562"/>
    <w:rsid w:val="00D22F93"/>
    <w:rsid w:val="00D23ABC"/>
    <w:rsid w:val="00D5688A"/>
    <w:rsid w:val="00D65E8B"/>
    <w:rsid w:val="00D7558A"/>
    <w:rsid w:val="00D82BFE"/>
    <w:rsid w:val="00D86284"/>
    <w:rsid w:val="00DB2992"/>
    <w:rsid w:val="00DB4B9C"/>
    <w:rsid w:val="00DC5980"/>
    <w:rsid w:val="00DD2B46"/>
    <w:rsid w:val="00DD3400"/>
    <w:rsid w:val="00DD3642"/>
    <w:rsid w:val="00DD7B85"/>
    <w:rsid w:val="00DF3F63"/>
    <w:rsid w:val="00E030D1"/>
    <w:rsid w:val="00E048B4"/>
    <w:rsid w:val="00E04CC7"/>
    <w:rsid w:val="00E06ED6"/>
    <w:rsid w:val="00E0752E"/>
    <w:rsid w:val="00E114B4"/>
    <w:rsid w:val="00E30B4D"/>
    <w:rsid w:val="00E529E5"/>
    <w:rsid w:val="00E55C8C"/>
    <w:rsid w:val="00E8005A"/>
    <w:rsid w:val="00EB4C2F"/>
    <w:rsid w:val="00ED0DDF"/>
    <w:rsid w:val="00ED4E4A"/>
    <w:rsid w:val="00EE2E52"/>
    <w:rsid w:val="00EF5C61"/>
    <w:rsid w:val="00F07246"/>
    <w:rsid w:val="00F1000D"/>
    <w:rsid w:val="00F11041"/>
    <w:rsid w:val="00F11608"/>
    <w:rsid w:val="00F26E74"/>
    <w:rsid w:val="00F30BFA"/>
    <w:rsid w:val="00F311A4"/>
    <w:rsid w:val="00F36AFC"/>
    <w:rsid w:val="00F463D0"/>
    <w:rsid w:val="00F60B66"/>
    <w:rsid w:val="00F82C2C"/>
    <w:rsid w:val="00F85913"/>
    <w:rsid w:val="00F932D8"/>
    <w:rsid w:val="00FA7392"/>
    <w:rsid w:val="00FC2B31"/>
    <w:rsid w:val="00FC2E8E"/>
    <w:rsid w:val="00FD42BC"/>
    <w:rsid w:val="00FD4D6E"/>
    <w:rsid w:val="00FD6383"/>
    <w:rsid w:val="00FD7A94"/>
    <w:rsid w:val="00FF21A8"/>
    <w:rsid w:val="00FF4EEE"/>
    <w:rsid w:val="00FF5BC8"/>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qFormat/>
    <w:rsid w:val="00A21EFD"/>
    <w:pPr>
      <w:spacing w:line="256" w:lineRule="auto"/>
      <w:ind w:left="720"/>
      <w:contextualSpacing/>
    </w:pPr>
  </w:style>
  <w:style w:type="character" w:styleId="FollowedHyperlink">
    <w:name w:val="FollowedHyperlink"/>
    <w:basedOn w:val="DefaultParagraphFont"/>
    <w:uiPriority w:val="99"/>
    <w:semiHidden/>
    <w:unhideWhenUsed/>
    <w:rsid w:val="003E346F"/>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5249">
      <w:bodyDiv w:val="1"/>
      <w:marLeft w:val="0"/>
      <w:marRight w:val="0"/>
      <w:marTop w:val="0"/>
      <w:marBottom w:val="0"/>
      <w:divBdr>
        <w:top w:val="none" w:sz="0" w:space="0" w:color="auto"/>
        <w:left w:val="none" w:sz="0" w:space="0" w:color="auto"/>
        <w:bottom w:val="none" w:sz="0" w:space="0" w:color="auto"/>
        <w:right w:val="none" w:sz="0" w:space="0" w:color="auto"/>
      </w:divBdr>
    </w:div>
    <w:div w:id="49426878">
      <w:bodyDiv w:val="1"/>
      <w:marLeft w:val="0"/>
      <w:marRight w:val="0"/>
      <w:marTop w:val="0"/>
      <w:marBottom w:val="0"/>
      <w:divBdr>
        <w:top w:val="none" w:sz="0" w:space="0" w:color="auto"/>
        <w:left w:val="none" w:sz="0" w:space="0" w:color="auto"/>
        <w:bottom w:val="none" w:sz="0" w:space="0" w:color="auto"/>
        <w:right w:val="none" w:sz="0" w:space="0" w:color="auto"/>
      </w:divBdr>
    </w:div>
    <w:div w:id="84694648">
      <w:bodyDiv w:val="1"/>
      <w:marLeft w:val="0"/>
      <w:marRight w:val="0"/>
      <w:marTop w:val="0"/>
      <w:marBottom w:val="0"/>
      <w:divBdr>
        <w:top w:val="none" w:sz="0" w:space="0" w:color="auto"/>
        <w:left w:val="none" w:sz="0" w:space="0" w:color="auto"/>
        <w:bottom w:val="none" w:sz="0" w:space="0" w:color="auto"/>
        <w:right w:val="none" w:sz="0" w:space="0" w:color="auto"/>
      </w:divBdr>
    </w:div>
    <w:div w:id="255672750">
      <w:bodyDiv w:val="1"/>
      <w:marLeft w:val="0"/>
      <w:marRight w:val="0"/>
      <w:marTop w:val="0"/>
      <w:marBottom w:val="0"/>
      <w:divBdr>
        <w:top w:val="none" w:sz="0" w:space="0" w:color="auto"/>
        <w:left w:val="none" w:sz="0" w:space="0" w:color="auto"/>
        <w:bottom w:val="none" w:sz="0" w:space="0" w:color="auto"/>
        <w:right w:val="none" w:sz="0" w:space="0" w:color="auto"/>
      </w:divBdr>
    </w:div>
    <w:div w:id="274488088">
      <w:bodyDiv w:val="1"/>
      <w:marLeft w:val="0"/>
      <w:marRight w:val="0"/>
      <w:marTop w:val="0"/>
      <w:marBottom w:val="0"/>
      <w:divBdr>
        <w:top w:val="none" w:sz="0" w:space="0" w:color="auto"/>
        <w:left w:val="none" w:sz="0" w:space="0" w:color="auto"/>
        <w:bottom w:val="none" w:sz="0" w:space="0" w:color="auto"/>
        <w:right w:val="none" w:sz="0" w:space="0" w:color="auto"/>
      </w:divBdr>
    </w:div>
    <w:div w:id="579943622">
      <w:bodyDiv w:val="1"/>
      <w:marLeft w:val="0"/>
      <w:marRight w:val="0"/>
      <w:marTop w:val="0"/>
      <w:marBottom w:val="0"/>
      <w:divBdr>
        <w:top w:val="none" w:sz="0" w:space="0" w:color="auto"/>
        <w:left w:val="none" w:sz="0" w:space="0" w:color="auto"/>
        <w:bottom w:val="none" w:sz="0" w:space="0" w:color="auto"/>
        <w:right w:val="none" w:sz="0" w:space="0" w:color="auto"/>
      </w:divBdr>
    </w:div>
    <w:div w:id="678460482">
      <w:bodyDiv w:val="1"/>
      <w:marLeft w:val="0"/>
      <w:marRight w:val="0"/>
      <w:marTop w:val="0"/>
      <w:marBottom w:val="0"/>
      <w:divBdr>
        <w:top w:val="none" w:sz="0" w:space="0" w:color="auto"/>
        <w:left w:val="none" w:sz="0" w:space="0" w:color="auto"/>
        <w:bottom w:val="none" w:sz="0" w:space="0" w:color="auto"/>
        <w:right w:val="none" w:sz="0" w:space="0" w:color="auto"/>
      </w:divBdr>
    </w:div>
    <w:div w:id="801078531">
      <w:bodyDiv w:val="1"/>
      <w:marLeft w:val="0"/>
      <w:marRight w:val="0"/>
      <w:marTop w:val="0"/>
      <w:marBottom w:val="0"/>
      <w:divBdr>
        <w:top w:val="none" w:sz="0" w:space="0" w:color="auto"/>
        <w:left w:val="none" w:sz="0" w:space="0" w:color="auto"/>
        <w:bottom w:val="none" w:sz="0" w:space="0" w:color="auto"/>
        <w:right w:val="none" w:sz="0" w:space="0" w:color="auto"/>
      </w:divBdr>
    </w:div>
    <w:div w:id="803426257">
      <w:bodyDiv w:val="1"/>
      <w:marLeft w:val="0"/>
      <w:marRight w:val="0"/>
      <w:marTop w:val="0"/>
      <w:marBottom w:val="0"/>
      <w:divBdr>
        <w:top w:val="none" w:sz="0" w:space="0" w:color="auto"/>
        <w:left w:val="none" w:sz="0" w:space="0" w:color="auto"/>
        <w:bottom w:val="none" w:sz="0" w:space="0" w:color="auto"/>
        <w:right w:val="none" w:sz="0" w:space="0" w:color="auto"/>
      </w:divBdr>
    </w:div>
    <w:div w:id="922255346">
      <w:bodyDiv w:val="1"/>
      <w:marLeft w:val="0"/>
      <w:marRight w:val="0"/>
      <w:marTop w:val="0"/>
      <w:marBottom w:val="0"/>
      <w:divBdr>
        <w:top w:val="none" w:sz="0" w:space="0" w:color="auto"/>
        <w:left w:val="none" w:sz="0" w:space="0" w:color="auto"/>
        <w:bottom w:val="none" w:sz="0" w:space="0" w:color="auto"/>
        <w:right w:val="none" w:sz="0" w:space="0" w:color="auto"/>
      </w:divBdr>
    </w:div>
    <w:div w:id="1090930090">
      <w:bodyDiv w:val="1"/>
      <w:marLeft w:val="0"/>
      <w:marRight w:val="0"/>
      <w:marTop w:val="0"/>
      <w:marBottom w:val="0"/>
      <w:divBdr>
        <w:top w:val="none" w:sz="0" w:space="0" w:color="auto"/>
        <w:left w:val="none" w:sz="0" w:space="0" w:color="auto"/>
        <w:bottom w:val="none" w:sz="0" w:space="0" w:color="auto"/>
        <w:right w:val="none" w:sz="0" w:space="0" w:color="auto"/>
      </w:divBdr>
    </w:div>
    <w:div w:id="1116631684">
      <w:bodyDiv w:val="1"/>
      <w:marLeft w:val="0"/>
      <w:marRight w:val="0"/>
      <w:marTop w:val="0"/>
      <w:marBottom w:val="0"/>
      <w:divBdr>
        <w:top w:val="none" w:sz="0" w:space="0" w:color="auto"/>
        <w:left w:val="none" w:sz="0" w:space="0" w:color="auto"/>
        <w:bottom w:val="none" w:sz="0" w:space="0" w:color="auto"/>
        <w:right w:val="none" w:sz="0" w:space="0" w:color="auto"/>
      </w:divBdr>
    </w:div>
    <w:div w:id="1656493178">
      <w:bodyDiv w:val="1"/>
      <w:marLeft w:val="0"/>
      <w:marRight w:val="0"/>
      <w:marTop w:val="0"/>
      <w:marBottom w:val="0"/>
      <w:divBdr>
        <w:top w:val="none" w:sz="0" w:space="0" w:color="auto"/>
        <w:left w:val="none" w:sz="0" w:space="0" w:color="auto"/>
        <w:bottom w:val="none" w:sz="0" w:space="0" w:color="auto"/>
        <w:right w:val="none" w:sz="0" w:space="0" w:color="auto"/>
      </w:divBdr>
    </w:div>
    <w:div w:id="19390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mq.edu.au/about/about-the-university/vision-strategy/health-strategy" TargetMode="External"/><Relationship Id="rId26" Type="http://schemas.openxmlformats.org/officeDocument/2006/relationships/hyperlink" Target="https://www.mq.edu.au/__data/assets/pdf_file/0006/1299093/DVCA60071-EDUCATION-STRATEGY-PP-FINAL-INTER.pdf" TargetMode="External"/><Relationship Id="rId39" Type="http://schemas.openxmlformats.org/officeDocument/2006/relationships/hyperlink" Target="https://policies.mq.edu.au/document/view.php?id=176" TargetMode="External"/><Relationship Id="rId21" Type="http://schemas.openxmlformats.org/officeDocument/2006/relationships/hyperlink" Target="https://www.mq.edu.au/__data/assets/pdf_file/0006/1294539/HRE64613_DI-and-B-Framework_A4-landscape_Screen_FA.pdf" TargetMode="External"/><Relationship Id="rId34" Type="http://schemas.openxmlformats.org/officeDocument/2006/relationships/hyperlink" Target="https://policies.mq.edu.au/document/view.php?id=258"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q.edu.au/about/about-the-university/vision-strategy/the-macquarie-advantage" TargetMode="External"/><Relationship Id="rId29" Type="http://schemas.openxmlformats.org/officeDocument/2006/relationships/hyperlink" Target="https://policies.mq.edu.au/document/view.php?id=4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tudents.mq.edu.au/support/accessibility-disability" TargetMode="External"/><Relationship Id="rId32" Type="http://schemas.openxmlformats.org/officeDocument/2006/relationships/hyperlink" Target="https://www.mq.edu.au/__data/assets/pdf_file/0006/1336533/macquarie-university-research-strategy-2035-abridged.pdf" TargetMode="External"/><Relationship Id="rId37" Type="http://schemas.openxmlformats.org/officeDocument/2006/relationships/hyperlink" Target="https://policies.mq.edu.au/document/view.php?id=171" TargetMode="External"/><Relationship Id="rId40" Type="http://schemas.openxmlformats.org/officeDocument/2006/relationships/hyperlink" Target="https://www.mq.edu.au/research/research-collaboration-and-partnership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q.edu.au/about/about-the-university/vision-strategy/operating-plan" TargetMode="External"/><Relationship Id="rId23" Type="http://schemas.openxmlformats.org/officeDocument/2006/relationships/hyperlink" Target="https://policies.mq.edu.au/document/view.php?id=382" TargetMode="External"/><Relationship Id="rId28" Type="http://schemas.openxmlformats.org/officeDocument/2006/relationships/hyperlink" Target="https://policies.mq.edu.au/document/view.php?id=263" TargetMode="External"/><Relationship Id="rId36" Type="http://schemas.openxmlformats.org/officeDocument/2006/relationships/hyperlink" Target="https://policies.mq.edu.au/document/view.php?id=175" TargetMode="External"/><Relationship Id="rId10" Type="http://schemas.openxmlformats.org/officeDocument/2006/relationships/endnotes" Target="endnotes.xml"/><Relationship Id="rId19" Type="http://schemas.openxmlformats.org/officeDocument/2006/relationships/hyperlink" Target="https://www.mq.edu.au/__data/assets/pdf_file/0006/1299093/DVCA60071-EDUCATION-STRATEGY-PP-FINAL-INTER.pdf" TargetMode="External"/><Relationship Id="rId31" Type="http://schemas.openxmlformats.org/officeDocument/2006/relationships/hyperlink" Target="https://policies.mq.edu.au/document/view.php?id=32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q.edu.au/about/about-the-university/vision-strategy/our-university-a-framing-of-dynamic-futures" TargetMode="External"/><Relationship Id="rId22" Type="http://schemas.openxmlformats.org/officeDocument/2006/relationships/hyperlink" Target="https://policies.mq.edu.au/document/view.php?id=384" TargetMode="External"/><Relationship Id="rId27" Type="http://schemas.openxmlformats.org/officeDocument/2006/relationships/hyperlink" Target="https://www.mq.edu.au/__data/assets/pdf_file/0006/1336533/macquarie-university-research-strategy-2035-abridged.pdf" TargetMode="External"/><Relationship Id="rId30" Type="http://schemas.openxmlformats.org/officeDocument/2006/relationships/hyperlink" Target="https://policies.mq.edu.au/document/view.php?id=312" TargetMode="External"/><Relationship Id="rId35" Type="http://schemas.openxmlformats.org/officeDocument/2006/relationships/hyperlink" Target="https://policies.mq.edu.au/document/view.php?id=369"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q.edu.au/about/about-the-university/vision-strategy/research-strategy" TargetMode="External"/><Relationship Id="rId25" Type="http://schemas.openxmlformats.org/officeDocument/2006/relationships/hyperlink" Target="https://www.mq.edu.au/about/about-the-university/vision-strategy/other-university-initiatives/widening-participation" TargetMode="External"/><Relationship Id="rId33" Type="http://schemas.openxmlformats.org/officeDocument/2006/relationships/hyperlink" Target="https://policies.mq.edu.au/document/view.php?id=362" TargetMode="External"/><Relationship Id="rId38" Type="http://schemas.openxmlformats.org/officeDocument/2006/relationships/hyperlink" Target="https://policies.mq.edu.au/document/view.php?id=7" TargetMode="External"/><Relationship Id="rId20" Type="http://schemas.openxmlformats.org/officeDocument/2006/relationships/hyperlink" Target="https://www.mq.edu.au/__data/assets/pdf_file/0004/1172596/Indigenous-Strategy_2016-2025.pdf" TargetMode="External"/><Relationship Id="rId41" Type="http://schemas.openxmlformats.org/officeDocument/2006/relationships/hyperlink" Target="https://www.mq.edu.au/research/commercialisation-and-innovation"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92C2408E-F07B-4A9E-B8DD-50AE6C63D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4.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3076</Words>
  <Characters>20215</Characters>
  <Application>Microsoft Office Word</Application>
  <DocSecurity>0</DocSecurity>
  <Lines>404</Lines>
  <Paragraphs>213</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10</cp:revision>
  <cp:lastPrinted>2025-12-01T05:15:00Z</cp:lastPrinted>
  <dcterms:created xsi:type="dcterms:W3CDTF">2025-11-23T22:25:00Z</dcterms:created>
  <dcterms:modified xsi:type="dcterms:W3CDTF">2025-12-17T04:30:00Z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