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655E52">
      <w:pPr>
        <w:jc w:val="both"/>
      </w:pPr>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655E52">
      <w:pPr>
        <w:pStyle w:val="Heading1"/>
        <w:spacing w:before="480"/>
        <w:jc w:val="both"/>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3F2AB021">
        <w:trPr>
          <w:cantSplit/>
        </w:trPr>
        <w:tc>
          <w:tcPr>
            <w:tcW w:w="5000" w:type="pct"/>
            <w:tcBorders>
              <w:bottom w:val="single" w:sz="4" w:space="0" w:color="auto"/>
            </w:tcBorders>
          </w:tcPr>
          <w:p w14:paraId="26FC6577" w14:textId="34493F78" w:rsidR="001B109C" w:rsidRPr="0007338F" w:rsidRDefault="001B109C" w:rsidP="00655E52">
            <w:pPr>
              <w:pStyle w:val="Heading4"/>
              <w:jc w:val="both"/>
              <w:rPr>
                <w:rFonts w:cstheme="minorHAnsi"/>
                <w:i/>
                <w:iCs w:val="0"/>
                <w:sz w:val="24"/>
                <w:szCs w:val="24"/>
              </w:rPr>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7B7FD0">
              <w:t xml:space="preserve">James Cook University </w:t>
            </w:r>
          </w:p>
        </w:tc>
      </w:tr>
      <w:tr w:rsidR="001B109C" w:rsidRPr="00E41388" w14:paraId="2126955C" w14:textId="77777777" w:rsidTr="3F2AB021">
        <w:trPr>
          <w:cantSplit/>
        </w:trPr>
        <w:tc>
          <w:tcPr>
            <w:tcW w:w="5000" w:type="pct"/>
          </w:tcPr>
          <w:p w14:paraId="4E36A361" w14:textId="77777777" w:rsidR="001B109C" w:rsidRPr="00F30BFA" w:rsidRDefault="001B109C" w:rsidP="00655E52">
            <w:pPr>
              <w:pStyle w:val="Heading4"/>
              <w:keepLines w:val="0"/>
              <w:spacing w:before="180" w:after="60"/>
              <w:jc w:val="both"/>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3F2AB021">
        <w:trPr>
          <w:cantSplit/>
          <w:trHeight w:val="1682"/>
        </w:trPr>
        <w:tc>
          <w:tcPr>
            <w:tcW w:w="5000" w:type="pct"/>
            <w:tcBorders>
              <w:bottom w:val="single" w:sz="4" w:space="0" w:color="auto"/>
            </w:tcBorders>
          </w:tcPr>
          <w:p w14:paraId="603CAB15" w14:textId="357DAB3E" w:rsidR="001B109C" w:rsidRPr="00E169EE" w:rsidRDefault="001B109C" w:rsidP="00655E52">
            <w:pPr>
              <w:pStyle w:val="NormalIndent"/>
              <w:ind w:left="0"/>
              <w:jc w:val="both"/>
              <w:rPr>
                <w:rFonts w:asciiTheme="minorHAnsi" w:hAnsiTheme="minorHAnsi" w:cstheme="minorBidi"/>
              </w:rPr>
            </w:pPr>
            <w:r w:rsidRPr="6DCF43EC">
              <w:rPr>
                <w:rFonts w:asciiTheme="minorHAnsi" w:hAnsiTheme="minorHAnsi" w:cstheme="minorBidi"/>
              </w:rPr>
              <w:t xml:space="preserve">This compact is an agreement between the Commonwealth and the University. Entering into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655E52">
            <w:pPr>
              <w:pStyle w:val="NormalIndent"/>
              <w:spacing w:before="0" w:line="240" w:lineRule="auto"/>
              <w:ind w:left="0"/>
              <w:jc w:val="both"/>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3F2AB021">
        <w:trPr>
          <w:cantSplit/>
        </w:trPr>
        <w:tc>
          <w:tcPr>
            <w:tcW w:w="5000" w:type="pct"/>
          </w:tcPr>
          <w:p w14:paraId="43C124C8" w14:textId="55208677" w:rsidR="001B109C" w:rsidRPr="00E169EE" w:rsidRDefault="00F30BFA" w:rsidP="00655E52">
            <w:pPr>
              <w:pStyle w:val="Heading4"/>
              <w:keepLines w:val="0"/>
              <w:spacing w:before="180" w:after="60"/>
              <w:jc w:val="both"/>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3F2AB021">
        <w:trPr>
          <w:cantSplit/>
          <w:trHeight w:val="1123"/>
        </w:trPr>
        <w:tc>
          <w:tcPr>
            <w:tcW w:w="5000" w:type="pct"/>
            <w:tcBorders>
              <w:bottom w:val="single" w:sz="4" w:space="0" w:color="auto"/>
            </w:tcBorders>
          </w:tcPr>
          <w:p w14:paraId="3DBF85E3" w14:textId="427D797F" w:rsidR="001B109C" w:rsidRDefault="2D345412" w:rsidP="00655E52">
            <w:pPr>
              <w:spacing w:before="120" w:after="120"/>
              <w:jc w:val="both"/>
              <w:rPr>
                <w:rFonts w:ascii="Calibri" w:eastAsia="Calibri" w:hAnsi="Calibri" w:cs="Calibri"/>
                <w:sz w:val="20"/>
                <w:szCs w:val="20"/>
              </w:rPr>
            </w:pPr>
            <w:r w:rsidRPr="63C00A79">
              <w:rPr>
                <w:rFonts w:ascii="Calibri" w:eastAsia="Calibri" w:hAnsi="Calibri" w:cs="Calibri"/>
                <w:sz w:val="20"/>
                <w:szCs w:val="20"/>
              </w:rPr>
              <w:t xml:space="preserve">James Cook University’s strategic intent is to create a brighter future for life in the tropics and beyond through education and research that make a difference locally, and globally. Our </w:t>
            </w:r>
            <w:hyperlink r:id="rId14">
              <w:r w:rsidRPr="63C00A79">
                <w:rPr>
                  <w:rStyle w:val="Hyperlink"/>
                  <w:rFonts w:ascii="Calibri" w:eastAsia="Calibri" w:hAnsi="Calibri" w:cs="Calibri"/>
                  <w:color w:val="7F4594"/>
                  <w:sz w:val="20"/>
                  <w:szCs w:val="20"/>
                </w:rPr>
                <w:t>Corporate Strategy</w:t>
              </w:r>
            </w:hyperlink>
            <w:r w:rsidRPr="63C00A79">
              <w:rPr>
                <w:rFonts w:ascii="Calibri" w:eastAsia="Calibri" w:hAnsi="Calibri" w:cs="Calibri"/>
                <w:sz w:val="20"/>
                <w:szCs w:val="20"/>
              </w:rPr>
              <w:t xml:space="preserve"> expresses how we </w:t>
            </w:r>
            <w:r w:rsidR="22FE8E0F" w:rsidRPr="63C00A79">
              <w:rPr>
                <w:rFonts w:ascii="Calibri" w:eastAsia="Calibri" w:hAnsi="Calibri" w:cs="Calibri"/>
                <w:sz w:val="20"/>
                <w:szCs w:val="20"/>
              </w:rPr>
              <w:t xml:space="preserve">will deliver </w:t>
            </w:r>
            <w:r w:rsidRPr="63C00A79">
              <w:rPr>
                <w:rFonts w:ascii="Calibri" w:eastAsia="Calibri" w:hAnsi="Calibri" w:cs="Calibri"/>
                <w:sz w:val="20"/>
                <w:szCs w:val="20"/>
              </w:rPr>
              <w:t>value in learning and teaching, research and engagement</w:t>
            </w:r>
            <w:r w:rsidR="362F2B70" w:rsidRPr="63C00A79">
              <w:rPr>
                <w:rFonts w:ascii="Calibri" w:eastAsia="Calibri" w:hAnsi="Calibri" w:cs="Calibri"/>
                <w:sz w:val="20"/>
                <w:szCs w:val="20"/>
              </w:rPr>
              <w:t xml:space="preserve"> </w:t>
            </w:r>
            <w:r w:rsidR="3193161E" w:rsidRPr="63C00A79">
              <w:rPr>
                <w:rFonts w:ascii="Calibri" w:eastAsia="Calibri" w:hAnsi="Calibri" w:cs="Calibri"/>
                <w:sz w:val="20"/>
                <w:szCs w:val="20"/>
              </w:rPr>
              <w:t>locally, nationally, and globally.</w:t>
            </w:r>
          </w:p>
          <w:p w14:paraId="01735D09" w14:textId="5932CCC9" w:rsidR="001B109C" w:rsidRDefault="2D345412" w:rsidP="00655E52">
            <w:pPr>
              <w:spacing w:after="0"/>
              <w:jc w:val="both"/>
              <w:rPr>
                <w:rFonts w:ascii="Calibri" w:eastAsia="Calibri" w:hAnsi="Calibri" w:cs="Calibri"/>
                <w:color w:val="000000" w:themeColor="text1"/>
                <w:sz w:val="20"/>
                <w:szCs w:val="20"/>
              </w:rPr>
            </w:pPr>
            <w:r w:rsidRPr="63C00A79">
              <w:rPr>
                <w:rFonts w:ascii="Calibri" w:eastAsia="Calibri" w:hAnsi="Calibri" w:cs="Calibri"/>
                <w:color w:val="000000" w:themeColor="text1"/>
                <w:sz w:val="20"/>
                <w:szCs w:val="20"/>
              </w:rPr>
              <w:t xml:space="preserve">JCU is </w:t>
            </w:r>
            <w:r w:rsidR="1FCD6987" w:rsidRPr="63C00A79">
              <w:rPr>
                <w:rFonts w:ascii="Calibri" w:eastAsia="Calibri" w:hAnsi="Calibri" w:cs="Calibri"/>
                <w:color w:val="000000" w:themeColor="text1"/>
                <w:sz w:val="20"/>
                <w:szCs w:val="20"/>
              </w:rPr>
              <w:t xml:space="preserve">the </w:t>
            </w:r>
            <w:r w:rsidRPr="63C00A79">
              <w:rPr>
                <w:rFonts w:ascii="Calibri" w:eastAsia="Calibri" w:hAnsi="Calibri" w:cs="Calibri"/>
                <w:color w:val="000000" w:themeColor="text1"/>
                <w:sz w:val="20"/>
                <w:szCs w:val="20"/>
              </w:rPr>
              <w:t xml:space="preserve">only research-intensive university </w:t>
            </w:r>
            <w:r w:rsidR="456863D4" w:rsidRPr="63C00A79">
              <w:rPr>
                <w:rFonts w:ascii="Calibri" w:eastAsia="Calibri" w:hAnsi="Calibri" w:cs="Calibri"/>
                <w:color w:val="000000" w:themeColor="text1"/>
                <w:sz w:val="20"/>
                <w:szCs w:val="20"/>
              </w:rPr>
              <w:t>in Northern Australia</w:t>
            </w:r>
            <w:r w:rsidR="44AB4705" w:rsidRPr="63C00A79">
              <w:rPr>
                <w:rFonts w:ascii="Calibri" w:eastAsia="Calibri" w:hAnsi="Calibri" w:cs="Calibri"/>
                <w:color w:val="000000" w:themeColor="text1"/>
                <w:sz w:val="20"/>
                <w:szCs w:val="20"/>
              </w:rPr>
              <w:t xml:space="preserve">, with impact across the </w:t>
            </w:r>
            <w:r w:rsidR="294656DA" w:rsidRPr="63C00A79">
              <w:rPr>
                <w:rFonts w:ascii="Calibri" w:eastAsia="Calibri" w:hAnsi="Calibri" w:cs="Calibri"/>
                <w:color w:val="000000" w:themeColor="text1"/>
                <w:sz w:val="20"/>
                <w:szCs w:val="20"/>
              </w:rPr>
              <w:t xml:space="preserve">global </w:t>
            </w:r>
            <w:r w:rsidR="44AB4705" w:rsidRPr="63C00A79">
              <w:rPr>
                <w:rFonts w:ascii="Calibri" w:eastAsia="Calibri" w:hAnsi="Calibri" w:cs="Calibri"/>
                <w:color w:val="000000" w:themeColor="text1"/>
                <w:sz w:val="20"/>
                <w:szCs w:val="20"/>
              </w:rPr>
              <w:t>tropics</w:t>
            </w:r>
            <w:r w:rsidR="1571B71F" w:rsidRPr="63C00A79">
              <w:rPr>
                <w:rFonts w:ascii="Calibri" w:eastAsia="Calibri" w:hAnsi="Calibri" w:cs="Calibri"/>
                <w:color w:val="000000" w:themeColor="text1"/>
                <w:sz w:val="20"/>
                <w:szCs w:val="20"/>
              </w:rPr>
              <w:t xml:space="preserve">. We </w:t>
            </w:r>
            <w:r w:rsidR="456863D4" w:rsidRPr="63C00A79">
              <w:rPr>
                <w:rFonts w:ascii="Calibri" w:eastAsia="Calibri" w:hAnsi="Calibri" w:cs="Calibri"/>
                <w:color w:val="000000" w:themeColor="text1"/>
                <w:sz w:val="20"/>
                <w:szCs w:val="20"/>
              </w:rPr>
              <w:t>speciali</w:t>
            </w:r>
            <w:r w:rsidR="328BB518" w:rsidRPr="63C00A79">
              <w:rPr>
                <w:rFonts w:ascii="Calibri" w:eastAsia="Calibri" w:hAnsi="Calibri" w:cs="Calibri"/>
                <w:color w:val="000000" w:themeColor="text1"/>
                <w:sz w:val="20"/>
                <w:szCs w:val="20"/>
              </w:rPr>
              <w:t>se</w:t>
            </w:r>
            <w:r w:rsidR="456863D4" w:rsidRPr="63C00A79">
              <w:rPr>
                <w:rFonts w:ascii="Calibri" w:eastAsia="Calibri" w:hAnsi="Calibri" w:cs="Calibri"/>
                <w:color w:val="000000" w:themeColor="text1"/>
                <w:sz w:val="20"/>
                <w:szCs w:val="20"/>
              </w:rPr>
              <w:t xml:space="preserve"> </w:t>
            </w:r>
            <w:r w:rsidR="4C43FC61" w:rsidRPr="63C00A79">
              <w:rPr>
                <w:rFonts w:ascii="Calibri" w:eastAsia="Calibri" w:hAnsi="Calibri" w:cs="Calibri"/>
                <w:color w:val="000000" w:themeColor="text1"/>
                <w:sz w:val="20"/>
                <w:szCs w:val="20"/>
              </w:rPr>
              <w:t xml:space="preserve">in </w:t>
            </w:r>
            <w:r w:rsidRPr="63C00A79">
              <w:rPr>
                <w:rFonts w:ascii="Calibri" w:eastAsia="Calibri" w:hAnsi="Calibri" w:cs="Calibri"/>
                <w:color w:val="000000" w:themeColor="text1"/>
                <w:sz w:val="20"/>
                <w:szCs w:val="20"/>
              </w:rPr>
              <w:t xml:space="preserve">a comprehensive portfolio of courses and </w:t>
            </w:r>
            <w:r w:rsidR="255E0EBA" w:rsidRPr="63C00A79">
              <w:rPr>
                <w:rFonts w:ascii="Calibri" w:eastAsia="Calibri" w:hAnsi="Calibri" w:cs="Calibri"/>
                <w:color w:val="000000" w:themeColor="text1"/>
                <w:sz w:val="20"/>
                <w:szCs w:val="20"/>
              </w:rPr>
              <w:t>de</w:t>
            </w:r>
            <w:r w:rsidR="5FE46935" w:rsidRPr="63C00A79">
              <w:rPr>
                <w:rFonts w:ascii="Calibri" w:eastAsia="Calibri" w:hAnsi="Calibri" w:cs="Calibri"/>
                <w:color w:val="000000" w:themeColor="text1"/>
                <w:sz w:val="20"/>
                <w:szCs w:val="20"/>
              </w:rPr>
              <w:t>liver</w:t>
            </w:r>
            <w:r w:rsidR="5179A11E" w:rsidRPr="63C00A79">
              <w:rPr>
                <w:rFonts w:ascii="Calibri" w:eastAsia="Calibri" w:hAnsi="Calibri" w:cs="Calibri"/>
                <w:color w:val="000000" w:themeColor="text1"/>
                <w:sz w:val="20"/>
                <w:szCs w:val="20"/>
              </w:rPr>
              <w:t xml:space="preserve"> strong</w:t>
            </w:r>
            <w:r w:rsidR="5FE46935" w:rsidRPr="63C00A79">
              <w:rPr>
                <w:rFonts w:ascii="Calibri" w:eastAsia="Calibri" w:hAnsi="Calibri" w:cs="Calibri"/>
                <w:color w:val="000000" w:themeColor="text1"/>
                <w:sz w:val="20"/>
                <w:szCs w:val="20"/>
              </w:rPr>
              <w:t xml:space="preserve"> outcomes for students across northern Queensland</w:t>
            </w:r>
            <w:r w:rsidRPr="63C00A79">
              <w:rPr>
                <w:rFonts w:ascii="Calibri" w:eastAsia="Calibri" w:hAnsi="Calibri" w:cs="Calibri"/>
                <w:color w:val="000000" w:themeColor="text1"/>
                <w:sz w:val="20"/>
                <w:szCs w:val="20"/>
              </w:rPr>
              <w:t xml:space="preserve">. Our footprint extends from the Torres Strait </w:t>
            </w:r>
            <w:r w:rsidR="4BAE16E4" w:rsidRPr="63C00A79">
              <w:rPr>
                <w:rFonts w:ascii="Calibri" w:eastAsia="Calibri" w:hAnsi="Calibri" w:cs="Calibri"/>
                <w:color w:val="000000" w:themeColor="text1"/>
                <w:sz w:val="20"/>
                <w:szCs w:val="20"/>
              </w:rPr>
              <w:t xml:space="preserve">south </w:t>
            </w:r>
            <w:r w:rsidRPr="63C00A79">
              <w:rPr>
                <w:rFonts w:ascii="Calibri" w:eastAsia="Calibri" w:hAnsi="Calibri" w:cs="Calibri"/>
                <w:color w:val="000000" w:themeColor="text1"/>
                <w:sz w:val="20"/>
                <w:szCs w:val="20"/>
              </w:rPr>
              <w:t>to Mackay</w:t>
            </w:r>
            <w:r w:rsidR="2ACFB2D9" w:rsidRPr="63C00A79">
              <w:rPr>
                <w:rFonts w:ascii="Calibri" w:eastAsia="Calibri" w:hAnsi="Calibri" w:cs="Calibri"/>
                <w:color w:val="000000" w:themeColor="text1"/>
                <w:sz w:val="20"/>
                <w:szCs w:val="20"/>
              </w:rPr>
              <w:t xml:space="preserve"> and west to </w:t>
            </w:r>
            <w:r w:rsidRPr="63C00A79">
              <w:rPr>
                <w:rFonts w:ascii="Calibri" w:eastAsia="Calibri" w:hAnsi="Calibri" w:cs="Calibri"/>
                <w:color w:val="000000" w:themeColor="text1"/>
                <w:sz w:val="20"/>
                <w:szCs w:val="20"/>
              </w:rPr>
              <w:t xml:space="preserve">Mount Isa, and our graduates are </w:t>
            </w:r>
            <w:r w:rsidR="095A9936" w:rsidRPr="63C00A79">
              <w:rPr>
                <w:rFonts w:ascii="Calibri" w:eastAsia="Calibri" w:hAnsi="Calibri" w:cs="Calibri"/>
                <w:color w:val="000000" w:themeColor="text1"/>
                <w:sz w:val="20"/>
                <w:szCs w:val="20"/>
              </w:rPr>
              <w:t xml:space="preserve">employed </w:t>
            </w:r>
            <w:r w:rsidR="47B4D146" w:rsidRPr="63C00A79">
              <w:rPr>
                <w:rFonts w:ascii="Calibri" w:eastAsia="Calibri" w:hAnsi="Calibri" w:cs="Calibri"/>
                <w:color w:val="000000" w:themeColor="text1"/>
                <w:sz w:val="20"/>
                <w:szCs w:val="20"/>
              </w:rPr>
              <w:t xml:space="preserve">in </w:t>
            </w:r>
            <w:r w:rsidRPr="63C00A79">
              <w:rPr>
                <w:rFonts w:ascii="Calibri" w:eastAsia="Calibri" w:hAnsi="Calibri" w:cs="Calibri"/>
                <w:color w:val="000000" w:themeColor="text1"/>
                <w:sz w:val="20"/>
                <w:szCs w:val="20"/>
              </w:rPr>
              <w:t xml:space="preserve">diverse workforce </w:t>
            </w:r>
            <w:r w:rsidR="4D9CA80F" w:rsidRPr="63C00A79">
              <w:rPr>
                <w:rFonts w:ascii="Calibri" w:eastAsia="Calibri" w:hAnsi="Calibri" w:cs="Calibri"/>
                <w:color w:val="000000" w:themeColor="text1"/>
                <w:sz w:val="20"/>
                <w:szCs w:val="20"/>
              </w:rPr>
              <w:t>sectors</w:t>
            </w:r>
            <w:r w:rsidRPr="63C00A79">
              <w:rPr>
                <w:rFonts w:ascii="Calibri" w:eastAsia="Calibri" w:hAnsi="Calibri" w:cs="Calibri"/>
                <w:color w:val="000000" w:themeColor="text1"/>
                <w:sz w:val="20"/>
                <w:szCs w:val="20"/>
              </w:rPr>
              <w:t xml:space="preserve"> across the north. JCU, with our Singapore campus, is a strong partner for Australian interests in the Indo-Pacific. </w:t>
            </w:r>
          </w:p>
          <w:p w14:paraId="31C4C977" w14:textId="18DBA1D4" w:rsidR="001B109C" w:rsidRDefault="2D345412" w:rsidP="00655E52">
            <w:pPr>
              <w:spacing w:before="240"/>
              <w:jc w:val="both"/>
              <w:rPr>
                <w:rFonts w:ascii="Calibri" w:eastAsia="Calibri" w:hAnsi="Calibri" w:cs="Calibri"/>
                <w:sz w:val="20"/>
                <w:szCs w:val="20"/>
              </w:rPr>
            </w:pPr>
            <w:r w:rsidRPr="63C00A79">
              <w:rPr>
                <w:rFonts w:ascii="Calibri" w:eastAsia="Calibri" w:hAnsi="Calibri" w:cs="Calibri"/>
                <w:sz w:val="20"/>
                <w:szCs w:val="20"/>
              </w:rPr>
              <w:t>Key objectives for 202</w:t>
            </w:r>
            <w:r w:rsidR="0E581E98" w:rsidRPr="63C00A79">
              <w:rPr>
                <w:rFonts w:ascii="Calibri" w:eastAsia="Calibri" w:hAnsi="Calibri" w:cs="Calibri"/>
                <w:sz w:val="20"/>
                <w:szCs w:val="20"/>
              </w:rPr>
              <w:t>5-2026</w:t>
            </w:r>
            <w:r w:rsidRPr="63C00A79">
              <w:rPr>
                <w:rFonts w:ascii="Calibri" w:eastAsia="Calibri" w:hAnsi="Calibri" w:cs="Calibri"/>
                <w:sz w:val="20"/>
                <w:szCs w:val="20"/>
              </w:rPr>
              <w:t xml:space="preserve">: </w:t>
            </w:r>
          </w:p>
          <w:p w14:paraId="520760BF" w14:textId="6B879C69" w:rsidR="001B109C" w:rsidRDefault="2D345412" w:rsidP="00655E52">
            <w:pPr>
              <w:spacing w:before="120" w:after="120"/>
              <w:jc w:val="both"/>
              <w:rPr>
                <w:rFonts w:ascii="Calibri" w:eastAsia="Calibri" w:hAnsi="Calibri" w:cs="Calibri"/>
                <w:sz w:val="20"/>
                <w:szCs w:val="20"/>
              </w:rPr>
            </w:pPr>
            <w:r w:rsidRPr="7F55EA4F">
              <w:rPr>
                <w:rFonts w:ascii="Calibri" w:eastAsia="Calibri" w:hAnsi="Calibri" w:cs="Calibri"/>
                <w:b/>
                <w:bCs/>
                <w:sz w:val="20"/>
                <w:szCs w:val="20"/>
              </w:rPr>
              <w:t>1.</w:t>
            </w:r>
            <w:r w:rsidR="00A44D3E">
              <w:rPr>
                <w:rFonts w:ascii="Calibri" w:eastAsia="Calibri" w:hAnsi="Calibri" w:cs="Calibri"/>
                <w:b/>
                <w:bCs/>
                <w:sz w:val="20"/>
                <w:szCs w:val="20"/>
              </w:rPr>
              <w:t xml:space="preserve"> </w:t>
            </w:r>
            <w:r w:rsidR="1807EF12" w:rsidRPr="7F55EA4F">
              <w:rPr>
                <w:rFonts w:ascii="Calibri" w:eastAsia="Calibri" w:hAnsi="Calibri" w:cs="Calibri"/>
                <w:b/>
                <w:bCs/>
                <w:sz w:val="20"/>
                <w:szCs w:val="20"/>
              </w:rPr>
              <w:t xml:space="preserve">Institutional </w:t>
            </w:r>
            <w:r w:rsidR="0A5F2919" w:rsidRPr="7F55EA4F">
              <w:rPr>
                <w:rFonts w:ascii="Calibri" w:eastAsia="Calibri" w:hAnsi="Calibri" w:cs="Calibri"/>
                <w:b/>
                <w:bCs/>
                <w:sz w:val="20"/>
                <w:szCs w:val="20"/>
              </w:rPr>
              <w:t>Su</w:t>
            </w:r>
            <w:r w:rsidRPr="7F55EA4F">
              <w:rPr>
                <w:rFonts w:ascii="Calibri" w:eastAsia="Calibri" w:hAnsi="Calibri" w:cs="Calibri"/>
                <w:b/>
                <w:bCs/>
                <w:sz w:val="20"/>
                <w:szCs w:val="20"/>
              </w:rPr>
              <w:t>stainability.</w:t>
            </w:r>
            <w:r w:rsidR="00A44D3E">
              <w:rPr>
                <w:rFonts w:ascii="Calibri" w:eastAsia="Calibri" w:hAnsi="Calibri" w:cs="Calibri"/>
                <w:sz w:val="20"/>
                <w:szCs w:val="20"/>
              </w:rPr>
              <w:t xml:space="preserve"> </w:t>
            </w:r>
            <w:r w:rsidR="7DEA6D4B" w:rsidRPr="7F55EA4F">
              <w:rPr>
                <w:rFonts w:ascii="Calibri" w:eastAsia="Calibri" w:hAnsi="Calibri" w:cs="Calibri"/>
                <w:sz w:val="20"/>
                <w:szCs w:val="20"/>
              </w:rPr>
              <w:t xml:space="preserve">The </w:t>
            </w:r>
            <w:r w:rsidR="4D80181B" w:rsidRPr="7F55EA4F">
              <w:rPr>
                <w:rFonts w:ascii="Calibri" w:eastAsia="Calibri" w:hAnsi="Calibri" w:cs="Calibri"/>
                <w:sz w:val="20"/>
                <w:szCs w:val="20"/>
              </w:rPr>
              <w:t xml:space="preserve">top </w:t>
            </w:r>
            <w:r w:rsidR="7DEA6D4B" w:rsidRPr="7F55EA4F">
              <w:rPr>
                <w:rFonts w:ascii="Calibri" w:eastAsia="Calibri" w:hAnsi="Calibri" w:cs="Calibri"/>
                <w:sz w:val="20"/>
                <w:szCs w:val="20"/>
              </w:rPr>
              <w:t>priority for J</w:t>
            </w:r>
            <w:r w:rsidRPr="7F55EA4F">
              <w:rPr>
                <w:rFonts w:ascii="Calibri" w:eastAsia="Calibri" w:hAnsi="Calibri" w:cs="Calibri"/>
                <w:sz w:val="20"/>
                <w:szCs w:val="20"/>
              </w:rPr>
              <w:t>CU</w:t>
            </w:r>
            <w:r w:rsidR="0B044B43" w:rsidRPr="7F55EA4F">
              <w:rPr>
                <w:rFonts w:ascii="Calibri" w:eastAsia="Calibri" w:hAnsi="Calibri" w:cs="Calibri"/>
                <w:sz w:val="20"/>
                <w:szCs w:val="20"/>
              </w:rPr>
              <w:t xml:space="preserve"> is working with Government </w:t>
            </w:r>
            <w:r w:rsidR="5FD4D060" w:rsidRPr="7F55EA4F">
              <w:rPr>
                <w:rFonts w:ascii="Calibri" w:eastAsia="Calibri" w:hAnsi="Calibri" w:cs="Calibri"/>
                <w:sz w:val="20"/>
                <w:szCs w:val="20"/>
              </w:rPr>
              <w:t xml:space="preserve">on </w:t>
            </w:r>
            <w:r w:rsidR="0C19E0A2" w:rsidRPr="7F55EA4F">
              <w:rPr>
                <w:rFonts w:ascii="Calibri" w:eastAsia="Calibri" w:hAnsi="Calibri" w:cs="Calibri"/>
                <w:sz w:val="20"/>
                <w:szCs w:val="20"/>
              </w:rPr>
              <w:t>sector</w:t>
            </w:r>
            <w:r w:rsidR="6739777B" w:rsidRPr="7F55EA4F">
              <w:rPr>
                <w:rFonts w:ascii="Calibri" w:eastAsia="Calibri" w:hAnsi="Calibri" w:cs="Calibri"/>
                <w:sz w:val="20"/>
                <w:szCs w:val="20"/>
              </w:rPr>
              <w:t>al</w:t>
            </w:r>
            <w:r w:rsidR="0C19E0A2" w:rsidRPr="7F55EA4F">
              <w:rPr>
                <w:rFonts w:ascii="Calibri" w:eastAsia="Calibri" w:hAnsi="Calibri" w:cs="Calibri"/>
                <w:sz w:val="20"/>
                <w:szCs w:val="20"/>
              </w:rPr>
              <w:t xml:space="preserve"> funding</w:t>
            </w:r>
            <w:r w:rsidR="0B044B43" w:rsidRPr="7F55EA4F">
              <w:rPr>
                <w:rFonts w:ascii="Calibri" w:eastAsia="Calibri" w:hAnsi="Calibri" w:cs="Calibri"/>
                <w:sz w:val="20"/>
                <w:szCs w:val="20"/>
              </w:rPr>
              <w:t xml:space="preserve"> settings </w:t>
            </w:r>
            <w:r w:rsidR="715DCDBB" w:rsidRPr="7F55EA4F">
              <w:rPr>
                <w:rFonts w:ascii="Calibri" w:eastAsia="Calibri" w:hAnsi="Calibri" w:cs="Calibri"/>
                <w:sz w:val="20"/>
                <w:szCs w:val="20"/>
              </w:rPr>
              <w:t xml:space="preserve">that </w:t>
            </w:r>
            <w:r w:rsidR="0B044B43" w:rsidRPr="7F55EA4F">
              <w:rPr>
                <w:rFonts w:ascii="Calibri" w:eastAsia="Calibri" w:hAnsi="Calibri" w:cs="Calibri"/>
                <w:sz w:val="20"/>
                <w:szCs w:val="20"/>
              </w:rPr>
              <w:t xml:space="preserve">allow </w:t>
            </w:r>
            <w:r w:rsidR="1A49CB66" w:rsidRPr="7F55EA4F">
              <w:rPr>
                <w:rFonts w:ascii="Calibri" w:eastAsia="Calibri" w:hAnsi="Calibri" w:cs="Calibri"/>
                <w:sz w:val="20"/>
                <w:szCs w:val="20"/>
              </w:rPr>
              <w:t xml:space="preserve">for </w:t>
            </w:r>
            <w:r w:rsidR="6D857F55" w:rsidRPr="7F55EA4F">
              <w:rPr>
                <w:rFonts w:ascii="Calibri" w:eastAsia="Calibri" w:hAnsi="Calibri" w:cs="Calibri"/>
                <w:sz w:val="20"/>
                <w:szCs w:val="20"/>
              </w:rPr>
              <w:t>people</w:t>
            </w:r>
            <w:r w:rsidR="529D0EE1" w:rsidRPr="7F55EA4F">
              <w:rPr>
                <w:rFonts w:ascii="Calibri" w:eastAsia="Calibri" w:hAnsi="Calibri" w:cs="Calibri"/>
                <w:sz w:val="20"/>
                <w:szCs w:val="20"/>
              </w:rPr>
              <w:t xml:space="preserve"> to </w:t>
            </w:r>
            <w:r w:rsidR="41C0B52C" w:rsidRPr="7F55EA4F">
              <w:rPr>
                <w:rFonts w:ascii="Calibri" w:eastAsia="Calibri" w:hAnsi="Calibri" w:cs="Calibri"/>
                <w:sz w:val="20"/>
                <w:szCs w:val="20"/>
              </w:rPr>
              <w:t>access high</w:t>
            </w:r>
            <w:r w:rsidR="402A15A8" w:rsidRPr="7F55EA4F">
              <w:rPr>
                <w:rFonts w:ascii="Calibri" w:eastAsia="Calibri" w:hAnsi="Calibri" w:cs="Calibri"/>
                <w:sz w:val="20"/>
                <w:szCs w:val="20"/>
              </w:rPr>
              <w:t>-</w:t>
            </w:r>
            <w:r w:rsidR="41C0B52C" w:rsidRPr="7F55EA4F">
              <w:rPr>
                <w:rFonts w:ascii="Calibri" w:eastAsia="Calibri" w:hAnsi="Calibri" w:cs="Calibri"/>
                <w:sz w:val="20"/>
                <w:szCs w:val="20"/>
              </w:rPr>
              <w:t xml:space="preserve">quality </w:t>
            </w:r>
            <w:r w:rsidR="529D0EE1" w:rsidRPr="7F55EA4F">
              <w:rPr>
                <w:rFonts w:ascii="Calibri" w:eastAsia="Calibri" w:hAnsi="Calibri" w:cs="Calibri"/>
                <w:sz w:val="20"/>
                <w:szCs w:val="20"/>
              </w:rPr>
              <w:t>higher education</w:t>
            </w:r>
            <w:r w:rsidR="1DD6A9AE" w:rsidRPr="7F55EA4F">
              <w:rPr>
                <w:rFonts w:ascii="Calibri" w:eastAsia="Calibri" w:hAnsi="Calibri" w:cs="Calibri"/>
                <w:sz w:val="20"/>
                <w:szCs w:val="20"/>
              </w:rPr>
              <w:t xml:space="preserve"> in northern Queensland</w:t>
            </w:r>
            <w:r w:rsidR="1D92E5CE" w:rsidRPr="7F55EA4F">
              <w:rPr>
                <w:rFonts w:ascii="Calibri" w:eastAsia="Calibri" w:hAnsi="Calibri" w:cs="Calibri"/>
                <w:sz w:val="20"/>
                <w:szCs w:val="20"/>
              </w:rPr>
              <w:t xml:space="preserve">. </w:t>
            </w:r>
          </w:p>
          <w:p w14:paraId="4CD8313D" w14:textId="24383CC6" w:rsidR="001B109C" w:rsidRDefault="4E243C94" w:rsidP="00655E52">
            <w:pPr>
              <w:spacing w:before="120" w:after="120"/>
              <w:jc w:val="both"/>
              <w:rPr>
                <w:rFonts w:ascii="Calibri" w:eastAsia="Calibri" w:hAnsi="Calibri" w:cs="Calibri"/>
                <w:sz w:val="20"/>
                <w:szCs w:val="20"/>
              </w:rPr>
            </w:pPr>
            <w:r w:rsidRPr="63C00A79">
              <w:rPr>
                <w:rFonts w:ascii="Calibri" w:eastAsia="Calibri" w:hAnsi="Calibri" w:cs="Calibri"/>
                <w:sz w:val="20"/>
                <w:szCs w:val="20"/>
              </w:rPr>
              <w:t xml:space="preserve">JCU </w:t>
            </w:r>
            <w:r w:rsidR="00783663">
              <w:rPr>
                <w:rFonts w:ascii="Calibri" w:eastAsia="Calibri" w:hAnsi="Calibri" w:cs="Calibri"/>
                <w:sz w:val="20"/>
                <w:szCs w:val="20"/>
              </w:rPr>
              <w:t xml:space="preserve">already </w:t>
            </w:r>
            <w:r w:rsidRPr="63C00A79">
              <w:rPr>
                <w:rFonts w:ascii="Calibri" w:eastAsia="Calibri" w:hAnsi="Calibri" w:cs="Calibri"/>
                <w:sz w:val="20"/>
                <w:szCs w:val="20"/>
              </w:rPr>
              <w:t xml:space="preserve">delivers outstanding </w:t>
            </w:r>
            <w:r w:rsidR="1A72A9A0" w:rsidRPr="63C00A79">
              <w:rPr>
                <w:rFonts w:ascii="Calibri" w:eastAsia="Calibri" w:hAnsi="Calibri" w:cs="Calibri"/>
                <w:sz w:val="20"/>
                <w:szCs w:val="20"/>
              </w:rPr>
              <w:t xml:space="preserve">student </w:t>
            </w:r>
            <w:r w:rsidRPr="63C00A79">
              <w:rPr>
                <w:rFonts w:ascii="Calibri" w:eastAsia="Calibri" w:hAnsi="Calibri" w:cs="Calibri"/>
                <w:sz w:val="20"/>
                <w:szCs w:val="20"/>
              </w:rPr>
              <w:t>equity outcomes</w:t>
            </w:r>
            <w:r w:rsidR="50322153" w:rsidRPr="63C00A79">
              <w:rPr>
                <w:rFonts w:ascii="Calibri" w:eastAsia="Calibri" w:hAnsi="Calibri" w:cs="Calibri"/>
                <w:sz w:val="20"/>
                <w:szCs w:val="20"/>
              </w:rPr>
              <w:t>. We are</w:t>
            </w:r>
            <w:r w:rsidR="6C4A4478" w:rsidRPr="63C00A79">
              <w:rPr>
                <w:rFonts w:ascii="Calibri" w:eastAsia="Calibri" w:hAnsi="Calibri" w:cs="Calibri"/>
                <w:sz w:val="20"/>
                <w:szCs w:val="20"/>
              </w:rPr>
              <w:t xml:space="preserve"> committed to </w:t>
            </w:r>
            <w:r w:rsidR="6F78B539" w:rsidRPr="63C00A79">
              <w:rPr>
                <w:rFonts w:ascii="Calibri" w:eastAsia="Calibri" w:hAnsi="Calibri" w:cs="Calibri"/>
                <w:sz w:val="20"/>
                <w:szCs w:val="20"/>
              </w:rPr>
              <w:t xml:space="preserve">raising educational attainment rates </w:t>
            </w:r>
            <w:r w:rsidR="00783663">
              <w:rPr>
                <w:rFonts w:ascii="Calibri" w:eastAsia="Calibri" w:hAnsi="Calibri" w:cs="Calibri"/>
                <w:sz w:val="20"/>
                <w:szCs w:val="20"/>
              </w:rPr>
              <w:t xml:space="preserve">further </w:t>
            </w:r>
            <w:r w:rsidR="52C6058E" w:rsidRPr="63C00A79">
              <w:rPr>
                <w:rFonts w:ascii="Calibri" w:eastAsia="Calibri" w:hAnsi="Calibri" w:cs="Calibri"/>
                <w:sz w:val="20"/>
                <w:szCs w:val="20"/>
              </w:rPr>
              <w:t xml:space="preserve">through </w:t>
            </w:r>
            <w:r w:rsidRPr="63C00A79">
              <w:rPr>
                <w:rFonts w:ascii="Calibri" w:eastAsia="Calibri" w:hAnsi="Calibri" w:cs="Calibri"/>
                <w:sz w:val="20"/>
                <w:szCs w:val="20"/>
              </w:rPr>
              <w:t xml:space="preserve">growing the </w:t>
            </w:r>
            <w:r w:rsidR="5A780FC4" w:rsidRPr="63C00A79">
              <w:rPr>
                <w:rFonts w:ascii="Calibri" w:eastAsia="Calibri" w:hAnsi="Calibri" w:cs="Calibri"/>
                <w:sz w:val="20"/>
                <w:szCs w:val="20"/>
              </w:rPr>
              <w:t>number</w:t>
            </w:r>
            <w:r w:rsidR="00783663">
              <w:rPr>
                <w:rFonts w:ascii="Calibri" w:eastAsia="Calibri" w:hAnsi="Calibri" w:cs="Calibri"/>
                <w:sz w:val="20"/>
                <w:szCs w:val="20"/>
              </w:rPr>
              <w:t>s</w:t>
            </w:r>
            <w:r w:rsidR="5A780FC4" w:rsidRPr="63C00A79">
              <w:rPr>
                <w:rFonts w:ascii="Calibri" w:eastAsia="Calibri" w:hAnsi="Calibri" w:cs="Calibri"/>
                <w:sz w:val="20"/>
                <w:szCs w:val="20"/>
              </w:rPr>
              <w:t xml:space="preserve"> of </w:t>
            </w:r>
            <w:r w:rsidR="00783663">
              <w:rPr>
                <w:rFonts w:ascii="Calibri" w:eastAsia="Calibri" w:hAnsi="Calibri" w:cs="Calibri"/>
                <w:sz w:val="20"/>
                <w:szCs w:val="20"/>
              </w:rPr>
              <w:t xml:space="preserve">both </w:t>
            </w:r>
            <w:r w:rsidR="7279DDD5" w:rsidRPr="63C00A79">
              <w:rPr>
                <w:rFonts w:ascii="Calibri" w:eastAsia="Calibri" w:hAnsi="Calibri" w:cs="Calibri"/>
                <w:sz w:val="20"/>
                <w:szCs w:val="20"/>
              </w:rPr>
              <w:t xml:space="preserve">school and post-school leavers </w:t>
            </w:r>
            <w:r w:rsidR="07CBBD4B" w:rsidRPr="63C00A79">
              <w:rPr>
                <w:rFonts w:ascii="Calibri" w:eastAsia="Calibri" w:hAnsi="Calibri" w:cs="Calibri"/>
                <w:sz w:val="20"/>
                <w:szCs w:val="20"/>
              </w:rPr>
              <w:t>w</w:t>
            </w:r>
            <w:r w:rsidR="2178DEC2" w:rsidRPr="63C00A79">
              <w:rPr>
                <w:rFonts w:ascii="Calibri" w:eastAsia="Calibri" w:hAnsi="Calibri" w:cs="Calibri"/>
                <w:sz w:val="20"/>
                <w:szCs w:val="20"/>
              </w:rPr>
              <w:t xml:space="preserve">ith </w:t>
            </w:r>
            <w:r w:rsidR="126B8F0E" w:rsidRPr="63C00A79">
              <w:rPr>
                <w:rFonts w:ascii="Calibri" w:eastAsia="Calibri" w:hAnsi="Calibri" w:cs="Calibri"/>
                <w:sz w:val="20"/>
                <w:szCs w:val="20"/>
              </w:rPr>
              <w:t xml:space="preserve">the </w:t>
            </w:r>
            <w:r w:rsidR="07CBBD4B" w:rsidRPr="63C00A79">
              <w:rPr>
                <w:rFonts w:ascii="Calibri" w:eastAsia="Calibri" w:hAnsi="Calibri" w:cs="Calibri"/>
                <w:sz w:val="20"/>
                <w:szCs w:val="20"/>
              </w:rPr>
              <w:t>capability to engage in tertiary education (whether VET or Higher Education)</w:t>
            </w:r>
            <w:r w:rsidR="00783663">
              <w:rPr>
                <w:rFonts w:ascii="Calibri" w:eastAsia="Calibri" w:hAnsi="Calibri" w:cs="Calibri"/>
                <w:sz w:val="20"/>
                <w:szCs w:val="20"/>
              </w:rPr>
              <w:t>.</w:t>
            </w:r>
            <w:r w:rsidR="640C109F" w:rsidRPr="63C00A79">
              <w:rPr>
                <w:rFonts w:ascii="Calibri" w:eastAsia="Calibri" w:hAnsi="Calibri" w:cs="Calibri"/>
                <w:sz w:val="20"/>
                <w:szCs w:val="20"/>
              </w:rPr>
              <w:t xml:space="preserve"> </w:t>
            </w:r>
            <w:r w:rsidR="00783663">
              <w:rPr>
                <w:rFonts w:ascii="Calibri" w:eastAsia="Calibri" w:hAnsi="Calibri" w:cs="Calibri"/>
                <w:sz w:val="20"/>
                <w:szCs w:val="20"/>
              </w:rPr>
              <w:t>This will need a</w:t>
            </w:r>
            <w:r w:rsidR="00783663" w:rsidRPr="63C00A79">
              <w:rPr>
                <w:rFonts w:ascii="Calibri" w:eastAsia="Calibri" w:hAnsi="Calibri" w:cs="Calibri"/>
                <w:sz w:val="20"/>
                <w:szCs w:val="20"/>
              </w:rPr>
              <w:t xml:space="preserve"> </w:t>
            </w:r>
            <w:r w:rsidR="640C109F" w:rsidRPr="63C00A79">
              <w:rPr>
                <w:rFonts w:ascii="Calibri" w:eastAsia="Calibri" w:hAnsi="Calibri" w:cs="Calibri"/>
                <w:sz w:val="20"/>
                <w:szCs w:val="20"/>
              </w:rPr>
              <w:t xml:space="preserve">long-term </w:t>
            </w:r>
            <w:r w:rsidR="00783663">
              <w:rPr>
                <w:rFonts w:ascii="Calibri" w:eastAsia="Calibri" w:hAnsi="Calibri" w:cs="Calibri"/>
                <w:sz w:val="20"/>
                <w:szCs w:val="20"/>
              </w:rPr>
              <w:t>focus</w:t>
            </w:r>
            <w:r w:rsidR="00783663" w:rsidRPr="63C00A79">
              <w:rPr>
                <w:rFonts w:ascii="Calibri" w:eastAsia="Calibri" w:hAnsi="Calibri" w:cs="Calibri"/>
                <w:sz w:val="20"/>
                <w:szCs w:val="20"/>
              </w:rPr>
              <w:t xml:space="preserve"> </w:t>
            </w:r>
            <w:r w:rsidR="00783663">
              <w:rPr>
                <w:rFonts w:ascii="Calibri" w:eastAsia="Calibri" w:hAnsi="Calibri" w:cs="Calibri"/>
                <w:sz w:val="20"/>
                <w:szCs w:val="20"/>
              </w:rPr>
              <w:t xml:space="preserve">working </w:t>
            </w:r>
            <w:r w:rsidR="640C109F" w:rsidRPr="63C00A79">
              <w:rPr>
                <w:rFonts w:ascii="Calibri" w:eastAsia="Calibri" w:hAnsi="Calibri" w:cs="Calibri"/>
                <w:sz w:val="20"/>
                <w:szCs w:val="20"/>
              </w:rPr>
              <w:t>with educational partners (schools</w:t>
            </w:r>
            <w:r w:rsidR="4F1A7BBD" w:rsidRPr="63C00A79">
              <w:rPr>
                <w:rFonts w:ascii="Calibri" w:eastAsia="Calibri" w:hAnsi="Calibri" w:cs="Calibri"/>
                <w:sz w:val="20"/>
                <w:szCs w:val="20"/>
              </w:rPr>
              <w:t xml:space="preserve"> and </w:t>
            </w:r>
            <w:r w:rsidR="640C109F" w:rsidRPr="63C00A79">
              <w:rPr>
                <w:rFonts w:ascii="Calibri" w:eastAsia="Calibri" w:hAnsi="Calibri" w:cs="Calibri"/>
                <w:sz w:val="20"/>
                <w:szCs w:val="20"/>
              </w:rPr>
              <w:t>TAFE) in northern Queensland under a Regional Learning System approach.</w:t>
            </w:r>
            <w:r w:rsidR="00A44D3E">
              <w:rPr>
                <w:rFonts w:ascii="Calibri" w:eastAsia="Calibri" w:hAnsi="Calibri" w:cs="Calibri"/>
                <w:sz w:val="20"/>
                <w:szCs w:val="20"/>
              </w:rPr>
              <w:t xml:space="preserve"> </w:t>
            </w:r>
            <w:r w:rsidR="640C109F" w:rsidRPr="63C00A79">
              <w:rPr>
                <w:rFonts w:ascii="Calibri" w:eastAsia="Calibri" w:hAnsi="Calibri" w:cs="Calibri"/>
                <w:sz w:val="20"/>
                <w:szCs w:val="20"/>
              </w:rPr>
              <w:t xml:space="preserve">This is essential if </w:t>
            </w:r>
            <w:r w:rsidR="61A4F90C" w:rsidRPr="63C00A79">
              <w:rPr>
                <w:rFonts w:ascii="Calibri" w:eastAsia="Calibri" w:hAnsi="Calibri" w:cs="Calibri"/>
                <w:sz w:val="20"/>
                <w:szCs w:val="20"/>
              </w:rPr>
              <w:t>n</w:t>
            </w:r>
            <w:r w:rsidR="640C109F" w:rsidRPr="63C00A79">
              <w:rPr>
                <w:rFonts w:ascii="Calibri" w:eastAsia="Calibri" w:hAnsi="Calibri" w:cs="Calibri"/>
                <w:sz w:val="20"/>
                <w:szCs w:val="20"/>
              </w:rPr>
              <w:t xml:space="preserve">orthern Queensland </w:t>
            </w:r>
            <w:r w:rsidR="01829197" w:rsidRPr="63C00A79">
              <w:rPr>
                <w:rFonts w:ascii="Calibri" w:eastAsia="Calibri" w:hAnsi="Calibri" w:cs="Calibri"/>
                <w:sz w:val="20"/>
                <w:szCs w:val="20"/>
              </w:rPr>
              <w:t xml:space="preserve">is </w:t>
            </w:r>
            <w:r w:rsidR="640C109F" w:rsidRPr="63C00A79">
              <w:rPr>
                <w:rFonts w:ascii="Calibri" w:eastAsia="Calibri" w:hAnsi="Calibri" w:cs="Calibri"/>
                <w:sz w:val="20"/>
                <w:szCs w:val="20"/>
              </w:rPr>
              <w:t xml:space="preserve">to reach the </w:t>
            </w:r>
            <w:r w:rsidR="0380B4DE" w:rsidRPr="63C00A79">
              <w:rPr>
                <w:rFonts w:ascii="Calibri" w:eastAsia="Calibri" w:hAnsi="Calibri" w:cs="Calibri"/>
                <w:sz w:val="20"/>
                <w:szCs w:val="20"/>
              </w:rPr>
              <w:t>A</w:t>
            </w:r>
            <w:r w:rsidR="640C109F" w:rsidRPr="63C00A79">
              <w:rPr>
                <w:rFonts w:ascii="Calibri" w:eastAsia="Calibri" w:hAnsi="Calibri" w:cs="Calibri"/>
                <w:sz w:val="20"/>
                <w:szCs w:val="20"/>
              </w:rPr>
              <w:t>ccord</w:t>
            </w:r>
            <w:r w:rsidR="53A9974F" w:rsidRPr="63C00A79">
              <w:rPr>
                <w:rFonts w:ascii="Calibri" w:eastAsia="Calibri" w:hAnsi="Calibri" w:cs="Calibri"/>
                <w:sz w:val="20"/>
                <w:szCs w:val="20"/>
              </w:rPr>
              <w:t>’s</w:t>
            </w:r>
            <w:r w:rsidR="640C109F" w:rsidRPr="63C00A79">
              <w:rPr>
                <w:rFonts w:ascii="Calibri" w:eastAsia="Calibri" w:hAnsi="Calibri" w:cs="Calibri"/>
                <w:sz w:val="20"/>
                <w:szCs w:val="20"/>
              </w:rPr>
              <w:t xml:space="preserve"> educational targets and </w:t>
            </w:r>
            <w:r w:rsidR="00783663">
              <w:rPr>
                <w:rFonts w:ascii="Calibri" w:eastAsia="Calibri" w:hAnsi="Calibri" w:cs="Calibri"/>
                <w:sz w:val="20"/>
                <w:szCs w:val="20"/>
              </w:rPr>
              <w:t xml:space="preserve">if we are </w:t>
            </w:r>
            <w:r w:rsidR="640C109F" w:rsidRPr="63C00A79">
              <w:rPr>
                <w:rFonts w:ascii="Calibri" w:eastAsia="Calibri" w:hAnsi="Calibri" w:cs="Calibri"/>
                <w:sz w:val="20"/>
                <w:szCs w:val="20"/>
              </w:rPr>
              <w:t>to Close the Gap</w:t>
            </w:r>
            <w:r w:rsidR="07BEABD6" w:rsidRPr="63C00A79">
              <w:rPr>
                <w:rFonts w:ascii="Calibri" w:eastAsia="Calibri" w:hAnsi="Calibri" w:cs="Calibri"/>
                <w:sz w:val="20"/>
                <w:szCs w:val="20"/>
              </w:rPr>
              <w:t xml:space="preserve"> in Indigenous outcomes</w:t>
            </w:r>
            <w:r w:rsidR="00783663">
              <w:rPr>
                <w:rFonts w:ascii="Calibri" w:eastAsia="Calibri" w:hAnsi="Calibri" w:cs="Calibri"/>
                <w:sz w:val="20"/>
                <w:szCs w:val="20"/>
              </w:rPr>
              <w:t>.</w:t>
            </w:r>
            <w:r w:rsidR="07BEABD6" w:rsidRPr="63C00A79">
              <w:rPr>
                <w:rFonts w:ascii="Calibri" w:eastAsia="Calibri" w:hAnsi="Calibri" w:cs="Calibri"/>
                <w:sz w:val="20"/>
                <w:szCs w:val="20"/>
              </w:rPr>
              <w:t xml:space="preserve"> </w:t>
            </w:r>
            <w:r w:rsidR="00783663">
              <w:rPr>
                <w:rFonts w:ascii="Calibri" w:eastAsia="Calibri" w:hAnsi="Calibri" w:cs="Calibri"/>
                <w:sz w:val="20"/>
                <w:szCs w:val="20"/>
              </w:rPr>
              <w:t>It will need</w:t>
            </w:r>
            <w:r w:rsidR="07BEABD6" w:rsidRPr="63C00A79">
              <w:rPr>
                <w:rFonts w:ascii="Calibri" w:eastAsia="Calibri" w:hAnsi="Calibri" w:cs="Calibri"/>
                <w:sz w:val="20"/>
                <w:szCs w:val="20"/>
              </w:rPr>
              <w:t xml:space="preserve"> place-based agreement-making and </w:t>
            </w:r>
            <w:r w:rsidR="00783663">
              <w:rPr>
                <w:rFonts w:ascii="Calibri" w:eastAsia="Calibri" w:hAnsi="Calibri" w:cs="Calibri"/>
                <w:sz w:val="20"/>
                <w:szCs w:val="20"/>
              </w:rPr>
              <w:t xml:space="preserve">clear </w:t>
            </w:r>
            <w:r w:rsidR="07BEABD6" w:rsidRPr="63C00A79">
              <w:rPr>
                <w:rFonts w:ascii="Calibri" w:eastAsia="Calibri" w:hAnsi="Calibri" w:cs="Calibri"/>
                <w:sz w:val="20"/>
                <w:szCs w:val="20"/>
              </w:rPr>
              <w:t>accountability</w:t>
            </w:r>
            <w:r w:rsidR="00783663">
              <w:rPr>
                <w:rFonts w:ascii="Calibri" w:eastAsia="Calibri" w:hAnsi="Calibri" w:cs="Calibri"/>
                <w:sz w:val="20"/>
                <w:szCs w:val="20"/>
              </w:rPr>
              <w:t>;</w:t>
            </w:r>
            <w:r w:rsidR="00783663" w:rsidRPr="63C00A79">
              <w:rPr>
                <w:rFonts w:ascii="Calibri" w:eastAsia="Calibri" w:hAnsi="Calibri" w:cs="Calibri"/>
                <w:sz w:val="20"/>
                <w:szCs w:val="20"/>
              </w:rPr>
              <w:t xml:space="preserve"> </w:t>
            </w:r>
            <w:r w:rsidR="38A5392C" w:rsidRPr="63C00A79">
              <w:rPr>
                <w:rFonts w:ascii="Calibri" w:eastAsia="Calibri" w:hAnsi="Calibri" w:cs="Calibri"/>
                <w:sz w:val="20"/>
                <w:szCs w:val="20"/>
              </w:rPr>
              <w:t xml:space="preserve">this </w:t>
            </w:r>
            <w:r w:rsidR="07BEABD6" w:rsidRPr="63C00A79">
              <w:rPr>
                <w:rFonts w:ascii="Calibri" w:eastAsia="Calibri" w:hAnsi="Calibri" w:cs="Calibri"/>
                <w:sz w:val="20"/>
                <w:szCs w:val="20"/>
              </w:rPr>
              <w:t>Compact a</w:t>
            </w:r>
            <w:r w:rsidR="72D437A1" w:rsidRPr="63C00A79">
              <w:rPr>
                <w:rFonts w:ascii="Calibri" w:eastAsia="Calibri" w:hAnsi="Calibri" w:cs="Calibri"/>
                <w:sz w:val="20"/>
                <w:szCs w:val="20"/>
              </w:rPr>
              <w:t>s a</w:t>
            </w:r>
            <w:r w:rsidR="3EB22AA2" w:rsidRPr="63C00A79">
              <w:rPr>
                <w:rFonts w:ascii="Calibri" w:eastAsia="Calibri" w:hAnsi="Calibri" w:cs="Calibri"/>
                <w:sz w:val="20"/>
                <w:szCs w:val="20"/>
              </w:rPr>
              <w:t>n important element of facilitating inter-governmental alignment.</w:t>
            </w:r>
          </w:p>
          <w:p w14:paraId="11388F82" w14:textId="0D6158AC" w:rsidR="001B109C" w:rsidRDefault="3BF6BF14" w:rsidP="00655E52">
            <w:pPr>
              <w:spacing w:before="120" w:after="120"/>
              <w:jc w:val="both"/>
              <w:rPr>
                <w:rFonts w:ascii="Calibri" w:eastAsia="Calibri" w:hAnsi="Calibri" w:cs="Calibri"/>
                <w:sz w:val="20"/>
                <w:szCs w:val="20"/>
              </w:rPr>
            </w:pPr>
            <w:r w:rsidRPr="0C8AAB80">
              <w:rPr>
                <w:rFonts w:ascii="Calibri" w:eastAsia="Calibri" w:hAnsi="Calibri" w:cs="Calibri"/>
                <w:sz w:val="20"/>
                <w:szCs w:val="20"/>
              </w:rPr>
              <w:t xml:space="preserve">JCU needs to invest in pre-tertiary capability building </w:t>
            </w:r>
            <w:r w:rsidR="69AF21B7" w:rsidRPr="0C8AAB80">
              <w:rPr>
                <w:rFonts w:ascii="Calibri" w:eastAsia="Calibri" w:hAnsi="Calibri" w:cs="Calibri"/>
                <w:sz w:val="20"/>
                <w:szCs w:val="20"/>
              </w:rPr>
              <w:t xml:space="preserve">and simultaneously </w:t>
            </w:r>
            <w:r w:rsidRPr="0C8AAB80">
              <w:rPr>
                <w:rFonts w:ascii="Calibri" w:eastAsia="Calibri" w:hAnsi="Calibri" w:cs="Calibri"/>
                <w:sz w:val="20"/>
                <w:szCs w:val="20"/>
              </w:rPr>
              <w:t xml:space="preserve">maintain </w:t>
            </w:r>
            <w:r w:rsidR="05E9DC9D" w:rsidRPr="0C8AAB80">
              <w:rPr>
                <w:rFonts w:ascii="Calibri" w:eastAsia="Calibri" w:hAnsi="Calibri" w:cs="Calibri"/>
                <w:sz w:val="20"/>
                <w:szCs w:val="20"/>
              </w:rPr>
              <w:t xml:space="preserve">current </w:t>
            </w:r>
            <w:r w:rsidRPr="0C8AAB80">
              <w:rPr>
                <w:rFonts w:ascii="Calibri" w:eastAsia="Calibri" w:hAnsi="Calibri" w:cs="Calibri"/>
                <w:sz w:val="20"/>
                <w:szCs w:val="20"/>
              </w:rPr>
              <w:t>access to compreh</w:t>
            </w:r>
            <w:r w:rsidR="335D35CE" w:rsidRPr="0C8AAB80">
              <w:rPr>
                <w:rFonts w:ascii="Calibri" w:eastAsia="Calibri" w:hAnsi="Calibri" w:cs="Calibri"/>
                <w:sz w:val="20"/>
                <w:szCs w:val="20"/>
              </w:rPr>
              <w:t xml:space="preserve">ensive, high-quality, </w:t>
            </w:r>
            <w:r w:rsidR="00783663">
              <w:rPr>
                <w:rFonts w:ascii="Calibri" w:eastAsia="Calibri" w:hAnsi="Calibri" w:cs="Calibri"/>
                <w:sz w:val="20"/>
                <w:szCs w:val="20"/>
              </w:rPr>
              <w:t xml:space="preserve">higher education </w:t>
            </w:r>
            <w:r w:rsidR="335D35CE" w:rsidRPr="0C8AAB80">
              <w:rPr>
                <w:rFonts w:ascii="Calibri" w:eastAsia="Calibri" w:hAnsi="Calibri" w:cs="Calibri"/>
                <w:sz w:val="20"/>
                <w:szCs w:val="20"/>
              </w:rPr>
              <w:t xml:space="preserve">opportunities. </w:t>
            </w:r>
            <w:r w:rsidR="54829DC8" w:rsidRPr="0C8AAB80">
              <w:rPr>
                <w:rFonts w:ascii="Calibri" w:eastAsia="Calibri" w:hAnsi="Calibri" w:cs="Calibri"/>
                <w:sz w:val="20"/>
                <w:szCs w:val="20"/>
              </w:rPr>
              <w:t>Current</w:t>
            </w:r>
            <w:r w:rsidR="4E2070AD" w:rsidRPr="0C8AAB80">
              <w:rPr>
                <w:rFonts w:ascii="Calibri" w:eastAsia="Calibri" w:hAnsi="Calibri" w:cs="Calibri"/>
                <w:sz w:val="20"/>
                <w:szCs w:val="20"/>
              </w:rPr>
              <w:t xml:space="preserve"> Commonwealth</w:t>
            </w:r>
            <w:r w:rsidR="54829DC8" w:rsidRPr="0C8AAB80">
              <w:rPr>
                <w:rFonts w:ascii="Calibri" w:eastAsia="Calibri" w:hAnsi="Calibri" w:cs="Calibri"/>
                <w:sz w:val="20"/>
                <w:szCs w:val="20"/>
              </w:rPr>
              <w:t xml:space="preserve"> funding </w:t>
            </w:r>
            <w:r w:rsidR="323B44F5" w:rsidRPr="0C8AAB80">
              <w:rPr>
                <w:rFonts w:ascii="Calibri" w:eastAsia="Calibri" w:hAnsi="Calibri" w:cs="Calibri"/>
                <w:sz w:val="20"/>
                <w:szCs w:val="20"/>
              </w:rPr>
              <w:t>arrang</w:t>
            </w:r>
            <w:r w:rsidR="26A06C75" w:rsidRPr="0C8AAB80">
              <w:rPr>
                <w:rFonts w:ascii="Calibri" w:eastAsia="Calibri" w:hAnsi="Calibri" w:cs="Calibri"/>
                <w:sz w:val="20"/>
                <w:szCs w:val="20"/>
              </w:rPr>
              <w:t>e</w:t>
            </w:r>
            <w:r w:rsidR="323B44F5" w:rsidRPr="0C8AAB80">
              <w:rPr>
                <w:rFonts w:ascii="Calibri" w:eastAsia="Calibri" w:hAnsi="Calibri" w:cs="Calibri"/>
                <w:sz w:val="20"/>
                <w:szCs w:val="20"/>
              </w:rPr>
              <w:t>ments</w:t>
            </w:r>
            <w:r w:rsidR="54829DC8" w:rsidRPr="0C8AAB80">
              <w:rPr>
                <w:rFonts w:ascii="Calibri" w:eastAsia="Calibri" w:hAnsi="Calibri" w:cs="Calibri"/>
                <w:sz w:val="20"/>
                <w:szCs w:val="20"/>
              </w:rPr>
              <w:t xml:space="preserve"> </w:t>
            </w:r>
            <w:r w:rsidR="00783663">
              <w:rPr>
                <w:rFonts w:ascii="Calibri" w:eastAsia="Calibri" w:hAnsi="Calibri" w:cs="Calibri"/>
                <w:sz w:val="20"/>
                <w:szCs w:val="20"/>
              </w:rPr>
              <w:t>favour</w:t>
            </w:r>
            <w:r w:rsidR="5D4CDB3B" w:rsidRPr="0C8AAB80">
              <w:rPr>
                <w:rFonts w:ascii="Calibri" w:eastAsia="Calibri" w:hAnsi="Calibri" w:cs="Calibri"/>
                <w:sz w:val="20"/>
                <w:szCs w:val="20"/>
              </w:rPr>
              <w:t xml:space="preserve"> large</w:t>
            </w:r>
            <w:r w:rsidR="00783663">
              <w:rPr>
                <w:rFonts w:ascii="Calibri" w:eastAsia="Calibri" w:hAnsi="Calibri" w:cs="Calibri"/>
                <w:sz w:val="20"/>
                <w:szCs w:val="20"/>
              </w:rPr>
              <w:t xml:space="preserve"> student numbers</w:t>
            </w:r>
            <w:r w:rsidR="5BDDF4D1" w:rsidRPr="0C8AAB80">
              <w:rPr>
                <w:rFonts w:ascii="Calibri" w:eastAsia="Calibri" w:hAnsi="Calibri" w:cs="Calibri"/>
                <w:sz w:val="20"/>
                <w:szCs w:val="20"/>
              </w:rPr>
              <w:t xml:space="preserve"> </w:t>
            </w:r>
            <w:r w:rsidR="00783663">
              <w:rPr>
                <w:rFonts w:ascii="Calibri" w:eastAsia="Calibri" w:hAnsi="Calibri" w:cs="Calibri"/>
                <w:sz w:val="20"/>
                <w:szCs w:val="20"/>
              </w:rPr>
              <w:t>for</w:t>
            </w:r>
            <w:r w:rsidR="6F517D41" w:rsidRPr="0C8AAB80">
              <w:rPr>
                <w:rFonts w:ascii="Calibri" w:eastAsia="Calibri" w:hAnsi="Calibri" w:cs="Calibri"/>
                <w:sz w:val="20"/>
                <w:szCs w:val="20"/>
              </w:rPr>
              <w:t xml:space="preserve"> financial </w:t>
            </w:r>
            <w:r w:rsidR="00783663" w:rsidRPr="0C8AAB80">
              <w:rPr>
                <w:rFonts w:ascii="Calibri" w:eastAsia="Calibri" w:hAnsi="Calibri" w:cs="Calibri"/>
                <w:sz w:val="20"/>
                <w:szCs w:val="20"/>
              </w:rPr>
              <w:t>sustainab</w:t>
            </w:r>
            <w:r w:rsidR="00783663">
              <w:rPr>
                <w:rFonts w:ascii="Calibri" w:eastAsia="Calibri" w:hAnsi="Calibri" w:cs="Calibri"/>
                <w:sz w:val="20"/>
                <w:szCs w:val="20"/>
              </w:rPr>
              <w:t>ility;</w:t>
            </w:r>
            <w:r w:rsidR="21C54EFE" w:rsidRPr="0C8AAB80">
              <w:rPr>
                <w:rFonts w:ascii="Calibri" w:eastAsia="Calibri" w:hAnsi="Calibri" w:cs="Calibri"/>
                <w:sz w:val="20"/>
                <w:szCs w:val="20"/>
              </w:rPr>
              <w:t xml:space="preserve"> and</w:t>
            </w:r>
            <w:r w:rsidR="16F89554" w:rsidRPr="0C8AAB80">
              <w:rPr>
                <w:rFonts w:ascii="Calibri" w:eastAsia="Calibri" w:hAnsi="Calibri" w:cs="Calibri"/>
                <w:sz w:val="20"/>
                <w:szCs w:val="20"/>
              </w:rPr>
              <w:t xml:space="preserve"> this </w:t>
            </w:r>
            <w:r w:rsidR="6530F78F" w:rsidRPr="0C8AAB80">
              <w:rPr>
                <w:rFonts w:ascii="Calibri" w:eastAsia="Calibri" w:hAnsi="Calibri" w:cs="Calibri"/>
                <w:sz w:val="20"/>
                <w:szCs w:val="20"/>
              </w:rPr>
              <w:t xml:space="preserve">places at risk </w:t>
            </w:r>
            <w:r w:rsidR="58CE847F" w:rsidRPr="0C8AAB80">
              <w:rPr>
                <w:rFonts w:ascii="Calibri" w:eastAsia="Calibri" w:hAnsi="Calibri" w:cs="Calibri"/>
                <w:sz w:val="20"/>
                <w:szCs w:val="20"/>
              </w:rPr>
              <w:t xml:space="preserve">the excellent results achieved by </w:t>
            </w:r>
            <w:r w:rsidR="21C54EFE" w:rsidRPr="0C8AAB80">
              <w:rPr>
                <w:rFonts w:ascii="Calibri" w:eastAsia="Calibri" w:hAnsi="Calibri" w:cs="Calibri"/>
                <w:sz w:val="20"/>
                <w:szCs w:val="20"/>
              </w:rPr>
              <w:t>JCU</w:t>
            </w:r>
            <w:r w:rsidR="061A32D2" w:rsidRPr="0C8AAB80">
              <w:rPr>
                <w:rFonts w:ascii="Calibri" w:eastAsia="Calibri" w:hAnsi="Calibri" w:cs="Calibri"/>
                <w:sz w:val="20"/>
                <w:szCs w:val="20"/>
              </w:rPr>
              <w:t xml:space="preserve"> </w:t>
            </w:r>
            <w:r w:rsidR="7D9723A5" w:rsidRPr="0C8AAB80">
              <w:rPr>
                <w:rFonts w:ascii="Calibri" w:eastAsia="Calibri" w:hAnsi="Calibri" w:cs="Calibri"/>
                <w:sz w:val="20"/>
                <w:szCs w:val="20"/>
              </w:rPr>
              <w:t>as a smaller, regional institution</w:t>
            </w:r>
            <w:r w:rsidR="00FA0B34" w:rsidRPr="0C8AAB80">
              <w:rPr>
                <w:rFonts w:ascii="Calibri" w:eastAsia="Calibri" w:hAnsi="Calibri" w:cs="Calibri"/>
                <w:sz w:val="20"/>
                <w:szCs w:val="20"/>
              </w:rPr>
              <w:t>. JCU</w:t>
            </w:r>
            <w:r w:rsidR="4747B331" w:rsidRPr="0C8AAB80">
              <w:rPr>
                <w:rFonts w:ascii="Calibri" w:eastAsia="Calibri" w:hAnsi="Calibri" w:cs="Calibri"/>
                <w:sz w:val="20"/>
                <w:szCs w:val="20"/>
              </w:rPr>
              <w:t xml:space="preserve"> </w:t>
            </w:r>
            <w:r w:rsidR="770D13C6" w:rsidRPr="0C8AAB80">
              <w:rPr>
                <w:rFonts w:ascii="Calibri" w:eastAsia="Calibri" w:hAnsi="Calibri" w:cs="Calibri"/>
                <w:sz w:val="20"/>
                <w:szCs w:val="20"/>
              </w:rPr>
              <w:t>ha</w:t>
            </w:r>
            <w:r w:rsidR="168996E4" w:rsidRPr="0C8AAB80">
              <w:rPr>
                <w:rFonts w:ascii="Calibri" w:eastAsia="Calibri" w:hAnsi="Calibri" w:cs="Calibri"/>
                <w:sz w:val="20"/>
                <w:szCs w:val="20"/>
              </w:rPr>
              <w:t>s</w:t>
            </w:r>
            <w:r w:rsidR="00783663">
              <w:rPr>
                <w:rFonts w:ascii="Calibri" w:eastAsia="Calibri" w:hAnsi="Calibri" w:cs="Calibri"/>
                <w:sz w:val="20"/>
                <w:szCs w:val="20"/>
              </w:rPr>
              <w:t xml:space="preserve"> inherently</w:t>
            </w:r>
            <w:r w:rsidR="770D13C6" w:rsidRPr="0C8AAB80">
              <w:rPr>
                <w:rFonts w:ascii="Calibri" w:eastAsia="Calibri" w:hAnsi="Calibri" w:cs="Calibri"/>
                <w:sz w:val="20"/>
                <w:szCs w:val="20"/>
              </w:rPr>
              <w:t xml:space="preserve"> </w:t>
            </w:r>
            <w:r w:rsidR="061A32D2" w:rsidRPr="0C8AAB80">
              <w:rPr>
                <w:rFonts w:ascii="Calibri" w:eastAsia="Calibri" w:hAnsi="Calibri" w:cs="Calibri"/>
                <w:sz w:val="20"/>
                <w:szCs w:val="20"/>
              </w:rPr>
              <w:t>h</w:t>
            </w:r>
            <w:r w:rsidR="2D345412" w:rsidRPr="0C8AAB80">
              <w:rPr>
                <w:rFonts w:ascii="Calibri" w:eastAsia="Calibri" w:hAnsi="Calibri" w:cs="Calibri"/>
                <w:sz w:val="20"/>
                <w:szCs w:val="20"/>
              </w:rPr>
              <w:t>igher costs</w:t>
            </w:r>
            <w:r w:rsidR="5591F6C2" w:rsidRPr="0C8AAB80">
              <w:rPr>
                <w:rFonts w:ascii="Calibri" w:eastAsia="Calibri" w:hAnsi="Calibri" w:cs="Calibri"/>
                <w:sz w:val="20"/>
                <w:szCs w:val="20"/>
              </w:rPr>
              <w:t xml:space="preserve"> </w:t>
            </w:r>
            <w:r w:rsidR="00783663">
              <w:rPr>
                <w:rFonts w:ascii="Calibri" w:eastAsia="Calibri" w:hAnsi="Calibri" w:cs="Calibri"/>
                <w:sz w:val="20"/>
                <w:szCs w:val="20"/>
              </w:rPr>
              <w:t xml:space="preserve">when </w:t>
            </w:r>
            <w:r w:rsidR="5591F6C2" w:rsidRPr="0C8AAB80">
              <w:rPr>
                <w:rFonts w:ascii="Calibri" w:eastAsia="Calibri" w:hAnsi="Calibri" w:cs="Calibri"/>
                <w:sz w:val="20"/>
                <w:szCs w:val="20"/>
              </w:rPr>
              <w:t>delivering a predominantly face-to-face</w:t>
            </w:r>
            <w:r w:rsidR="00783663">
              <w:rPr>
                <w:rFonts w:ascii="Calibri" w:eastAsia="Calibri" w:hAnsi="Calibri" w:cs="Calibri"/>
                <w:sz w:val="20"/>
                <w:szCs w:val="20"/>
              </w:rPr>
              <w:t xml:space="preserve"> curriculum for</w:t>
            </w:r>
            <w:r w:rsidR="5591F6C2" w:rsidRPr="0C8AAB80">
              <w:rPr>
                <w:rFonts w:ascii="Calibri" w:eastAsia="Calibri" w:hAnsi="Calibri" w:cs="Calibri"/>
                <w:sz w:val="20"/>
                <w:szCs w:val="20"/>
              </w:rPr>
              <w:t xml:space="preserve"> science</w:t>
            </w:r>
            <w:r w:rsidR="00783663">
              <w:rPr>
                <w:rFonts w:ascii="Calibri" w:eastAsia="Calibri" w:hAnsi="Calibri" w:cs="Calibri"/>
                <w:sz w:val="20"/>
                <w:szCs w:val="20"/>
              </w:rPr>
              <w:t>, engineering</w:t>
            </w:r>
            <w:r w:rsidR="5591F6C2" w:rsidRPr="0C8AAB80">
              <w:rPr>
                <w:rFonts w:ascii="Calibri" w:eastAsia="Calibri" w:hAnsi="Calibri" w:cs="Calibri"/>
                <w:sz w:val="20"/>
                <w:szCs w:val="20"/>
              </w:rPr>
              <w:t xml:space="preserve"> and health programs</w:t>
            </w:r>
            <w:r w:rsidR="00783663">
              <w:rPr>
                <w:rFonts w:ascii="Calibri" w:eastAsia="Calibri" w:hAnsi="Calibri" w:cs="Calibri"/>
                <w:sz w:val="20"/>
                <w:szCs w:val="20"/>
              </w:rPr>
              <w:t>.</w:t>
            </w:r>
            <w:r w:rsidR="00783663" w:rsidRPr="0C8AAB80">
              <w:rPr>
                <w:rFonts w:ascii="Calibri" w:eastAsia="Calibri" w:hAnsi="Calibri" w:cs="Calibri"/>
                <w:sz w:val="20"/>
                <w:szCs w:val="20"/>
              </w:rPr>
              <w:t xml:space="preserve"> </w:t>
            </w:r>
            <w:r w:rsidR="00783663">
              <w:rPr>
                <w:rFonts w:ascii="Calibri" w:eastAsia="Calibri" w:hAnsi="Calibri" w:cs="Calibri"/>
                <w:sz w:val="20"/>
                <w:szCs w:val="20"/>
              </w:rPr>
              <w:t>The</w:t>
            </w:r>
            <w:r w:rsidR="5591F6C2" w:rsidRPr="0C8AAB80">
              <w:rPr>
                <w:rFonts w:ascii="Calibri" w:eastAsia="Calibri" w:hAnsi="Calibri" w:cs="Calibri"/>
                <w:sz w:val="20"/>
                <w:szCs w:val="20"/>
              </w:rPr>
              <w:t xml:space="preserve"> </w:t>
            </w:r>
            <w:r w:rsidR="2D345412" w:rsidRPr="0C8AAB80">
              <w:rPr>
                <w:rFonts w:ascii="Calibri" w:eastAsia="Calibri" w:hAnsi="Calibri" w:cs="Calibri"/>
                <w:sz w:val="20"/>
                <w:szCs w:val="20"/>
              </w:rPr>
              <w:t>infrastructure</w:t>
            </w:r>
            <w:r w:rsidR="00783663">
              <w:rPr>
                <w:rFonts w:ascii="Calibri" w:eastAsia="Calibri" w:hAnsi="Calibri" w:cs="Calibri"/>
                <w:sz w:val="20"/>
                <w:szCs w:val="20"/>
              </w:rPr>
              <w:t xml:space="preserve"> challenges when</w:t>
            </w:r>
            <w:r w:rsidR="2D345412" w:rsidRPr="0C8AAB80">
              <w:rPr>
                <w:rFonts w:ascii="Calibri" w:eastAsia="Calibri" w:hAnsi="Calibri" w:cs="Calibri"/>
                <w:sz w:val="20"/>
                <w:szCs w:val="20"/>
              </w:rPr>
              <w:t xml:space="preserve"> serving </w:t>
            </w:r>
            <w:r w:rsidR="1AFA59E9" w:rsidRPr="0C8AAB80">
              <w:rPr>
                <w:rFonts w:ascii="Calibri" w:eastAsia="Calibri" w:hAnsi="Calibri" w:cs="Calibri"/>
                <w:sz w:val="20"/>
                <w:szCs w:val="20"/>
              </w:rPr>
              <w:t xml:space="preserve">a </w:t>
            </w:r>
            <w:r w:rsidR="2D345412" w:rsidRPr="0C8AAB80">
              <w:rPr>
                <w:rFonts w:ascii="Calibri" w:eastAsia="Calibri" w:hAnsi="Calibri" w:cs="Calibri"/>
                <w:sz w:val="20"/>
                <w:szCs w:val="20"/>
              </w:rPr>
              <w:t>geographically dispersed, thin population base w</w:t>
            </w:r>
            <w:r w:rsidR="116D2541" w:rsidRPr="0C8AAB80">
              <w:rPr>
                <w:rFonts w:ascii="Calibri" w:eastAsia="Calibri" w:hAnsi="Calibri" w:cs="Calibri"/>
                <w:sz w:val="20"/>
                <w:szCs w:val="20"/>
              </w:rPr>
              <w:t xml:space="preserve">ith </w:t>
            </w:r>
            <w:r w:rsidR="2D345412" w:rsidRPr="0C8AAB80">
              <w:rPr>
                <w:rFonts w:ascii="Calibri" w:eastAsia="Calibri" w:hAnsi="Calibri" w:cs="Calibri"/>
                <w:sz w:val="20"/>
                <w:szCs w:val="20"/>
              </w:rPr>
              <w:t>lower levels of academic preparedness</w:t>
            </w:r>
            <w:r w:rsidR="00783663">
              <w:rPr>
                <w:rFonts w:ascii="Calibri" w:eastAsia="Calibri" w:hAnsi="Calibri" w:cs="Calibri"/>
                <w:sz w:val="20"/>
                <w:szCs w:val="20"/>
              </w:rPr>
              <w:t xml:space="preserve"> further add to these costs</w:t>
            </w:r>
            <w:r w:rsidR="2D345412" w:rsidRPr="0C8AAB80">
              <w:rPr>
                <w:rFonts w:ascii="Calibri" w:eastAsia="Calibri" w:hAnsi="Calibri" w:cs="Calibri"/>
                <w:sz w:val="20"/>
                <w:szCs w:val="20"/>
              </w:rPr>
              <w:t>.</w:t>
            </w:r>
          </w:p>
          <w:p w14:paraId="0AAFF6DA" w14:textId="19BBE760" w:rsidR="001B109C" w:rsidRDefault="2D345412" w:rsidP="00655E52">
            <w:pPr>
              <w:spacing w:before="120" w:after="120"/>
              <w:jc w:val="both"/>
              <w:rPr>
                <w:rFonts w:ascii="Calibri" w:eastAsia="Calibri" w:hAnsi="Calibri" w:cs="Calibri"/>
                <w:sz w:val="20"/>
                <w:szCs w:val="20"/>
              </w:rPr>
            </w:pPr>
            <w:r w:rsidRPr="63C00A79">
              <w:rPr>
                <w:rFonts w:ascii="Calibri" w:eastAsia="Calibri" w:hAnsi="Calibri" w:cs="Calibri"/>
                <w:b/>
                <w:bCs/>
                <w:sz w:val="20"/>
                <w:szCs w:val="20"/>
              </w:rPr>
              <w:t xml:space="preserve">2. </w:t>
            </w:r>
            <w:r w:rsidR="2384D8A1" w:rsidRPr="63C00A79">
              <w:rPr>
                <w:rFonts w:ascii="Calibri" w:eastAsia="Calibri" w:hAnsi="Calibri" w:cs="Calibri"/>
                <w:b/>
                <w:bCs/>
                <w:sz w:val="20"/>
                <w:szCs w:val="20"/>
              </w:rPr>
              <w:t>G</w:t>
            </w:r>
            <w:r w:rsidRPr="63C00A79">
              <w:rPr>
                <w:rFonts w:ascii="Calibri" w:eastAsia="Calibri" w:hAnsi="Calibri" w:cs="Calibri"/>
                <w:b/>
                <w:bCs/>
                <w:sz w:val="20"/>
                <w:szCs w:val="20"/>
              </w:rPr>
              <w:t xml:space="preserve">raduates </w:t>
            </w:r>
            <w:r w:rsidR="289538AC" w:rsidRPr="63C00A79">
              <w:rPr>
                <w:rFonts w:ascii="Calibri" w:eastAsia="Calibri" w:hAnsi="Calibri" w:cs="Calibri"/>
                <w:b/>
                <w:bCs/>
                <w:sz w:val="20"/>
                <w:szCs w:val="20"/>
              </w:rPr>
              <w:t xml:space="preserve">with </w:t>
            </w:r>
            <w:r w:rsidRPr="63C00A79">
              <w:rPr>
                <w:rFonts w:ascii="Calibri" w:eastAsia="Calibri" w:hAnsi="Calibri" w:cs="Calibri"/>
                <w:b/>
                <w:bCs/>
                <w:sz w:val="20"/>
                <w:szCs w:val="20"/>
              </w:rPr>
              <w:t xml:space="preserve">the knowledge, skills and attributes to meet the needs of tropical communities and succeed </w:t>
            </w:r>
            <w:r w:rsidR="3DFC308B" w:rsidRPr="63C00A79">
              <w:rPr>
                <w:rFonts w:ascii="Calibri" w:eastAsia="Calibri" w:hAnsi="Calibri" w:cs="Calibri"/>
                <w:b/>
                <w:bCs/>
                <w:sz w:val="20"/>
                <w:szCs w:val="20"/>
              </w:rPr>
              <w:t>g</w:t>
            </w:r>
            <w:r w:rsidRPr="63C00A79">
              <w:rPr>
                <w:rFonts w:ascii="Calibri" w:eastAsia="Calibri" w:hAnsi="Calibri" w:cs="Calibri"/>
                <w:b/>
                <w:bCs/>
                <w:sz w:val="20"/>
                <w:szCs w:val="20"/>
              </w:rPr>
              <w:t>lobal</w:t>
            </w:r>
            <w:r w:rsidR="20795ABB" w:rsidRPr="63C00A79">
              <w:rPr>
                <w:rFonts w:ascii="Calibri" w:eastAsia="Calibri" w:hAnsi="Calibri" w:cs="Calibri"/>
                <w:b/>
                <w:bCs/>
                <w:sz w:val="20"/>
                <w:szCs w:val="20"/>
              </w:rPr>
              <w:t>ly</w:t>
            </w:r>
            <w:r w:rsidRPr="63C00A79">
              <w:rPr>
                <w:rFonts w:ascii="Calibri" w:eastAsia="Calibri" w:hAnsi="Calibri" w:cs="Calibri"/>
                <w:sz w:val="20"/>
                <w:szCs w:val="20"/>
              </w:rPr>
              <w:t xml:space="preserve">. </w:t>
            </w:r>
            <w:r w:rsidR="4C1BD841" w:rsidRPr="63C00A79">
              <w:rPr>
                <w:rFonts w:ascii="Calibri" w:eastAsia="Calibri" w:hAnsi="Calibri" w:cs="Calibri"/>
                <w:sz w:val="20"/>
                <w:szCs w:val="20"/>
              </w:rPr>
              <w:t xml:space="preserve">JCU </w:t>
            </w:r>
            <w:r w:rsidRPr="63C00A79">
              <w:rPr>
                <w:rFonts w:ascii="Calibri" w:eastAsia="Calibri" w:hAnsi="Calibri" w:cs="Calibri"/>
                <w:sz w:val="20"/>
                <w:szCs w:val="20"/>
              </w:rPr>
              <w:t>aim</w:t>
            </w:r>
            <w:r w:rsidR="01F6E04F" w:rsidRPr="63C00A79">
              <w:rPr>
                <w:rFonts w:ascii="Calibri" w:eastAsia="Calibri" w:hAnsi="Calibri" w:cs="Calibri"/>
                <w:sz w:val="20"/>
                <w:szCs w:val="20"/>
              </w:rPr>
              <w:t>s</w:t>
            </w:r>
            <w:r w:rsidRPr="63C00A79">
              <w:rPr>
                <w:rFonts w:ascii="Calibri" w:eastAsia="Calibri" w:hAnsi="Calibri" w:cs="Calibri"/>
                <w:sz w:val="20"/>
                <w:szCs w:val="20"/>
              </w:rPr>
              <w:t xml:space="preserve"> to provide high-quality, personalised support, authentic learning experiences</w:t>
            </w:r>
            <w:r w:rsidR="7E02CB4E" w:rsidRPr="63C00A79">
              <w:rPr>
                <w:rFonts w:ascii="Calibri" w:eastAsia="Calibri" w:hAnsi="Calibri" w:cs="Calibri"/>
                <w:sz w:val="20"/>
                <w:szCs w:val="20"/>
              </w:rPr>
              <w:t xml:space="preserve">, </w:t>
            </w:r>
            <w:r w:rsidRPr="63C00A79">
              <w:rPr>
                <w:rFonts w:ascii="Calibri" w:eastAsia="Calibri" w:hAnsi="Calibri" w:cs="Calibri"/>
                <w:sz w:val="20"/>
                <w:szCs w:val="20"/>
              </w:rPr>
              <w:t>opportunity for Work-Integrated Learning (WIL)</w:t>
            </w:r>
            <w:r w:rsidR="4428C779" w:rsidRPr="63C00A79">
              <w:rPr>
                <w:rFonts w:ascii="Calibri" w:eastAsia="Calibri" w:hAnsi="Calibri" w:cs="Calibri"/>
                <w:sz w:val="20"/>
                <w:szCs w:val="20"/>
              </w:rPr>
              <w:t xml:space="preserve"> (including in the Asia Pacific through </w:t>
            </w:r>
            <w:r w:rsidR="61843FFD" w:rsidRPr="63C00A79">
              <w:rPr>
                <w:rFonts w:ascii="Calibri" w:eastAsia="Calibri" w:hAnsi="Calibri" w:cs="Calibri"/>
                <w:sz w:val="20"/>
                <w:szCs w:val="20"/>
              </w:rPr>
              <w:t xml:space="preserve">the </w:t>
            </w:r>
            <w:r w:rsidR="4428C779" w:rsidRPr="63C00A79">
              <w:rPr>
                <w:rFonts w:ascii="Calibri" w:eastAsia="Calibri" w:hAnsi="Calibri" w:cs="Calibri"/>
                <w:sz w:val="20"/>
                <w:szCs w:val="20"/>
              </w:rPr>
              <w:t>N</w:t>
            </w:r>
            <w:r w:rsidR="2414274B" w:rsidRPr="63C00A79">
              <w:rPr>
                <w:rFonts w:ascii="Calibri" w:eastAsia="Calibri" w:hAnsi="Calibri" w:cs="Calibri"/>
                <w:sz w:val="20"/>
                <w:szCs w:val="20"/>
              </w:rPr>
              <w:t>ew Colombo Plan</w:t>
            </w:r>
            <w:r w:rsidR="4428C779" w:rsidRPr="63C00A79">
              <w:rPr>
                <w:rFonts w:ascii="Calibri" w:eastAsia="Calibri" w:hAnsi="Calibri" w:cs="Calibri"/>
                <w:sz w:val="20"/>
                <w:szCs w:val="20"/>
              </w:rPr>
              <w:t>)</w:t>
            </w:r>
            <w:r w:rsidR="1CA64F37" w:rsidRPr="63C00A79">
              <w:rPr>
                <w:rFonts w:ascii="Calibri" w:eastAsia="Calibri" w:hAnsi="Calibri" w:cs="Calibri"/>
                <w:sz w:val="20"/>
                <w:szCs w:val="20"/>
              </w:rPr>
              <w:t>, innovation and entrepreneurship</w:t>
            </w:r>
            <w:r w:rsidR="6CBCC7C9" w:rsidRPr="63C00A79">
              <w:rPr>
                <w:rFonts w:ascii="Calibri" w:eastAsia="Calibri" w:hAnsi="Calibri" w:cs="Calibri"/>
                <w:sz w:val="20"/>
                <w:szCs w:val="20"/>
              </w:rPr>
              <w:t>,</w:t>
            </w:r>
            <w:r w:rsidRPr="63C00A79">
              <w:rPr>
                <w:rFonts w:ascii="Calibri" w:eastAsia="Calibri" w:hAnsi="Calibri" w:cs="Calibri"/>
                <w:sz w:val="20"/>
                <w:szCs w:val="20"/>
              </w:rPr>
              <w:t xml:space="preserve"> and exp</w:t>
            </w:r>
            <w:r w:rsidR="5DB7E257" w:rsidRPr="63C00A79">
              <w:rPr>
                <w:rFonts w:ascii="Calibri" w:eastAsia="Calibri" w:hAnsi="Calibri" w:cs="Calibri"/>
                <w:sz w:val="20"/>
                <w:szCs w:val="20"/>
              </w:rPr>
              <w:t xml:space="preserve">ertise in navigating and using </w:t>
            </w:r>
            <w:r w:rsidRPr="63C00A79">
              <w:rPr>
                <w:rFonts w:ascii="Calibri" w:eastAsia="Calibri" w:hAnsi="Calibri" w:cs="Calibri"/>
                <w:sz w:val="20"/>
                <w:szCs w:val="20"/>
              </w:rPr>
              <w:t xml:space="preserve">AI. Success </w:t>
            </w:r>
            <w:r w:rsidR="487D75CB" w:rsidRPr="63C00A79">
              <w:rPr>
                <w:rFonts w:ascii="Calibri" w:eastAsia="Calibri" w:hAnsi="Calibri" w:cs="Calibri"/>
                <w:sz w:val="20"/>
                <w:szCs w:val="20"/>
              </w:rPr>
              <w:t xml:space="preserve">is </w:t>
            </w:r>
            <w:r w:rsidR="7D48E1A9" w:rsidRPr="63C00A79">
              <w:rPr>
                <w:rFonts w:ascii="Calibri" w:eastAsia="Calibri" w:hAnsi="Calibri" w:cs="Calibri"/>
                <w:sz w:val="20"/>
                <w:szCs w:val="20"/>
              </w:rPr>
              <w:t>demons</w:t>
            </w:r>
            <w:r w:rsidR="0DD0568A" w:rsidRPr="63C00A79">
              <w:rPr>
                <w:rFonts w:ascii="Calibri" w:eastAsia="Calibri" w:hAnsi="Calibri" w:cs="Calibri"/>
                <w:sz w:val="20"/>
                <w:szCs w:val="20"/>
              </w:rPr>
              <w:t>t</w:t>
            </w:r>
            <w:r w:rsidR="7D48E1A9" w:rsidRPr="63C00A79">
              <w:rPr>
                <w:rFonts w:ascii="Calibri" w:eastAsia="Calibri" w:hAnsi="Calibri" w:cs="Calibri"/>
                <w:sz w:val="20"/>
                <w:szCs w:val="20"/>
              </w:rPr>
              <w:t xml:space="preserve">rated through </w:t>
            </w:r>
            <w:r w:rsidR="68D09F69" w:rsidRPr="63C00A79">
              <w:rPr>
                <w:rFonts w:ascii="Calibri" w:eastAsia="Calibri" w:hAnsi="Calibri" w:cs="Calibri"/>
                <w:sz w:val="20"/>
                <w:szCs w:val="20"/>
              </w:rPr>
              <w:t xml:space="preserve">maintaining and </w:t>
            </w:r>
            <w:r w:rsidRPr="63C00A79">
              <w:rPr>
                <w:rFonts w:ascii="Calibri" w:eastAsia="Calibri" w:hAnsi="Calibri" w:cs="Calibri"/>
                <w:sz w:val="20"/>
                <w:szCs w:val="20"/>
              </w:rPr>
              <w:t>increas</w:t>
            </w:r>
            <w:r w:rsidR="4BF3672A" w:rsidRPr="63C00A79">
              <w:rPr>
                <w:rFonts w:ascii="Calibri" w:eastAsia="Calibri" w:hAnsi="Calibri" w:cs="Calibri"/>
                <w:sz w:val="20"/>
                <w:szCs w:val="20"/>
              </w:rPr>
              <w:t>ing</w:t>
            </w:r>
            <w:r w:rsidRPr="63C00A79">
              <w:rPr>
                <w:rFonts w:ascii="Calibri" w:eastAsia="Calibri" w:hAnsi="Calibri" w:cs="Calibri"/>
                <w:sz w:val="20"/>
                <w:szCs w:val="20"/>
              </w:rPr>
              <w:t xml:space="preserve"> student satisfaction</w:t>
            </w:r>
            <w:r w:rsidR="51D77DE9" w:rsidRPr="63C00A79">
              <w:rPr>
                <w:rFonts w:ascii="Calibri" w:eastAsia="Calibri" w:hAnsi="Calibri" w:cs="Calibri"/>
                <w:sz w:val="20"/>
                <w:szCs w:val="20"/>
              </w:rPr>
              <w:t xml:space="preserve"> and </w:t>
            </w:r>
            <w:r w:rsidRPr="63C00A79">
              <w:rPr>
                <w:rFonts w:ascii="Calibri" w:eastAsia="Calibri" w:hAnsi="Calibri" w:cs="Calibri"/>
                <w:sz w:val="20"/>
                <w:szCs w:val="20"/>
              </w:rPr>
              <w:t xml:space="preserve">excellent Graduate Outcomes Surveys. </w:t>
            </w:r>
          </w:p>
          <w:p w14:paraId="716E5CBB" w14:textId="6DF364C3" w:rsidR="001B109C" w:rsidRDefault="2D345412" w:rsidP="00655E52">
            <w:pPr>
              <w:spacing w:before="120" w:after="120"/>
              <w:jc w:val="both"/>
              <w:rPr>
                <w:rFonts w:ascii="Calibri" w:eastAsia="Calibri" w:hAnsi="Calibri" w:cs="Calibri"/>
                <w:sz w:val="20"/>
                <w:szCs w:val="20"/>
              </w:rPr>
            </w:pPr>
            <w:r w:rsidRPr="63C00A79">
              <w:rPr>
                <w:rFonts w:ascii="Calibri" w:eastAsia="Calibri" w:hAnsi="Calibri" w:cs="Calibri"/>
                <w:b/>
                <w:bCs/>
                <w:sz w:val="20"/>
                <w:szCs w:val="20"/>
              </w:rPr>
              <w:t xml:space="preserve">3. </w:t>
            </w:r>
            <w:r w:rsidR="3997CD7C" w:rsidRPr="63C00A79">
              <w:rPr>
                <w:rFonts w:ascii="Calibri" w:eastAsia="Calibri" w:hAnsi="Calibri" w:cs="Calibri"/>
                <w:b/>
                <w:bCs/>
                <w:sz w:val="20"/>
                <w:szCs w:val="20"/>
              </w:rPr>
              <w:t>Place-based R</w:t>
            </w:r>
            <w:r w:rsidRPr="63C00A79">
              <w:rPr>
                <w:rFonts w:ascii="Calibri" w:eastAsia="Calibri" w:hAnsi="Calibri" w:cs="Calibri"/>
                <w:b/>
                <w:bCs/>
                <w:sz w:val="20"/>
                <w:szCs w:val="20"/>
              </w:rPr>
              <w:t xml:space="preserve">esearch </w:t>
            </w:r>
            <w:r w:rsidR="1769CF4C" w:rsidRPr="63C00A79">
              <w:rPr>
                <w:rFonts w:ascii="Calibri" w:eastAsia="Calibri" w:hAnsi="Calibri" w:cs="Calibri"/>
                <w:b/>
                <w:bCs/>
                <w:sz w:val="20"/>
                <w:szCs w:val="20"/>
              </w:rPr>
              <w:t>excellence on</w:t>
            </w:r>
            <w:r w:rsidRPr="63C00A79">
              <w:rPr>
                <w:rFonts w:ascii="Calibri" w:eastAsia="Calibri" w:hAnsi="Calibri" w:cs="Calibri"/>
                <w:b/>
                <w:bCs/>
                <w:sz w:val="20"/>
                <w:szCs w:val="20"/>
              </w:rPr>
              <w:t xml:space="preserve"> priorities for Northern Australia</w:t>
            </w:r>
            <w:r w:rsidRPr="63C00A79">
              <w:rPr>
                <w:rFonts w:ascii="Calibri" w:eastAsia="Calibri" w:hAnsi="Calibri" w:cs="Calibri"/>
                <w:sz w:val="20"/>
                <w:szCs w:val="20"/>
              </w:rPr>
              <w:t xml:space="preserve">. JCU’s regional research workforce </w:t>
            </w:r>
            <w:r w:rsidR="259FB7B1" w:rsidRPr="63C00A79">
              <w:rPr>
                <w:rFonts w:ascii="Calibri" w:eastAsia="Calibri" w:hAnsi="Calibri" w:cs="Calibri"/>
                <w:sz w:val="20"/>
                <w:szCs w:val="20"/>
              </w:rPr>
              <w:t xml:space="preserve">must be </w:t>
            </w:r>
            <w:r w:rsidRPr="63C00A79">
              <w:rPr>
                <w:rFonts w:ascii="Calibri" w:eastAsia="Calibri" w:hAnsi="Calibri" w:cs="Calibri"/>
                <w:sz w:val="20"/>
                <w:szCs w:val="20"/>
              </w:rPr>
              <w:t>sustained with robust management of equity issues, research education, staff training and development, recruitment and succession and an enduring focus on Indigenous priorities.</w:t>
            </w:r>
            <w:r w:rsidR="0DB4E434" w:rsidRPr="63C00A79">
              <w:rPr>
                <w:rFonts w:ascii="Calibri" w:eastAsia="Calibri" w:hAnsi="Calibri" w:cs="Calibri"/>
                <w:sz w:val="20"/>
                <w:szCs w:val="20"/>
              </w:rPr>
              <w:t xml:space="preserve"> P</w:t>
            </w:r>
            <w:r w:rsidR="4A7F7FF1" w:rsidRPr="63C00A79">
              <w:rPr>
                <w:rFonts w:ascii="Calibri" w:eastAsia="Calibri" w:hAnsi="Calibri" w:cs="Calibri"/>
                <w:sz w:val="20"/>
                <w:szCs w:val="20"/>
              </w:rPr>
              <w:t>lace-based research</w:t>
            </w:r>
            <w:r w:rsidR="642750A9" w:rsidRPr="63C00A79">
              <w:rPr>
                <w:rFonts w:ascii="Calibri" w:eastAsia="Calibri" w:hAnsi="Calibri" w:cs="Calibri"/>
                <w:sz w:val="20"/>
                <w:szCs w:val="20"/>
              </w:rPr>
              <w:t>, both fundamental and translational,</w:t>
            </w:r>
            <w:r w:rsidR="4A7F7FF1" w:rsidRPr="63C00A79">
              <w:rPr>
                <w:rFonts w:ascii="Calibri" w:eastAsia="Calibri" w:hAnsi="Calibri" w:cs="Calibri"/>
                <w:sz w:val="20"/>
                <w:szCs w:val="20"/>
              </w:rPr>
              <w:t xml:space="preserve"> that has relevance in</w:t>
            </w:r>
            <w:r w:rsidR="399A6FFA" w:rsidRPr="63C00A79">
              <w:rPr>
                <w:rFonts w:ascii="Calibri" w:eastAsia="Calibri" w:hAnsi="Calibri" w:cs="Calibri"/>
                <w:sz w:val="20"/>
                <w:szCs w:val="20"/>
              </w:rPr>
              <w:t xml:space="preserve"> and to</w:t>
            </w:r>
            <w:r w:rsidR="4A7F7FF1" w:rsidRPr="63C00A79">
              <w:rPr>
                <w:rFonts w:ascii="Calibri" w:eastAsia="Calibri" w:hAnsi="Calibri" w:cs="Calibri"/>
                <w:sz w:val="20"/>
                <w:szCs w:val="20"/>
              </w:rPr>
              <w:t xml:space="preserve"> northern communities</w:t>
            </w:r>
            <w:r w:rsidR="3A56496F" w:rsidRPr="63C00A79">
              <w:rPr>
                <w:rFonts w:ascii="Calibri" w:eastAsia="Calibri" w:hAnsi="Calibri" w:cs="Calibri"/>
                <w:sz w:val="20"/>
                <w:szCs w:val="20"/>
              </w:rPr>
              <w:t xml:space="preserve"> is essential and can </w:t>
            </w:r>
            <w:r w:rsidRPr="63C00A79">
              <w:rPr>
                <w:rFonts w:ascii="Calibri" w:eastAsia="Calibri" w:hAnsi="Calibri" w:cs="Calibri"/>
                <w:sz w:val="20"/>
                <w:szCs w:val="20"/>
              </w:rPr>
              <w:t>be measured through</w:t>
            </w:r>
            <w:r w:rsidR="31059EB4" w:rsidRPr="63C00A79">
              <w:rPr>
                <w:rFonts w:ascii="Calibri" w:eastAsia="Calibri" w:hAnsi="Calibri" w:cs="Calibri"/>
                <w:sz w:val="20"/>
                <w:szCs w:val="20"/>
              </w:rPr>
              <w:t xml:space="preserve"> </w:t>
            </w:r>
            <w:r w:rsidRPr="63C00A79">
              <w:rPr>
                <w:rFonts w:ascii="Calibri" w:eastAsia="Calibri" w:hAnsi="Calibri" w:cs="Calibri"/>
                <w:sz w:val="20"/>
                <w:szCs w:val="20"/>
              </w:rPr>
              <w:t xml:space="preserve">contract and partnership agreements, HERDC research and partnered research income and quality of research outputs. </w:t>
            </w:r>
          </w:p>
          <w:p w14:paraId="086DB5B5" w14:textId="1ECCDC94" w:rsidR="001B109C" w:rsidRDefault="2D345412" w:rsidP="00655E52">
            <w:pPr>
              <w:spacing w:before="120" w:after="120"/>
              <w:jc w:val="both"/>
              <w:rPr>
                <w:rFonts w:ascii="Calibri" w:eastAsia="Calibri" w:hAnsi="Calibri" w:cs="Calibri"/>
                <w:sz w:val="20"/>
                <w:szCs w:val="20"/>
              </w:rPr>
            </w:pPr>
            <w:r w:rsidRPr="63C00A79">
              <w:rPr>
                <w:rFonts w:ascii="Calibri" w:eastAsia="Calibri" w:hAnsi="Calibri" w:cs="Calibri"/>
                <w:b/>
                <w:bCs/>
                <w:sz w:val="20"/>
                <w:szCs w:val="20"/>
              </w:rPr>
              <w:t xml:space="preserve">4. Community/industry engagement. </w:t>
            </w:r>
            <w:r w:rsidRPr="63C00A79">
              <w:rPr>
                <w:rFonts w:ascii="Calibri" w:eastAsia="Calibri" w:hAnsi="Calibri" w:cs="Calibri"/>
                <w:sz w:val="20"/>
                <w:szCs w:val="20"/>
              </w:rPr>
              <w:t xml:space="preserve">As a civic university, JCU </w:t>
            </w:r>
            <w:r w:rsidR="46AF8BF6" w:rsidRPr="63C00A79">
              <w:rPr>
                <w:rFonts w:ascii="Calibri" w:eastAsia="Calibri" w:hAnsi="Calibri" w:cs="Calibri"/>
                <w:sz w:val="20"/>
                <w:szCs w:val="20"/>
              </w:rPr>
              <w:t xml:space="preserve">continues to </w:t>
            </w:r>
            <w:r w:rsidR="7107A7AA" w:rsidRPr="63C00A79">
              <w:rPr>
                <w:rFonts w:ascii="Calibri" w:eastAsia="Calibri" w:hAnsi="Calibri" w:cs="Calibri"/>
                <w:sz w:val="20"/>
                <w:szCs w:val="20"/>
              </w:rPr>
              <w:t>engage the</w:t>
            </w:r>
            <w:r w:rsidR="46AF8BF6" w:rsidRPr="63C00A79">
              <w:rPr>
                <w:rFonts w:ascii="Calibri" w:eastAsia="Calibri" w:hAnsi="Calibri" w:cs="Calibri"/>
                <w:sz w:val="20"/>
                <w:szCs w:val="20"/>
              </w:rPr>
              <w:t xml:space="preserve"> community and regional development priorities o</w:t>
            </w:r>
            <w:r w:rsidR="4B05FFC4" w:rsidRPr="63C00A79">
              <w:rPr>
                <w:rFonts w:ascii="Calibri" w:eastAsia="Calibri" w:hAnsi="Calibri" w:cs="Calibri"/>
                <w:sz w:val="20"/>
                <w:szCs w:val="20"/>
              </w:rPr>
              <w:t>f t</w:t>
            </w:r>
            <w:r w:rsidR="46AF8BF6" w:rsidRPr="63C00A79">
              <w:rPr>
                <w:rFonts w:ascii="Calibri" w:eastAsia="Calibri" w:hAnsi="Calibri" w:cs="Calibri"/>
                <w:sz w:val="20"/>
                <w:szCs w:val="20"/>
              </w:rPr>
              <w:t>he communities we serve</w:t>
            </w:r>
            <w:r w:rsidR="5417A883" w:rsidRPr="63C00A79">
              <w:rPr>
                <w:rFonts w:ascii="Calibri" w:eastAsia="Calibri" w:hAnsi="Calibri" w:cs="Calibri"/>
                <w:sz w:val="20"/>
                <w:szCs w:val="20"/>
              </w:rPr>
              <w:t xml:space="preserve">, </w:t>
            </w:r>
            <w:r w:rsidR="52CC87AD" w:rsidRPr="63C00A79">
              <w:rPr>
                <w:rFonts w:ascii="Calibri" w:eastAsia="Calibri" w:hAnsi="Calibri" w:cs="Calibri"/>
                <w:sz w:val="20"/>
                <w:szCs w:val="20"/>
              </w:rPr>
              <w:t>collaborating</w:t>
            </w:r>
            <w:r w:rsidR="003B1D92">
              <w:rPr>
                <w:rFonts w:ascii="Calibri" w:eastAsia="Calibri" w:hAnsi="Calibri" w:cs="Calibri"/>
                <w:sz w:val="20"/>
                <w:szCs w:val="20"/>
              </w:rPr>
              <w:t xml:space="preserve"> </w:t>
            </w:r>
            <w:r w:rsidR="399DF98C" w:rsidRPr="63C00A79">
              <w:rPr>
                <w:rFonts w:ascii="Calibri" w:eastAsia="Calibri" w:hAnsi="Calibri" w:cs="Calibri"/>
                <w:sz w:val="20"/>
                <w:szCs w:val="20"/>
              </w:rPr>
              <w:t>regularly with elected representatives, Elders, industry, economic development bodies and schools to support a wide range of shared</w:t>
            </w:r>
            <w:r w:rsidR="1ABF0E9E" w:rsidRPr="63C00A79">
              <w:rPr>
                <w:rFonts w:ascii="Calibri" w:eastAsia="Calibri" w:hAnsi="Calibri" w:cs="Calibri"/>
                <w:sz w:val="20"/>
                <w:szCs w:val="20"/>
              </w:rPr>
              <w:t xml:space="preserve"> </w:t>
            </w:r>
            <w:r w:rsidR="399DF98C" w:rsidRPr="63C00A79">
              <w:rPr>
                <w:rFonts w:ascii="Calibri" w:eastAsia="Calibri" w:hAnsi="Calibri" w:cs="Calibri"/>
                <w:sz w:val="20"/>
                <w:szCs w:val="20"/>
              </w:rPr>
              <w:t>in</w:t>
            </w:r>
            <w:r w:rsidR="21F6EEA8" w:rsidRPr="63C00A79">
              <w:rPr>
                <w:rFonts w:ascii="Calibri" w:eastAsia="Calibri" w:hAnsi="Calibri" w:cs="Calibri"/>
                <w:sz w:val="20"/>
                <w:szCs w:val="20"/>
              </w:rPr>
              <w:t>itiatives including</w:t>
            </w:r>
            <w:r w:rsidRPr="63C00A79">
              <w:rPr>
                <w:rFonts w:ascii="Calibri" w:eastAsia="Calibri" w:hAnsi="Calibri" w:cs="Calibri"/>
                <w:sz w:val="20"/>
                <w:szCs w:val="20"/>
              </w:rPr>
              <w:t xml:space="preserve"> work-integrated learning (WIL), internships, business development, innovation and social and commercial capabilities in the region.</w:t>
            </w:r>
          </w:p>
          <w:p w14:paraId="2A3CFB8C" w14:textId="4A283CA6" w:rsidR="001B109C" w:rsidRDefault="135AC646" w:rsidP="00655E52">
            <w:pPr>
              <w:pStyle w:val="NormalIndent"/>
              <w:spacing w:before="0" w:after="0"/>
              <w:ind w:left="0"/>
              <w:jc w:val="both"/>
              <w:rPr>
                <w:rFonts w:eastAsia="Calibri" w:cs="Calibri"/>
                <w:sz w:val="20"/>
                <w:szCs w:val="20"/>
              </w:rPr>
            </w:pPr>
            <w:r w:rsidRPr="63C00A79">
              <w:rPr>
                <w:rFonts w:eastAsia="Calibri" w:cs="Calibri"/>
                <w:b/>
                <w:bCs/>
                <w:sz w:val="20"/>
                <w:szCs w:val="20"/>
              </w:rPr>
              <w:t xml:space="preserve">5. Governance. </w:t>
            </w:r>
            <w:r w:rsidR="2D345412" w:rsidRPr="63C00A79">
              <w:rPr>
                <w:rFonts w:eastAsia="Calibri" w:cs="Calibri"/>
                <w:sz w:val="20"/>
                <w:szCs w:val="20"/>
              </w:rPr>
              <w:t xml:space="preserve">JCU has a </w:t>
            </w:r>
            <w:r w:rsidR="21633586" w:rsidRPr="63C00A79">
              <w:rPr>
                <w:rFonts w:eastAsia="Calibri" w:cs="Calibri"/>
                <w:sz w:val="20"/>
                <w:szCs w:val="20"/>
              </w:rPr>
              <w:t>focus on s</w:t>
            </w:r>
            <w:r w:rsidR="2D345412" w:rsidRPr="63C00A79">
              <w:rPr>
                <w:rFonts w:eastAsia="Calibri" w:cs="Calibri"/>
                <w:sz w:val="20"/>
                <w:szCs w:val="20"/>
              </w:rPr>
              <w:t>tudent and staff equity, safety and wellbeing includin</w:t>
            </w:r>
            <w:r w:rsidR="27CB2036" w:rsidRPr="63C00A79">
              <w:rPr>
                <w:rFonts w:eastAsia="Calibri" w:cs="Calibri"/>
                <w:sz w:val="20"/>
                <w:szCs w:val="20"/>
              </w:rPr>
              <w:t xml:space="preserve">g </w:t>
            </w:r>
            <w:r w:rsidR="2D345412" w:rsidRPr="63C00A79">
              <w:rPr>
                <w:rFonts w:eastAsia="Calibri" w:cs="Calibri"/>
                <w:sz w:val="20"/>
                <w:szCs w:val="20"/>
              </w:rPr>
              <w:t>bullying, discrimination, harassment</w:t>
            </w:r>
            <w:r w:rsidR="1688A03C" w:rsidRPr="63C00A79">
              <w:rPr>
                <w:rFonts w:eastAsia="Calibri" w:cs="Calibri"/>
                <w:sz w:val="20"/>
                <w:szCs w:val="20"/>
              </w:rPr>
              <w:t>,</w:t>
            </w:r>
            <w:r w:rsidR="79651975" w:rsidRPr="63C00A79">
              <w:rPr>
                <w:rFonts w:eastAsia="Calibri" w:cs="Calibri"/>
                <w:sz w:val="20"/>
                <w:szCs w:val="20"/>
              </w:rPr>
              <w:t xml:space="preserve"> </w:t>
            </w:r>
            <w:r w:rsidR="3407BFD1" w:rsidRPr="63C00A79">
              <w:rPr>
                <w:rFonts w:eastAsia="Calibri" w:cs="Calibri"/>
                <w:sz w:val="20"/>
                <w:szCs w:val="20"/>
              </w:rPr>
              <w:t>racism,</w:t>
            </w:r>
            <w:r w:rsidR="1688A03C" w:rsidRPr="63C00A79">
              <w:rPr>
                <w:rFonts w:eastAsia="Calibri" w:cs="Calibri"/>
                <w:sz w:val="20"/>
                <w:szCs w:val="20"/>
              </w:rPr>
              <w:t xml:space="preserve"> </w:t>
            </w:r>
            <w:r w:rsidR="2D345412" w:rsidRPr="63C00A79">
              <w:rPr>
                <w:rFonts w:eastAsia="Calibri" w:cs="Calibri"/>
                <w:sz w:val="20"/>
                <w:szCs w:val="20"/>
              </w:rPr>
              <w:t xml:space="preserve">mental health, </w:t>
            </w:r>
            <w:r w:rsidR="63E5E039" w:rsidRPr="63C00A79">
              <w:rPr>
                <w:rFonts w:eastAsia="Calibri" w:cs="Calibri"/>
                <w:sz w:val="20"/>
                <w:szCs w:val="20"/>
              </w:rPr>
              <w:t xml:space="preserve">gender-based violence and </w:t>
            </w:r>
            <w:r w:rsidR="2D345412" w:rsidRPr="63C00A79">
              <w:rPr>
                <w:rFonts w:eastAsia="Calibri" w:cs="Calibri"/>
                <w:sz w:val="20"/>
                <w:szCs w:val="20"/>
              </w:rPr>
              <w:t xml:space="preserve">gender equity, Indigenous </w:t>
            </w:r>
            <w:r w:rsidR="3FB3A21C" w:rsidRPr="63C00A79">
              <w:rPr>
                <w:rFonts w:eastAsia="Calibri" w:cs="Calibri"/>
                <w:sz w:val="20"/>
                <w:szCs w:val="20"/>
              </w:rPr>
              <w:t>priorities</w:t>
            </w:r>
            <w:r w:rsidR="2D345412" w:rsidRPr="63C00A79">
              <w:rPr>
                <w:rFonts w:eastAsia="Calibri" w:cs="Calibri"/>
                <w:sz w:val="20"/>
                <w:szCs w:val="20"/>
              </w:rPr>
              <w:t>, integrity matters, countering foreign interference, cyber and data security, freedom of speech and academic freedom. We prioritise integrating policy and practice across staff and student domains to ensure consistency, coherency and integrity in policy intent and outcomes</w:t>
            </w:r>
            <w:r w:rsidR="1F17D081" w:rsidRPr="63C00A79">
              <w:rPr>
                <w:rFonts w:eastAsia="Calibri" w:cs="Calibri"/>
                <w:sz w:val="20"/>
                <w:szCs w:val="20"/>
              </w:rPr>
              <w:t>.</w:t>
            </w:r>
          </w:p>
          <w:p w14:paraId="2C91A87B" w14:textId="77777777" w:rsidR="001B109C" w:rsidRPr="005774F2" w:rsidRDefault="001B109C" w:rsidP="00655E52">
            <w:pPr>
              <w:pStyle w:val="NormalIndent"/>
              <w:spacing w:before="0" w:after="0"/>
              <w:ind w:left="0"/>
              <w:jc w:val="both"/>
              <w:rPr>
                <w:rFonts w:asciiTheme="minorHAnsi" w:hAnsiTheme="minorHAnsi" w:cstheme="minorHAnsi"/>
                <w:i/>
                <w:iCs/>
                <w:szCs w:val="22"/>
              </w:rPr>
            </w:pPr>
          </w:p>
        </w:tc>
      </w:tr>
      <w:tr w:rsidR="001B109C" w:rsidRPr="00E41388" w14:paraId="0EA45E0C" w14:textId="77777777" w:rsidTr="3F2AB021">
        <w:trPr>
          <w:cantSplit/>
        </w:trPr>
        <w:tc>
          <w:tcPr>
            <w:tcW w:w="5000" w:type="pct"/>
          </w:tcPr>
          <w:p w14:paraId="767F59C9" w14:textId="6521BCE0" w:rsidR="001B109C" w:rsidRDefault="00462848" w:rsidP="00655E52">
            <w:pPr>
              <w:pStyle w:val="Heading4"/>
              <w:keepLines w:val="0"/>
              <w:spacing w:before="180" w:after="60"/>
              <w:jc w:val="both"/>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3F2AB021">
        <w:trPr>
          <w:cantSplit/>
        </w:trPr>
        <w:tc>
          <w:tcPr>
            <w:tcW w:w="5000" w:type="pct"/>
          </w:tcPr>
          <w:p w14:paraId="7916E4D5" w14:textId="77777777" w:rsidR="001B109C" w:rsidRPr="00051E4F" w:rsidRDefault="001B109C" w:rsidP="00655E52">
            <w:pPr>
              <w:pStyle w:val="NormalIndent"/>
              <w:spacing w:before="0" w:after="0"/>
              <w:ind w:left="0"/>
              <w:jc w:val="both"/>
              <w:rPr>
                <w:rFonts w:asciiTheme="minorHAnsi" w:hAnsiTheme="minorHAnsi" w:cstheme="minorHAnsi"/>
                <w:i/>
                <w:color w:val="FF0000"/>
                <w:szCs w:val="22"/>
              </w:rPr>
            </w:pPr>
            <w:bookmarkStart w:id="0" w:name="_Hlk150338733"/>
            <w:bookmarkStart w:id="1" w:name="_Hlk150338471"/>
          </w:p>
          <w:p w14:paraId="0AC4F7A7" w14:textId="706B4EEC" w:rsidR="0CD045D6" w:rsidRDefault="0CD045D6" w:rsidP="00655E52">
            <w:pPr>
              <w:pStyle w:val="NormalIndent"/>
              <w:spacing w:before="0" w:after="0"/>
              <w:ind w:left="0"/>
              <w:jc w:val="both"/>
              <w:rPr>
                <w:rFonts w:eastAsia="Calibri" w:cs="Calibri"/>
                <w:sz w:val="20"/>
                <w:szCs w:val="20"/>
              </w:rPr>
            </w:pPr>
            <w:r w:rsidRPr="63C00A79">
              <w:rPr>
                <w:rFonts w:eastAsia="Calibri" w:cs="Calibri"/>
                <w:sz w:val="20"/>
                <w:szCs w:val="20"/>
              </w:rPr>
              <w:t>JCU</w:t>
            </w:r>
            <w:r w:rsidR="4832411A" w:rsidRPr="63C00A79">
              <w:rPr>
                <w:rFonts w:eastAsia="Calibri" w:cs="Calibri"/>
                <w:sz w:val="20"/>
                <w:szCs w:val="20"/>
              </w:rPr>
              <w:t xml:space="preserve">’s </w:t>
            </w:r>
            <w:r w:rsidRPr="63C00A79">
              <w:rPr>
                <w:rFonts w:eastAsia="Calibri" w:cs="Calibri"/>
                <w:sz w:val="20"/>
                <w:szCs w:val="20"/>
              </w:rPr>
              <w:t xml:space="preserve">Higher Education Continuity Guarantee funding supports </w:t>
            </w:r>
            <w:r w:rsidR="0A646E69" w:rsidRPr="63C00A79">
              <w:rPr>
                <w:rFonts w:eastAsia="Calibri" w:cs="Calibri"/>
                <w:sz w:val="20"/>
                <w:szCs w:val="20"/>
              </w:rPr>
              <w:t xml:space="preserve">regional workforce viability </w:t>
            </w:r>
            <w:r w:rsidR="00783663">
              <w:rPr>
                <w:rFonts w:eastAsia="Calibri" w:cs="Calibri"/>
                <w:sz w:val="20"/>
                <w:szCs w:val="20"/>
              </w:rPr>
              <w:t>by</w:t>
            </w:r>
            <w:r w:rsidR="00783663" w:rsidRPr="63C00A79">
              <w:rPr>
                <w:rFonts w:eastAsia="Calibri" w:cs="Calibri"/>
                <w:sz w:val="20"/>
                <w:szCs w:val="20"/>
              </w:rPr>
              <w:t xml:space="preserve"> </w:t>
            </w:r>
            <w:r w:rsidR="0A646E69" w:rsidRPr="63C00A79">
              <w:rPr>
                <w:rFonts w:eastAsia="Calibri" w:cs="Calibri"/>
                <w:sz w:val="20"/>
                <w:szCs w:val="20"/>
              </w:rPr>
              <w:t>maint</w:t>
            </w:r>
            <w:r w:rsidR="09B190C7" w:rsidRPr="63C00A79">
              <w:rPr>
                <w:rFonts w:eastAsia="Calibri" w:cs="Calibri"/>
                <w:sz w:val="20"/>
                <w:szCs w:val="20"/>
              </w:rPr>
              <w:t>ain</w:t>
            </w:r>
            <w:r w:rsidR="0A646E69" w:rsidRPr="63C00A79">
              <w:rPr>
                <w:rFonts w:eastAsia="Calibri" w:cs="Calibri"/>
                <w:sz w:val="20"/>
                <w:szCs w:val="20"/>
              </w:rPr>
              <w:t xml:space="preserve">ing </w:t>
            </w:r>
            <w:r w:rsidR="00783663">
              <w:rPr>
                <w:rFonts w:eastAsia="Calibri" w:cs="Calibri"/>
                <w:sz w:val="20"/>
                <w:szCs w:val="20"/>
              </w:rPr>
              <w:t xml:space="preserve">otherwise </w:t>
            </w:r>
            <w:r w:rsidR="08036EDC" w:rsidRPr="63C00A79">
              <w:rPr>
                <w:rFonts w:eastAsia="Calibri" w:cs="Calibri"/>
                <w:sz w:val="20"/>
                <w:szCs w:val="20"/>
              </w:rPr>
              <w:t xml:space="preserve">loss-making </w:t>
            </w:r>
            <w:r w:rsidR="00783663">
              <w:rPr>
                <w:rFonts w:eastAsia="Calibri" w:cs="Calibri"/>
                <w:sz w:val="20"/>
                <w:szCs w:val="20"/>
              </w:rPr>
              <w:t>courses</w:t>
            </w:r>
            <w:r w:rsidR="00783663" w:rsidRPr="63C00A79">
              <w:rPr>
                <w:rFonts w:eastAsia="Calibri" w:cs="Calibri"/>
                <w:sz w:val="20"/>
                <w:szCs w:val="20"/>
              </w:rPr>
              <w:t xml:space="preserve"> </w:t>
            </w:r>
            <w:r w:rsidR="0A646E69" w:rsidRPr="63C00A79">
              <w:rPr>
                <w:rFonts w:eastAsia="Calibri" w:cs="Calibri"/>
                <w:sz w:val="20"/>
                <w:szCs w:val="20"/>
              </w:rPr>
              <w:t>with low student enrolment</w:t>
            </w:r>
            <w:r w:rsidR="371306DC" w:rsidRPr="63C00A79">
              <w:rPr>
                <w:rFonts w:eastAsia="Calibri" w:cs="Calibri"/>
                <w:sz w:val="20"/>
                <w:szCs w:val="20"/>
              </w:rPr>
              <w:t xml:space="preserve"> </w:t>
            </w:r>
            <w:r w:rsidR="00783663">
              <w:rPr>
                <w:rFonts w:eastAsia="Calibri" w:cs="Calibri"/>
                <w:sz w:val="20"/>
                <w:szCs w:val="20"/>
              </w:rPr>
              <w:t xml:space="preserve">that are </w:t>
            </w:r>
            <w:r w:rsidR="0A646E69" w:rsidRPr="63C00A79">
              <w:rPr>
                <w:rFonts w:eastAsia="Calibri" w:cs="Calibri"/>
                <w:sz w:val="20"/>
                <w:szCs w:val="20"/>
              </w:rPr>
              <w:t xml:space="preserve">critical to </w:t>
            </w:r>
            <w:r w:rsidR="00783663">
              <w:rPr>
                <w:rFonts w:eastAsia="Calibri" w:cs="Calibri"/>
                <w:sz w:val="20"/>
                <w:szCs w:val="20"/>
              </w:rPr>
              <w:t xml:space="preserve">the </w:t>
            </w:r>
            <w:r w:rsidR="0A646E69" w:rsidRPr="63C00A79">
              <w:rPr>
                <w:rFonts w:eastAsia="Calibri" w:cs="Calibri"/>
                <w:sz w:val="20"/>
                <w:szCs w:val="20"/>
              </w:rPr>
              <w:t>regional workforce, as well as providing the JCU Preparatory Program</w:t>
            </w:r>
            <w:r w:rsidR="720938CE" w:rsidRPr="63C00A79">
              <w:rPr>
                <w:rFonts w:eastAsia="Calibri" w:cs="Calibri"/>
                <w:sz w:val="20"/>
                <w:szCs w:val="20"/>
              </w:rPr>
              <w:t xml:space="preserve"> as an enabling program without student contribution fees.</w:t>
            </w:r>
          </w:p>
          <w:p w14:paraId="5404ACDA" w14:textId="77777777" w:rsidR="001B109C" w:rsidRDefault="001B109C" w:rsidP="00655E52">
            <w:pPr>
              <w:pStyle w:val="NormalIndent"/>
              <w:spacing w:before="0" w:after="0"/>
              <w:ind w:left="0"/>
              <w:jc w:val="both"/>
              <w:rPr>
                <w:rFonts w:asciiTheme="minorHAnsi" w:eastAsiaTheme="minorEastAsia" w:hAnsiTheme="minorHAnsi" w:cstheme="minorBidi"/>
                <w:b/>
                <w:bCs/>
                <w:sz w:val="20"/>
                <w:szCs w:val="20"/>
                <w:lang w:eastAsia="en-US"/>
              </w:rPr>
            </w:pPr>
          </w:p>
          <w:p w14:paraId="436E57A9" w14:textId="5DBA98F1" w:rsidR="1B90662F" w:rsidRDefault="1B90662F" w:rsidP="00655E52">
            <w:pPr>
              <w:spacing w:after="0" w:line="257" w:lineRule="auto"/>
              <w:jc w:val="both"/>
              <w:rPr>
                <w:rFonts w:ascii="Calibri" w:eastAsia="Calibri" w:hAnsi="Calibri" w:cs="Calibri"/>
                <w:b/>
                <w:bCs/>
                <w:sz w:val="20"/>
                <w:szCs w:val="20"/>
              </w:rPr>
            </w:pPr>
            <w:r w:rsidRPr="63C00A79">
              <w:rPr>
                <w:rFonts w:eastAsiaTheme="minorEastAsia"/>
                <w:b/>
                <w:bCs/>
                <w:sz w:val="20"/>
                <w:szCs w:val="20"/>
              </w:rPr>
              <w:t xml:space="preserve">Pre-Access Outreach </w:t>
            </w:r>
          </w:p>
          <w:p w14:paraId="477C3432" w14:textId="5148DE63" w:rsidR="1B90662F" w:rsidRDefault="1B90662F" w:rsidP="00655E52">
            <w:pPr>
              <w:spacing w:after="0" w:line="257" w:lineRule="auto"/>
              <w:jc w:val="both"/>
            </w:pPr>
            <w:r w:rsidRPr="63C00A79">
              <w:rPr>
                <w:rFonts w:ascii="Aptos" w:eastAsia="Aptos" w:hAnsi="Aptos" w:cs="Aptos"/>
              </w:rPr>
              <w:t xml:space="preserve"> </w:t>
            </w:r>
          </w:p>
          <w:p w14:paraId="141C5BB4" w14:textId="03CB54B7" w:rsidR="1B90662F" w:rsidRDefault="539B26FA" w:rsidP="00655E52">
            <w:pPr>
              <w:spacing w:after="0" w:line="257" w:lineRule="auto"/>
              <w:jc w:val="both"/>
              <w:rPr>
                <w:rFonts w:ascii="Calibri" w:eastAsia="Calibri" w:hAnsi="Calibri" w:cs="Calibri"/>
                <w:sz w:val="20"/>
                <w:szCs w:val="20"/>
              </w:rPr>
            </w:pPr>
            <w:r w:rsidRPr="1DD74DCF">
              <w:rPr>
                <w:rFonts w:eastAsiaTheme="minorEastAsia"/>
                <w:sz w:val="20"/>
                <w:szCs w:val="20"/>
                <w:lang w:eastAsia="en-AU"/>
              </w:rPr>
              <w:t>JCU</w:t>
            </w:r>
            <w:r w:rsidR="1B90662F" w:rsidRPr="1DD74DCF">
              <w:rPr>
                <w:rFonts w:eastAsiaTheme="minorEastAsia"/>
                <w:sz w:val="20"/>
                <w:szCs w:val="20"/>
                <w:lang w:eastAsia="en-AU"/>
              </w:rPr>
              <w:t xml:space="preserve"> is committed to increasing higher education participation through a place-based, equity-driven outreach framework. Recognising the persistent educational disparities in regional, rural, and remote communities, JCU’s outreach is co-design</w:t>
            </w:r>
            <w:r w:rsidR="109EB209" w:rsidRPr="1DD74DCF">
              <w:rPr>
                <w:rFonts w:eastAsiaTheme="minorEastAsia"/>
                <w:sz w:val="20"/>
                <w:szCs w:val="20"/>
                <w:lang w:eastAsia="en-AU"/>
              </w:rPr>
              <w:t>ed</w:t>
            </w:r>
            <w:r w:rsidR="1B90662F" w:rsidRPr="1DD74DCF">
              <w:rPr>
                <w:rFonts w:eastAsiaTheme="minorEastAsia"/>
                <w:sz w:val="20"/>
                <w:szCs w:val="20"/>
                <w:lang w:eastAsia="en-AU"/>
              </w:rPr>
              <w:t xml:space="preserve"> with local stakeholders and guided by five interrelated pillars: </w:t>
            </w:r>
            <w:r w:rsidR="1B90662F" w:rsidRPr="1DD74DCF">
              <w:rPr>
                <w:rFonts w:eastAsiaTheme="minorEastAsia"/>
                <w:b/>
                <w:bCs/>
                <w:sz w:val="20"/>
                <w:szCs w:val="20"/>
                <w:lang w:eastAsia="en-AU"/>
              </w:rPr>
              <w:t>Co-design, Community and Connection, Confidence, Clarity, and Capacity</w:t>
            </w:r>
            <w:r w:rsidR="1B90662F" w:rsidRPr="1DD74DCF">
              <w:rPr>
                <w:rFonts w:eastAsiaTheme="minorEastAsia"/>
                <w:sz w:val="20"/>
                <w:szCs w:val="20"/>
                <w:lang w:eastAsia="en-AU"/>
              </w:rPr>
              <w:t xml:space="preserve">. The university delivers sustained, educative, and relational programs that build aspiration, academic skills, and a sense of belonging among priority learners. Through partnerships with schools, communities, and education providers, and supported </w:t>
            </w:r>
            <w:r w:rsidR="7D9CBC3E" w:rsidRPr="1DD74DCF">
              <w:rPr>
                <w:rFonts w:eastAsiaTheme="minorEastAsia"/>
                <w:sz w:val="20"/>
                <w:szCs w:val="20"/>
                <w:lang w:eastAsia="en-AU"/>
              </w:rPr>
              <w:t xml:space="preserve">to date </w:t>
            </w:r>
            <w:r w:rsidR="1B90662F" w:rsidRPr="1DD74DCF">
              <w:rPr>
                <w:rFonts w:eastAsiaTheme="minorEastAsia"/>
                <w:sz w:val="20"/>
                <w:szCs w:val="20"/>
                <w:lang w:eastAsia="en-AU"/>
              </w:rPr>
              <w:t xml:space="preserve">by HEPPP funding, JCU’s outreach initiatives aim to dismantle structural barriers and foster inclusive, locally relevant pathways to </w:t>
            </w:r>
            <w:r w:rsidR="154691E5" w:rsidRPr="0200C5E3">
              <w:rPr>
                <w:rFonts w:eastAsiaTheme="minorEastAsia"/>
                <w:sz w:val="20"/>
                <w:szCs w:val="20"/>
                <w:lang w:eastAsia="en-AU"/>
              </w:rPr>
              <w:t>tertiary</w:t>
            </w:r>
            <w:r w:rsidR="1B90662F" w:rsidRPr="1DD74DCF">
              <w:rPr>
                <w:rFonts w:eastAsiaTheme="minorEastAsia"/>
                <w:sz w:val="20"/>
                <w:szCs w:val="20"/>
                <w:lang w:eastAsia="en-AU"/>
              </w:rPr>
              <w:t xml:space="preserve"> education.</w:t>
            </w:r>
          </w:p>
          <w:p w14:paraId="3094FA01" w14:textId="2A3D3B0A" w:rsidR="1B90662F" w:rsidRDefault="1B90662F" w:rsidP="00655E52">
            <w:pPr>
              <w:spacing w:after="0" w:line="257" w:lineRule="auto"/>
              <w:jc w:val="both"/>
              <w:rPr>
                <w:rFonts w:ascii="Calibri" w:eastAsia="Calibri" w:hAnsi="Calibri" w:cs="Calibri"/>
                <w:sz w:val="20"/>
                <w:szCs w:val="20"/>
              </w:rPr>
            </w:pPr>
            <w:r w:rsidRPr="63C00A79">
              <w:rPr>
                <w:rFonts w:eastAsiaTheme="minorEastAsia"/>
                <w:sz w:val="20"/>
                <w:szCs w:val="20"/>
                <w:lang w:eastAsia="en-AU"/>
              </w:rPr>
              <w:t xml:space="preserve"> </w:t>
            </w:r>
          </w:p>
          <w:p w14:paraId="068565A1" w14:textId="7837ED44" w:rsidR="1B90662F" w:rsidRDefault="1B90662F" w:rsidP="00655E52">
            <w:pPr>
              <w:spacing w:after="0" w:line="257" w:lineRule="auto"/>
              <w:jc w:val="both"/>
              <w:rPr>
                <w:rFonts w:eastAsiaTheme="minorEastAsia"/>
                <w:b/>
                <w:bCs/>
                <w:sz w:val="20"/>
                <w:szCs w:val="20"/>
              </w:rPr>
            </w:pPr>
            <w:r w:rsidRPr="63C00A79">
              <w:rPr>
                <w:rFonts w:eastAsiaTheme="minorEastAsia"/>
                <w:b/>
                <w:bCs/>
                <w:sz w:val="20"/>
                <w:szCs w:val="20"/>
              </w:rPr>
              <w:t>Participation- Student Supports</w:t>
            </w:r>
          </w:p>
          <w:p w14:paraId="245ED30C" w14:textId="56731936" w:rsidR="1B90662F" w:rsidRDefault="1B90662F" w:rsidP="00655E52">
            <w:pPr>
              <w:spacing w:after="0" w:line="257" w:lineRule="auto"/>
              <w:jc w:val="both"/>
            </w:pPr>
            <w:r w:rsidRPr="63C00A79">
              <w:rPr>
                <w:rFonts w:ascii="Aptos" w:eastAsia="Aptos" w:hAnsi="Aptos" w:cs="Aptos"/>
                <w:b/>
                <w:bCs/>
              </w:rPr>
              <w:t xml:space="preserve"> </w:t>
            </w:r>
          </w:p>
          <w:p w14:paraId="62A91672" w14:textId="2F1F15AA" w:rsidR="1B90662F" w:rsidRDefault="1B90662F" w:rsidP="00655E52">
            <w:pPr>
              <w:spacing w:after="0" w:line="257" w:lineRule="auto"/>
              <w:jc w:val="both"/>
              <w:rPr>
                <w:rFonts w:eastAsiaTheme="minorEastAsia"/>
                <w:sz w:val="20"/>
                <w:szCs w:val="20"/>
                <w:lang w:eastAsia="en-AU"/>
              </w:rPr>
            </w:pPr>
            <w:r w:rsidRPr="0E496596">
              <w:rPr>
                <w:rFonts w:eastAsiaTheme="minorEastAsia"/>
                <w:sz w:val="20"/>
                <w:szCs w:val="20"/>
                <w:lang w:eastAsia="en-AU"/>
              </w:rPr>
              <w:t>JCU</w:t>
            </w:r>
            <w:r w:rsidRPr="0200C5E3">
              <w:rPr>
                <w:rFonts w:eastAsiaTheme="minorEastAsia"/>
                <w:sz w:val="20"/>
                <w:szCs w:val="20"/>
                <w:lang w:eastAsia="en-AU"/>
              </w:rPr>
              <w:t xml:space="preserve"> </w:t>
            </w:r>
            <w:r w:rsidR="6E53FDAD" w:rsidRPr="0200C5E3">
              <w:rPr>
                <w:rFonts w:eastAsiaTheme="minorEastAsia"/>
                <w:sz w:val="20"/>
                <w:szCs w:val="20"/>
                <w:lang w:eastAsia="en-AU"/>
              </w:rPr>
              <w:t>takes</w:t>
            </w:r>
            <w:r w:rsidRPr="0E496596">
              <w:rPr>
                <w:rFonts w:eastAsiaTheme="minorEastAsia"/>
                <w:sz w:val="20"/>
                <w:szCs w:val="20"/>
                <w:lang w:eastAsia="en-AU"/>
              </w:rPr>
              <w:t xml:space="preserve"> a proactive and holistic approach to identifying and supporting students from underrepresented backgrounds. Designated roles within the university use predictive analytics and real-time engagement data to identify students at risk of disengagement or attrition. These insights inform timely, tailored interventions grounded in the principles of appreciative advising</w:t>
            </w:r>
            <w:r w:rsidR="00783663">
              <w:rPr>
                <w:rFonts w:eastAsiaTheme="minorEastAsia"/>
                <w:sz w:val="20"/>
                <w:szCs w:val="20"/>
                <w:lang w:eastAsia="en-AU"/>
              </w:rPr>
              <w:t xml:space="preserve"> - </w:t>
            </w:r>
            <w:r w:rsidRPr="0E496596">
              <w:rPr>
                <w:rFonts w:eastAsiaTheme="minorEastAsia"/>
                <w:sz w:val="20"/>
                <w:szCs w:val="20"/>
                <w:lang w:eastAsia="en-AU"/>
              </w:rPr>
              <w:t>focusing on students’ strengths, aspirations, and potential.</w:t>
            </w:r>
          </w:p>
          <w:bookmarkEnd w:id="0"/>
          <w:bookmarkEnd w:id="1"/>
          <w:p w14:paraId="5F5B9E85" w14:textId="386EAEBA" w:rsidR="0200C5E3" w:rsidRDefault="0200C5E3" w:rsidP="00655E52">
            <w:pPr>
              <w:spacing w:after="0" w:line="257" w:lineRule="auto"/>
              <w:jc w:val="both"/>
              <w:rPr>
                <w:rFonts w:eastAsiaTheme="minorEastAsia"/>
                <w:sz w:val="20"/>
                <w:szCs w:val="20"/>
                <w:lang w:eastAsia="en-AU"/>
              </w:rPr>
            </w:pPr>
          </w:p>
          <w:p w14:paraId="37BADAE3" w14:textId="07CE788A" w:rsidR="001B109C" w:rsidRDefault="1B90662F" w:rsidP="00655E52">
            <w:pPr>
              <w:spacing w:after="0" w:line="257" w:lineRule="auto"/>
              <w:jc w:val="both"/>
              <w:rPr>
                <w:rFonts w:eastAsiaTheme="minorEastAsia"/>
                <w:sz w:val="20"/>
                <w:szCs w:val="20"/>
                <w:lang w:eastAsia="en-AU"/>
              </w:rPr>
            </w:pPr>
            <w:r w:rsidRPr="0C8AAB80">
              <w:rPr>
                <w:rFonts w:eastAsiaTheme="minorEastAsia"/>
                <w:sz w:val="20"/>
                <w:szCs w:val="20"/>
                <w:lang w:eastAsia="en-AU"/>
              </w:rPr>
              <w:t>JCU provides dedicated support services including counselling, careers guidance, and accessibility services to ensure students receive the help they need to thrive. The university is investment in key areas such as therapeutic interventions, peer support programs, and the development of inclusive resource hubs and sensory-friendly spaces, particularly to support neurodiverse learners. This integrated model ensures that all students—regardless of background—are empowered to succeed in their academic journey.</w:t>
            </w:r>
          </w:p>
          <w:p w14:paraId="22B87A46" w14:textId="05D93A18" w:rsidR="001B109C" w:rsidRDefault="001B109C" w:rsidP="00655E52">
            <w:pPr>
              <w:spacing w:after="0" w:line="257" w:lineRule="auto"/>
              <w:jc w:val="both"/>
              <w:rPr>
                <w:rFonts w:eastAsiaTheme="minorEastAsia"/>
                <w:sz w:val="20"/>
                <w:szCs w:val="20"/>
                <w:lang w:eastAsia="en-AU"/>
              </w:rPr>
            </w:pPr>
          </w:p>
        </w:tc>
      </w:tr>
      <w:tr w:rsidR="001B109C" w:rsidRPr="00E41388" w14:paraId="39ADE404" w14:textId="77777777" w:rsidTr="3F2AB021">
        <w:trPr>
          <w:cantSplit/>
        </w:trPr>
        <w:tc>
          <w:tcPr>
            <w:tcW w:w="5000" w:type="pct"/>
          </w:tcPr>
          <w:p w14:paraId="5E8BF11E" w14:textId="0E120B78" w:rsidR="001B109C" w:rsidRPr="002A58A5" w:rsidRDefault="001B109C" w:rsidP="00655E52">
            <w:pPr>
              <w:pStyle w:val="Heading4"/>
              <w:keepLines w:val="0"/>
              <w:spacing w:before="180" w:after="60"/>
              <w:jc w:val="both"/>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3F2AB021">
        <w:trPr>
          <w:cantSplit/>
          <w:trHeight w:val="977"/>
        </w:trPr>
        <w:tc>
          <w:tcPr>
            <w:tcW w:w="5000" w:type="pct"/>
            <w:tcBorders>
              <w:bottom w:val="single" w:sz="4" w:space="0" w:color="auto"/>
            </w:tcBorders>
          </w:tcPr>
          <w:p w14:paraId="3CFA2BA1" w14:textId="77777777" w:rsidR="001B109C" w:rsidRPr="00E169EE" w:rsidRDefault="001B109C" w:rsidP="00655E52">
            <w:pPr>
              <w:pStyle w:val="NormalIndent"/>
              <w:spacing w:before="0" w:after="0"/>
              <w:ind w:left="0"/>
              <w:jc w:val="both"/>
              <w:rPr>
                <w:rFonts w:asciiTheme="minorHAnsi" w:hAnsiTheme="minorHAnsi" w:cstheme="minorHAnsi"/>
                <w:i/>
                <w:color w:val="FF0000"/>
                <w:szCs w:val="22"/>
              </w:rPr>
            </w:pPr>
          </w:p>
          <w:p w14:paraId="29FB8794" w14:textId="4722128F" w:rsidR="001B109C" w:rsidRDefault="4251E191" w:rsidP="00655E52">
            <w:pPr>
              <w:spacing w:line="257" w:lineRule="auto"/>
              <w:jc w:val="both"/>
              <w:rPr>
                <w:rFonts w:eastAsiaTheme="minorEastAsia"/>
                <w:sz w:val="20"/>
                <w:szCs w:val="20"/>
                <w:lang w:val="en-US" w:eastAsia="en-AU"/>
              </w:rPr>
            </w:pPr>
            <w:r w:rsidRPr="0C8AAB80">
              <w:rPr>
                <w:rFonts w:eastAsiaTheme="minorEastAsia"/>
                <w:sz w:val="20"/>
                <w:szCs w:val="20"/>
                <w:lang w:val="en-US" w:eastAsia="en-AU"/>
              </w:rPr>
              <w:t xml:space="preserve">JCU is committed to every student </w:t>
            </w:r>
            <w:r w:rsidR="0007711B">
              <w:rPr>
                <w:rFonts w:eastAsiaTheme="minorEastAsia"/>
                <w:sz w:val="20"/>
                <w:szCs w:val="20"/>
                <w:lang w:val="en-US" w:eastAsia="en-AU"/>
              </w:rPr>
              <w:t>having access to</w:t>
            </w:r>
            <w:r w:rsidR="0007711B" w:rsidRPr="0C8AAB80">
              <w:rPr>
                <w:rFonts w:eastAsiaTheme="minorEastAsia"/>
                <w:sz w:val="20"/>
                <w:szCs w:val="20"/>
                <w:lang w:val="en-US" w:eastAsia="en-AU"/>
              </w:rPr>
              <w:t xml:space="preserve"> </w:t>
            </w:r>
            <w:r w:rsidRPr="0C8AAB80">
              <w:rPr>
                <w:rFonts w:eastAsiaTheme="minorEastAsia"/>
                <w:sz w:val="20"/>
                <w:szCs w:val="20"/>
                <w:lang w:val="en-US" w:eastAsia="en-AU"/>
              </w:rPr>
              <w:t xml:space="preserve">education that is mission-aligned, future-focused, and globally impactful. We will ensure every graduate is not only job-ready but future-ready: able to apply disciplinary expertise to the real challenges of the Tropics with the defining capability of their generation, </w:t>
            </w:r>
            <w:r w:rsidR="14168F59" w:rsidRPr="0C8AAB80">
              <w:rPr>
                <w:rFonts w:eastAsiaTheme="minorEastAsia"/>
                <w:sz w:val="20"/>
                <w:szCs w:val="20"/>
                <w:lang w:val="en-US" w:eastAsia="en-AU"/>
              </w:rPr>
              <w:t>Gen</w:t>
            </w:r>
            <w:r w:rsidRPr="0C8AAB80">
              <w:rPr>
                <w:rFonts w:eastAsiaTheme="minorEastAsia"/>
                <w:sz w:val="20"/>
                <w:szCs w:val="20"/>
                <w:lang w:val="en-US" w:eastAsia="en-AU"/>
              </w:rPr>
              <w:t xml:space="preserve">AI. Highlights include WIL in every undergraduate program and a range of flexible study options, with GenAI embedded </w:t>
            </w:r>
            <w:r w:rsidR="00FE3126">
              <w:rPr>
                <w:rFonts w:eastAsiaTheme="minorEastAsia"/>
                <w:sz w:val="20"/>
                <w:szCs w:val="20"/>
                <w:lang w:val="en-US" w:eastAsia="en-AU"/>
              </w:rPr>
              <w:t>with</w:t>
            </w:r>
            <w:r w:rsidRPr="0C8AAB80">
              <w:rPr>
                <w:rFonts w:eastAsiaTheme="minorEastAsia"/>
                <w:sz w:val="20"/>
                <w:szCs w:val="20"/>
                <w:lang w:val="en-US" w:eastAsia="en-AU"/>
              </w:rPr>
              <w:t xml:space="preserve">in </w:t>
            </w:r>
            <w:r w:rsidR="00FE3126">
              <w:rPr>
                <w:rFonts w:eastAsiaTheme="minorEastAsia"/>
                <w:sz w:val="20"/>
                <w:szCs w:val="20"/>
                <w:lang w:val="en-US" w:eastAsia="en-AU"/>
              </w:rPr>
              <w:t xml:space="preserve">the </w:t>
            </w:r>
            <w:r w:rsidRPr="0C8AAB80">
              <w:rPr>
                <w:rFonts w:eastAsiaTheme="minorEastAsia"/>
                <w:sz w:val="20"/>
                <w:szCs w:val="20"/>
                <w:lang w:val="en-US" w:eastAsia="en-AU"/>
              </w:rPr>
              <w:t>curriculum.</w:t>
            </w:r>
          </w:p>
          <w:p w14:paraId="1AD7E914" w14:textId="012EDE28" w:rsidR="001B109C" w:rsidRDefault="4251E191" w:rsidP="00655E52">
            <w:pPr>
              <w:spacing w:before="240" w:line="276" w:lineRule="auto"/>
              <w:jc w:val="both"/>
              <w:rPr>
                <w:rFonts w:eastAsiaTheme="minorEastAsia"/>
                <w:sz w:val="20"/>
                <w:szCs w:val="20"/>
                <w:lang w:eastAsia="en-AU"/>
              </w:rPr>
            </w:pPr>
            <w:r w:rsidRPr="0C8AAB80">
              <w:rPr>
                <w:rFonts w:eastAsiaTheme="minorEastAsia"/>
                <w:sz w:val="20"/>
                <w:szCs w:val="20"/>
                <w:lang w:eastAsia="en-AU"/>
              </w:rPr>
              <w:t xml:space="preserve">JCU has implemented strategies to address regulatory requirements and industry expectations regarding assurance of learning in the era of </w:t>
            </w:r>
            <w:r w:rsidR="454B4432" w:rsidRPr="0200C5E3">
              <w:rPr>
                <w:rFonts w:eastAsiaTheme="minorEastAsia"/>
                <w:sz w:val="20"/>
                <w:szCs w:val="20"/>
                <w:lang w:eastAsia="en-AU"/>
              </w:rPr>
              <w:t>Gen</w:t>
            </w:r>
            <w:r w:rsidR="6BF4FEB7" w:rsidRPr="0200C5E3">
              <w:rPr>
                <w:rFonts w:eastAsiaTheme="minorEastAsia"/>
                <w:sz w:val="20"/>
                <w:szCs w:val="20"/>
                <w:lang w:eastAsia="en-AU"/>
              </w:rPr>
              <w:t>AI</w:t>
            </w:r>
            <w:r w:rsidRPr="0200C5E3">
              <w:rPr>
                <w:rFonts w:eastAsiaTheme="minorEastAsia"/>
                <w:sz w:val="20"/>
                <w:szCs w:val="20"/>
                <w:lang w:eastAsia="en-AU"/>
              </w:rPr>
              <w:t>.</w:t>
            </w:r>
            <w:r w:rsidRPr="0C8AAB80">
              <w:rPr>
                <w:rFonts w:eastAsiaTheme="minorEastAsia"/>
                <w:sz w:val="20"/>
                <w:szCs w:val="20"/>
                <w:lang w:eastAsia="en-AU"/>
              </w:rPr>
              <w:t xml:space="preserve"> Assessment reform activated by expert working groups to design and implement satisfactory/unsatisfactory results in foundational years, reduce total assessment load, and prioritise authentic assessment that reduces reliance on written examinations are keystones to JCU’s approach to learning assurance and continued program relevance for our communities.</w:t>
            </w:r>
          </w:p>
          <w:p w14:paraId="3BA9BB1C" w14:textId="6E879F77" w:rsidR="001B109C" w:rsidRDefault="4251E191" w:rsidP="00655E52">
            <w:pPr>
              <w:spacing w:line="257" w:lineRule="auto"/>
              <w:jc w:val="both"/>
              <w:rPr>
                <w:rFonts w:eastAsiaTheme="minorEastAsia"/>
                <w:sz w:val="20"/>
                <w:szCs w:val="20"/>
                <w:lang w:eastAsia="en-AU"/>
              </w:rPr>
            </w:pPr>
            <w:r w:rsidRPr="63C00A79">
              <w:rPr>
                <w:rFonts w:eastAsiaTheme="minorEastAsia"/>
                <w:sz w:val="20"/>
                <w:szCs w:val="20"/>
                <w:lang w:eastAsia="en-AU"/>
              </w:rPr>
              <w:t>JCU has achieved a 0.1- 2.1 percentage point improvement across 2024 QILT overall satisfaction results, against an overall sector decline. The post-COVID completion of Comprehensive Course Reviews complimented by annual reports with detailed actions, implemented with oversight of the Academic Governance Committees that includes students as members, ensures that JCU prioritises course improvement for student success.</w:t>
            </w:r>
          </w:p>
          <w:p w14:paraId="07021A73" w14:textId="7E6C8B29" w:rsidR="001B109C" w:rsidRDefault="4251E191" w:rsidP="00655E52">
            <w:pPr>
              <w:spacing w:line="257" w:lineRule="auto"/>
              <w:jc w:val="both"/>
              <w:rPr>
                <w:rFonts w:eastAsiaTheme="minorEastAsia"/>
                <w:sz w:val="20"/>
                <w:szCs w:val="20"/>
                <w:lang w:eastAsia="en-AU"/>
              </w:rPr>
            </w:pPr>
            <w:r w:rsidRPr="63C00A79">
              <w:rPr>
                <w:rFonts w:eastAsiaTheme="minorEastAsia"/>
                <w:sz w:val="20"/>
                <w:szCs w:val="20"/>
                <w:lang w:eastAsia="en-AU"/>
              </w:rPr>
              <w:t>Subject satisfaction improved in 2025 (75.6% against 74.8% in 2024), and JCU has responded to declining student participation in subject and teaching evaluations by facilitating discipline-led student feedback forums to promote collaborative, person-centred approaches to improving the student experience.</w:t>
            </w:r>
            <w:r w:rsidR="00A44D3E">
              <w:rPr>
                <w:rFonts w:eastAsiaTheme="minorEastAsia"/>
                <w:sz w:val="20"/>
                <w:szCs w:val="20"/>
                <w:lang w:eastAsia="en-AU"/>
              </w:rPr>
              <w:t xml:space="preserve"> </w:t>
            </w:r>
            <w:r w:rsidRPr="63C00A79">
              <w:rPr>
                <w:rFonts w:eastAsiaTheme="minorEastAsia"/>
                <w:sz w:val="20"/>
                <w:szCs w:val="20"/>
                <w:lang w:eastAsia="en-AU"/>
              </w:rPr>
              <w:t>From 2026, through our proactive self-check subject quality review processes, academic staff will proactively drive review and improvement, with the innovative Teaching Improvement Program enacted for targeted support to improve the quality of teaching and subject delivery in identified areas of low satisfaction</w:t>
            </w:r>
            <w:r w:rsidR="00FE3126">
              <w:rPr>
                <w:rFonts w:eastAsiaTheme="minorEastAsia"/>
                <w:sz w:val="20"/>
                <w:szCs w:val="20"/>
                <w:lang w:eastAsia="en-AU"/>
              </w:rPr>
              <w:t>;</w:t>
            </w:r>
            <w:r w:rsidRPr="63C00A79">
              <w:rPr>
                <w:rFonts w:eastAsiaTheme="minorEastAsia"/>
                <w:sz w:val="20"/>
                <w:szCs w:val="20"/>
                <w:lang w:eastAsia="en-AU"/>
              </w:rPr>
              <w:t xml:space="preserve"> </w:t>
            </w:r>
            <w:r w:rsidR="00FE3126">
              <w:rPr>
                <w:rFonts w:eastAsiaTheme="minorEastAsia"/>
                <w:sz w:val="20"/>
                <w:szCs w:val="20"/>
                <w:lang w:eastAsia="en-AU"/>
              </w:rPr>
              <w:t>t</w:t>
            </w:r>
            <w:r w:rsidR="00FE3126" w:rsidRPr="63C00A79">
              <w:rPr>
                <w:rFonts w:eastAsiaTheme="minorEastAsia"/>
                <w:sz w:val="20"/>
                <w:szCs w:val="20"/>
                <w:lang w:eastAsia="en-AU"/>
              </w:rPr>
              <w:t xml:space="preserve">his </w:t>
            </w:r>
            <w:r w:rsidRPr="63C00A79">
              <w:rPr>
                <w:rFonts w:eastAsiaTheme="minorEastAsia"/>
                <w:sz w:val="20"/>
                <w:szCs w:val="20"/>
                <w:lang w:eastAsia="en-AU"/>
              </w:rPr>
              <w:t>complements existing external calibration and accreditation activity.</w:t>
            </w:r>
          </w:p>
          <w:p w14:paraId="7E276F06" w14:textId="71AAE18A" w:rsidR="001B109C" w:rsidRDefault="4251E191" w:rsidP="00655E52">
            <w:pPr>
              <w:spacing w:line="257" w:lineRule="auto"/>
              <w:jc w:val="both"/>
              <w:rPr>
                <w:rFonts w:eastAsiaTheme="minorEastAsia"/>
                <w:sz w:val="20"/>
                <w:szCs w:val="20"/>
                <w:lang w:eastAsia="en-AU"/>
              </w:rPr>
            </w:pPr>
            <w:r w:rsidRPr="63C00A79">
              <w:rPr>
                <w:rFonts w:eastAsiaTheme="minorEastAsia"/>
                <w:sz w:val="20"/>
                <w:szCs w:val="20"/>
                <w:lang w:eastAsia="en-AU"/>
              </w:rPr>
              <w:t xml:space="preserve">Staff participate in learning and teaching professional development and recognition opportunities through regular </w:t>
            </w:r>
            <w:r w:rsidR="00FE3126" w:rsidRPr="63C00A79">
              <w:rPr>
                <w:rFonts w:eastAsiaTheme="minorEastAsia"/>
                <w:sz w:val="20"/>
                <w:szCs w:val="20"/>
                <w:lang w:eastAsia="en-AU"/>
              </w:rPr>
              <w:t>internally facilitated</w:t>
            </w:r>
            <w:r w:rsidRPr="63C00A79">
              <w:rPr>
                <w:rFonts w:eastAsiaTheme="minorEastAsia"/>
                <w:sz w:val="20"/>
                <w:szCs w:val="20"/>
                <w:lang w:eastAsia="en-AU"/>
              </w:rPr>
              <w:t xml:space="preserve"> online workshops, promotion of external webinars, support to present/attend sector-relevant conferences and professional networks, access to resource-rich staff SharePoint sites, learning and teaching grants, and excellence awards. JCU hosts an annual </w:t>
            </w:r>
            <w:hyperlink r:id="rId15">
              <w:r w:rsidRPr="63C00A79">
                <w:rPr>
                  <w:rStyle w:val="Hyperlink"/>
                  <w:rFonts w:eastAsiaTheme="minorEastAsia"/>
                  <w:sz w:val="20"/>
                  <w:szCs w:val="20"/>
                  <w:lang w:eastAsia="en-AU"/>
                </w:rPr>
                <w:t>Celebrating Excellence week</w:t>
              </w:r>
            </w:hyperlink>
            <w:r w:rsidRPr="63C00A79">
              <w:rPr>
                <w:rFonts w:eastAsiaTheme="minorEastAsia"/>
                <w:sz w:val="20"/>
                <w:szCs w:val="20"/>
                <w:lang w:eastAsia="en-AU"/>
              </w:rPr>
              <w:t xml:space="preserve"> to showcase and promote shifts in practice in response to emerging opportunities. The focus in 2025 was assessment reform, enhancing feedback practices, and GenAI adoption in curriculum. </w:t>
            </w:r>
          </w:p>
          <w:p w14:paraId="1621B640" w14:textId="7F58425B" w:rsidR="001B109C" w:rsidRDefault="4251E191" w:rsidP="00655E52">
            <w:pPr>
              <w:spacing w:line="257" w:lineRule="auto"/>
              <w:jc w:val="both"/>
              <w:rPr>
                <w:rFonts w:eastAsiaTheme="minorEastAsia"/>
                <w:sz w:val="20"/>
                <w:szCs w:val="20"/>
                <w:lang w:eastAsia="en-AU"/>
              </w:rPr>
            </w:pPr>
            <w:r w:rsidRPr="0C8AAB80">
              <w:rPr>
                <w:rFonts w:eastAsiaTheme="minorEastAsia"/>
                <w:sz w:val="20"/>
                <w:szCs w:val="20"/>
                <w:lang w:eastAsia="en-AU"/>
              </w:rPr>
              <w:t>JCUs comprehensive portfolio of academic and general student support services is critical to meet the diverse needs of our regional students</w:t>
            </w:r>
            <w:r w:rsidR="00C91424">
              <w:rPr>
                <w:rFonts w:eastAsiaTheme="minorEastAsia"/>
                <w:sz w:val="20"/>
                <w:szCs w:val="20"/>
                <w:lang w:eastAsia="en-AU"/>
              </w:rPr>
              <w:t xml:space="preserve">. </w:t>
            </w:r>
            <w:r w:rsidR="00C91424" w:rsidRPr="00C91424">
              <w:rPr>
                <w:rFonts w:eastAsiaTheme="minorEastAsia"/>
                <w:b/>
                <w:bCs/>
                <w:sz w:val="20"/>
                <w:szCs w:val="20"/>
                <w:lang w:eastAsia="en-AU"/>
              </w:rPr>
              <w:t>JCU</w:t>
            </w:r>
            <w:r w:rsidR="00C91424" w:rsidRPr="00C91424">
              <w:rPr>
                <w:rFonts w:eastAsiaTheme="minorEastAsia"/>
                <w:sz w:val="20"/>
                <w:szCs w:val="20"/>
                <w:lang w:eastAsia="en-AU"/>
              </w:rPr>
              <w:t xml:space="preserve"> had a </w:t>
            </w:r>
            <w:hyperlink r:id="rId16" w:history="1">
              <w:r w:rsidR="00504B76" w:rsidRPr="00CF14A7">
                <w:rPr>
                  <w:rStyle w:val="Hyperlink"/>
                  <w:rFonts w:eastAsiaTheme="minorEastAsia"/>
                  <w:sz w:val="20"/>
                  <w:szCs w:val="20"/>
                  <w:lang w:eastAsia="en-AU"/>
                </w:rPr>
                <w:t>published</w:t>
              </w:r>
            </w:hyperlink>
            <w:r w:rsidR="00504B76">
              <w:rPr>
                <w:rFonts w:eastAsiaTheme="minorEastAsia"/>
                <w:sz w:val="20"/>
                <w:szCs w:val="20"/>
                <w:lang w:eastAsia="en-AU"/>
              </w:rPr>
              <w:t xml:space="preserve"> </w:t>
            </w:r>
            <w:r w:rsidR="00C91424" w:rsidRPr="00C91424">
              <w:rPr>
                <w:rFonts w:eastAsiaTheme="minorEastAsia"/>
                <w:sz w:val="20"/>
                <w:szCs w:val="20"/>
                <w:lang w:eastAsia="en-AU"/>
              </w:rPr>
              <w:t xml:space="preserve">retention rate (for commencing Bachelor Students) of </w:t>
            </w:r>
            <w:r w:rsidR="00C91424" w:rsidRPr="00504B76">
              <w:rPr>
                <w:rFonts w:eastAsiaTheme="minorEastAsia"/>
                <w:sz w:val="20"/>
                <w:szCs w:val="20"/>
                <w:lang w:eastAsia="en-AU"/>
              </w:rPr>
              <w:t>78.02% in 2023/2024</w:t>
            </w:r>
            <w:r w:rsidR="00C91424" w:rsidRPr="00C91424">
              <w:rPr>
                <w:rFonts w:eastAsiaTheme="minorEastAsia"/>
                <w:sz w:val="20"/>
                <w:szCs w:val="20"/>
                <w:lang w:eastAsia="en-AU"/>
              </w:rPr>
              <w:t xml:space="preserve">. </w:t>
            </w:r>
            <w:r w:rsidR="00504B76">
              <w:rPr>
                <w:rFonts w:eastAsiaTheme="minorEastAsia"/>
                <w:sz w:val="20"/>
                <w:szCs w:val="20"/>
                <w:lang w:eastAsia="en-AU"/>
              </w:rPr>
              <w:t>O</w:t>
            </w:r>
            <w:r w:rsidR="00C91424" w:rsidRPr="00C91424">
              <w:rPr>
                <w:rFonts w:eastAsiaTheme="minorEastAsia"/>
                <w:sz w:val="20"/>
                <w:szCs w:val="20"/>
                <w:lang w:eastAsia="en-AU"/>
              </w:rPr>
              <w:t>ur internal system COGNOS © shows an improving trend for 2024/2025 of 85.0%</w:t>
            </w:r>
            <w:r w:rsidR="00C761AA">
              <w:rPr>
                <w:rFonts w:eastAsiaTheme="minorEastAsia"/>
                <w:sz w:val="20"/>
                <w:szCs w:val="20"/>
                <w:lang w:eastAsia="en-AU"/>
              </w:rPr>
              <w:t xml:space="preserve"> (unpublished)</w:t>
            </w:r>
            <w:r w:rsidR="00C91424" w:rsidRPr="00C91424">
              <w:rPr>
                <w:rFonts w:eastAsiaTheme="minorEastAsia"/>
                <w:sz w:val="20"/>
                <w:szCs w:val="20"/>
                <w:lang w:eastAsia="en-AU"/>
              </w:rPr>
              <w:t>.</w:t>
            </w:r>
            <w:r w:rsidR="00A44D3E">
              <w:rPr>
                <w:rFonts w:eastAsiaTheme="minorEastAsia"/>
                <w:sz w:val="20"/>
                <w:szCs w:val="20"/>
                <w:lang w:eastAsia="en-AU"/>
              </w:rPr>
              <w:t xml:space="preserve"> </w:t>
            </w:r>
            <w:r w:rsidR="00C91424" w:rsidRPr="00C91424">
              <w:rPr>
                <w:rFonts w:eastAsiaTheme="minorEastAsia"/>
                <w:sz w:val="20"/>
                <w:szCs w:val="20"/>
                <w:lang w:eastAsia="en-AU"/>
              </w:rPr>
              <w:t xml:space="preserve">For </w:t>
            </w:r>
            <w:r w:rsidR="00A1129C">
              <w:rPr>
                <w:rFonts w:eastAsiaTheme="minorEastAsia"/>
                <w:sz w:val="20"/>
                <w:szCs w:val="20"/>
                <w:lang w:eastAsia="en-AU"/>
              </w:rPr>
              <w:t>I</w:t>
            </w:r>
            <w:r w:rsidR="00C91424" w:rsidRPr="00C91424">
              <w:rPr>
                <w:rFonts w:eastAsiaTheme="minorEastAsia"/>
                <w:sz w:val="20"/>
                <w:szCs w:val="20"/>
                <w:lang w:eastAsia="en-AU"/>
              </w:rPr>
              <w:t>ndigenous students this rate was 71.4% in 2023/24 and 76.1% in 24/25.</w:t>
            </w:r>
            <w:r w:rsidRPr="0C8AAB80">
              <w:rPr>
                <w:rFonts w:eastAsiaTheme="minorEastAsia"/>
                <w:sz w:val="20"/>
                <w:szCs w:val="20"/>
                <w:lang w:eastAsia="en-AU"/>
              </w:rPr>
              <w:t xml:space="preserve"> </w:t>
            </w:r>
            <w:r w:rsidR="19138485" w:rsidRPr="0200C5E3">
              <w:rPr>
                <w:rFonts w:eastAsiaTheme="minorEastAsia"/>
                <w:sz w:val="20"/>
                <w:szCs w:val="20"/>
                <w:lang w:eastAsia="en-AU"/>
              </w:rPr>
              <w:t xml:space="preserve">The 2024 </w:t>
            </w:r>
            <w:hyperlink r:id="rId17">
              <w:r w:rsidR="19138485" w:rsidRPr="0200C5E3">
                <w:rPr>
                  <w:rStyle w:val="Hyperlink"/>
                  <w:rFonts w:eastAsiaTheme="minorEastAsia"/>
                  <w:sz w:val="20"/>
                  <w:szCs w:val="20"/>
                  <w:lang w:eastAsia="en-AU"/>
                </w:rPr>
                <w:t>Indigenous Student Success Performance Report</w:t>
              </w:r>
            </w:hyperlink>
            <w:r w:rsidR="19138485" w:rsidRPr="0200C5E3">
              <w:rPr>
                <w:rFonts w:eastAsiaTheme="minorEastAsia"/>
                <w:sz w:val="20"/>
                <w:szCs w:val="20"/>
                <w:lang w:eastAsia="en-AU"/>
              </w:rPr>
              <w:t xml:space="preserve"> provides </w:t>
            </w:r>
            <w:r w:rsidR="007B7FD0">
              <w:rPr>
                <w:rFonts w:eastAsiaTheme="minorEastAsia"/>
                <w:sz w:val="20"/>
                <w:szCs w:val="20"/>
                <w:lang w:eastAsia="en-AU"/>
              </w:rPr>
              <w:t>additional</w:t>
            </w:r>
            <w:r w:rsidR="73D43C60" w:rsidRPr="0200C5E3">
              <w:rPr>
                <w:rFonts w:eastAsiaTheme="minorEastAsia"/>
                <w:sz w:val="20"/>
                <w:szCs w:val="20"/>
                <w:lang w:eastAsia="en-AU"/>
              </w:rPr>
              <w:t xml:space="preserve"> comprehensive detail.</w:t>
            </w:r>
            <w:r w:rsidR="19138485" w:rsidRPr="0200C5E3">
              <w:rPr>
                <w:rFonts w:eastAsiaTheme="minorEastAsia"/>
                <w:sz w:val="20"/>
                <w:szCs w:val="20"/>
                <w:lang w:eastAsia="en-AU"/>
              </w:rPr>
              <w:t xml:space="preserve"> </w:t>
            </w:r>
          </w:p>
          <w:p w14:paraId="28D2F5FB" w14:textId="603D7678" w:rsidR="001B109C" w:rsidRDefault="4251E191" w:rsidP="00655E52">
            <w:pPr>
              <w:spacing w:line="257" w:lineRule="auto"/>
              <w:jc w:val="both"/>
              <w:rPr>
                <w:rFonts w:eastAsiaTheme="minorEastAsia"/>
                <w:sz w:val="20"/>
                <w:szCs w:val="20"/>
                <w:lang w:eastAsia="en-AU"/>
              </w:rPr>
            </w:pPr>
            <w:r w:rsidRPr="63C00A79">
              <w:rPr>
                <w:rFonts w:eastAsiaTheme="minorEastAsia"/>
                <w:sz w:val="20"/>
                <w:szCs w:val="20"/>
                <w:lang w:val="en-US" w:eastAsia="en-AU"/>
              </w:rPr>
              <w:t xml:space="preserve">In 2024, JCU launched </w:t>
            </w:r>
            <w:hyperlink r:id="rId18">
              <w:r w:rsidRPr="63C00A79">
                <w:rPr>
                  <w:rStyle w:val="Hyperlink"/>
                  <w:rFonts w:eastAsiaTheme="minorEastAsia"/>
                  <w:sz w:val="20"/>
                  <w:szCs w:val="20"/>
                  <w:lang w:val="en-US" w:eastAsia="en-AU"/>
                </w:rPr>
                <w:t>JCU Prep</w:t>
              </w:r>
            </w:hyperlink>
            <w:r w:rsidRPr="63C00A79">
              <w:rPr>
                <w:rFonts w:eastAsiaTheme="minorEastAsia"/>
                <w:sz w:val="20"/>
                <w:szCs w:val="20"/>
                <w:lang w:val="en-US" w:eastAsia="en-AU"/>
              </w:rPr>
              <w:t xml:space="preserve">, a fee-free enabling pathway to bachelors’ programs. Through study across academic, digital, cultural, and scientific literacies and numeracy, delivered flexibly, JCU now supports 940 students through enabling places (up from </w:t>
            </w:r>
            <w:r w:rsidRPr="63C00A79">
              <w:rPr>
                <w:rFonts w:eastAsiaTheme="minorEastAsia"/>
                <w:sz w:val="20"/>
                <w:szCs w:val="20"/>
                <w:lang w:eastAsia="en-AU"/>
              </w:rPr>
              <w:t xml:space="preserve">730 in 2024, and 60 in 2023). </w:t>
            </w:r>
          </w:p>
          <w:p w14:paraId="74D1FDC7" w14:textId="58C8BFBF" w:rsidR="001B109C" w:rsidRPr="007E3E37" w:rsidRDefault="4251E191" w:rsidP="00655E52">
            <w:pPr>
              <w:spacing w:line="257" w:lineRule="auto"/>
              <w:jc w:val="both"/>
              <w:rPr>
                <w:rFonts w:cstheme="minorHAnsi"/>
                <w:i/>
                <w:color w:val="FF0000"/>
              </w:rPr>
            </w:pPr>
            <w:r w:rsidRPr="0C8AAB80">
              <w:rPr>
                <w:rFonts w:eastAsiaTheme="minorEastAsia"/>
                <w:sz w:val="20"/>
                <w:szCs w:val="20"/>
                <w:lang w:eastAsia="en-AU"/>
              </w:rPr>
              <w:t xml:space="preserve">All JCU students have access to </w:t>
            </w:r>
            <w:hyperlink r:id="rId19">
              <w:r w:rsidRPr="0C8AAB80">
                <w:rPr>
                  <w:rStyle w:val="Hyperlink"/>
                  <w:rFonts w:eastAsiaTheme="minorEastAsia"/>
                  <w:sz w:val="20"/>
                  <w:szCs w:val="20"/>
                  <w:lang w:eastAsia="en-AU"/>
                </w:rPr>
                <w:t>The Learning Centre</w:t>
              </w:r>
            </w:hyperlink>
            <w:r w:rsidRPr="0C8AAB80">
              <w:rPr>
                <w:rFonts w:eastAsiaTheme="minorEastAsia"/>
                <w:sz w:val="20"/>
                <w:szCs w:val="20"/>
                <w:lang w:eastAsia="en-AU"/>
              </w:rPr>
              <w:t xml:space="preserve"> academic support, including Learning Advisors, Peer Assisted Study Sessions, Student Academic Integrity Ambassadors with associated online and on-campus events for students. Support for students that may be at risk of attrition, is enabled through pre-census assessment and engagement activity feedback, and regular academic progression monitoring, with personalised interventions coordinated by Student Success Officers.</w:t>
            </w:r>
          </w:p>
        </w:tc>
      </w:tr>
      <w:tr w:rsidR="001B109C" w:rsidRPr="00E41388" w14:paraId="3EB68E1B" w14:textId="77777777" w:rsidTr="3F2AB021">
        <w:trPr>
          <w:cantSplit/>
        </w:trPr>
        <w:tc>
          <w:tcPr>
            <w:tcW w:w="5000" w:type="pct"/>
          </w:tcPr>
          <w:p w14:paraId="54D9B30B" w14:textId="09B691CB" w:rsidR="001B109C" w:rsidRPr="00E169EE" w:rsidRDefault="001B109C" w:rsidP="00655E52">
            <w:pPr>
              <w:pStyle w:val="Heading4"/>
              <w:keepLines w:val="0"/>
              <w:spacing w:before="180" w:after="60"/>
              <w:jc w:val="both"/>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3F2AB021">
        <w:trPr>
          <w:cantSplit/>
        </w:trPr>
        <w:tc>
          <w:tcPr>
            <w:tcW w:w="5000" w:type="pct"/>
          </w:tcPr>
          <w:p w14:paraId="3A44CF36" w14:textId="3B1FF6FE" w:rsidR="001B109C" w:rsidRPr="00655E52" w:rsidRDefault="4C523530" w:rsidP="00655E52">
            <w:pPr>
              <w:spacing w:after="0" w:line="276" w:lineRule="auto"/>
              <w:jc w:val="both"/>
              <w:rPr>
                <w:rFonts w:eastAsiaTheme="minorEastAsia" w:cstheme="minorHAnsi"/>
                <w:b/>
                <w:bCs/>
                <w:sz w:val="20"/>
                <w:szCs w:val="20"/>
              </w:rPr>
            </w:pPr>
            <w:r w:rsidRPr="00655E52">
              <w:rPr>
                <w:rFonts w:eastAsiaTheme="minorEastAsia" w:cstheme="minorHAnsi"/>
                <w:b/>
                <w:bCs/>
                <w:sz w:val="20"/>
                <w:szCs w:val="20"/>
              </w:rPr>
              <w:t>Research</w:t>
            </w:r>
          </w:p>
          <w:p w14:paraId="12DC8936" w14:textId="67A69254" w:rsidR="001B109C" w:rsidRPr="00655E52" w:rsidRDefault="4C523530" w:rsidP="00655E52">
            <w:pPr>
              <w:spacing w:after="160" w:line="276" w:lineRule="auto"/>
              <w:jc w:val="both"/>
              <w:rPr>
                <w:rFonts w:eastAsiaTheme="minorEastAsia" w:cstheme="minorHAnsi"/>
                <w:sz w:val="20"/>
                <w:szCs w:val="20"/>
              </w:rPr>
            </w:pPr>
            <w:r w:rsidRPr="00655E52">
              <w:rPr>
                <w:rFonts w:eastAsiaTheme="minorEastAsia" w:cstheme="minorHAnsi"/>
                <w:sz w:val="20"/>
                <w:szCs w:val="20"/>
              </w:rPr>
              <w:t>JCU prioritises research that is nationally and internationally recognised for its excellence and that addresses the current and emerging challenges facing our region and the Tropics.</w:t>
            </w:r>
          </w:p>
          <w:p w14:paraId="18C4D956" w14:textId="74DDA98B" w:rsidR="001B109C" w:rsidRPr="00655E52" w:rsidRDefault="4C523530" w:rsidP="00655E52">
            <w:pPr>
              <w:spacing w:after="160" w:line="276" w:lineRule="auto"/>
              <w:jc w:val="both"/>
              <w:rPr>
                <w:rFonts w:eastAsiaTheme="minorEastAsia" w:cstheme="minorHAnsi"/>
                <w:sz w:val="20"/>
                <w:szCs w:val="20"/>
              </w:rPr>
            </w:pPr>
            <w:r w:rsidRPr="00655E52">
              <w:rPr>
                <w:rFonts w:eastAsiaTheme="minorEastAsia" w:cstheme="minorHAnsi"/>
                <w:sz w:val="20"/>
                <w:szCs w:val="20"/>
              </w:rPr>
              <w:t>JCU’s goal is to deliver globally relevant solutions and impact to the benefit of our local communities and end-users. In 2025, we aligned our research around 5 themes</w:t>
            </w:r>
            <w:r w:rsidR="004B9D09" w:rsidRPr="00655E52">
              <w:rPr>
                <w:rFonts w:eastAsiaTheme="minorEastAsia" w:cstheme="minorHAnsi"/>
                <w:sz w:val="20"/>
                <w:szCs w:val="20"/>
              </w:rPr>
              <w:t xml:space="preserve"> – </w:t>
            </w:r>
            <w:r w:rsidR="00AA7B0B">
              <w:rPr>
                <w:rFonts w:eastAsiaTheme="minorEastAsia" w:cstheme="minorHAnsi"/>
                <w:sz w:val="20"/>
                <w:szCs w:val="20"/>
              </w:rPr>
              <w:t>the ‘</w:t>
            </w:r>
            <w:r w:rsidR="6BB1AEDD" w:rsidRPr="00655E52">
              <w:rPr>
                <w:rFonts w:eastAsiaTheme="minorEastAsia" w:cstheme="minorHAnsi"/>
                <w:sz w:val="20"/>
                <w:szCs w:val="20"/>
              </w:rPr>
              <w:t>JCU</w:t>
            </w:r>
            <w:r w:rsidRPr="00655E52">
              <w:rPr>
                <w:rFonts w:eastAsiaTheme="minorEastAsia" w:cstheme="minorHAnsi"/>
                <w:sz w:val="20"/>
                <w:szCs w:val="20"/>
              </w:rPr>
              <w:t xml:space="preserve"> </w:t>
            </w:r>
            <w:r w:rsidR="004B9D09" w:rsidRPr="00655E52">
              <w:rPr>
                <w:rFonts w:eastAsiaTheme="minorEastAsia" w:cstheme="minorHAnsi"/>
                <w:sz w:val="20"/>
                <w:szCs w:val="20"/>
              </w:rPr>
              <w:t>Research Directions</w:t>
            </w:r>
            <w:r w:rsidR="00AA7B0B">
              <w:rPr>
                <w:rFonts w:eastAsiaTheme="minorEastAsia" w:cstheme="minorHAnsi"/>
                <w:sz w:val="20"/>
                <w:szCs w:val="20"/>
              </w:rPr>
              <w:t>’</w:t>
            </w:r>
            <w:r w:rsidR="004B9D09" w:rsidRPr="00655E52">
              <w:rPr>
                <w:rFonts w:eastAsiaTheme="minorEastAsia" w:cstheme="minorHAnsi"/>
                <w:sz w:val="20"/>
                <w:szCs w:val="20"/>
              </w:rPr>
              <w:t xml:space="preserve"> -</w:t>
            </w:r>
            <w:r w:rsidR="00A44D3E">
              <w:rPr>
                <w:rFonts w:eastAsiaTheme="minorEastAsia" w:cstheme="minorHAnsi"/>
                <w:sz w:val="20"/>
                <w:szCs w:val="20"/>
              </w:rPr>
              <w:t xml:space="preserve"> </w:t>
            </w:r>
            <w:r w:rsidRPr="00655E52">
              <w:rPr>
                <w:rFonts w:eastAsiaTheme="minorEastAsia" w:cstheme="minorHAnsi"/>
                <w:sz w:val="20"/>
                <w:szCs w:val="20"/>
              </w:rPr>
              <w:t xml:space="preserve">that tightly align to the National Science and Research Priorities: </w:t>
            </w:r>
            <w:r w:rsidRPr="00655E52">
              <w:rPr>
                <w:rFonts w:eastAsiaTheme="minorEastAsia" w:cstheme="minorHAnsi"/>
                <w:i/>
                <w:iCs/>
                <w:sz w:val="20"/>
                <w:szCs w:val="20"/>
              </w:rPr>
              <w:t>Advancing health and well-being in the Tropics</w:t>
            </w:r>
            <w:r w:rsidRPr="00655E52">
              <w:rPr>
                <w:rFonts w:eastAsiaTheme="minorEastAsia" w:cstheme="minorHAnsi"/>
                <w:sz w:val="20"/>
                <w:szCs w:val="20"/>
              </w:rPr>
              <w:t xml:space="preserve">, </w:t>
            </w:r>
            <w:r w:rsidRPr="00655E52">
              <w:rPr>
                <w:rFonts w:eastAsiaTheme="minorEastAsia" w:cstheme="minorHAnsi"/>
                <w:i/>
                <w:iCs/>
                <w:sz w:val="20"/>
                <w:szCs w:val="20"/>
              </w:rPr>
              <w:t>Thriving tropical marine and terrestrial ecosystems and environments</w:t>
            </w:r>
            <w:r w:rsidRPr="00655E52">
              <w:rPr>
                <w:rFonts w:eastAsiaTheme="minorEastAsia" w:cstheme="minorHAnsi"/>
                <w:sz w:val="20"/>
                <w:szCs w:val="20"/>
              </w:rPr>
              <w:t xml:space="preserve">, </w:t>
            </w:r>
            <w:r w:rsidRPr="00655E52">
              <w:rPr>
                <w:rFonts w:eastAsiaTheme="minorEastAsia" w:cstheme="minorHAnsi"/>
                <w:i/>
                <w:iCs/>
                <w:sz w:val="20"/>
                <w:szCs w:val="20"/>
              </w:rPr>
              <w:t>Sustainable and resilient regional and tropical economies</w:t>
            </w:r>
            <w:r w:rsidRPr="00655E52">
              <w:rPr>
                <w:rFonts w:eastAsiaTheme="minorEastAsia" w:cstheme="minorHAnsi"/>
                <w:sz w:val="20"/>
                <w:szCs w:val="20"/>
              </w:rPr>
              <w:t xml:space="preserve">, </w:t>
            </w:r>
            <w:r w:rsidRPr="00655E52">
              <w:rPr>
                <w:rFonts w:eastAsiaTheme="minorEastAsia" w:cstheme="minorHAnsi"/>
                <w:i/>
                <w:iCs/>
                <w:sz w:val="20"/>
                <w:szCs w:val="20"/>
              </w:rPr>
              <w:t>Enriching people, communities and societies of the Tropics</w:t>
            </w:r>
            <w:r w:rsidRPr="00655E52">
              <w:rPr>
                <w:rFonts w:eastAsiaTheme="minorEastAsia" w:cstheme="minorHAnsi"/>
                <w:sz w:val="20"/>
                <w:szCs w:val="20"/>
              </w:rPr>
              <w:t xml:space="preserve">, and </w:t>
            </w:r>
            <w:r w:rsidRPr="00655E52">
              <w:rPr>
                <w:rFonts w:eastAsiaTheme="minorEastAsia" w:cstheme="minorHAnsi"/>
                <w:i/>
                <w:iCs/>
                <w:sz w:val="20"/>
                <w:szCs w:val="20"/>
              </w:rPr>
              <w:t>Elevating and supporting Indigenous Futures</w:t>
            </w:r>
            <w:r w:rsidRPr="00655E52">
              <w:rPr>
                <w:rFonts w:eastAsiaTheme="minorEastAsia" w:cstheme="minorHAnsi"/>
                <w:sz w:val="20"/>
                <w:szCs w:val="20"/>
              </w:rPr>
              <w:t>.</w:t>
            </w:r>
          </w:p>
          <w:p w14:paraId="13F836F3" w14:textId="76CAEDB6" w:rsidR="002205AD" w:rsidRPr="00655E52" w:rsidRDefault="4C523530" w:rsidP="00655E52">
            <w:pPr>
              <w:spacing w:after="160" w:line="276" w:lineRule="auto"/>
              <w:jc w:val="both"/>
              <w:rPr>
                <w:rFonts w:eastAsiaTheme="minorEastAsia" w:cstheme="minorHAnsi"/>
                <w:sz w:val="20"/>
                <w:szCs w:val="20"/>
              </w:rPr>
            </w:pPr>
            <w:r w:rsidRPr="00655E52">
              <w:rPr>
                <w:rFonts w:eastAsiaTheme="minorEastAsia" w:cstheme="minorHAnsi"/>
                <w:sz w:val="20"/>
                <w:szCs w:val="20"/>
              </w:rPr>
              <w:t>We will continue to grow our research portfolio and impact</w:t>
            </w:r>
            <w:r w:rsidR="1E444BA0" w:rsidRPr="00655E52">
              <w:rPr>
                <w:rFonts w:eastAsiaTheme="minorEastAsia" w:cstheme="minorHAnsi"/>
                <w:sz w:val="20"/>
                <w:szCs w:val="20"/>
              </w:rPr>
              <w:t xml:space="preserve"> through </w:t>
            </w:r>
            <w:r w:rsidRPr="00655E52">
              <w:rPr>
                <w:rFonts w:eastAsiaTheme="minorEastAsia" w:cstheme="minorHAnsi"/>
                <w:sz w:val="20"/>
                <w:szCs w:val="20"/>
              </w:rPr>
              <w:t>complet</w:t>
            </w:r>
            <w:r w:rsidR="274F2437" w:rsidRPr="00655E52">
              <w:rPr>
                <w:rFonts w:eastAsiaTheme="minorEastAsia" w:cstheme="minorHAnsi"/>
                <w:sz w:val="20"/>
                <w:szCs w:val="20"/>
              </w:rPr>
              <w:t>ing</w:t>
            </w:r>
            <w:r w:rsidRPr="00655E52">
              <w:rPr>
                <w:rFonts w:eastAsiaTheme="minorEastAsia" w:cstheme="minorHAnsi"/>
                <w:sz w:val="20"/>
                <w:szCs w:val="20"/>
              </w:rPr>
              <w:t xml:space="preserve"> our realignment to a challenge-led approach (JCU Research Directions), addressing challenges that are co-designed with partners and end-users. We will underpin this with investment through the JCU Horizons Program of strategic recruitment, e.g. in disaster resilience. JCU will continue to deliver on research excellence at scale through our Research Institutes and Centres, including externally funded Centres including hosting the </w:t>
            </w:r>
            <w:hyperlink r:id="rId20">
              <w:r w:rsidRPr="00655E52">
                <w:rPr>
                  <w:rStyle w:val="Hyperlink"/>
                  <w:rFonts w:eastAsiaTheme="minorEastAsia" w:cstheme="minorHAnsi"/>
                  <w:color w:val="467886"/>
                  <w:sz w:val="20"/>
                  <w:szCs w:val="20"/>
                </w:rPr>
                <w:t>ARC Centre for Excellence in Indigenous and Environmental Histories and Futures</w:t>
              </w:r>
            </w:hyperlink>
            <w:r w:rsidRPr="00655E52">
              <w:rPr>
                <w:rFonts w:eastAsiaTheme="minorEastAsia" w:cstheme="minorHAnsi"/>
                <w:sz w:val="20"/>
                <w:szCs w:val="20"/>
              </w:rPr>
              <w:t xml:space="preserve"> (CIEHF) and leading a node in the </w:t>
            </w:r>
            <w:hyperlink r:id="rId21">
              <w:r w:rsidRPr="00655E52">
                <w:rPr>
                  <w:rStyle w:val="Hyperlink"/>
                  <w:rFonts w:eastAsiaTheme="minorEastAsia" w:cstheme="minorHAnsi"/>
                  <w:color w:val="467886"/>
                  <w:sz w:val="20"/>
                  <w:szCs w:val="20"/>
                </w:rPr>
                <w:t>Care Economy CRC</w:t>
              </w:r>
            </w:hyperlink>
            <w:r w:rsidRPr="00655E52">
              <w:rPr>
                <w:rFonts w:eastAsiaTheme="minorEastAsia" w:cstheme="minorHAnsi"/>
                <w:sz w:val="20"/>
                <w:szCs w:val="20"/>
              </w:rPr>
              <w:t xml:space="preserve">. </w:t>
            </w:r>
          </w:p>
          <w:p w14:paraId="77281A21" w14:textId="587F59A0" w:rsidR="002205AD" w:rsidRPr="00655E52" w:rsidRDefault="4C523530" w:rsidP="00655E52">
            <w:pPr>
              <w:spacing w:after="160" w:line="276" w:lineRule="auto"/>
              <w:jc w:val="both"/>
              <w:rPr>
                <w:rFonts w:eastAsiaTheme="minorEastAsia" w:cstheme="minorHAnsi"/>
                <w:sz w:val="20"/>
                <w:szCs w:val="20"/>
              </w:rPr>
            </w:pPr>
            <w:r w:rsidRPr="00655E52">
              <w:rPr>
                <w:rFonts w:eastAsiaTheme="minorEastAsia" w:cstheme="minorHAnsi"/>
                <w:sz w:val="20"/>
                <w:szCs w:val="20"/>
              </w:rPr>
              <w:t xml:space="preserve">We will develop our research workforce through a refreshed professional development framework and continue to expand opportunities for Indigenous internships. </w:t>
            </w:r>
          </w:p>
          <w:p w14:paraId="16BD9DEE" w14:textId="416AEC73" w:rsidR="001B109C" w:rsidRPr="00655E52" w:rsidRDefault="4C523530" w:rsidP="00655E52">
            <w:pPr>
              <w:spacing w:after="160" w:line="276" w:lineRule="auto"/>
              <w:jc w:val="both"/>
              <w:rPr>
                <w:rFonts w:eastAsiaTheme="minorEastAsia" w:cstheme="minorHAnsi"/>
                <w:sz w:val="20"/>
                <w:szCs w:val="20"/>
              </w:rPr>
            </w:pPr>
            <w:r w:rsidRPr="00655E52">
              <w:rPr>
                <w:rFonts w:eastAsiaTheme="minorEastAsia" w:cstheme="minorHAnsi"/>
                <w:sz w:val="20"/>
                <w:szCs w:val="20"/>
              </w:rPr>
              <w:t>Our research success will be measured by increased HERDC research income, partnered research income, quality of research outputs, and availability of open access research.</w:t>
            </w:r>
          </w:p>
          <w:p w14:paraId="046BFC21" w14:textId="68EC04DA" w:rsidR="001B109C" w:rsidRPr="00655E52" w:rsidRDefault="4C523530" w:rsidP="00655E52">
            <w:pPr>
              <w:spacing w:after="0" w:line="276" w:lineRule="auto"/>
              <w:jc w:val="both"/>
              <w:rPr>
                <w:rFonts w:eastAsiaTheme="minorEastAsia" w:cstheme="minorHAnsi"/>
                <w:b/>
                <w:bCs/>
                <w:sz w:val="20"/>
                <w:szCs w:val="20"/>
              </w:rPr>
            </w:pPr>
            <w:r w:rsidRPr="00655E52">
              <w:rPr>
                <w:rFonts w:eastAsiaTheme="minorEastAsia" w:cstheme="minorHAnsi"/>
                <w:b/>
                <w:bCs/>
                <w:sz w:val="20"/>
                <w:szCs w:val="20"/>
              </w:rPr>
              <w:t>Research Training</w:t>
            </w:r>
          </w:p>
          <w:p w14:paraId="34C69E17" w14:textId="1AC02FB2" w:rsidR="001B109C" w:rsidRPr="00655E52" w:rsidRDefault="4C523530" w:rsidP="00655E52">
            <w:pPr>
              <w:spacing w:after="160" w:line="276" w:lineRule="auto"/>
              <w:jc w:val="both"/>
              <w:rPr>
                <w:rFonts w:eastAsiaTheme="minorEastAsia" w:cstheme="minorHAnsi"/>
                <w:sz w:val="20"/>
                <w:szCs w:val="20"/>
              </w:rPr>
            </w:pPr>
            <w:r w:rsidRPr="00655E52">
              <w:rPr>
                <w:rFonts w:eastAsiaTheme="minorEastAsia" w:cstheme="minorHAnsi"/>
                <w:sz w:val="20"/>
                <w:szCs w:val="20"/>
              </w:rPr>
              <w:t xml:space="preserve">JCU will continue to offer world-class research education through higher degrees by research (HDR). We will build our newly developed </w:t>
            </w:r>
            <w:hyperlink r:id="rId22">
              <w:r w:rsidRPr="00655E52">
                <w:rPr>
                  <w:rStyle w:val="Hyperlink"/>
                  <w:rFonts w:eastAsiaTheme="minorEastAsia" w:cstheme="minorHAnsi"/>
                  <w:color w:val="467886"/>
                  <w:sz w:val="20"/>
                  <w:szCs w:val="20"/>
                </w:rPr>
                <w:t>PhD@Work</w:t>
              </w:r>
            </w:hyperlink>
            <w:r w:rsidRPr="00655E52">
              <w:rPr>
                <w:rFonts w:eastAsiaTheme="minorEastAsia" w:cstheme="minorHAnsi"/>
                <w:sz w:val="20"/>
                <w:szCs w:val="20"/>
              </w:rPr>
              <w:t xml:space="preserve"> program, which embeds PhD students inside industry, measured by the number of new enrolments. We will revise our diversified skills-related training to HDRs, including responding to emerging technologies and ensuring readiness for non-academic career outcomes. Central to our commitment to excellence in research training is the ongoing professional development in research supervision. JCU will enhance our advisor development program to encompass training in contemporary supervision practice and cultural competency to support our increasingly diverse HDR cohort. The success of our HDR training will be measured through the number and timeliness of student completions and engagement with industry HDR scholarships.</w:t>
            </w:r>
          </w:p>
          <w:p w14:paraId="1F94EFF9" w14:textId="0438DF87" w:rsidR="001B109C" w:rsidRPr="00655E52" w:rsidRDefault="4C523530" w:rsidP="00655E52">
            <w:pPr>
              <w:spacing w:after="0" w:line="276" w:lineRule="auto"/>
              <w:jc w:val="both"/>
              <w:rPr>
                <w:rFonts w:eastAsiaTheme="minorEastAsia" w:cstheme="minorHAnsi"/>
                <w:b/>
                <w:bCs/>
                <w:sz w:val="20"/>
                <w:szCs w:val="20"/>
              </w:rPr>
            </w:pPr>
            <w:r w:rsidRPr="00655E52">
              <w:rPr>
                <w:rFonts w:eastAsiaTheme="minorEastAsia" w:cstheme="minorHAnsi"/>
                <w:b/>
                <w:bCs/>
                <w:sz w:val="20"/>
                <w:szCs w:val="20"/>
              </w:rPr>
              <w:t>Innovation and Commercialisation</w:t>
            </w:r>
          </w:p>
          <w:p w14:paraId="40DA31C2" w14:textId="05792EE4" w:rsidR="001B109C" w:rsidRPr="00655E52" w:rsidRDefault="4C523530" w:rsidP="00655E52">
            <w:pPr>
              <w:spacing w:after="160" w:line="276" w:lineRule="auto"/>
              <w:ind w:left="45"/>
              <w:jc w:val="both"/>
              <w:rPr>
                <w:rFonts w:cstheme="minorHAnsi"/>
                <w:i/>
                <w:color w:val="FF0000"/>
                <w:sz w:val="20"/>
                <w:szCs w:val="20"/>
              </w:rPr>
            </w:pPr>
            <w:r w:rsidRPr="00655E52">
              <w:rPr>
                <w:rFonts w:eastAsiaTheme="minorEastAsia" w:cstheme="minorHAnsi"/>
                <w:sz w:val="20"/>
                <w:szCs w:val="20"/>
              </w:rPr>
              <w:t xml:space="preserve">JCU will continue to build its innovation culture through the </w:t>
            </w:r>
            <w:hyperlink r:id="rId23">
              <w:r w:rsidRPr="00655E52">
                <w:rPr>
                  <w:rStyle w:val="Hyperlink"/>
                  <w:rFonts w:eastAsiaTheme="minorEastAsia" w:cstheme="minorHAnsi"/>
                  <w:color w:val="467886"/>
                  <w:sz w:val="20"/>
                  <w:szCs w:val="20"/>
                </w:rPr>
                <w:t>JCU Ideas Lab</w:t>
              </w:r>
            </w:hyperlink>
            <w:r w:rsidRPr="00655E52">
              <w:rPr>
                <w:rFonts w:eastAsiaTheme="minorEastAsia" w:cstheme="minorHAnsi"/>
                <w:sz w:val="20"/>
                <w:szCs w:val="20"/>
              </w:rPr>
              <w:t xml:space="preserve">, including hosting founders from the university and region. We will continue to offer the </w:t>
            </w:r>
            <w:hyperlink r:id="rId24">
              <w:r w:rsidRPr="00655E52">
                <w:rPr>
                  <w:rStyle w:val="Hyperlink"/>
                  <w:rFonts w:eastAsiaTheme="minorEastAsia" w:cstheme="minorHAnsi"/>
                  <w:color w:val="467886"/>
                  <w:sz w:val="20"/>
                  <w:szCs w:val="20"/>
                </w:rPr>
                <w:t>Impact 10X Simulator</w:t>
              </w:r>
            </w:hyperlink>
            <w:r w:rsidRPr="00655E52">
              <w:rPr>
                <w:rFonts w:eastAsiaTheme="minorEastAsia" w:cstheme="minorHAnsi"/>
                <w:sz w:val="20"/>
                <w:szCs w:val="20"/>
              </w:rPr>
              <w:t>, a program to build and validate start-ups and ventures to students and the wider community.</w:t>
            </w:r>
            <w:r w:rsidR="00A44D3E">
              <w:rPr>
                <w:rFonts w:eastAsiaTheme="minorEastAsia" w:cstheme="minorHAnsi"/>
                <w:sz w:val="20"/>
                <w:szCs w:val="20"/>
              </w:rPr>
              <w:t xml:space="preserve"> </w:t>
            </w:r>
            <w:r w:rsidRPr="00655E52">
              <w:rPr>
                <w:rFonts w:eastAsiaTheme="minorEastAsia" w:cstheme="minorHAnsi"/>
                <w:sz w:val="20"/>
                <w:szCs w:val="20"/>
              </w:rPr>
              <w:t xml:space="preserve">JCU will support its spin-out </w:t>
            </w:r>
            <w:hyperlink r:id="rId25">
              <w:r w:rsidRPr="00655E52">
                <w:rPr>
                  <w:rStyle w:val="Hyperlink"/>
                  <w:rFonts w:eastAsiaTheme="minorEastAsia" w:cstheme="minorHAnsi"/>
                  <w:color w:val="467886"/>
                  <w:sz w:val="20"/>
                  <w:szCs w:val="20"/>
                </w:rPr>
                <w:t>Macrobiome Therapeutics</w:t>
              </w:r>
            </w:hyperlink>
            <w:r w:rsidRPr="00655E52">
              <w:rPr>
                <w:rFonts w:eastAsiaTheme="minorEastAsia" w:cstheme="minorHAnsi"/>
                <w:sz w:val="20"/>
                <w:szCs w:val="20"/>
              </w:rPr>
              <w:t xml:space="preserve"> based on JCU-originated IP. Our commercialisation partner, </w:t>
            </w:r>
            <w:hyperlink r:id="rId26">
              <w:r w:rsidRPr="00655E52">
                <w:rPr>
                  <w:rStyle w:val="Hyperlink"/>
                  <w:rFonts w:eastAsiaTheme="minorEastAsia" w:cstheme="minorHAnsi"/>
                  <w:color w:val="467886"/>
                  <w:sz w:val="20"/>
                  <w:szCs w:val="20"/>
                </w:rPr>
                <w:t>JourneyTech</w:t>
              </w:r>
            </w:hyperlink>
            <w:r w:rsidRPr="00655E52">
              <w:rPr>
                <w:rFonts w:eastAsiaTheme="minorEastAsia" w:cstheme="minorHAnsi"/>
                <w:sz w:val="20"/>
                <w:szCs w:val="20"/>
              </w:rPr>
              <w:t>, will continue to attract industry interest and transfer of JCU IP. Success will be measured by innovation disclosures, patents and delivery of training in entrepreneurial skills.</w:t>
            </w:r>
          </w:p>
        </w:tc>
      </w:tr>
      <w:tr w:rsidR="001B109C" w:rsidRPr="00E41388" w14:paraId="23C06863" w14:textId="77777777" w:rsidTr="3F2AB021">
        <w:trPr>
          <w:cantSplit/>
        </w:trPr>
        <w:tc>
          <w:tcPr>
            <w:tcW w:w="5000" w:type="pct"/>
          </w:tcPr>
          <w:p w14:paraId="451DCFF9" w14:textId="3BDD3562" w:rsidR="001B109C" w:rsidRPr="00655E52" w:rsidRDefault="00F30BFA" w:rsidP="00655E52">
            <w:pPr>
              <w:pStyle w:val="Heading4"/>
              <w:keepLines w:val="0"/>
              <w:spacing w:before="180" w:after="60"/>
              <w:jc w:val="both"/>
              <w:rPr>
                <w:rFonts w:asciiTheme="minorHAnsi" w:hAnsiTheme="minorHAnsi" w:cstheme="minorHAnsi"/>
                <w:sz w:val="20"/>
                <w:szCs w:val="20"/>
              </w:rPr>
            </w:pPr>
            <w:r w:rsidRPr="00655E52">
              <w:rPr>
                <w:rFonts w:asciiTheme="minorHAnsi" w:hAnsiTheme="minorHAnsi" w:cstheme="minorHAnsi"/>
                <w:sz w:val="20"/>
                <w:szCs w:val="20"/>
              </w:rPr>
              <w:lastRenderedPageBreak/>
              <w:t>S</w:t>
            </w:r>
            <w:r w:rsidR="001B109C" w:rsidRPr="00655E52">
              <w:rPr>
                <w:rFonts w:asciiTheme="minorHAnsi" w:hAnsiTheme="minorHAnsi" w:cstheme="minorHAnsi"/>
                <w:sz w:val="20"/>
                <w:szCs w:val="20"/>
              </w:rPr>
              <w:t xml:space="preserve">trategies for </w:t>
            </w:r>
            <w:r w:rsidRPr="00655E52">
              <w:rPr>
                <w:rFonts w:asciiTheme="minorHAnsi" w:hAnsiTheme="minorHAnsi" w:cstheme="minorHAnsi"/>
                <w:sz w:val="20"/>
                <w:szCs w:val="20"/>
              </w:rPr>
              <w:t>E</w:t>
            </w:r>
            <w:r w:rsidR="001B109C" w:rsidRPr="00655E52">
              <w:rPr>
                <w:rFonts w:asciiTheme="minorHAnsi" w:hAnsiTheme="minorHAnsi" w:cstheme="minorHAnsi"/>
                <w:sz w:val="20"/>
                <w:szCs w:val="20"/>
              </w:rPr>
              <w:t xml:space="preserve">ngaging with </w:t>
            </w:r>
            <w:r w:rsidRPr="00655E52">
              <w:rPr>
                <w:rFonts w:asciiTheme="minorHAnsi" w:hAnsiTheme="minorHAnsi" w:cstheme="minorHAnsi"/>
                <w:sz w:val="20"/>
                <w:szCs w:val="20"/>
              </w:rPr>
              <w:t>I</w:t>
            </w:r>
            <w:r w:rsidR="001B109C" w:rsidRPr="00655E52">
              <w:rPr>
                <w:rFonts w:asciiTheme="minorHAnsi" w:hAnsiTheme="minorHAnsi" w:cstheme="minorHAnsi"/>
                <w:sz w:val="20"/>
                <w:szCs w:val="20"/>
              </w:rPr>
              <w:t>ndustry</w:t>
            </w:r>
          </w:p>
        </w:tc>
      </w:tr>
      <w:tr w:rsidR="001B109C" w:rsidRPr="00E41388" w14:paraId="37972037" w14:textId="77777777" w:rsidTr="3F2AB021">
        <w:trPr>
          <w:cantSplit/>
          <w:trHeight w:val="1033"/>
        </w:trPr>
        <w:tc>
          <w:tcPr>
            <w:tcW w:w="5000" w:type="pct"/>
          </w:tcPr>
          <w:p w14:paraId="57E9E353" w14:textId="5CA8105F" w:rsidR="001B109C" w:rsidRPr="00655E52" w:rsidRDefault="71492601" w:rsidP="00655E52">
            <w:pPr>
              <w:spacing w:after="0" w:line="276" w:lineRule="auto"/>
              <w:jc w:val="both"/>
              <w:rPr>
                <w:rFonts w:eastAsiaTheme="minorEastAsia" w:cstheme="minorHAnsi"/>
                <w:i/>
                <w:iCs/>
                <w:color w:val="FF0000"/>
                <w:sz w:val="20"/>
                <w:szCs w:val="20"/>
              </w:rPr>
            </w:pPr>
            <w:r w:rsidRPr="00655E52">
              <w:rPr>
                <w:rFonts w:eastAsiaTheme="minorEastAsia" w:cstheme="minorHAnsi"/>
                <w:sz w:val="20"/>
                <w:szCs w:val="20"/>
              </w:rPr>
              <w:t xml:space="preserve">JCU is committed to engaging with industry and government as a key partner to meet place-based needs and regional, national and global priorities. We support and grow industry engagement through our Centres and Institutes, and the research programs they lead. We will continue to </w:t>
            </w:r>
            <w:r w:rsidR="00935DD2" w:rsidRPr="00655E52">
              <w:rPr>
                <w:rFonts w:eastAsiaTheme="minorEastAsia" w:cstheme="minorHAnsi"/>
                <w:sz w:val="20"/>
                <w:szCs w:val="20"/>
              </w:rPr>
              <w:t>invest in research partnership support, and work to simplify engagement</w:t>
            </w:r>
            <w:r w:rsidR="00FD72D8" w:rsidRPr="00655E52">
              <w:rPr>
                <w:rFonts w:eastAsiaTheme="minorEastAsia" w:cstheme="minorHAnsi"/>
                <w:sz w:val="20"/>
                <w:szCs w:val="20"/>
              </w:rPr>
              <w:t xml:space="preserve"> and impact</w:t>
            </w:r>
            <w:r w:rsidRPr="00655E52">
              <w:rPr>
                <w:rFonts w:eastAsiaTheme="minorEastAsia" w:cstheme="minorHAnsi"/>
                <w:sz w:val="20"/>
                <w:szCs w:val="20"/>
              </w:rPr>
              <w:t>, including:</w:t>
            </w:r>
          </w:p>
          <w:p w14:paraId="63AF50A0" w14:textId="793DCC28" w:rsidR="001B109C" w:rsidRPr="00655E52" w:rsidRDefault="71492601" w:rsidP="00655E52">
            <w:pPr>
              <w:pStyle w:val="ListParagraph"/>
              <w:numPr>
                <w:ilvl w:val="0"/>
                <w:numId w:val="22"/>
              </w:numPr>
              <w:spacing w:after="0" w:line="276" w:lineRule="auto"/>
              <w:ind w:left="450"/>
              <w:jc w:val="both"/>
              <w:rPr>
                <w:rFonts w:eastAsiaTheme="minorEastAsia" w:cstheme="minorHAnsi"/>
                <w:sz w:val="20"/>
                <w:szCs w:val="20"/>
              </w:rPr>
            </w:pPr>
            <w:r w:rsidRPr="00655E52">
              <w:rPr>
                <w:rFonts w:eastAsiaTheme="minorEastAsia" w:cstheme="minorHAnsi"/>
                <w:sz w:val="20"/>
                <w:szCs w:val="20"/>
              </w:rPr>
              <w:t>resources sector</w:t>
            </w:r>
            <w:r w:rsidR="00FD4646" w:rsidRPr="00655E52">
              <w:rPr>
                <w:rFonts w:eastAsiaTheme="minorEastAsia" w:cstheme="minorHAnsi"/>
                <w:sz w:val="20"/>
                <w:szCs w:val="20"/>
              </w:rPr>
              <w:t xml:space="preserve"> </w:t>
            </w:r>
            <w:r w:rsidRPr="00655E52">
              <w:rPr>
                <w:rFonts w:eastAsiaTheme="minorEastAsia" w:cstheme="minorHAnsi"/>
                <w:sz w:val="20"/>
                <w:szCs w:val="20"/>
              </w:rPr>
              <w:t xml:space="preserve">through our </w:t>
            </w:r>
            <w:hyperlink r:id="rId27">
              <w:r w:rsidRPr="00655E52">
                <w:rPr>
                  <w:rStyle w:val="Hyperlink"/>
                  <w:rFonts w:eastAsiaTheme="minorEastAsia" w:cstheme="minorHAnsi"/>
                  <w:color w:val="467886"/>
                  <w:sz w:val="20"/>
                  <w:szCs w:val="20"/>
                </w:rPr>
                <w:t>Economic Geology Research Unit</w:t>
              </w:r>
            </w:hyperlink>
            <w:r w:rsidRPr="00655E52">
              <w:rPr>
                <w:rFonts w:eastAsiaTheme="minorEastAsia" w:cstheme="minorHAnsi"/>
                <w:sz w:val="20"/>
                <w:szCs w:val="20"/>
              </w:rPr>
              <w:t xml:space="preserve"> and as a partner in the </w:t>
            </w:r>
            <w:hyperlink r:id="rId28">
              <w:r w:rsidRPr="00655E52">
                <w:rPr>
                  <w:rStyle w:val="Hyperlink"/>
                  <w:rFonts w:eastAsiaTheme="minorEastAsia" w:cstheme="minorHAnsi"/>
                  <w:color w:val="467886"/>
                  <w:sz w:val="20"/>
                  <w:szCs w:val="20"/>
                </w:rPr>
                <w:t>Resources Technology and Critical Minerals Trailblazer</w:t>
              </w:r>
            </w:hyperlink>
            <w:r w:rsidRPr="00655E52">
              <w:rPr>
                <w:rFonts w:eastAsiaTheme="minorEastAsia" w:cstheme="minorHAnsi"/>
                <w:sz w:val="20"/>
                <w:szCs w:val="20"/>
              </w:rPr>
              <w:t xml:space="preserve">; </w:t>
            </w:r>
          </w:p>
          <w:p w14:paraId="1A49F608" w14:textId="444FCC90" w:rsidR="001B109C" w:rsidRPr="00655E52" w:rsidRDefault="71492601" w:rsidP="00655E52">
            <w:pPr>
              <w:pStyle w:val="ListParagraph"/>
              <w:numPr>
                <w:ilvl w:val="0"/>
                <w:numId w:val="22"/>
              </w:numPr>
              <w:spacing w:after="0" w:line="276" w:lineRule="auto"/>
              <w:ind w:left="450"/>
              <w:jc w:val="both"/>
              <w:rPr>
                <w:rFonts w:eastAsiaTheme="minorEastAsia" w:cstheme="minorHAnsi"/>
                <w:sz w:val="20"/>
                <w:szCs w:val="20"/>
              </w:rPr>
            </w:pPr>
            <w:r w:rsidRPr="00655E52">
              <w:rPr>
                <w:rFonts w:eastAsiaTheme="minorEastAsia" w:cstheme="minorHAnsi"/>
                <w:sz w:val="20"/>
                <w:szCs w:val="20"/>
              </w:rPr>
              <w:t xml:space="preserve">agricultural sector through our </w:t>
            </w:r>
            <w:hyperlink r:id="rId29">
              <w:r w:rsidRPr="00655E52">
                <w:rPr>
                  <w:rStyle w:val="Hyperlink"/>
                  <w:rFonts w:eastAsiaTheme="minorEastAsia" w:cstheme="minorHAnsi"/>
                  <w:color w:val="467886"/>
                  <w:sz w:val="20"/>
                  <w:szCs w:val="20"/>
                </w:rPr>
                <w:t>Centre for Tropical Biosecurity</w:t>
              </w:r>
            </w:hyperlink>
            <w:r w:rsidRPr="00655E52">
              <w:rPr>
                <w:rFonts w:eastAsiaTheme="minorEastAsia" w:cstheme="minorHAnsi"/>
                <w:sz w:val="20"/>
                <w:szCs w:val="20"/>
              </w:rPr>
              <w:t xml:space="preserve">, the </w:t>
            </w:r>
            <w:hyperlink r:id="rId30">
              <w:r w:rsidRPr="00655E52">
                <w:rPr>
                  <w:rStyle w:val="Hyperlink"/>
                  <w:rFonts w:eastAsiaTheme="minorEastAsia" w:cstheme="minorHAnsi"/>
                  <w:color w:val="467886"/>
                  <w:sz w:val="20"/>
                  <w:szCs w:val="20"/>
                </w:rPr>
                <w:t>Tropical North Queensland Drought Hub</w:t>
              </w:r>
            </w:hyperlink>
            <w:r w:rsidRPr="00655E52">
              <w:rPr>
                <w:rFonts w:eastAsiaTheme="minorEastAsia" w:cstheme="minorHAnsi"/>
                <w:sz w:val="20"/>
                <w:szCs w:val="20"/>
              </w:rPr>
              <w:t xml:space="preserve"> and as a partner in the </w:t>
            </w:r>
            <w:hyperlink r:id="rId31">
              <w:r w:rsidRPr="00655E52">
                <w:rPr>
                  <w:rStyle w:val="Hyperlink"/>
                  <w:rFonts w:eastAsiaTheme="minorEastAsia" w:cstheme="minorHAnsi"/>
                  <w:color w:val="467886"/>
                  <w:sz w:val="20"/>
                  <w:szCs w:val="20"/>
                </w:rPr>
                <w:t>ARC Industrial Transformation Training Centre for Plant Biosecurity</w:t>
              </w:r>
            </w:hyperlink>
            <w:r w:rsidRPr="00655E52">
              <w:rPr>
                <w:rFonts w:eastAsiaTheme="minorEastAsia" w:cstheme="minorHAnsi"/>
                <w:sz w:val="20"/>
                <w:szCs w:val="20"/>
              </w:rPr>
              <w:t xml:space="preserve">; </w:t>
            </w:r>
          </w:p>
          <w:p w14:paraId="4A6EB9DC" w14:textId="348122D4" w:rsidR="001B109C" w:rsidRPr="00655E52" w:rsidRDefault="71492601" w:rsidP="00655E52">
            <w:pPr>
              <w:pStyle w:val="ListParagraph"/>
              <w:numPr>
                <w:ilvl w:val="0"/>
                <w:numId w:val="22"/>
              </w:numPr>
              <w:spacing w:after="0" w:line="276" w:lineRule="auto"/>
              <w:ind w:left="450"/>
              <w:jc w:val="both"/>
              <w:rPr>
                <w:rFonts w:eastAsiaTheme="minorEastAsia" w:cstheme="minorHAnsi"/>
                <w:sz w:val="20"/>
                <w:szCs w:val="20"/>
              </w:rPr>
            </w:pPr>
            <w:r w:rsidRPr="00655E52">
              <w:rPr>
                <w:rFonts w:eastAsiaTheme="minorEastAsia" w:cstheme="minorHAnsi"/>
                <w:sz w:val="20"/>
                <w:szCs w:val="20"/>
              </w:rPr>
              <w:t xml:space="preserve">health sector through the </w:t>
            </w:r>
            <w:hyperlink r:id="rId32">
              <w:r w:rsidRPr="00655E52">
                <w:rPr>
                  <w:rStyle w:val="Hyperlink"/>
                  <w:rFonts w:eastAsiaTheme="minorEastAsia" w:cstheme="minorHAnsi"/>
                  <w:color w:val="467886"/>
                  <w:sz w:val="20"/>
                  <w:szCs w:val="20"/>
                </w:rPr>
                <w:t>Australian Institute of Tropical Health and Medicine</w:t>
              </w:r>
            </w:hyperlink>
            <w:r w:rsidRPr="00655E52">
              <w:rPr>
                <w:rFonts w:eastAsiaTheme="minorEastAsia" w:cstheme="minorHAnsi"/>
                <w:sz w:val="20"/>
                <w:szCs w:val="20"/>
              </w:rPr>
              <w:t xml:space="preserve"> and as a partner of the </w:t>
            </w:r>
            <w:hyperlink r:id="rId33">
              <w:r w:rsidRPr="00655E52">
                <w:rPr>
                  <w:rStyle w:val="Hyperlink"/>
                  <w:rFonts w:eastAsiaTheme="minorEastAsia" w:cstheme="minorHAnsi"/>
                  <w:color w:val="467886"/>
                  <w:sz w:val="20"/>
                  <w:szCs w:val="20"/>
                </w:rPr>
                <w:t>Tropical Australian Academic Health Centre</w:t>
              </w:r>
            </w:hyperlink>
            <w:r w:rsidRPr="00655E52">
              <w:rPr>
                <w:rFonts w:eastAsiaTheme="minorEastAsia" w:cstheme="minorHAnsi"/>
                <w:sz w:val="20"/>
                <w:szCs w:val="20"/>
              </w:rPr>
              <w:t xml:space="preserve"> focused on health translation to hospital and health services; </w:t>
            </w:r>
          </w:p>
          <w:p w14:paraId="603C3B94" w14:textId="2103B519" w:rsidR="001B109C" w:rsidRPr="00655E52" w:rsidRDefault="71492601" w:rsidP="00655E52">
            <w:pPr>
              <w:pStyle w:val="ListParagraph"/>
              <w:numPr>
                <w:ilvl w:val="0"/>
                <w:numId w:val="22"/>
              </w:numPr>
              <w:spacing w:after="0" w:line="276" w:lineRule="auto"/>
              <w:ind w:left="450"/>
              <w:jc w:val="both"/>
              <w:rPr>
                <w:rFonts w:eastAsiaTheme="minorEastAsia" w:cstheme="minorHAnsi"/>
                <w:sz w:val="20"/>
                <w:szCs w:val="20"/>
              </w:rPr>
            </w:pPr>
            <w:r w:rsidRPr="00655E52">
              <w:rPr>
                <w:rFonts w:eastAsiaTheme="minorEastAsia" w:cstheme="minorHAnsi"/>
                <w:sz w:val="20"/>
                <w:szCs w:val="20"/>
              </w:rPr>
              <w:t xml:space="preserve">engineering sector through the </w:t>
            </w:r>
            <w:hyperlink r:id="rId34">
              <w:r w:rsidRPr="00655E52">
                <w:rPr>
                  <w:rStyle w:val="Hyperlink"/>
                  <w:rFonts w:eastAsiaTheme="minorEastAsia" w:cstheme="minorHAnsi"/>
                  <w:color w:val="467886"/>
                  <w:sz w:val="20"/>
                  <w:szCs w:val="20"/>
                </w:rPr>
                <w:t>Cyclone Testing Station</w:t>
              </w:r>
            </w:hyperlink>
            <w:r w:rsidRPr="00655E52">
              <w:rPr>
                <w:rFonts w:eastAsiaTheme="minorEastAsia" w:cstheme="minorHAnsi"/>
                <w:sz w:val="20"/>
                <w:szCs w:val="20"/>
              </w:rPr>
              <w:t>;</w:t>
            </w:r>
          </w:p>
          <w:p w14:paraId="6BE03081" w14:textId="48466395" w:rsidR="001B109C" w:rsidRPr="00655E52" w:rsidRDefault="71492601" w:rsidP="00655E52">
            <w:pPr>
              <w:pStyle w:val="ListParagraph"/>
              <w:numPr>
                <w:ilvl w:val="0"/>
                <w:numId w:val="22"/>
              </w:numPr>
              <w:spacing w:after="0" w:line="276" w:lineRule="auto"/>
              <w:ind w:left="450"/>
              <w:jc w:val="both"/>
              <w:rPr>
                <w:rFonts w:eastAsiaTheme="minorEastAsia" w:cstheme="minorHAnsi"/>
                <w:sz w:val="20"/>
                <w:szCs w:val="20"/>
              </w:rPr>
            </w:pPr>
            <w:r w:rsidRPr="00655E52">
              <w:rPr>
                <w:rFonts w:eastAsiaTheme="minorEastAsia" w:cstheme="minorHAnsi"/>
                <w:sz w:val="20"/>
                <w:szCs w:val="20"/>
              </w:rPr>
              <w:t xml:space="preserve">environment sector through the solutions-focused JCU </w:t>
            </w:r>
            <w:hyperlink r:id="rId35">
              <w:r w:rsidRPr="00655E52">
                <w:rPr>
                  <w:rStyle w:val="Hyperlink"/>
                  <w:rFonts w:eastAsiaTheme="minorEastAsia" w:cstheme="minorHAnsi"/>
                  <w:color w:val="467886"/>
                  <w:sz w:val="20"/>
                  <w:szCs w:val="20"/>
                </w:rPr>
                <w:t>TropWater</w:t>
              </w:r>
            </w:hyperlink>
            <w:r w:rsidRPr="00655E52">
              <w:rPr>
                <w:rFonts w:eastAsiaTheme="minorEastAsia" w:cstheme="minorHAnsi"/>
                <w:sz w:val="20"/>
                <w:szCs w:val="20"/>
              </w:rPr>
              <w:t xml:space="preserve"> and hosting the </w:t>
            </w:r>
            <w:hyperlink r:id="rId36">
              <w:r w:rsidRPr="00655E52">
                <w:rPr>
                  <w:rStyle w:val="Hyperlink"/>
                  <w:rFonts w:eastAsiaTheme="minorEastAsia" w:cstheme="minorHAnsi"/>
                  <w:color w:val="467886"/>
                  <w:sz w:val="20"/>
                  <w:szCs w:val="20"/>
                </w:rPr>
                <w:t>ARC Research Hub for Supercharging Tropical Aquaculture through Genetic Solutions</w:t>
              </w:r>
            </w:hyperlink>
            <w:r w:rsidRPr="00655E52">
              <w:rPr>
                <w:rFonts w:eastAsiaTheme="minorEastAsia" w:cstheme="minorHAnsi"/>
                <w:sz w:val="20"/>
                <w:szCs w:val="20"/>
              </w:rPr>
              <w:t>; and</w:t>
            </w:r>
          </w:p>
          <w:p w14:paraId="77C1D67A" w14:textId="22BEABE7" w:rsidR="001B109C" w:rsidRPr="00655E52" w:rsidRDefault="71492601" w:rsidP="00655E52">
            <w:pPr>
              <w:pStyle w:val="ListParagraph"/>
              <w:numPr>
                <w:ilvl w:val="0"/>
                <w:numId w:val="22"/>
              </w:numPr>
              <w:spacing w:after="0" w:line="276" w:lineRule="auto"/>
              <w:ind w:left="450"/>
              <w:jc w:val="both"/>
              <w:rPr>
                <w:rFonts w:eastAsiaTheme="minorEastAsia" w:cstheme="minorHAnsi"/>
                <w:sz w:val="20"/>
                <w:szCs w:val="20"/>
              </w:rPr>
            </w:pPr>
            <w:r w:rsidRPr="00655E52">
              <w:rPr>
                <w:rFonts w:eastAsiaTheme="minorEastAsia" w:cstheme="minorHAnsi"/>
                <w:sz w:val="20"/>
                <w:szCs w:val="20"/>
              </w:rPr>
              <w:t>international partnerships</w:t>
            </w:r>
            <w:r w:rsidR="001E5490" w:rsidRPr="00655E52">
              <w:rPr>
                <w:rFonts w:eastAsiaTheme="minorEastAsia" w:cstheme="minorHAnsi"/>
                <w:sz w:val="20"/>
                <w:szCs w:val="20"/>
              </w:rPr>
              <w:t xml:space="preserve">/ </w:t>
            </w:r>
            <w:r w:rsidRPr="00655E52">
              <w:rPr>
                <w:rFonts w:eastAsiaTheme="minorEastAsia" w:cstheme="minorHAnsi"/>
                <w:sz w:val="20"/>
                <w:szCs w:val="20"/>
              </w:rPr>
              <w:t xml:space="preserve">regional engagement exemplified by our renewed coordination of the </w:t>
            </w:r>
            <w:hyperlink r:id="rId37">
              <w:r w:rsidRPr="00655E52">
                <w:rPr>
                  <w:rStyle w:val="Hyperlink"/>
                  <w:rFonts w:eastAsiaTheme="minorEastAsia" w:cstheme="minorHAnsi"/>
                  <w:color w:val="467886"/>
                  <w:sz w:val="20"/>
                  <w:szCs w:val="20"/>
                </w:rPr>
                <w:t>PacMOSSI consortium</w:t>
              </w:r>
            </w:hyperlink>
            <w:r w:rsidRPr="00655E52">
              <w:rPr>
                <w:rFonts w:eastAsiaTheme="minorEastAsia" w:cstheme="minorHAnsi"/>
                <w:sz w:val="20"/>
                <w:szCs w:val="20"/>
              </w:rPr>
              <w:t xml:space="preserve"> in Pacific Island mosquito surveillance strengthening.</w:t>
            </w:r>
          </w:p>
          <w:p w14:paraId="5C303A3E" w14:textId="77777777" w:rsidR="00FE253F" w:rsidRPr="00655E52" w:rsidRDefault="00FE253F" w:rsidP="00655E52">
            <w:pPr>
              <w:pStyle w:val="ListParagraph"/>
              <w:spacing w:after="0" w:line="276" w:lineRule="auto"/>
              <w:ind w:left="450"/>
              <w:jc w:val="both"/>
              <w:rPr>
                <w:rFonts w:eastAsiaTheme="minorEastAsia" w:cstheme="minorHAnsi"/>
                <w:sz w:val="20"/>
                <w:szCs w:val="20"/>
              </w:rPr>
            </w:pPr>
          </w:p>
          <w:p w14:paraId="1ED225DC" w14:textId="2739E7F0" w:rsidR="001B109C" w:rsidRPr="00655E52" w:rsidRDefault="71492601" w:rsidP="00655E52">
            <w:pPr>
              <w:spacing w:after="160" w:line="276" w:lineRule="auto"/>
              <w:jc w:val="both"/>
              <w:rPr>
                <w:rFonts w:eastAsiaTheme="minorEastAsia" w:cstheme="minorHAnsi"/>
                <w:sz w:val="20"/>
                <w:szCs w:val="20"/>
              </w:rPr>
            </w:pPr>
            <w:r w:rsidRPr="00655E52">
              <w:rPr>
                <w:rFonts w:eastAsiaTheme="minorEastAsia" w:cstheme="minorHAnsi"/>
                <w:sz w:val="20"/>
                <w:szCs w:val="20"/>
              </w:rPr>
              <w:t xml:space="preserve">JCU’s PhD@Work program </w:t>
            </w:r>
            <w:r w:rsidR="00EE4DE7" w:rsidRPr="00655E52">
              <w:rPr>
                <w:rFonts w:eastAsiaTheme="minorEastAsia" w:cstheme="minorHAnsi"/>
                <w:sz w:val="20"/>
                <w:szCs w:val="20"/>
              </w:rPr>
              <w:t xml:space="preserve">is </w:t>
            </w:r>
            <w:r w:rsidRPr="00655E52">
              <w:rPr>
                <w:rFonts w:eastAsiaTheme="minorEastAsia" w:cstheme="minorHAnsi"/>
                <w:sz w:val="20"/>
                <w:szCs w:val="20"/>
              </w:rPr>
              <w:t>a transformative approach to university-industry engagement that bridge</w:t>
            </w:r>
            <w:r w:rsidR="003233DD" w:rsidRPr="00655E52">
              <w:rPr>
                <w:rFonts w:eastAsiaTheme="minorEastAsia" w:cstheme="minorHAnsi"/>
                <w:sz w:val="20"/>
                <w:szCs w:val="20"/>
              </w:rPr>
              <w:t>s</w:t>
            </w:r>
            <w:r w:rsidRPr="00655E52">
              <w:rPr>
                <w:rFonts w:eastAsiaTheme="minorEastAsia" w:cstheme="minorHAnsi"/>
                <w:sz w:val="20"/>
                <w:szCs w:val="20"/>
              </w:rPr>
              <w:t xml:space="preserve"> the </w:t>
            </w:r>
            <w:r w:rsidR="00E65101" w:rsidRPr="00655E52">
              <w:rPr>
                <w:rFonts w:eastAsiaTheme="minorEastAsia" w:cstheme="minorHAnsi"/>
                <w:sz w:val="20"/>
                <w:szCs w:val="20"/>
              </w:rPr>
              <w:t xml:space="preserve">traditional </w:t>
            </w:r>
            <w:r w:rsidRPr="00655E52">
              <w:rPr>
                <w:rFonts w:eastAsiaTheme="minorEastAsia" w:cstheme="minorHAnsi"/>
                <w:sz w:val="20"/>
                <w:szCs w:val="20"/>
              </w:rPr>
              <w:t xml:space="preserve">divide between academic research and commercial application. </w:t>
            </w:r>
            <w:r w:rsidR="00497CFE" w:rsidRPr="00655E52">
              <w:rPr>
                <w:rFonts w:eastAsiaTheme="minorEastAsia" w:cstheme="minorHAnsi"/>
                <w:sz w:val="20"/>
                <w:szCs w:val="20"/>
              </w:rPr>
              <w:t xml:space="preserve">The program has been expanded from the medical cohort to </w:t>
            </w:r>
            <w:r w:rsidR="009015BE" w:rsidRPr="00655E52">
              <w:rPr>
                <w:rFonts w:eastAsiaTheme="minorEastAsia" w:cstheme="minorHAnsi"/>
                <w:sz w:val="20"/>
                <w:szCs w:val="20"/>
              </w:rPr>
              <w:t>all sectors and</w:t>
            </w:r>
            <w:r w:rsidRPr="00655E52">
              <w:rPr>
                <w:rFonts w:eastAsiaTheme="minorEastAsia" w:cstheme="minorHAnsi"/>
                <w:sz w:val="20"/>
                <w:szCs w:val="20"/>
              </w:rPr>
              <w:t xml:space="preserve"> embeds candidates within industry settings and ensures research outputs that directly address real-world challenges creating tangible value for industry partners while advancing academic knowledge.</w:t>
            </w:r>
            <w:r w:rsidR="003233DD" w:rsidRPr="00655E52">
              <w:rPr>
                <w:rFonts w:eastAsiaTheme="minorEastAsia" w:cstheme="minorHAnsi"/>
                <w:sz w:val="20"/>
                <w:szCs w:val="20"/>
              </w:rPr>
              <w:t xml:space="preserve"> </w:t>
            </w:r>
            <w:r w:rsidRPr="00655E52">
              <w:rPr>
                <w:rFonts w:eastAsiaTheme="minorEastAsia" w:cstheme="minorHAnsi"/>
                <w:sz w:val="20"/>
                <w:szCs w:val="20"/>
              </w:rPr>
              <w:t>We will continue to secure and deliver joint research projects with industry, measured by increased Category 2-4 HERDC research income and increased research outcomes co-authored with industry or other partners.</w:t>
            </w:r>
          </w:p>
          <w:p w14:paraId="03CCF10F" w14:textId="5FF0E3FE" w:rsidR="001B109C" w:rsidRPr="00655E52" w:rsidRDefault="04894B94" w:rsidP="00655E52">
            <w:pPr>
              <w:spacing w:after="160" w:line="257" w:lineRule="auto"/>
              <w:jc w:val="both"/>
              <w:rPr>
                <w:rFonts w:eastAsiaTheme="minorEastAsia" w:cstheme="minorHAnsi"/>
                <w:sz w:val="20"/>
                <w:szCs w:val="20"/>
              </w:rPr>
            </w:pPr>
            <w:r w:rsidRPr="00655E52">
              <w:rPr>
                <w:rFonts w:eastAsiaTheme="minorEastAsia" w:cstheme="minorHAnsi"/>
                <w:sz w:val="20"/>
                <w:szCs w:val="20"/>
              </w:rPr>
              <w:t xml:space="preserve">The university is </w:t>
            </w:r>
            <w:r w:rsidR="71214961" w:rsidRPr="00655E52">
              <w:rPr>
                <w:rFonts w:eastAsiaTheme="minorEastAsia" w:cstheme="minorHAnsi"/>
                <w:sz w:val="20"/>
                <w:szCs w:val="20"/>
              </w:rPr>
              <w:t xml:space="preserve">also </w:t>
            </w:r>
            <w:r w:rsidRPr="00655E52">
              <w:rPr>
                <w:rFonts w:eastAsiaTheme="minorEastAsia" w:cstheme="minorHAnsi"/>
                <w:sz w:val="20"/>
                <w:szCs w:val="20"/>
              </w:rPr>
              <w:t xml:space="preserve">redefining the way it partners with industry, government, and the broader community </w:t>
            </w:r>
            <w:r w:rsidR="00E367AC" w:rsidRPr="00655E52">
              <w:rPr>
                <w:rFonts w:eastAsiaTheme="minorEastAsia" w:cstheme="minorHAnsi"/>
                <w:sz w:val="20"/>
                <w:szCs w:val="20"/>
              </w:rPr>
              <w:t xml:space="preserve">across all locations </w:t>
            </w:r>
            <w:r w:rsidRPr="00655E52">
              <w:rPr>
                <w:rFonts w:eastAsiaTheme="minorEastAsia" w:cstheme="minorHAnsi"/>
                <w:sz w:val="20"/>
                <w:szCs w:val="20"/>
              </w:rPr>
              <w:t>through innovative</w:t>
            </w:r>
            <w:r w:rsidR="0022129C" w:rsidRPr="00655E52">
              <w:rPr>
                <w:rFonts w:eastAsiaTheme="minorEastAsia" w:cstheme="minorHAnsi"/>
                <w:sz w:val="20"/>
                <w:szCs w:val="20"/>
              </w:rPr>
              <w:t xml:space="preserve"> shared spaces,</w:t>
            </w:r>
            <w:r w:rsidRPr="00655E52">
              <w:rPr>
                <w:rFonts w:eastAsiaTheme="minorEastAsia" w:cstheme="minorHAnsi"/>
                <w:sz w:val="20"/>
                <w:szCs w:val="20"/>
              </w:rPr>
              <w:t xml:space="preserve"> co-location and precinct-based initiatives</w:t>
            </w:r>
            <w:r w:rsidR="002179D1" w:rsidRPr="00655E52">
              <w:rPr>
                <w:rFonts w:eastAsiaTheme="minorEastAsia" w:cstheme="minorHAnsi"/>
                <w:sz w:val="20"/>
                <w:szCs w:val="20"/>
              </w:rPr>
              <w:t>,</w:t>
            </w:r>
            <w:r w:rsidR="007B018F" w:rsidRPr="00655E52">
              <w:rPr>
                <w:rFonts w:eastAsiaTheme="minorEastAsia" w:cstheme="minorHAnsi"/>
                <w:sz w:val="20"/>
                <w:szCs w:val="20"/>
              </w:rPr>
              <w:t xml:space="preserve"> valu</w:t>
            </w:r>
            <w:r w:rsidR="0022129C" w:rsidRPr="00655E52">
              <w:rPr>
                <w:rFonts w:eastAsiaTheme="minorEastAsia" w:cstheme="minorHAnsi"/>
                <w:sz w:val="20"/>
                <w:szCs w:val="20"/>
              </w:rPr>
              <w:t>ing</w:t>
            </w:r>
            <w:r w:rsidR="007B018F" w:rsidRPr="00655E52">
              <w:rPr>
                <w:rFonts w:eastAsiaTheme="minorEastAsia" w:cstheme="minorHAnsi"/>
                <w:sz w:val="20"/>
                <w:szCs w:val="20"/>
              </w:rPr>
              <w:t xml:space="preserve"> embedded industry engagement for skills development and regional growth.</w:t>
            </w:r>
            <w:r w:rsidR="00A44D3E">
              <w:rPr>
                <w:rFonts w:eastAsiaTheme="minorEastAsia" w:cstheme="minorHAnsi"/>
                <w:sz w:val="20"/>
                <w:szCs w:val="20"/>
              </w:rPr>
              <w:t xml:space="preserve"> </w:t>
            </w:r>
            <w:r w:rsidRPr="00655E52">
              <w:rPr>
                <w:rFonts w:eastAsiaTheme="minorEastAsia" w:cstheme="minorHAnsi"/>
                <w:sz w:val="20"/>
                <w:szCs w:val="20"/>
              </w:rPr>
              <w:t xml:space="preserve"> With established and growing precincts—such as the Far North Queensland Health and Innovation Precinct (FNQHIP), TropiQ, Defence Industry Precinct</w:t>
            </w:r>
            <w:r w:rsidR="44F5E296" w:rsidRPr="00655E52">
              <w:rPr>
                <w:rFonts w:eastAsiaTheme="minorEastAsia" w:cstheme="minorHAnsi"/>
                <w:sz w:val="20"/>
                <w:szCs w:val="20"/>
              </w:rPr>
              <w:t>,</w:t>
            </w:r>
            <w:r w:rsidRPr="00655E52">
              <w:rPr>
                <w:rFonts w:eastAsiaTheme="minorEastAsia" w:cstheme="minorHAnsi"/>
                <w:sz w:val="20"/>
                <w:szCs w:val="20"/>
              </w:rPr>
              <w:t xml:space="preserve"> and </w:t>
            </w:r>
            <w:r w:rsidR="695C57F2" w:rsidRPr="00655E52">
              <w:rPr>
                <w:rFonts w:eastAsiaTheme="minorEastAsia" w:cstheme="minorHAnsi"/>
                <w:sz w:val="20"/>
                <w:szCs w:val="20"/>
              </w:rPr>
              <w:t xml:space="preserve">North Queensland Simulation Park </w:t>
            </w:r>
            <w:r w:rsidR="05B6C885" w:rsidRPr="00655E52">
              <w:rPr>
                <w:rFonts w:eastAsiaTheme="minorEastAsia" w:cstheme="minorHAnsi"/>
                <w:sz w:val="20"/>
                <w:szCs w:val="20"/>
              </w:rPr>
              <w:t>(</w:t>
            </w:r>
            <w:r w:rsidRPr="00655E52">
              <w:rPr>
                <w:rFonts w:eastAsiaTheme="minorEastAsia" w:cstheme="minorHAnsi"/>
                <w:sz w:val="20"/>
                <w:szCs w:val="20"/>
              </w:rPr>
              <w:t>NQSPARK</w:t>
            </w:r>
            <w:r w:rsidR="74B997B2" w:rsidRPr="00655E52">
              <w:rPr>
                <w:rFonts w:eastAsiaTheme="minorEastAsia" w:cstheme="minorHAnsi"/>
                <w:sz w:val="20"/>
                <w:szCs w:val="20"/>
              </w:rPr>
              <w:t>)</w:t>
            </w:r>
            <w:r w:rsidRPr="00655E52">
              <w:rPr>
                <w:rFonts w:eastAsiaTheme="minorEastAsia" w:cstheme="minorHAnsi"/>
                <w:sz w:val="20"/>
                <w:szCs w:val="20"/>
              </w:rPr>
              <w:t xml:space="preserve">, JCU </w:t>
            </w:r>
            <w:r w:rsidR="00185897" w:rsidRPr="00655E52">
              <w:rPr>
                <w:rFonts w:eastAsiaTheme="minorEastAsia" w:cstheme="minorHAnsi"/>
                <w:sz w:val="20"/>
                <w:szCs w:val="20"/>
              </w:rPr>
              <w:t xml:space="preserve">can </w:t>
            </w:r>
            <w:r w:rsidRPr="00655E52">
              <w:rPr>
                <w:rFonts w:eastAsiaTheme="minorEastAsia" w:cstheme="minorHAnsi"/>
                <w:sz w:val="20"/>
                <w:szCs w:val="20"/>
              </w:rPr>
              <w:t>foster collaboration between academia, industry, public and private health, local government and councils, schools, and defence. These precincts not only enhance research and education, but create direct channels for knowledge sharing, workforce development, and innovati</w:t>
            </w:r>
            <w:r w:rsidR="2E931CD9" w:rsidRPr="00655E52">
              <w:rPr>
                <w:rFonts w:eastAsiaTheme="minorEastAsia" w:cstheme="minorHAnsi"/>
                <w:sz w:val="20"/>
                <w:szCs w:val="20"/>
              </w:rPr>
              <w:t>on.</w:t>
            </w:r>
          </w:p>
          <w:p w14:paraId="5C980100" w14:textId="176F3FE5" w:rsidR="001B109C" w:rsidRPr="00655E52" w:rsidRDefault="04894B94" w:rsidP="00655E52">
            <w:pPr>
              <w:pStyle w:val="NormalIndent"/>
              <w:spacing w:before="0" w:after="0"/>
              <w:ind w:left="0"/>
              <w:jc w:val="both"/>
              <w:rPr>
                <w:rFonts w:asciiTheme="minorHAnsi" w:eastAsiaTheme="minorEastAsia" w:hAnsiTheme="minorHAnsi" w:cstheme="minorHAnsi"/>
                <w:sz w:val="20"/>
                <w:szCs w:val="20"/>
              </w:rPr>
            </w:pPr>
            <w:r w:rsidRPr="00655E52">
              <w:rPr>
                <w:rFonts w:asciiTheme="minorHAnsi" w:eastAsiaTheme="minorEastAsia" w:hAnsiTheme="minorHAnsi" w:cstheme="minorHAnsi"/>
                <w:sz w:val="20"/>
                <w:szCs w:val="20"/>
              </w:rPr>
              <w:t>NQ SPARK is a flagship example of cross-sector innovation, established in partnership with Townsville City Council and a focus on defence, health, and high-performance simulation industries</w:t>
            </w:r>
            <w:r w:rsidR="001B21EE" w:rsidRPr="00655E52">
              <w:rPr>
                <w:rFonts w:asciiTheme="minorHAnsi" w:eastAsiaTheme="minorEastAsia" w:hAnsiTheme="minorHAnsi" w:cstheme="minorHAnsi"/>
                <w:sz w:val="20"/>
                <w:szCs w:val="20"/>
              </w:rPr>
              <w:t xml:space="preserve"> fosters </w:t>
            </w:r>
            <w:r w:rsidR="6D537289" w:rsidRPr="00655E52">
              <w:rPr>
                <w:rFonts w:asciiTheme="minorHAnsi" w:eastAsiaTheme="minorEastAsia" w:hAnsiTheme="minorHAnsi" w:cstheme="minorHAnsi"/>
                <w:sz w:val="20"/>
                <w:szCs w:val="20"/>
              </w:rPr>
              <w:t>raining, research, and resilience at regional, national, and international levels.</w:t>
            </w:r>
            <w:r w:rsidR="00A44D3E">
              <w:rPr>
                <w:rFonts w:asciiTheme="minorHAnsi" w:eastAsiaTheme="minorEastAsia" w:hAnsiTheme="minorHAnsi" w:cstheme="minorHAnsi"/>
                <w:sz w:val="20"/>
                <w:szCs w:val="20"/>
              </w:rPr>
              <w:t xml:space="preserve"> </w:t>
            </w:r>
          </w:p>
          <w:p w14:paraId="088EB3A8" w14:textId="61574471" w:rsidR="3F2AB021" w:rsidRPr="00655E52" w:rsidRDefault="3F2AB021" w:rsidP="00655E52">
            <w:pPr>
              <w:pStyle w:val="NormalIndent"/>
              <w:spacing w:before="0" w:after="0"/>
              <w:ind w:left="0"/>
              <w:jc w:val="both"/>
              <w:rPr>
                <w:rFonts w:asciiTheme="minorHAnsi" w:eastAsiaTheme="minorEastAsia" w:hAnsiTheme="minorHAnsi" w:cstheme="minorHAnsi"/>
                <w:sz w:val="20"/>
                <w:szCs w:val="20"/>
              </w:rPr>
            </w:pPr>
          </w:p>
          <w:p w14:paraId="6465FC91" w14:textId="05DBFFE0" w:rsidR="001B109C" w:rsidRPr="00655E52" w:rsidRDefault="1196C51C" w:rsidP="00655E52">
            <w:pPr>
              <w:spacing w:after="160" w:line="257" w:lineRule="auto"/>
              <w:jc w:val="both"/>
              <w:rPr>
                <w:rFonts w:cstheme="minorHAnsi"/>
                <w:i/>
                <w:color w:val="FF0000"/>
                <w:sz w:val="20"/>
                <w:szCs w:val="20"/>
              </w:rPr>
            </w:pPr>
            <w:r w:rsidRPr="00655E52">
              <w:rPr>
                <w:rFonts w:eastAsiaTheme="minorEastAsia" w:cstheme="minorHAnsi"/>
                <w:sz w:val="20"/>
                <w:szCs w:val="20"/>
              </w:rPr>
              <w:t xml:space="preserve">Expansion of the Cairns Tropical Enterprise Centre (CTEC) and the growth of FNQHIP </w:t>
            </w:r>
            <w:r w:rsidR="00ED3F2D" w:rsidRPr="00655E52">
              <w:rPr>
                <w:rFonts w:eastAsiaTheme="minorEastAsia" w:cstheme="minorHAnsi"/>
                <w:sz w:val="20"/>
                <w:szCs w:val="20"/>
              </w:rPr>
              <w:t xml:space="preserve">supports </w:t>
            </w:r>
            <w:r w:rsidRPr="00655E52">
              <w:rPr>
                <w:rFonts w:eastAsiaTheme="minorEastAsia" w:cstheme="minorHAnsi"/>
                <w:sz w:val="20"/>
                <w:szCs w:val="20"/>
              </w:rPr>
              <w:t>multi-sector engagement</w:t>
            </w:r>
            <w:r w:rsidR="00ED3F2D" w:rsidRPr="00655E52">
              <w:rPr>
                <w:rFonts w:eastAsiaTheme="minorEastAsia" w:cstheme="minorHAnsi"/>
                <w:sz w:val="20"/>
                <w:szCs w:val="20"/>
              </w:rPr>
              <w:t xml:space="preserve"> in </w:t>
            </w:r>
            <w:r w:rsidR="004B054C" w:rsidRPr="00655E52">
              <w:rPr>
                <w:rFonts w:eastAsiaTheme="minorEastAsia" w:cstheme="minorHAnsi"/>
                <w:sz w:val="20"/>
                <w:szCs w:val="20"/>
              </w:rPr>
              <w:t xml:space="preserve">delivering </w:t>
            </w:r>
            <w:r w:rsidRPr="00655E52">
              <w:rPr>
                <w:rFonts w:eastAsiaTheme="minorEastAsia" w:cstheme="minorHAnsi"/>
                <w:sz w:val="20"/>
                <w:szCs w:val="20"/>
              </w:rPr>
              <w:t xml:space="preserve">new health workforce pipelines in partnership with public and private hospitals, the regional council, and community organisations. </w:t>
            </w:r>
          </w:p>
        </w:tc>
      </w:tr>
    </w:tbl>
    <w:p w14:paraId="2BE0E0F4" w14:textId="7CF7DE96" w:rsidR="001B109C" w:rsidRDefault="001B109C" w:rsidP="00655E52">
      <w:pPr>
        <w:spacing w:after="160"/>
        <w:jc w:val="both"/>
        <w:rPr>
          <w:rFonts w:ascii="Times New Roman" w:hAnsi="Times New Roman" w:cs="Times New Roman"/>
          <w:b/>
          <w:bCs/>
          <w:sz w:val="24"/>
          <w:szCs w:val="24"/>
        </w:rPr>
      </w:pPr>
    </w:p>
    <w:p w14:paraId="6D22BD5D" w14:textId="77777777" w:rsidR="001B109C" w:rsidRDefault="001B109C" w:rsidP="00655E52">
      <w:pPr>
        <w:spacing w:after="0"/>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708556EF" w14:textId="77777777" w:rsidR="00AA7B0B" w:rsidRDefault="00AA7B0B" w:rsidP="00655E52">
            <w:pPr>
              <w:spacing w:before="28" w:line="210" w:lineRule="exact"/>
              <w:jc w:val="both"/>
              <w:textAlignment w:val="baseline"/>
              <w:rPr>
                <w:rFonts w:eastAsia="Calibri" w:cstheme="minorHAnsi"/>
                <w:color w:val="000000"/>
                <w:spacing w:val="-3"/>
                <w:sz w:val="24"/>
                <w:szCs w:val="24"/>
              </w:rPr>
            </w:pPr>
          </w:p>
          <w:p w14:paraId="25967926" w14:textId="77777777" w:rsidR="00AA7B0B" w:rsidRDefault="00AA7B0B" w:rsidP="00655E52">
            <w:pPr>
              <w:spacing w:before="28" w:line="210" w:lineRule="exact"/>
              <w:jc w:val="both"/>
              <w:textAlignment w:val="baseline"/>
              <w:rPr>
                <w:rFonts w:eastAsia="Calibri" w:cstheme="minorHAnsi"/>
                <w:color w:val="000000"/>
                <w:spacing w:val="-3"/>
                <w:sz w:val="24"/>
                <w:szCs w:val="24"/>
              </w:rPr>
            </w:pPr>
          </w:p>
          <w:p w14:paraId="439259DE" w14:textId="77777777" w:rsidR="00AA7B0B" w:rsidRDefault="00AA7B0B" w:rsidP="00655E52">
            <w:pPr>
              <w:spacing w:before="28" w:line="210" w:lineRule="exact"/>
              <w:jc w:val="both"/>
              <w:textAlignment w:val="baseline"/>
              <w:rPr>
                <w:rFonts w:eastAsia="Calibri" w:cstheme="minorHAnsi"/>
                <w:color w:val="000000"/>
                <w:spacing w:val="-3"/>
                <w:sz w:val="24"/>
                <w:szCs w:val="24"/>
              </w:rPr>
            </w:pPr>
          </w:p>
          <w:p w14:paraId="68C798FC" w14:textId="1E1916F4" w:rsidR="001B109C" w:rsidRPr="00E114B4" w:rsidRDefault="001B109C" w:rsidP="00655E52">
            <w:pPr>
              <w:spacing w:before="28" w:line="210" w:lineRule="exact"/>
              <w:jc w:val="both"/>
              <w:textAlignment w:val="baseline"/>
              <w:rPr>
                <w:rFonts w:eastAsia="Calibri" w:cstheme="minorHAnsi"/>
                <w:color w:val="000000"/>
                <w:spacing w:val="-3"/>
                <w:sz w:val="24"/>
                <w:szCs w:val="24"/>
              </w:rPr>
            </w:pPr>
            <w:r w:rsidRPr="00E114B4">
              <w:rPr>
                <w:rFonts w:eastAsia="Calibri" w:cstheme="minorHAnsi"/>
                <w:color w:val="000000"/>
                <w:spacing w:val="-3"/>
                <w:sz w:val="24"/>
                <w:szCs w:val="24"/>
              </w:rPr>
              <w:lastRenderedPageBreak/>
              <w:t>SIGNED for and on behalf of</w:t>
            </w:r>
          </w:p>
          <w:p w14:paraId="4C44F3A8" w14:textId="77777777" w:rsidR="001B109C" w:rsidRPr="00E114B4" w:rsidRDefault="001B109C" w:rsidP="00655E52">
            <w:pPr>
              <w:spacing w:before="275" w:line="210" w:lineRule="exact"/>
              <w:jc w:val="both"/>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655E52">
            <w:pPr>
              <w:spacing w:before="275" w:line="210" w:lineRule="exact"/>
              <w:jc w:val="both"/>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2C8820E" w14:textId="77777777" w:rsidR="00AA7B0B" w:rsidRDefault="00AA7B0B" w:rsidP="00655E52">
            <w:pPr>
              <w:jc w:val="both"/>
              <w:rPr>
                <w:rFonts w:cstheme="minorHAnsi"/>
                <w:sz w:val="24"/>
                <w:szCs w:val="24"/>
              </w:rPr>
            </w:pPr>
          </w:p>
          <w:p w14:paraId="220FB8C1" w14:textId="77777777" w:rsidR="00AA7B0B" w:rsidRDefault="00AA7B0B" w:rsidP="00655E52">
            <w:pPr>
              <w:jc w:val="both"/>
              <w:rPr>
                <w:rFonts w:cstheme="minorHAnsi"/>
                <w:sz w:val="24"/>
                <w:szCs w:val="24"/>
              </w:rPr>
            </w:pPr>
          </w:p>
          <w:p w14:paraId="2E68FE75" w14:textId="77777777" w:rsidR="00AA7B0B" w:rsidRDefault="00AA7B0B" w:rsidP="00655E52">
            <w:pPr>
              <w:jc w:val="both"/>
              <w:rPr>
                <w:rFonts w:cstheme="minorHAnsi"/>
                <w:sz w:val="24"/>
                <w:szCs w:val="24"/>
              </w:rPr>
            </w:pPr>
          </w:p>
          <w:p w14:paraId="34664A6F" w14:textId="2BA9DBFB" w:rsidR="001B109C" w:rsidRPr="00E114B4" w:rsidRDefault="001B109C" w:rsidP="00655E52">
            <w:pPr>
              <w:jc w:val="both"/>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2BFA6B8D" w:rsidR="001B109C" w:rsidRPr="00E114B4" w:rsidRDefault="006A2A7D" w:rsidP="00655E52">
            <w:pPr>
              <w:pBdr>
                <w:bottom w:val="single" w:sz="12" w:space="1" w:color="auto"/>
              </w:pBdr>
              <w:jc w:val="both"/>
              <w:rPr>
                <w:rFonts w:cstheme="minorHAnsi"/>
                <w:b/>
                <w:bCs/>
              </w:rPr>
            </w:pPr>
            <w:r w:rsidRPr="001E1D51">
              <w:rPr>
                <w:b/>
                <w:bCs/>
              </w:rPr>
              <w:lastRenderedPageBreak/>
              <w:t>Jessica Mohr</w:t>
            </w:r>
          </w:p>
          <w:p w14:paraId="7375CBDB" w14:textId="77777777" w:rsidR="001B109C" w:rsidRPr="00E114B4" w:rsidRDefault="001B109C" w:rsidP="00655E52">
            <w:pPr>
              <w:jc w:val="both"/>
              <w:rPr>
                <w:rFonts w:cstheme="minorHAnsi"/>
              </w:rPr>
            </w:pPr>
            <w:r w:rsidRPr="00E114B4">
              <w:rPr>
                <w:rFonts w:cstheme="minorHAnsi"/>
              </w:rPr>
              <w:t>Full name (please print)</w:t>
            </w:r>
          </w:p>
        </w:tc>
        <w:tc>
          <w:tcPr>
            <w:tcW w:w="4508" w:type="dxa"/>
          </w:tcPr>
          <w:p w14:paraId="091A8D51" w14:textId="36764B12" w:rsidR="001B109C" w:rsidRPr="00E114B4" w:rsidRDefault="00F70803" w:rsidP="00655E52">
            <w:pPr>
              <w:pBdr>
                <w:bottom w:val="single" w:sz="12" w:space="1" w:color="auto"/>
              </w:pBdr>
              <w:jc w:val="both"/>
              <w:rPr>
                <w:rFonts w:cstheme="minorHAnsi"/>
                <w:b/>
                <w:bCs/>
              </w:rPr>
            </w:pPr>
            <w:r w:rsidRPr="001E1D51">
              <w:rPr>
                <w:b/>
                <w:bCs/>
              </w:rPr>
              <w:t>Rachel Searl</w:t>
            </w:r>
          </w:p>
          <w:p w14:paraId="5AAC2089" w14:textId="77777777" w:rsidR="001B109C" w:rsidRPr="00E114B4" w:rsidRDefault="001B109C" w:rsidP="00655E52">
            <w:pPr>
              <w:jc w:val="both"/>
              <w:rPr>
                <w:rFonts w:cstheme="minorHAnsi"/>
              </w:rPr>
            </w:pPr>
            <w:r w:rsidRPr="00E114B4">
              <w:rPr>
                <w:rFonts w:cstheme="minorHAnsi"/>
              </w:rPr>
              <w:t>Witness (please print)</w:t>
            </w:r>
          </w:p>
        </w:tc>
      </w:tr>
      <w:tr w:rsidR="001B109C" w:rsidRPr="00E169EE" w14:paraId="6D0DB948" w14:textId="77777777">
        <w:tc>
          <w:tcPr>
            <w:tcW w:w="4508" w:type="dxa"/>
          </w:tcPr>
          <w:p w14:paraId="101367FA" w14:textId="11862C5C" w:rsidR="001B109C" w:rsidRPr="00E114B4" w:rsidRDefault="00D31FB4" w:rsidP="00655E52">
            <w:pPr>
              <w:pBdr>
                <w:bottom w:val="single" w:sz="12" w:space="1" w:color="auto"/>
              </w:pBdr>
              <w:jc w:val="both"/>
              <w:rPr>
                <w:rFonts w:cstheme="minorHAnsi"/>
                <w:b/>
                <w:bCs/>
              </w:rPr>
            </w:pPr>
            <w:r w:rsidRPr="00DC5CCA">
              <w:rPr>
                <w:b/>
                <w:bCs/>
              </w:rPr>
              <w:t>First Assistant Secretary</w:t>
            </w:r>
          </w:p>
          <w:p w14:paraId="53889020" w14:textId="77777777" w:rsidR="001B109C" w:rsidRPr="00E114B4" w:rsidRDefault="001B109C" w:rsidP="00655E52">
            <w:pPr>
              <w:jc w:val="both"/>
              <w:rPr>
                <w:rFonts w:cstheme="minorHAnsi"/>
              </w:rPr>
            </w:pPr>
            <w:r w:rsidRPr="00E114B4">
              <w:rPr>
                <w:rFonts w:cstheme="minorHAnsi"/>
              </w:rPr>
              <w:t>Position</w:t>
            </w:r>
          </w:p>
          <w:p w14:paraId="390DFF35" w14:textId="77777777" w:rsidR="001B109C" w:rsidRPr="00E114B4" w:rsidRDefault="001B109C" w:rsidP="00655E52">
            <w:pPr>
              <w:jc w:val="both"/>
              <w:rPr>
                <w:rFonts w:cstheme="minorHAnsi"/>
              </w:rPr>
            </w:pPr>
            <w:r w:rsidRPr="00E114B4">
              <w:rPr>
                <w:rFonts w:cstheme="minorHAnsi"/>
              </w:rPr>
              <w:t>of the Department of Education</w:t>
            </w:r>
          </w:p>
        </w:tc>
        <w:tc>
          <w:tcPr>
            <w:tcW w:w="4508" w:type="dxa"/>
          </w:tcPr>
          <w:p w14:paraId="69045716" w14:textId="2876B035" w:rsidR="001B109C" w:rsidRPr="00E114B4" w:rsidRDefault="008A0B9F" w:rsidP="00655E52">
            <w:pPr>
              <w:pBdr>
                <w:bottom w:val="single" w:sz="12" w:space="1" w:color="auto"/>
              </w:pBdr>
              <w:jc w:val="both"/>
              <w:rPr>
                <w:rFonts w:cstheme="minorHAnsi"/>
                <w:b/>
                <w:bCs/>
              </w:rPr>
            </w:pPr>
            <w:r w:rsidRPr="00E91A60">
              <w:rPr>
                <w:b/>
                <w:bCs/>
              </w:rPr>
              <w:t>Executive Officer</w:t>
            </w:r>
          </w:p>
          <w:p w14:paraId="668DE817" w14:textId="77777777" w:rsidR="001B109C" w:rsidRPr="00E114B4" w:rsidRDefault="001B109C" w:rsidP="00655E52">
            <w:pPr>
              <w:jc w:val="both"/>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rsidP="00655E52">
            <w:pPr>
              <w:pBdr>
                <w:bottom w:val="single" w:sz="12" w:space="1" w:color="auto"/>
              </w:pBdr>
              <w:jc w:val="both"/>
              <w:rPr>
                <w:rFonts w:cstheme="minorHAnsi"/>
                <w:b/>
                <w:bCs/>
              </w:rPr>
            </w:pPr>
          </w:p>
          <w:p w14:paraId="415B9216" w14:textId="77777777" w:rsidR="001B109C" w:rsidRPr="00E114B4" w:rsidRDefault="001B109C" w:rsidP="00655E52">
            <w:pPr>
              <w:jc w:val="both"/>
              <w:rPr>
                <w:rFonts w:cstheme="minorHAnsi"/>
              </w:rPr>
            </w:pPr>
            <w:r w:rsidRPr="00E114B4">
              <w:rPr>
                <w:rFonts w:cstheme="minorHAnsi"/>
              </w:rPr>
              <w:t>Signature</w:t>
            </w:r>
          </w:p>
        </w:tc>
        <w:tc>
          <w:tcPr>
            <w:tcW w:w="4508" w:type="dxa"/>
          </w:tcPr>
          <w:p w14:paraId="710024D0" w14:textId="77777777" w:rsidR="001B109C" w:rsidRPr="00E114B4" w:rsidRDefault="001B109C" w:rsidP="00655E52">
            <w:pPr>
              <w:pBdr>
                <w:bottom w:val="single" w:sz="12" w:space="1" w:color="auto"/>
              </w:pBdr>
              <w:jc w:val="both"/>
              <w:rPr>
                <w:rFonts w:cstheme="minorHAnsi"/>
                <w:b/>
                <w:bCs/>
              </w:rPr>
            </w:pPr>
          </w:p>
          <w:p w14:paraId="2D914310" w14:textId="77777777" w:rsidR="001B109C" w:rsidRPr="00E114B4" w:rsidRDefault="001B109C" w:rsidP="00655E52">
            <w:pPr>
              <w:jc w:val="both"/>
              <w:rPr>
                <w:rFonts w:cstheme="minorHAnsi"/>
              </w:rPr>
            </w:pPr>
            <w:r w:rsidRPr="00E114B4">
              <w:rPr>
                <w:rFonts w:cstheme="minorHAnsi"/>
              </w:rPr>
              <w:t>Signature</w:t>
            </w:r>
          </w:p>
        </w:tc>
      </w:tr>
      <w:tr w:rsidR="001B109C" w:rsidRPr="00E169EE" w14:paraId="4B1444B6" w14:textId="77777777">
        <w:tc>
          <w:tcPr>
            <w:tcW w:w="4508" w:type="dxa"/>
          </w:tcPr>
          <w:p w14:paraId="344C64D3" w14:textId="58033D4F" w:rsidR="001B109C" w:rsidRPr="00743F70" w:rsidRDefault="00743F70" w:rsidP="00655E52">
            <w:pPr>
              <w:pBdr>
                <w:bottom w:val="single" w:sz="12" w:space="1" w:color="auto"/>
              </w:pBdr>
              <w:jc w:val="both"/>
              <w:rPr>
                <w:rFonts w:cstheme="minorHAnsi"/>
              </w:rPr>
            </w:pPr>
            <w:r>
              <w:rPr>
                <w:rFonts w:cstheme="minorHAnsi"/>
              </w:rPr>
              <w:t>01/12/2025</w:t>
            </w:r>
          </w:p>
          <w:p w14:paraId="71C4CD3D" w14:textId="77777777" w:rsidR="001B109C" w:rsidRPr="00E169EE" w:rsidRDefault="001B109C" w:rsidP="00655E52">
            <w:pPr>
              <w:jc w:val="both"/>
              <w:rPr>
                <w:rFonts w:cstheme="minorHAnsi"/>
              </w:rPr>
            </w:pPr>
            <w:r w:rsidRPr="00E169EE">
              <w:rPr>
                <w:rFonts w:cstheme="minorHAnsi"/>
              </w:rPr>
              <w:t>Date</w:t>
            </w:r>
          </w:p>
        </w:tc>
        <w:tc>
          <w:tcPr>
            <w:tcW w:w="4508" w:type="dxa"/>
          </w:tcPr>
          <w:p w14:paraId="26028E27" w14:textId="77777777" w:rsidR="001B109C" w:rsidRPr="00F60B66" w:rsidRDefault="001B109C" w:rsidP="00655E52">
            <w:pPr>
              <w:jc w:val="both"/>
              <w:rPr>
                <w:rFonts w:cstheme="minorHAnsi"/>
                <w:b/>
                <w:bCs/>
                <w:highlight w:val="yellow"/>
              </w:rPr>
            </w:pPr>
          </w:p>
        </w:tc>
      </w:tr>
      <w:tr w:rsidR="001B109C" w:rsidRPr="00E169EE" w14:paraId="45CC96F9" w14:textId="77777777">
        <w:tc>
          <w:tcPr>
            <w:tcW w:w="4508" w:type="dxa"/>
          </w:tcPr>
          <w:p w14:paraId="639CCC16" w14:textId="77777777" w:rsidR="001B109C" w:rsidRDefault="001B109C" w:rsidP="00655E52">
            <w:pPr>
              <w:spacing w:before="28" w:line="210" w:lineRule="exact"/>
              <w:jc w:val="both"/>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17C111C2" w:rsidR="001B109C" w:rsidRPr="000E24F4" w:rsidRDefault="000E24F4" w:rsidP="00655E52">
            <w:pPr>
              <w:spacing w:before="28" w:line="210" w:lineRule="exact"/>
              <w:jc w:val="both"/>
              <w:textAlignment w:val="baseline"/>
              <w:rPr>
                <w:rFonts w:eastAsia="Calibri" w:cstheme="minorHAnsi"/>
                <w:b/>
                <w:bCs/>
                <w:color w:val="000000"/>
                <w:spacing w:val="-3"/>
                <w:sz w:val="24"/>
                <w:szCs w:val="24"/>
              </w:rPr>
            </w:pPr>
            <w:r w:rsidRPr="000E24F4">
              <w:rPr>
                <w:rFonts w:eastAsia="Calibri" w:cstheme="minorHAnsi"/>
                <w:b/>
                <w:bCs/>
                <w:color w:val="000000"/>
                <w:spacing w:val="-4"/>
                <w:sz w:val="24"/>
                <w:szCs w:val="24"/>
              </w:rPr>
              <w:t>James Cook University</w:t>
            </w:r>
          </w:p>
          <w:p w14:paraId="065C6AB9" w14:textId="77777777" w:rsidR="001B109C" w:rsidRPr="00E169EE" w:rsidRDefault="001B109C" w:rsidP="00655E52">
            <w:pPr>
              <w:spacing w:before="275" w:line="210" w:lineRule="exact"/>
              <w:jc w:val="both"/>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655E52">
            <w:pPr>
              <w:jc w:val="both"/>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10CCDB57" w14:textId="031354C0" w:rsidR="000E24F4" w:rsidRPr="00E169EE" w:rsidRDefault="000E24F4" w:rsidP="00655E52">
            <w:pPr>
              <w:pBdr>
                <w:bottom w:val="single" w:sz="12" w:space="1" w:color="auto"/>
              </w:pBdr>
              <w:jc w:val="both"/>
              <w:rPr>
                <w:rFonts w:cstheme="minorHAnsi"/>
                <w:b/>
                <w:bCs/>
              </w:rPr>
            </w:pPr>
            <w:r w:rsidRPr="000E24F4">
              <w:rPr>
                <w:rFonts w:cstheme="minorHAnsi"/>
                <w:b/>
                <w:bCs/>
              </w:rPr>
              <w:t>Professor Simon Biggs</w:t>
            </w:r>
          </w:p>
          <w:p w14:paraId="3120FAF4" w14:textId="2AB296D8" w:rsidR="000E24F4" w:rsidRPr="000E24F4" w:rsidRDefault="001B109C" w:rsidP="000E24F4">
            <w:pPr>
              <w:jc w:val="both"/>
              <w:rPr>
                <w:rFonts w:cstheme="minorHAnsi"/>
                <w:b/>
                <w:bCs/>
              </w:rPr>
            </w:pPr>
            <w:r w:rsidRPr="00E169EE">
              <w:rPr>
                <w:rFonts w:cstheme="minorHAnsi"/>
              </w:rPr>
              <w:t>Full name (please print)</w:t>
            </w:r>
          </w:p>
        </w:tc>
        <w:tc>
          <w:tcPr>
            <w:tcW w:w="4508" w:type="dxa"/>
          </w:tcPr>
          <w:p w14:paraId="59483E94" w14:textId="00612AC6" w:rsidR="001B109C" w:rsidRPr="002F4604" w:rsidRDefault="000E24F4" w:rsidP="00655E52">
            <w:pPr>
              <w:pBdr>
                <w:bottom w:val="single" w:sz="12" w:space="1" w:color="auto"/>
              </w:pBdr>
              <w:jc w:val="both"/>
              <w:rPr>
                <w:rFonts w:cstheme="minorHAnsi"/>
                <w:b/>
                <w:bCs/>
              </w:rPr>
            </w:pPr>
            <w:r w:rsidRPr="000E24F4">
              <w:rPr>
                <w:rFonts w:cstheme="minorHAnsi"/>
                <w:b/>
                <w:bCs/>
              </w:rPr>
              <w:t>Mrs Tianna Graham</w:t>
            </w:r>
          </w:p>
          <w:p w14:paraId="439588BC" w14:textId="205196B1" w:rsidR="000E24F4" w:rsidRPr="000E24F4" w:rsidRDefault="001B109C" w:rsidP="000E24F4">
            <w:pPr>
              <w:jc w:val="both"/>
              <w:rPr>
                <w:rFonts w:cstheme="minorHAnsi"/>
                <w:b/>
                <w:bCs/>
              </w:rPr>
            </w:pPr>
            <w:r w:rsidRPr="002F4604">
              <w:rPr>
                <w:rFonts w:cstheme="minorHAnsi"/>
              </w:rPr>
              <w:t>Witness (please print)</w:t>
            </w:r>
          </w:p>
        </w:tc>
      </w:tr>
      <w:tr w:rsidR="001B109C" w:rsidRPr="00E169EE" w14:paraId="20B90866" w14:textId="77777777">
        <w:tc>
          <w:tcPr>
            <w:tcW w:w="4508" w:type="dxa"/>
          </w:tcPr>
          <w:p w14:paraId="0A53B8A9" w14:textId="77777777" w:rsidR="000E24F4" w:rsidRPr="000E24F4" w:rsidRDefault="000E24F4" w:rsidP="000E24F4">
            <w:pPr>
              <w:spacing w:after="0"/>
              <w:jc w:val="both"/>
              <w:rPr>
                <w:rFonts w:cstheme="minorHAnsi"/>
                <w:b/>
                <w:bCs/>
              </w:rPr>
            </w:pPr>
            <w:r w:rsidRPr="000E24F4">
              <w:rPr>
                <w:rFonts w:cstheme="minorHAnsi"/>
                <w:b/>
                <w:bCs/>
              </w:rPr>
              <w:t>Vice Chancellor and President</w:t>
            </w:r>
          </w:p>
          <w:p w14:paraId="7D9047AD" w14:textId="77777777" w:rsidR="001B109C" w:rsidRPr="00E169EE" w:rsidRDefault="001B109C" w:rsidP="00655E52">
            <w:pPr>
              <w:pBdr>
                <w:bottom w:val="single" w:sz="12" w:space="1" w:color="auto"/>
              </w:pBdr>
              <w:spacing w:after="0"/>
              <w:jc w:val="both"/>
              <w:rPr>
                <w:rFonts w:cstheme="minorHAnsi"/>
                <w:b/>
                <w:bCs/>
              </w:rPr>
            </w:pPr>
          </w:p>
          <w:p w14:paraId="231ABA73" w14:textId="77777777" w:rsidR="001B109C" w:rsidRDefault="001B109C" w:rsidP="00655E52">
            <w:pPr>
              <w:spacing w:after="0"/>
              <w:jc w:val="both"/>
              <w:rPr>
                <w:rFonts w:cstheme="minorHAnsi"/>
              </w:rPr>
            </w:pPr>
            <w:r w:rsidRPr="00E169EE">
              <w:rPr>
                <w:rFonts w:cstheme="minorHAnsi"/>
              </w:rPr>
              <w:t>Position</w:t>
            </w:r>
          </w:p>
          <w:p w14:paraId="536F9855" w14:textId="77777777" w:rsidR="001B109C" w:rsidRPr="00E169EE" w:rsidRDefault="001B109C" w:rsidP="000E24F4">
            <w:pPr>
              <w:spacing w:after="0"/>
              <w:jc w:val="both"/>
              <w:rPr>
                <w:rFonts w:cstheme="minorHAnsi"/>
              </w:rPr>
            </w:pPr>
          </w:p>
        </w:tc>
        <w:tc>
          <w:tcPr>
            <w:tcW w:w="4508" w:type="dxa"/>
          </w:tcPr>
          <w:p w14:paraId="7B33C473" w14:textId="1834CA2C" w:rsidR="001B109C" w:rsidRDefault="000E24F4" w:rsidP="00655E52">
            <w:pPr>
              <w:pBdr>
                <w:bottom w:val="single" w:sz="12" w:space="1" w:color="auto"/>
              </w:pBdr>
              <w:spacing w:after="0"/>
              <w:jc w:val="both"/>
              <w:rPr>
                <w:rFonts w:cstheme="minorHAnsi"/>
                <w:b/>
                <w:bCs/>
              </w:rPr>
            </w:pPr>
            <w:r w:rsidRPr="000E24F4">
              <w:rPr>
                <w:rFonts w:cstheme="minorHAnsi"/>
                <w:b/>
                <w:bCs/>
              </w:rPr>
              <w:t>Executive Officer</w:t>
            </w:r>
          </w:p>
          <w:p w14:paraId="4EAADE60" w14:textId="77777777" w:rsidR="000E24F4" w:rsidRPr="002F4604" w:rsidRDefault="000E24F4" w:rsidP="00655E52">
            <w:pPr>
              <w:pBdr>
                <w:bottom w:val="single" w:sz="12" w:space="1" w:color="auto"/>
              </w:pBdr>
              <w:spacing w:after="0"/>
              <w:jc w:val="both"/>
              <w:rPr>
                <w:rFonts w:cstheme="minorHAnsi"/>
                <w:b/>
                <w:bCs/>
              </w:rPr>
            </w:pPr>
          </w:p>
          <w:p w14:paraId="5682E24C" w14:textId="77777777" w:rsidR="001B109C" w:rsidRDefault="001B109C" w:rsidP="00655E52">
            <w:pPr>
              <w:spacing w:after="0"/>
              <w:jc w:val="both"/>
              <w:rPr>
                <w:rFonts w:cstheme="minorHAnsi"/>
              </w:rPr>
            </w:pPr>
            <w:r w:rsidRPr="002F4604">
              <w:rPr>
                <w:rFonts w:cstheme="minorHAnsi"/>
              </w:rPr>
              <w:t>Position or profession of witness (please print)</w:t>
            </w:r>
          </w:p>
          <w:p w14:paraId="0C046C3D" w14:textId="6B2226BB" w:rsidR="000E24F4" w:rsidRPr="000E24F4" w:rsidRDefault="000E24F4" w:rsidP="00655E52">
            <w:pPr>
              <w:spacing w:after="0"/>
              <w:jc w:val="both"/>
              <w:rPr>
                <w:rFonts w:cstheme="minorHAnsi"/>
                <w:b/>
                <w:bCs/>
              </w:rPr>
            </w:pPr>
          </w:p>
        </w:tc>
      </w:tr>
      <w:tr w:rsidR="001B109C" w:rsidRPr="00E169EE" w14:paraId="51440CFB" w14:textId="77777777">
        <w:trPr>
          <w:trHeight w:val="80"/>
        </w:trPr>
        <w:tc>
          <w:tcPr>
            <w:tcW w:w="4508" w:type="dxa"/>
          </w:tcPr>
          <w:p w14:paraId="634EC1BA" w14:textId="610FB626" w:rsidR="000E24F4" w:rsidRPr="00E169EE" w:rsidRDefault="00C85396" w:rsidP="00655E52">
            <w:pPr>
              <w:pBdr>
                <w:bottom w:val="single" w:sz="12" w:space="1" w:color="auto"/>
              </w:pBdr>
              <w:spacing w:after="0"/>
              <w:jc w:val="both"/>
              <w:rPr>
                <w:rFonts w:cstheme="minorHAnsi"/>
                <w:b/>
                <w:bCs/>
              </w:rPr>
            </w:pPr>
            <w:r>
              <w:rPr>
                <w:rFonts w:cstheme="minorHAnsi"/>
                <w:b/>
                <w:bCs/>
              </w:rPr>
              <w:t>I approve this Compact on behalf of James Cook University</w:t>
            </w:r>
          </w:p>
          <w:p w14:paraId="1B3D23B1" w14:textId="77777777" w:rsidR="001B109C" w:rsidRDefault="001B109C" w:rsidP="00655E52">
            <w:pPr>
              <w:spacing w:after="0"/>
              <w:jc w:val="both"/>
              <w:rPr>
                <w:rFonts w:cstheme="minorHAnsi"/>
              </w:rPr>
            </w:pPr>
            <w:r w:rsidRPr="00E169EE">
              <w:rPr>
                <w:rFonts w:cstheme="minorHAnsi"/>
              </w:rPr>
              <w:t>Signature</w:t>
            </w:r>
          </w:p>
          <w:p w14:paraId="62FF4341" w14:textId="77777777" w:rsidR="000E24F4" w:rsidRPr="00E169EE" w:rsidRDefault="000E24F4" w:rsidP="00655E52">
            <w:pPr>
              <w:spacing w:after="0"/>
              <w:jc w:val="both"/>
              <w:rPr>
                <w:rFonts w:cstheme="minorHAnsi"/>
              </w:rPr>
            </w:pPr>
          </w:p>
        </w:tc>
        <w:tc>
          <w:tcPr>
            <w:tcW w:w="4508" w:type="dxa"/>
          </w:tcPr>
          <w:p w14:paraId="75C3F771" w14:textId="77777777" w:rsidR="001B109C" w:rsidRDefault="001B109C" w:rsidP="00655E52">
            <w:pPr>
              <w:pBdr>
                <w:bottom w:val="single" w:sz="12" w:space="1" w:color="auto"/>
              </w:pBdr>
              <w:spacing w:after="0"/>
              <w:jc w:val="both"/>
              <w:rPr>
                <w:rFonts w:cstheme="minorHAnsi"/>
                <w:b/>
                <w:bCs/>
              </w:rPr>
            </w:pPr>
          </w:p>
          <w:p w14:paraId="44E35D7D" w14:textId="4A3C66B2" w:rsidR="000E24F4" w:rsidRPr="002F4604" w:rsidRDefault="000E24F4" w:rsidP="00655E52">
            <w:pPr>
              <w:pBdr>
                <w:bottom w:val="single" w:sz="12" w:space="1" w:color="auto"/>
              </w:pBdr>
              <w:spacing w:after="0"/>
              <w:jc w:val="both"/>
              <w:rPr>
                <w:rFonts w:cstheme="minorHAnsi"/>
                <w:b/>
                <w:bCs/>
              </w:rPr>
            </w:pPr>
          </w:p>
          <w:p w14:paraId="081C2594" w14:textId="442D5BC0" w:rsidR="000E24F4" w:rsidRDefault="001B109C" w:rsidP="00655E52">
            <w:pPr>
              <w:spacing w:after="0"/>
              <w:jc w:val="both"/>
              <w:rPr>
                <w:rFonts w:cstheme="minorHAnsi"/>
              </w:rPr>
            </w:pPr>
            <w:r w:rsidRPr="002F4604">
              <w:rPr>
                <w:rFonts w:cstheme="minorHAnsi"/>
              </w:rPr>
              <w:t>Signature</w:t>
            </w:r>
          </w:p>
          <w:p w14:paraId="79F89A4A" w14:textId="435BD946" w:rsidR="000E24F4" w:rsidRPr="002F4604" w:rsidRDefault="000E24F4" w:rsidP="00655E52">
            <w:pPr>
              <w:spacing w:after="0"/>
              <w:jc w:val="both"/>
              <w:rPr>
                <w:rFonts w:cstheme="minorHAnsi"/>
              </w:rPr>
            </w:pPr>
          </w:p>
        </w:tc>
      </w:tr>
    </w:tbl>
    <w:p w14:paraId="7F0711AD" w14:textId="77777777" w:rsidR="001B109C" w:rsidRPr="001B109C" w:rsidRDefault="001B109C" w:rsidP="00655E52">
      <w:pPr>
        <w:pStyle w:val="NormalIndent"/>
        <w:spacing w:line="240" w:lineRule="auto"/>
        <w:ind w:left="0"/>
        <w:jc w:val="both"/>
        <w:rPr>
          <w:rFonts w:asciiTheme="minorHAnsi" w:hAnsiTheme="minorHAnsi" w:cstheme="minorHAnsi"/>
          <w:szCs w:val="22"/>
        </w:rPr>
      </w:pPr>
    </w:p>
    <w:sectPr w:rsidR="001B109C" w:rsidRPr="001B109C" w:rsidSect="00D86284">
      <w:footerReference w:type="default" r:id="rId38"/>
      <w:footerReference w:type="first" r:id="rId39"/>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87D0" w14:textId="77777777" w:rsidR="00C274E5" w:rsidRDefault="00C274E5" w:rsidP="000A6228">
      <w:pPr>
        <w:spacing w:after="0" w:line="240" w:lineRule="auto"/>
      </w:pPr>
      <w:r>
        <w:separator/>
      </w:r>
    </w:p>
  </w:endnote>
  <w:endnote w:type="continuationSeparator" w:id="0">
    <w:p w14:paraId="2A3A3BA0" w14:textId="77777777" w:rsidR="00C274E5" w:rsidRDefault="00C274E5" w:rsidP="000A6228">
      <w:pPr>
        <w:spacing w:after="0" w:line="240" w:lineRule="auto"/>
      </w:pPr>
      <w:r>
        <w:continuationSeparator/>
      </w:r>
    </w:p>
  </w:endnote>
  <w:endnote w:type="continuationNotice" w:id="1">
    <w:p w14:paraId="14520746" w14:textId="77777777" w:rsidR="00C274E5" w:rsidRDefault="00C27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C1C9" w14:textId="77777777" w:rsidR="00C274E5" w:rsidRDefault="00C274E5" w:rsidP="000A6228">
      <w:pPr>
        <w:spacing w:after="0" w:line="240" w:lineRule="auto"/>
      </w:pPr>
      <w:r>
        <w:separator/>
      </w:r>
    </w:p>
  </w:footnote>
  <w:footnote w:type="continuationSeparator" w:id="0">
    <w:p w14:paraId="43BAC6C9" w14:textId="77777777" w:rsidR="00C274E5" w:rsidRDefault="00C274E5" w:rsidP="000A6228">
      <w:pPr>
        <w:spacing w:after="0" w:line="240" w:lineRule="auto"/>
      </w:pPr>
      <w:r>
        <w:continuationSeparator/>
      </w:r>
    </w:p>
  </w:footnote>
  <w:footnote w:type="continuationNotice" w:id="1">
    <w:p w14:paraId="28C33CB2" w14:textId="77777777" w:rsidR="00C274E5" w:rsidRDefault="00C274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7A84CB1"/>
    <w:multiLevelType w:val="hybridMultilevel"/>
    <w:tmpl w:val="D930A558"/>
    <w:lvl w:ilvl="0" w:tplc="D28E0984">
      <w:start w:val="1"/>
      <w:numFmt w:val="bullet"/>
      <w:lvlText w:val="-"/>
      <w:lvlJc w:val="left"/>
      <w:pPr>
        <w:ind w:left="720" w:hanging="360"/>
      </w:pPr>
      <w:rPr>
        <w:rFonts w:ascii="Aptos" w:hAnsi="Aptos" w:hint="default"/>
      </w:rPr>
    </w:lvl>
    <w:lvl w:ilvl="1" w:tplc="806C4E7E">
      <w:start w:val="1"/>
      <w:numFmt w:val="bullet"/>
      <w:lvlText w:val="o"/>
      <w:lvlJc w:val="left"/>
      <w:pPr>
        <w:ind w:left="1440" w:hanging="360"/>
      </w:pPr>
      <w:rPr>
        <w:rFonts w:ascii="Courier New" w:hAnsi="Courier New" w:hint="default"/>
      </w:rPr>
    </w:lvl>
    <w:lvl w:ilvl="2" w:tplc="BEBCB6CA">
      <w:start w:val="1"/>
      <w:numFmt w:val="bullet"/>
      <w:lvlText w:val=""/>
      <w:lvlJc w:val="left"/>
      <w:pPr>
        <w:ind w:left="2160" w:hanging="360"/>
      </w:pPr>
      <w:rPr>
        <w:rFonts w:ascii="Wingdings" w:hAnsi="Wingdings" w:hint="default"/>
      </w:rPr>
    </w:lvl>
    <w:lvl w:ilvl="3" w:tplc="E9DE6FBA">
      <w:start w:val="1"/>
      <w:numFmt w:val="bullet"/>
      <w:lvlText w:val=""/>
      <w:lvlJc w:val="left"/>
      <w:pPr>
        <w:ind w:left="2880" w:hanging="360"/>
      </w:pPr>
      <w:rPr>
        <w:rFonts w:ascii="Symbol" w:hAnsi="Symbol" w:hint="default"/>
      </w:rPr>
    </w:lvl>
    <w:lvl w:ilvl="4" w:tplc="B90EF0D0">
      <w:start w:val="1"/>
      <w:numFmt w:val="bullet"/>
      <w:lvlText w:val="o"/>
      <w:lvlJc w:val="left"/>
      <w:pPr>
        <w:ind w:left="3600" w:hanging="360"/>
      </w:pPr>
      <w:rPr>
        <w:rFonts w:ascii="Courier New" w:hAnsi="Courier New" w:hint="default"/>
      </w:rPr>
    </w:lvl>
    <w:lvl w:ilvl="5" w:tplc="23B05D76">
      <w:start w:val="1"/>
      <w:numFmt w:val="bullet"/>
      <w:lvlText w:val=""/>
      <w:lvlJc w:val="left"/>
      <w:pPr>
        <w:ind w:left="4320" w:hanging="360"/>
      </w:pPr>
      <w:rPr>
        <w:rFonts w:ascii="Wingdings" w:hAnsi="Wingdings" w:hint="default"/>
      </w:rPr>
    </w:lvl>
    <w:lvl w:ilvl="6" w:tplc="F42CF7AC">
      <w:start w:val="1"/>
      <w:numFmt w:val="bullet"/>
      <w:lvlText w:val=""/>
      <w:lvlJc w:val="left"/>
      <w:pPr>
        <w:ind w:left="5040" w:hanging="360"/>
      </w:pPr>
      <w:rPr>
        <w:rFonts w:ascii="Symbol" w:hAnsi="Symbol" w:hint="default"/>
      </w:rPr>
    </w:lvl>
    <w:lvl w:ilvl="7" w:tplc="12CA1A02">
      <w:start w:val="1"/>
      <w:numFmt w:val="bullet"/>
      <w:lvlText w:val="o"/>
      <w:lvlJc w:val="left"/>
      <w:pPr>
        <w:ind w:left="5760" w:hanging="360"/>
      </w:pPr>
      <w:rPr>
        <w:rFonts w:ascii="Courier New" w:hAnsi="Courier New" w:hint="default"/>
      </w:rPr>
    </w:lvl>
    <w:lvl w:ilvl="8" w:tplc="3880DB58">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3A56DB"/>
    <w:multiLevelType w:val="hybridMultilevel"/>
    <w:tmpl w:val="6046D77C"/>
    <w:lvl w:ilvl="0" w:tplc="52A05776">
      <w:start w:val="1"/>
      <w:numFmt w:val="decimal"/>
      <w:lvlText w:val="%1."/>
      <w:lvlJc w:val="left"/>
      <w:pPr>
        <w:ind w:left="720" w:hanging="360"/>
      </w:pPr>
    </w:lvl>
    <w:lvl w:ilvl="1" w:tplc="A224DA22">
      <w:start w:val="1"/>
      <w:numFmt w:val="lowerLetter"/>
      <w:lvlText w:val="%2."/>
      <w:lvlJc w:val="left"/>
      <w:pPr>
        <w:ind w:left="1440" w:hanging="360"/>
      </w:pPr>
    </w:lvl>
    <w:lvl w:ilvl="2" w:tplc="CA5A58FE">
      <w:start w:val="1"/>
      <w:numFmt w:val="lowerRoman"/>
      <w:lvlText w:val="%3."/>
      <w:lvlJc w:val="right"/>
      <w:pPr>
        <w:ind w:left="2160" w:hanging="180"/>
      </w:pPr>
    </w:lvl>
    <w:lvl w:ilvl="3" w:tplc="78FCE498">
      <w:start w:val="1"/>
      <w:numFmt w:val="decimal"/>
      <w:lvlText w:val="%4."/>
      <w:lvlJc w:val="left"/>
      <w:pPr>
        <w:ind w:left="2880" w:hanging="360"/>
      </w:pPr>
    </w:lvl>
    <w:lvl w:ilvl="4" w:tplc="1A9661AE">
      <w:start w:val="1"/>
      <w:numFmt w:val="lowerLetter"/>
      <w:lvlText w:val="%5."/>
      <w:lvlJc w:val="left"/>
      <w:pPr>
        <w:ind w:left="3600" w:hanging="360"/>
      </w:pPr>
    </w:lvl>
    <w:lvl w:ilvl="5" w:tplc="E12E56E4">
      <w:start w:val="1"/>
      <w:numFmt w:val="lowerRoman"/>
      <w:lvlText w:val="%6."/>
      <w:lvlJc w:val="right"/>
      <w:pPr>
        <w:ind w:left="4320" w:hanging="180"/>
      </w:pPr>
    </w:lvl>
    <w:lvl w:ilvl="6" w:tplc="DE6A29A4">
      <w:start w:val="1"/>
      <w:numFmt w:val="decimal"/>
      <w:lvlText w:val="%7."/>
      <w:lvlJc w:val="left"/>
      <w:pPr>
        <w:ind w:left="5040" w:hanging="360"/>
      </w:pPr>
    </w:lvl>
    <w:lvl w:ilvl="7" w:tplc="D65ABA68">
      <w:start w:val="1"/>
      <w:numFmt w:val="lowerLetter"/>
      <w:lvlText w:val="%8."/>
      <w:lvlJc w:val="left"/>
      <w:pPr>
        <w:ind w:left="5760" w:hanging="360"/>
      </w:pPr>
    </w:lvl>
    <w:lvl w:ilvl="8" w:tplc="9F4CA4BE">
      <w:start w:val="1"/>
      <w:numFmt w:val="lowerRoman"/>
      <w:lvlText w:val="%9."/>
      <w:lvlJc w:val="right"/>
      <w:pPr>
        <w:ind w:left="6480" w:hanging="180"/>
      </w:p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5D3EF5"/>
    <w:multiLevelType w:val="hybridMultilevel"/>
    <w:tmpl w:val="1E10B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193810882">
    <w:abstractNumId w:val="8"/>
  </w:num>
  <w:num w:numId="2" w16cid:durableId="60832910">
    <w:abstractNumId w:val="10"/>
  </w:num>
  <w:num w:numId="3" w16cid:durableId="579560429">
    <w:abstractNumId w:val="13"/>
  </w:num>
  <w:num w:numId="4" w16cid:durableId="1141925489">
    <w:abstractNumId w:val="5"/>
  </w:num>
  <w:num w:numId="5" w16cid:durableId="1430395506">
    <w:abstractNumId w:val="4"/>
  </w:num>
  <w:num w:numId="6" w16cid:durableId="1762024761">
    <w:abstractNumId w:val="3"/>
  </w:num>
  <w:num w:numId="7" w16cid:durableId="861433996">
    <w:abstractNumId w:val="16"/>
  </w:num>
  <w:num w:numId="8" w16cid:durableId="120733662">
    <w:abstractNumId w:val="2"/>
  </w:num>
  <w:num w:numId="9" w16cid:durableId="2022584168">
    <w:abstractNumId w:val="1"/>
  </w:num>
  <w:num w:numId="10" w16cid:durableId="534267804">
    <w:abstractNumId w:val="0"/>
  </w:num>
  <w:num w:numId="11" w16cid:durableId="1265042610">
    <w:abstractNumId w:val="15"/>
  </w:num>
  <w:num w:numId="12" w16cid:durableId="1943879001">
    <w:abstractNumId w:val="7"/>
  </w:num>
  <w:num w:numId="13" w16cid:durableId="419833051">
    <w:abstractNumId w:val="19"/>
  </w:num>
  <w:num w:numId="14" w16cid:durableId="1758015391">
    <w:abstractNumId w:val="12"/>
  </w:num>
  <w:num w:numId="15" w16cid:durableId="139566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6572246">
    <w:abstractNumId w:val="11"/>
  </w:num>
  <w:num w:numId="17" w16cid:durableId="928125744">
    <w:abstractNumId w:val="6"/>
  </w:num>
  <w:num w:numId="18" w16cid:durableId="1172835113">
    <w:abstractNumId w:val="20"/>
  </w:num>
  <w:num w:numId="19" w16cid:durableId="1022434231">
    <w:abstractNumId w:val="17"/>
  </w:num>
  <w:num w:numId="20" w16cid:durableId="618417265">
    <w:abstractNumId w:val="9"/>
  </w:num>
  <w:num w:numId="21" w16cid:durableId="271010807">
    <w:abstractNumId w:val="18"/>
  </w:num>
  <w:num w:numId="22" w16cid:durableId="1396200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1BAC"/>
    <w:rsid w:val="00036F5E"/>
    <w:rsid w:val="00045E1D"/>
    <w:rsid w:val="000521D7"/>
    <w:rsid w:val="0005335A"/>
    <w:rsid w:val="000548D2"/>
    <w:rsid w:val="00054AEE"/>
    <w:rsid w:val="00077116"/>
    <w:rsid w:val="0007711B"/>
    <w:rsid w:val="000960CF"/>
    <w:rsid w:val="000A0B58"/>
    <w:rsid w:val="000A1F77"/>
    <w:rsid w:val="000A3A19"/>
    <w:rsid w:val="000A60A7"/>
    <w:rsid w:val="000A6228"/>
    <w:rsid w:val="000B306F"/>
    <w:rsid w:val="000B5D40"/>
    <w:rsid w:val="000B7EC6"/>
    <w:rsid w:val="000C733C"/>
    <w:rsid w:val="000E24F4"/>
    <w:rsid w:val="000F214A"/>
    <w:rsid w:val="000F3F5D"/>
    <w:rsid w:val="000F4171"/>
    <w:rsid w:val="00104089"/>
    <w:rsid w:val="00107D87"/>
    <w:rsid w:val="00107DD5"/>
    <w:rsid w:val="0012343A"/>
    <w:rsid w:val="00132BA6"/>
    <w:rsid w:val="00133B8D"/>
    <w:rsid w:val="0013611E"/>
    <w:rsid w:val="001446F9"/>
    <w:rsid w:val="001515BF"/>
    <w:rsid w:val="00151FFC"/>
    <w:rsid w:val="0015549C"/>
    <w:rsid w:val="0016603B"/>
    <w:rsid w:val="0017134D"/>
    <w:rsid w:val="0017625B"/>
    <w:rsid w:val="00185897"/>
    <w:rsid w:val="00196CDA"/>
    <w:rsid w:val="001A74FC"/>
    <w:rsid w:val="001B109C"/>
    <w:rsid w:val="001B21EE"/>
    <w:rsid w:val="001C1523"/>
    <w:rsid w:val="001E3BF1"/>
    <w:rsid w:val="001E5490"/>
    <w:rsid w:val="001E6DBC"/>
    <w:rsid w:val="00200733"/>
    <w:rsid w:val="00206DF6"/>
    <w:rsid w:val="00217414"/>
    <w:rsid w:val="002179D1"/>
    <w:rsid w:val="002205AD"/>
    <w:rsid w:val="0022129C"/>
    <w:rsid w:val="00221D8F"/>
    <w:rsid w:val="0022411A"/>
    <w:rsid w:val="002272DB"/>
    <w:rsid w:val="002327F1"/>
    <w:rsid w:val="00235752"/>
    <w:rsid w:val="00241321"/>
    <w:rsid w:val="00241CF3"/>
    <w:rsid w:val="00276047"/>
    <w:rsid w:val="002775F3"/>
    <w:rsid w:val="0029618B"/>
    <w:rsid w:val="002A0ACB"/>
    <w:rsid w:val="002A4458"/>
    <w:rsid w:val="002A67F4"/>
    <w:rsid w:val="002C1F0F"/>
    <w:rsid w:val="002C4998"/>
    <w:rsid w:val="002C5860"/>
    <w:rsid w:val="002D3EFA"/>
    <w:rsid w:val="002D589A"/>
    <w:rsid w:val="002D750C"/>
    <w:rsid w:val="002E491A"/>
    <w:rsid w:val="002F4604"/>
    <w:rsid w:val="00304890"/>
    <w:rsid w:val="0031513D"/>
    <w:rsid w:val="003233DD"/>
    <w:rsid w:val="00343DA5"/>
    <w:rsid w:val="0034790F"/>
    <w:rsid w:val="00351D44"/>
    <w:rsid w:val="00365745"/>
    <w:rsid w:val="00393D0C"/>
    <w:rsid w:val="003A49AA"/>
    <w:rsid w:val="003B1D92"/>
    <w:rsid w:val="003E0D3F"/>
    <w:rsid w:val="0040155D"/>
    <w:rsid w:val="00403335"/>
    <w:rsid w:val="0040656D"/>
    <w:rsid w:val="0041713E"/>
    <w:rsid w:val="00421D3F"/>
    <w:rsid w:val="00423785"/>
    <w:rsid w:val="0042692C"/>
    <w:rsid w:val="00432148"/>
    <w:rsid w:val="00444D76"/>
    <w:rsid w:val="00446026"/>
    <w:rsid w:val="0045083B"/>
    <w:rsid w:val="00452D26"/>
    <w:rsid w:val="00455C41"/>
    <w:rsid w:val="0046039F"/>
    <w:rsid w:val="00462848"/>
    <w:rsid w:val="00463568"/>
    <w:rsid w:val="00486FD8"/>
    <w:rsid w:val="0049333E"/>
    <w:rsid w:val="00495471"/>
    <w:rsid w:val="00497CFE"/>
    <w:rsid w:val="004A06CD"/>
    <w:rsid w:val="004A4B6F"/>
    <w:rsid w:val="004A4CF9"/>
    <w:rsid w:val="004A7639"/>
    <w:rsid w:val="004B054C"/>
    <w:rsid w:val="004B514B"/>
    <w:rsid w:val="004B9D09"/>
    <w:rsid w:val="004C10F8"/>
    <w:rsid w:val="004D2965"/>
    <w:rsid w:val="004D2D9D"/>
    <w:rsid w:val="004D3DFF"/>
    <w:rsid w:val="004E68E2"/>
    <w:rsid w:val="004E6C1C"/>
    <w:rsid w:val="004F573C"/>
    <w:rsid w:val="00504B76"/>
    <w:rsid w:val="00510DD7"/>
    <w:rsid w:val="00514A88"/>
    <w:rsid w:val="00520BA6"/>
    <w:rsid w:val="00524B05"/>
    <w:rsid w:val="005348FA"/>
    <w:rsid w:val="00540C28"/>
    <w:rsid w:val="00541139"/>
    <w:rsid w:val="00547FB7"/>
    <w:rsid w:val="00551894"/>
    <w:rsid w:val="0057028F"/>
    <w:rsid w:val="00582FE3"/>
    <w:rsid w:val="00584371"/>
    <w:rsid w:val="00591F57"/>
    <w:rsid w:val="005A75C9"/>
    <w:rsid w:val="005B187D"/>
    <w:rsid w:val="005D39ED"/>
    <w:rsid w:val="005F015E"/>
    <w:rsid w:val="005F35D6"/>
    <w:rsid w:val="00605C7D"/>
    <w:rsid w:val="006232DC"/>
    <w:rsid w:val="0063094F"/>
    <w:rsid w:val="0063169A"/>
    <w:rsid w:val="0063606F"/>
    <w:rsid w:val="00654B9B"/>
    <w:rsid w:val="00655E52"/>
    <w:rsid w:val="006714F5"/>
    <w:rsid w:val="00674C9D"/>
    <w:rsid w:val="006947BA"/>
    <w:rsid w:val="00697C66"/>
    <w:rsid w:val="006A2A7D"/>
    <w:rsid w:val="006A44C9"/>
    <w:rsid w:val="006B2B77"/>
    <w:rsid w:val="006C1BBB"/>
    <w:rsid w:val="006C40D0"/>
    <w:rsid w:val="006D67F3"/>
    <w:rsid w:val="006E6078"/>
    <w:rsid w:val="006F1FFF"/>
    <w:rsid w:val="006F2406"/>
    <w:rsid w:val="006F6D10"/>
    <w:rsid w:val="00701336"/>
    <w:rsid w:val="00712B94"/>
    <w:rsid w:val="00717352"/>
    <w:rsid w:val="0073098E"/>
    <w:rsid w:val="00743F70"/>
    <w:rsid w:val="0075145B"/>
    <w:rsid w:val="007517BA"/>
    <w:rsid w:val="007720FA"/>
    <w:rsid w:val="0077782B"/>
    <w:rsid w:val="00783663"/>
    <w:rsid w:val="00783BF5"/>
    <w:rsid w:val="0079783A"/>
    <w:rsid w:val="0079FC25"/>
    <w:rsid w:val="007A7AEC"/>
    <w:rsid w:val="007B018F"/>
    <w:rsid w:val="007B130F"/>
    <w:rsid w:val="007B2CA1"/>
    <w:rsid w:val="007B7FD0"/>
    <w:rsid w:val="007D0ABC"/>
    <w:rsid w:val="007D5633"/>
    <w:rsid w:val="007E1D68"/>
    <w:rsid w:val="007E3732"/>
    <w:rsid w:val="007E7D2F"/>
    <w:rsid w:val="008034C4"/>
    <w:rsid w:val="008042F5"/>
    <w:rsid w:val="00806E9A"/>
    <w:rsid w:val="008279FE"/>
    <w:rsid w:val="00850373"/>
    <w:rsid w:val="0086428D"/>
    <w:rsid w:val="0087222D"/>
    <w:rsid w:val="00875294"/>
    <w:rsid w:val="00886959"/>
    <w:rsid w:val="00891DD5"/>
    <w:rsid w:val="00893A34"/>
    <w:rsid w:val="008A0B9F"/>
    <w:rsid w:val="008A36E1"/>
    <w:rsid w:val="008A37A7"/>
    <w:rsid w:val="008A7AB4"/>
    <w:rsid w:val="008B01F3"/>
    <w:rsid w:val="008B0736"/>
    <w:rsid w:val="008C1F5A"/>
    <w:rsid w:val="008D4FA9"/>
    <w:rsid w:val="008E0637"/>
    <w:rsid w:val="008E634D"/>
    <w:rsid w:val="008F4185"/>
    <w:rsid w:val="009015BE"/>
    <w:rsid w:val="009051C8"/>
    <w:rsid w:val="00907EBF"/>
    <w:rsid w:val="00913D0F"/>
    <w:rsid w:val="009354D0"/>
    <w:rsid w:val="00935DD2"/>
    <w:rsid w:val="00944352"/>
    <w:rsid w:val="00950B06"/>
    <w:rsid w:val="0096199B"/>
    <w:rsid w:val="00970069"/>
    <w:rsid w:val="009721EB"/>
    <w:rsid w:val="009741FE"/>
    <w:rsid w:val="009769D1"/>
    <w:rsid w:val="00980B05"/>
    <w:rsid w:val="00991CE7"/>
    <w:rsid w:val="00994045"/>
    <w:rsid w:val="00994D60"/>
    <w:rsid w:val="009A08CE"/>
    <w:rsid w:val="009A732D"/>
    <w:rsid w:val="009B706E"/>
    <w:rsid w:val="009C1E72"/>
    <w:rsid w:val="009C423A"/>
    <w:rsid w:val="009D00B4"/>
    <w:rsid w:val="009E79ED"/>
    <w:rsid w:val="00A07596"/>
    <w:rsid w:val="00A1129C"/>
    <w:rsid w:val="00A17A08"/>
    <w:rsid w:val="00A2072C"/>
    <w:rsid w:val="00A23AA2"/>
    <w:rsid w:val="00A314D3"/>
    <w:rsid w:val="00A351B9"/>
    <w:rsid w:val="00A4032E"/>
    <w:rsid w:val="00A44D3E"/>
    <w:rsid w:val="00A51DEE"/>
    <w:rsid w:val="00A57039"/>
    <w:rsid w:val="00A60673"/>
    <w:rsid w:val="00A60C4F"/>
    <w:rsid w:val="00A650F3"/>
    <w:rsid w:val="00A67670"/>
    <w:rsid w:val="00A7214C"/>
    <w:rsid w:val="00A7302C"/>
    <w:rsid w:val="00A747F3"/>
    <w:rsid w:val="00A818DE"/>
    <w:rsid w:val="00A94BDB"/>
    <w:rsid w:val="00AA2263"/>
    <w:rsid w:val="00AA7B0B"/>
    <w:rsid w:val="00AB2A61"/>
    <w:rsid w:val="00AC1872"/>
    <w:rsid w:val="00AC21EE"/>
    <w:rsid w:val="00AD13D0"/>
    <w:rsid w:val="00AD631F"/>
    <w:rsid w:val="00AE21FF"/>
    <w:rsid w:val="00AF1F18"/>
    <w:rsid w:val="00AF5A56"/>
    <w:rsid w:val="00AF648C"/>
    <w:rsid w:val="00B04FA8"/>
    <w:rsid w:val="00B0726E"/>
    <w:rsid w:val="00B219D1"/>
    <w:rsid w:val="00B37F99"/>
    <w:rsid w:val="00B64B3D"/>
    <w:rsid w:val="00B72125"/>
    <w:rsid w:val="00B72D5E"/>
    <w:rsid w:val="00B81FA4"/>
    <w:rsid w:val="00B8794C"/>
    <w:rsid w:val="00B90B57"/>
    <w:rsid w:val="00B95EF4"/>
    <w:rsid w:val="00BA0FD6"/>
    <w:rsid w:val="00BA696B"/>
    <w:rsid w:val="00BA725B"/>
    <w:rsid w:val="00BB6509"/>
    <w:rsid w:val="00BC0B70"/>
    <w:rsid w:val="00BC248C"/>
    <w:rsid w:val="00C01EC0"/>
    <w:rsid w:val="00C212D2"/>
    <w:rsid w:val="00C2270F"/>
    <w:rsid w:val="00C244EE"/>
    <w:rsid w:val="00C274E5"/>
    <w:rsid w:val="00C319A4"/>
    <w:rsid w:val="00C32AE5"/>
    <w:rsid w:val="00C41B29"/>
    <w:rsid w:val="00C461CD"/>
    <w:rsid w:val="00C63EF9"/>
    <w:rsid w:val="00C701E0"/>
    <w:rsid w:val="00C72224"/>
    <w:rsid w:val="00C738F1"/>
    <w:rsid w:val="00C75706"/>
    <w:rsid w:val="00C761AA"/>
    <w:rsid w:val="00C85396"/>
    <w:rsid w:val="00C85B8C"/>
    <w:rsid w:val="00C91424"/>
    <w:rsid w:val="00C93BB0"/>
    <w:rsid w:val="00C972D3"/>
    <w:rsid w:val="00CA240C"/>
    <w:rsid w:val="00CA4815"/>
    <w:rsid w:val="00CB641F"/>
    <w:rsid w:val="00CC1725"/>
    <w:rsid w:val="00CD1779"/>
    <w:rsid w:val="00CD2868"/>
    <w:rsid w:val="00CF14A7"/>
    <w:rsid w:val="00CF6562"/>
    <w:rsid w:val="00D03515"/>
    <w:rsid w:val="00D0620E"/>
    <w:rsid w:val="00D14715"/>
    <w:rsid w:val="00D16F9C"/>
    <w:rsid w:val="00D22F93"/>
    <w:rsid w:val="00D23ABC"/>
    <w:rsid w:val="00D256EC"/>
    <w:rsid w:val="00D31FB4"/>
    <w:rsid w:val="00D41929"/>
    <w:rsid w:val="00D53DC7"/>
    <w:rsid w:val="00D55459"/>
    <w:rsid w:val="00D5688A"/>
    <w:rsid w:val="00D65E8B"/>
    <w:rsid w:val="00D72A88"/>
    <w:rsid w:val="00D7558A"/>
    <w:rsid w:val="00D819D1"/>
    <w:rsid w:val="00D82372"/>
    <w:rsid w:val="00D82BFE"/>
    <w:rsid w:val="00D84EF3"/>
    <w:rsid w:val="00D858A0"/>
    <w:rsid w:val="00D85EDB"/>
    <w:rsid w:val="00D86284"/>
    <w:rsid w:val="00D903DE"/>
    <w:rsid w:val="00D940DB"/>
    <w:rsid w:val="00D97ED7"/>
    <w:rsid w:val="00DB2992"/>
    <w:rsid w:val="00DC5980"/>
    <w:rsid w:val="00DD183E"/>
    <w:rsid w:val="00DD2B46"/>
    <w:rsid w:val="00DD3400"/>
    <w:rsid w:val="00DD3642"/>
    <w:rsid w:val="00DE69BB"/>
    <w:rsid w:val="00DF07C2"/>
    <w:rsid w:val="00DF3F63"/>
    <w:rsid w:val="00E06A78"/>
    <w:rsid w:val="00E06ED6"/>
    <w:rsid w:val="00E0752E"/>
    <w:rsid w:val="00E108D8"/>
    <w:rsid w:val="00E114B4"/>
    <w:rsid w:val="00E30B4D"/>
    <w:rsid w:val="00E367AC"/>
    <w:rsid w:val="00E529E5"/>
    <w:rsid w:val="00E55C8C"/>
    <w:rsid w:val="00E65101"/>
    <w:rsid w:val="00E72383"/>
    <w:rsid w:val="00E87425"/>
    <w:rsid w:val="00E923A0"/>
    <w:rsid w:val="00EB4C2F"/>
    <w:rsid w:val="00EC0F2B"/>
    <w:rsid w:val="00EC5161"/>
    <w:rsid w:val="00ED0DDF"/>
    <w:rsid w:val="00ED3F2D"/>
    <w:rsid w:val="00EE2E52"/>
    <w:rsid w:val="00EE4DE7"/>
    <w:rsid w:val="00EF5C61"/>
    <w:rsid w:val="00F07246"/>
    <w:rsid w:val="00F1000D"/>
    <w:rsid w:val="00F11041"/>
    <w:rsid w:val="00F30BFA"/>
    <w:rsid w:val="00F311A4"/>
    <w:rsid w:val="00F448C5"/>
    <w:rsid w:val="00F47D98"/>
    <w:rsid w:val="00F60B66"/>
    <w:rsid w:val="00F63F70"/>
    <w:rsid w:val="00F70803"/>
    <w:rsid w:val="00F77A7E"/>
    <w:rsid w:val="00F82C2C"/>
    <w:rsid w:val="00F858E6"/>
    <w:rsid w:val="00F85913"/>
    <w:rsid w:val="00F91BCB"/>
    <w:rsid w:val="00F97FEE"/>
    <w:rsid w:val="00FA0B34"/>
    <w:rsid w:val="00FA7392"/>
    <w:rsid w:val="00FB6CE5"/>
    <w:rsid w:val="00FC22DB"/>
    <w:rsid w:val="00FC2B31"/>
    <w:rsid w:val="00FD01DF"/>
    <w:rsid w:val="00FD40A5"/>
    <w:rsid w:val="00FD4646"/>
    <w:rsid w:val="00FD4D6E"/>
    <w:rsid w:val="00FD6383"/>
    <w:rsid w:val="00FD72D8"/>
    <w:rsid w:val="00FD7A94"/>
    <w:rsid w:val="00FE253F"/>
    <w:rsid w:val="00FE3126"/>
    <w:rsid w:val="00FE3895"/>
    <w:rsid w:val="00FF5BC8"/>
    <w:rsid w:val="013B8709"/>
    <w:rsid w:val="01829197"/>
    <w:rsid w:val="01E404F7"/>
    <w:rsid w:val="01F6E04F"/>
    <w:rsid w:val="01FB2594"/>
    <w:rsid w:val="0200C5E3"/>
    <w:rsid w:val="022AFC17"/>
    <w:rsid w:val="025E2A10"/>
    <w:rsid w:val="02BD3974"/>
    <w:rsid w:val="02F02C29"/>
    <w:rsid w:val="0380B4DE"/>
    <w:rsid w:val="03FA8498"/>
    <w:rsid w:val="04894B94"/>
    <w:rsid w:val="04E9123A"/>
    <w:rsid w:val="05AAF275"/>
    <w:rsid w:val="05B6C885"/>
    <w:rsid w:val="05E9DC9D"/>
    <w:rsid w:val="061A32D2"/>
    <w:rsid w:val="0660D0BD"/>
    <w:rsid w:val="06A132EA"/>
    <w:rsid w:val="06ED2AD9"/>
    <w:rsid w:val="078E1A63"/>
    <w:rsid w:val="0790104C"/>
    <w:rsid w:val="07B371DE"/>
    <w:rsid w:val="07BEABD6"/>
    <w:rsid w:val="07C2A946"/>
    <w:rsid w:val="07CBBD4B"/>
    <w:rsid w:val="08036EDC"/>
    <w:rsid w:val="082C2AA9"/>
    <w:rsid w:val="095A9936"/>
    <w:rsid w:val="096DCA19"/>
    <w:rsid w:val="09B190C7"/>
    <w:rsid w:val="09B3AD2C"/>
    <w:rsid w:val="0A0BEE96"/>
    <w:rsid w:val="0A5F2919"/>
    <w:rsid w:val="0A646E69"/>
    <w:rsid w:val="0B044B43"/>
    <w:rsid w:val="0B528ED3"/>
    <w:rsid w:val="0BFD4BD8"/>
    <w:rsid w:val="0C19E0A2"/>
    <w:rsid w:val="0C60E7A7"/>
    <w:rsid w:val="0C8AAB80"/>
    <w:rsid w:val="0CC13CAA"/>
    <w:rsid w:val="0CD045D6"/>
    <w:rsid w:val="0D8122B5"/>
    <w:rsid w:val="0D822F13"/>
    <w:rsid w:val="0D96DB82"/>
    <w:rsid w:val="0DA51FAF"/>
    <w:rsid w:val="0DB4E434"/>
    <w:rsid w:val="0DD0568A"/>
    <w:rsid w:val="0E29017C"/>
    <w:rsid w:val="0E496596"/>
    <w:rsid w:val="0E581E98"/>
    <w:rsid w:val="0F90DAC2"/>
    <w:rsid w:val="10597A88"/>
    <w:rsid w:val="109EB209"/>
    <w:rsid w:val="116D2541"/>
    <w:rsid w:val="1196C51C"/>
    <w:rsid w:val="11BF01D6"/>
    <w:rsid w:val="11E480F6"/>
    <w:rsid w:val="120AD19C"/>
    <w:rsid w:val="1210974F"/>
    <w:rsid w:val="126B8F0E"/>
    <w:rsid w:val="12D97F97"/>
    <w:rsid w:val="135AC646"/>
    <w:rsid w:val="1381B846"/>
    <w:rsid w:val="139D54BB"/>
    <w:rsid w:val="13B97A74"/>
    <w:rsid w:val="1411027B"/>
    <w:rsid w:val="14168F59"/>
    <w:rsid w:val="143BE8CF"/>
    <w:rsid w:val="1510D777"/>
    <w:rsid w:val="154691E5"/>
    <w:rsid w:val="156C6CCF"/>
    <w:rsid w:val="1571B71F"/>
    <w:rsid w:val="15768BEA"/>
    <w:rsid w:val="15CD8ED4"/>
    <w:rsid w:val="16381BA0"/>
    <w:rsid w:val="1688A03C"/>
    <w:rsid w:val="168996E4"/>
    <w:rsid w:val="1696CED8"/>
    <w:rsid w:val="16F89554"/>
    <w:rsid w:val="1769CF4C"/>
    <w:rsid w:val="17E6ED77"/>
    <w:rsid w:val="1807EF12"/>
    <w:rsid w:val="1878BEB2"/>
    <w:rsid w:val="18C6D028"/>
    <w:rsid w:val="18E7FF14"/>
    <w:rsid w:val="19138485"/>
    <w:rsid w:val="1915A3AF"/>
    <w:rsid w:val="196B17B1"/>
    <w:rsid w:val="19D15DCF"/>
    <w:rsid w:val="1A49CB66"/>
    <w:rsid w:val="1A72A9A0"/>
    <w:rsid w:val="1AB5ED74"/>
    <w:rsid w:val="1ABF0E9E"/>
    <w:rsid w:val="1AFA59E9"/>
    <w:rsid w:val="1B0F09DD"/>
    <w:rsid w:val="1B90662F"/>
    <w:rsid w:val="1C45AA08"/>
    <w:rsid w:val="1C9E632A"/>
    <w:rsid w:val="1CA64F37"/>
    <w:rsid w:val="1D113493"/>
    <w:rsid w:val="1D730017"/>
    <w:rsid w:val="1D92E5CE"/>
    <w:rsid w:val="1DD6A9AE"/>
    <w:rsid w:val="1DD74DCF"/>
    <w:rsid w:val="1E36DA10"/>
    <w:rsid w:val="1E444BA0"/>
    <w:rsid w:val="1E8C0379"/>
    <w:rsid w:val="1EC086CB"/>
    <w:rsid w:val="1F17D081"/>
    <w:rsid w:val="1FBD41C5"/>
    <w:rsid w:val="1FCD6987"/>
    <w:rsid w:val="20795ABB"/>
    <w:rsid w:val="2130A5B6"/>
    <w:rsid w:val="21633586"/>
    <w:rsid w:val="2178DEC2"/>
    <w:rsid w:val="219B2296"/>
    <w:rsid w:val="21B00707"/>
    <w:rsid w:val="21C54EFE"/>
    <w:rsid w:val="21F6EEA8"/>
    <w:rsid w:val="2295C7AA"/>
    <w:rsid w:val="22CE69EF"/>
    <w:rsid w:val="22FE8E0F"/>
    <w:rsid w:val="2384D8A1"/>
    <w:rsid w:val="241154EA"/>
    <w:rsid w:val="2414274B"/>
    <w:rsid w:val="24F0B9DA"/>
    <w:rsid w:val="255E0EBA"/>
    <w:rsid w:val="259FB7B1"/>
    <w:rsid w:val="2672F5EA"/>
    <w:rsid w:val="2673FAA8"/>
    <w:rsid w:val="268C6CFB"/>
    <w:rsid w:val="26A06C75"/>
    <w:rsid w:val="26FA501A"/>
    <w:rsid w:val="274F2437"/>
    <w:rsid w:val="27CB2036"/>
    <w:rsid w:val="27D3132D"/>
    <w:rsid w:val="289538AC"/>
    <w:rsid w:val="290DC072"/>
    <w:rsid w:val="294656DA"/>
    <w:rsid w:val="2ACFB2D9"/>
    <w:rsid w:val="2B016F17"/>
    <w:rsid w:val="2B5402EF"/>
    <w:rsid w:val="2B7B26BC"/>
    <w:rsid w:val="2C0CC582"/>
    <w:rsid w:val="2C7C1CC9"/>
    <w:rsid w:val="2C997DE4"/>
    <w:rsid w:val="2C9A9F87"/>
    <w:rsid w:val="2CF8D892"/>
    <w:rsid w:val="2D345412"/>
    <w:rsid w:val="2D41EDD7"/>
    <w:rsid w:val="2DB6B693"/>
    <w:rsid w:val="2E931CD9"/>
    <w:rsid w:val="2F15AA21"/>
    <w:rsid w:val="2FDAF128"/>
    <w:rsid w:val="30FF6604"/>
    <w:rsid w:val="31059EB4"/>
    <w:rsid w:val="3182E12B"/>
    <w:rsid w:val="31847652"/>
    <w:rsid w:val="3193161E"/>
    <w:rsid w:val="31F01C78"/>
    <w:rsid w:val="323B44F5"/>
    <w:rsid w:val="323D78EB"/>
    <w:rsid w:val="328BB518"/>
    <w:rsid w:val="335D35CE"/>
    <w:rsid w:val="33C4BB65"/>
    <w:rsid w:val="33F15526"/>
    <w:rsid w:val="33FE4AB8"/>
    <w:rsid w:val="3407BFD1"/>
    <w:rsid w:val="35D9A918"/>
    <w:rsid w:val="3626EF49"/>
    <w:rsid w:val="362F2B70"/>
    <w:rsid w:val="36B10239"/>
    <w:rsid w:val="371306DC"/>
    <w:rsid w:val="3864AB7B"/>
    <w:rsid w:val="38A5392C"/>
    <w:rsid w:val="392AEB43"/>
    <w:rsid w:val="393A0949"/>
    <w:rsid w:val="3997CD7C"/>
    <w:rsid w:val="399A6FFA"/>
    <w:rsid w:val="399DF98C"/>
    <w:rsid w:val="3A56496F"/>
    <w:rsid w:val="3A9E97BB"/>
    <w:rsid w:val="3BF6BF14"/>
    <w:rsid w:val="3C2E1029"/>
    <w:rsid w:val="3C4E5662"/>
    <w:rsid w:val="3C602F5C"/>
    <w:rsid w:val="3C898672"/>
    <w:rsid w:val="3C8D766E"/>
    <w:rsid w:val="3DFC308B"/>
    <w:rsid w:val="3EB22AA2"/>
    <w:rsid w:val="3F2AB021"/>
    <w:rsid w:val="3F32EAA1"/>
    <w:rsid w:val="3FB3A21C"/>
    <w:rsid w:val="402A15A8"/>
    <w:rsid w:val="4045AE23"/>
    <w:rsid w:val="40B24477"/>
    <w:rsid w:val="40FCD5BB"/>
    <w:rsid w:val="41278304"/>
    <w:rsid w:val="413EFDCD"/>
    <w:rsid w:val="41C0B52C"/>
    <w:rsid w:val="4251E191"/>
    <w:rsid w:val="429090B1"/>
    <w:rsid w:val="4428C779"/>
    <w:rsid w:val="449021C1"/>
    <w:rsid w:val="44AB4705"/>
    <w:rsid w:val="44BB3559"/>
    <w:rsid w:val="44F5E296"/>
    <w:rsid w:val="454B4432"/>
    <w:rsid w:val="456863D4"/>
    <w:rsid w:val="45C06958"/>
    <w:rsid w:val="45D0B499"/>
    <w:rsid w:val="45D0DAEE"/>
    <w:rsid w:val="46276CFE"/>
    <w:rsid w:val="462D9DB7"/>
    <w:rsid w:val="4693A983"/>
    <w:rsid w:val="46AF8BF6"/>
    <w:rsid w:val="4747B331"/>
    <w:rsid w:val="479DE667"/>
    <w:rsid w:val="47B4D146"/>
    <w:rsid w:val="47D260D6"/>
    <w:rsid w:val="4832411A"/>
    <w:rsid w:val="487D75CB"/>
    <w:rsid w:val="48C1A8CD"/>
    <w:rsid w:val="494F81E3"/>
    <w:rsid w:val="4A7F7FF1"/>
    <w:rsid w:val="4AE69833"/>
    <w:rsid w:val="4B05FFC4"/>
    <w:rsid w:val="4B7EA848"/>
    <w:rsid w:val="4BAE16E4"/>
    <w:rsid w:val="4BF3672A"/>
    <w:rsid w:val="4BF4C8AA"/>
    <w:rsid w:val="4C1BD841"/>
    <w:rsid w:val="4C43FC61"/>
    <w:rsid w:val="4C523530"/>
    <w:rsid w:val="4D015FE6"/>
    <w:rsid w:val="4D1C48BB"/>
    <w:rsid w:val="4D80181B"/>
    <w:rsid w:val="4D9CA80F"/>
    <w:rsid w:val="4E2070AD"/>
    <w:rsid w:val="4E243C94"/>
    <w:rsid w:val="4EF7093C"/>
    <w:rsid w:val="4F1A7BBD"/>
    <w:rsid w:val="4FFD899C"/>
    <w:rsid w:val="50322153"/>
    <w:rsid w:val="50ECA421"/>
    <w:rsid w:val="510B1616"/>
    <w:rsid w:val="514EB0B5"/>
    <w:rsid w:val="5179A11E"/>
    <w:rsid w:val="51CE0DC6"/>
    <w:rsid w:val="51D77DE9"/>
    <w:rsid w:val="529D0EE1"/>
    <w:rsid w:val="52C6058E"/>
    <w:rsid w:val="52CC87AD"/>
    <w:rsid w:val="530F2A80"/>
    <w:rsid w:val="539B26FA"/>
    <w:rsid w:val="53A9974F"/>
    <w:rsid w:val="54154A27"/>
    <w:rsid w:val="5417A883"/>
    <w:rsid w:val="545198F2"/>
    <w:rsid w:val="54829DC8"/>
    <w:rsid w:val="54B22668"/>
    <w:rsid w:val="5591F6C2"/>
    <w:rsid w:val="56D5B444"/>
    <w:rsid w:val="58CE847F"/>
    <w:rsid w:val="5A780FC4"/>
    <w:rsid w:val="5BDDF4D1"/>
    <w:rsid w:val="5BF5F6F2"/>
    <w:rsid w:val="5C0915EE"/>
    <w:rsid w:val="5C4B49F1"/>
    <w:rsid w:val="5CA84BBF"/>
    <w:rsid w:val="5CB39EFB"/>
    <w:rsid w:val="5D14D9B7"/>
    <w:rsid w:val="5D481914"/>
    <w:rsid w:val="5D4CDB3B"/>
    <w:rsid w:val="5D8F1839"/>
    <w:rsid w:val="5DB7E257"/>
    <w:rsid w:val="5DC58C84"/>
    <w:rsid w:val="5DCDF0BC"/>
    <w:rsid w:val="5DE05EF6"/>
    <w:rsid w:val="5E9BF576"/>
    <w:rsid w:val="5FD4D060"/>
    <w:rsid w:val="5FE46935"/>
    <w:rsid w:val="60390921"/>
    <w:rsid w:val="6041F93A"/>
    <w:rsid w:val="60650BC4"/>
    <w:rsid w:val="6117000A"/>
    <w:rsid w:val="61843FFD"/>
    <w:rsid w:val="618C17B1"/>
    <w:rsid w:val="61A4F90C"/>
    <w:rsid w:val="625F8105"/>
    <w:rsid w:val="626B6017"/>
    <w:rsid w:val="62E47E4A"/>
    <w:rsid w:val="631F712B"/>
    <w:rsid w:val="63C00A79"/>
    <w:rsid w:val="63E5E039"/>
    <w:rsid w:val="640ACBD9"/>
    <w:rsid w:val="640C109F"/>
    <w:rsid w:val="642750A9"/>
    <w:rsid w:val="6530F78F"/>
    <w:rsid w:val="65BE7AF9"/>
    <w:rsid w:val="65C6256B"/>
    <w:rsid w:val="66B8199B"/>
    <w:rsid w:val="66C20F7E"/>
    <w:rsid w:val="6739777B"/>
    <w:rsid w:val="6743C866"/>
    <w:rsid w:val="68D09F69"/>
    <w:rsid w:val="69204E37"/>
    <w:rsid w:val="69417C2C"/>
    <w:rsid w:val="695C57F2"/>
    <w:rsid w:val="699244E1"/>
    <w:rsid w:val="69AF21B7"/>
    <w:rsid w:val="69FDF144"/>
    <w:rsid w:val="6A6CC68A"/>
    <w:rsid w:val="6ACEE816"/>
    <w:rsid w:val="6BB1AEDD"/>
    <w:rsid w:val="6BF4FEB7"/>
    <w:rsid w:val="6C4A4478"/>
    <w:rsid w:val="6C5B8F6F"/>
    <w:rsid w:val="6CBCC7C9"/>
    <w:rsid w:val="6D537289"/>
    <w:rsid w:val="6D857F55"/>
    <w:rsid w:val="6D8D9B95"/>
    <w:rsid w:val="6DCF43EC"/>
    <w:rsid w:val="6DD14DA5"/>
    <w:rsid w:val="6E53FDAD"/>
    <w:rsid w:val="6E75FC2C"/>
    <w:rsid w:val="6E826C82"/>
    <w:rsid w:val="6EB8124D"/>
    <w:rsid w:val="6EC74EDB"/>
    <w:rsid w:val="6F517D41"/>
    <w:rsid w:val="6F571BAC"/>
    <w:rsid w:val="6F78B539"/>
    <w:rsid w:val="6FB6F886"/>
    <w:rsid w:val="6FF91765"/>
    <w:rsid w:val="705BC311"/>
    <w:rsid w:val="70B925A3"/>
    <w:rsid w:val="7107A7AA"/>
    <w:rsid w:val="71167288"/>
    <w:rsid w:val="71203DFA"/>
    <w:rsid w:val="71214961"/>
    <w:rsid w:val="71492601"/>
    <w:rsid w:val="715DCDBB"/>
    <w:rsid w:val="720938CE"/>
    <w:rsid w:val="7279DDD5"/>
    <w:rsid w:val="72802396"/>
    <w:rsid w:val="72D437A1"/>
    <w:rsid w:val="73487347"/>
    <w:rsid w:val="73C4FC15"/>
    <w:rsid w:val="73D43C60"/>
    <w:rsid w:val="74B997B2"/>
    <w:rsid w:val="756CA054"/>
    <w:rsid w:val="757D44D4"/>
    <w:rsid w:val="75AB5AA2"/>
    <w:rsid w:val="75C7FC32"/>
    <w:rsid w:val="770D13C6"/>
    <w:rsid w:val="771DC837"/>
    <w:rsid w:val="773481AA"/>
    <w:rsid w:val="7745BBA2"/>
    <w:rsid w:val="7748AD74"/>
    <w:rsid w:val="77508B8E"/>
    <w:rsid w:val="778DC63D"/>
    <w:rsid w:val="78B5A464"/>
    <w:rsid w:val="79146C36"/>
    <w:rsid w:val="79651975"/>
    <w:rsid w:val="7994139C"/>
    <w:rsid w:val="7A4CB99F"/>
    <w:rsid w:val="7B6B8F83"/>
    <w:rsid w:val="7D4723BF"/>
    <w:rsid w:val="7D48E1A9"/>
    <w:rsid w:val="7D9723A5"/>
    <w:rsid w:val="7D9CBC3E"/>
    <w:rsid w:val="7DEA6D4B"/>
    <w:rsid w:val="7E02CB4E"/>
    <w:rsid w:val="7F55EA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EEF9A587-D58C-4E73-9291-4A6BB53A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1"/>
      </w:numPr>
      <w:spacing w:after="200"/>
      <w:contextualSpacing/>
    </w:pPr>
  </w:style>
  <w:style w:type="paragraph" w:styleId="List2">
    <w:name w:val="List 2"/>
    <w:basedOn w:val="Normal"/>
    <w:uiPriority w:val="98"/>
    <w:qFormat/>
    <w:rsid w:val="00F85913"/>
    <w:pPr>
      <w:numPr>
        <w:ilvl w:val="1"/>
        <w:numId w:val="21"/>
      </w:numPr>
      <w:spacing w:after="200"/>
      <w:contextualSpacing/>
    </w:pPr>
  </w:style>
  <w:style w:type="paragraph" w:styleId="List3">
    <w:name w:val="List 3"/>
    <w:basedOn w:val="Normal"/>
    <w:uiPriority w:val="98"/>
    <w:qFormat/>
    <w:rsid w:val="00BC248C"/>
    <w:pPr>
      <w:numPr>
        <w:ilvl w:val="2"/>
        <w:numId w:val="21"/>
      </w:numPr>
      <w:spacing w:after="200"/>
      <w:contextualSpacing/>
    </w:pPr>
  </w:style>
  <w:style w:type="paragraph" w:styleId="List4">
    <w:name w:val="List 4"/>
    <w:basedOn w:val="Normal"/>
    <w:uiPriority w:val="98"/>
    <w:qFormat/>
    <w:rsid w:val="00BC248C"/>
    <w:pPr>
      <w:numPr>
        <w:ilvl w:val="3"/>
        <w:numId w:val="21"/>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18"/>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ilvl w:val="3"/>
        <w:numId w:val="7"/>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1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B528ED3"/>
    <w:pPr>
      <w:ind w:left="720"/>
      <w:contextualSpacing/>
    </w:pPr>
  </w:style>
  <w:style w:type="character" w:styleId="FollowedHyperlink">
    <w:name w:val="FollowedHyperlink"/>
    <w:basedOn w:val="DefaultParagraphFont"/>
    <w:uiPriority w:val="99"/>
    <w:semiHidden/>
    <w:unhideWhenUsed/>
    <w:rsid w:val="00CF14A7"/>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3558">
      <w:bodyDiv w:val="1"/>
      <w:marLeft w:val="0"/>
      <w:marRight w:val="0"/>
      <w:marTop w:val="0"/>
      <w:marBottom w:val="0"/>
      <w:divBdr>
        <w:top w:val="none" w:sz="0" w:space="0" w:color="auto"/>
        <w:left w:val="none" w:sz="0" w:space="0" w:color="auto"/>
        <w:bottom w:val="none" w:sz="0" w:space="0" w:color="auto"/>
        <w:right w:val="none" w:sz="0" w:space="0" w:color="auto"/>
      </w:divBdr>
    </w:div>
    <w:div w:id="126414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jcu.edu.au/courses/jcu-prep" TargetMode="External"/><Relationship Id="rId26" Type="http://schemas.openxmlformats.org/officeDocument/2006/relationships/hyperlink" Target="https://journeytech.com.au/" TargetMode="External"/><Relationship Id="rId39" Type="http://schemas.openxmlformats.org/officeDocument/2006/relationships/footer" Target="footer2.xml"/><Relationship Id="rId21" Type="http://schemas.openxmlformats.org/officeDocument/2006/relationships/hyperlink" Target="https://www.careeconomycrc.com.au/" TargetMode="External"/><Relationship Id="rId34" Type="http://schemas.openxmlformats.org/officeDocument/2006/relationships/hyperlink" Target="https://www.jcu.edu.au/cyclone-testing-st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gov.au/higher-education-statistics/resources/2024-section-15-attrition-success-and-retention" TargetMode="External"/><Relationship Id="rId20" Type="http://schemas.openxmlformats.org/officeDocument/2006/relationships/hyperlink" Target="https://ciehf.au/" TargetMode="External"/><Relationship Id="rId29" Type="http://schemas.openxmlformats.org/officeDocument/2006/relationships/hyperlink" Target="https://www.jcu.edu.au/centre-for-tropical-biosecurit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mpact10x.com.au/simulator/" TargetMode="External"/><Relationship Id="rId32" Type="http://schemas.openxmlformats.org/officeDocument/2006/relationships/hyperlink" Target="https://www.aithm.jcu.edu.au/" TargetMode="External"/><Relationship Id="rId37" Type="http://schemas.openxmlformats.org/officeDocument/2006/relationships/hyperlink" Target="https://pacmossi.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cu.edu.au/edqs/pd-and-recognition/cltjcu" TargetMode="External"/><Relationship Id="rId23" Type="http://schemas.openxmlformats.org/officeDocument/2006/relationships/hyperlink" Target="https://www.jcu.edu.au/jcu-ideas-lab/events" TargetMode="External"/><Relationship Id="rId28" Type="http://schemas.openxmlformats.org/officeDocument/2006/relationships/hyperlink" Target="https://rtcm-trailblazer.au/" TargetMode="External"/><Relationship Id="rId36" Type="http://schemas.openxmlformats.org/officeDocument/2006/relationships/hyperlink" Target="https://www.jcu.edu.au/arcsta" TargetMode="External"/><Relationship Id="rId10" Type="http://schemas.openxmlformats.org/officeDocument/2006/relationships/endnotes" Target="endnotes.xml"/><Relationship Id="rId19" Type="http://schemas.openxmlformats.org/officeDocument/2006/relationships/hyperlink" Target="https://www.jcu.edu.au/students/learning-centre" TargetMode="External"/><Relationship Id="rId31" Type="http://schemas.openxmlformats.org/officeDocument/2006/relationships/hyperlink" Target="https://plantbiosecuritycentr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u.edu.au/__data/assets/pdf_file/0017/2007071/2022-JCU-Corporate-Strategy.pdf" TargetMode="External"/><Relationship Id="rId22" Type="http://schemas.openxmlformats.org/officeDocument/2006/relationships/hyperlink" Target="https://www.jcu.edu.au/graduate-research-school/phd@work" TargetMode="External"/><Relationship Id="rId27" Type="http://schemas.openxmlformats.org/officeDocument/2006/relationships/hyperlink" Target="https://egru.jcu.edu.au/" TargetMode="External"/><Relationship Id="rId30" Type="http://schemas.openxmlformats.org/officeDocument/2006/relationships/hyperlink" Target="https://www.tnqdroughthub.com.au/" TargetMode="External"/><Relationship Id="rId35" Type="http://schemas.openxmlformats.org/officeDocument/2006/relationships/hyperlink" Target="https://www.tropwater.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jcu.edu.au/__data/assets/pdf_file/0005/2286005/Attachment-B2-2024-ISSP-Performance-Report_FINAL.pdf" TargetMode="External"/><Relationship Id="rId25" Type="http://schemas.openxmlformats.org/officeDocument/2006/relationships/hyperlink" Target="https://macrobiometherapeutics.com/" TargetMode="External"/><Relationship Id="rId33" Type="http://schemas.openxmlformats.org/officeDocument/2006/relationships/hyperlink" Target="https://www.taahc.org.a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2A78049E-518B-4A2A-BEE4-338C9DBD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2676</Words>
  <Characters>17582</Characters>
  <Application>Microsoft Office Word</Application>
  <DocSecurity>0</DocSecurity>
  <Lines>351</Lines>
  <Paragraphs>185</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20073</CharactersWithSpaces>
  <SharedDoc>false</SharedDoc>
  <HLinks>
    <vt:vector size="150" baseType="variant">
      <vt:variant>
        <vt:i4>983059</vt:i4>
      </vt:variant>
      <vt:variant>
        <vt:i4>66</vt:i4>
      </vt:variant>
      <vt:variant>
        <vt:i4>0</vt:i4>
      </vt:variant>
      <vt:variant>
        <vt:i4>5</vt:i4>
      </vt:variant>
      <vt:variant>
        <vt:lpwstr>https://pacmossi.org/</vt:lpwstr>
      </vt:variant>
      <vt:variant>
        <vt:lpwstr/>
      </vt:variant>
      <vt:variant>
        <vt:i4>4980736</vt:i4>
      </vt:variant>
      <vt:variant>
        <vt:i4>63</vt:i4>
      </vt:variant>
      <vt:variant>
        <vt:i4>0</vt:i4>
      </vt:variant>
      <vt:variant>
        <vt:i4>5</vt:i4>
      </vt:variant>
      <vt:variant>
        <vt:lpwstr>https://www.jcu.edu.au/arcsta</vt:lpwstr>
      </vt:variant>
      <vt:variant>
        <vt:lpwstr/>
      </vt:variant>
      <vt:variant>
        <vt:i4>2097188</vt:i4>
      </vt:variant>
      <vt:variant>
        <vt:i4>60</vt:i4>
      </vt:variant>
      <vt:variant>
        <vt:i4>0</vt:i4>
      </vt:variant>
      <vt:variant>
        <vt:i4>5</vt:i4>
      </vt:variant>
      <vt:variant>
        <vt:lpwstr>https://www.tropwater.com/</vt:lpwstr>
      </vt:variant>
      <vt:variant>
        <vt:lpwstr/>
      </vt:variant>
      <vt:variant>
        <vt:i4>2883690</vt:i4>
      </vt:variant>
      <vt:variant>
        <vt:i4>57</vt:i4>
      </vt:variant>
      <vt:variant>
        <vt:i4>0</vt:i4>
      </vt:variant>
      <vt:variant>
        <vt:i4>5</vt:i4>
      </vt:variant>
      <vt:variant>
        <vt:lpwstr>https://www.jcu.edu.au/cyclone-testing-station</vt:lpwstr>
      </vt:variant>
      <vt:variant>
        <vt:lpwstr/>
      </vt:variant>
      <vt:variant>
        <vt:i4>4587615</vt:i4>
      </vt:variant>
      <vt:variant>
        <vt:i4>54</vt:i4>
      </vt:variant>
      <vt:variant>
        <vt:i4>0</vt:i4>
      </vt:variant>
      <vt:variant>
        <vt:i4>5</vt:i4>
      </vt:variant>
      <vt:variant>
        <vt:lpwstr>https://www.taahc.org.au/</vt:lpwstr>
      </vt:variant>
      <vt:variant>
        <vt:lpwstr/>
      </vt:variant>
      <vt:variant>
        <vt:i4>1376342</vt:i4>
      </vt:variant>
      <vt:variant>
        <vt:i4>51</vt:i4>
      </vt:variant>
      <vt:variant>
        <vt:i4>0</vt:i4>
      </vt:variant>
      <vt:variant>
        <vt:i4>5</vt:i4>
      </vt:variant>
      <vt:variant>
        <vt:lpwstr>https://www.aithm.jcu.edu.au/</vt:lpwstr>
      </vt:variant>
      <vt:variant>
        <vt:lpwstr/>
      </vt:variant>
      <vt:variant>
        <vt:i4>3407924</vt:i4>
      </vt:variant>
      <vt:variant>
        <vt:i4>48</vt:i4>
      </vt:variant>
      <vt:variant>
        <vt:i4>0</vt:i4>
      </vt:variant>
      <vt:variant>
        <vt:i4>5</vt:i4>
      </vt:variant>
      <vt:variant>
        <vt:lpwstr>https://plantbiosecuritycentre.edu.au/</vt:lpwstr>
      </vt:variant>
      <vt:variant>
        <vt:lpwstr/>
      </vt:variant>
      <vt:variant>
        <vt:i4>5308495</vt:i4>
      </vt:variant>
      <vt:variant>
        <vt:i4>45</vt:i4>
      </vt:variant>
      <vt:variant>
        <vt:i4>0</vt:i4>
      </vt:variant>
      <vt:variant>
        <vt:i4>5</vt:i4>
      </vt:variant>
      <vt:variant>
        <vt:lpwstr>https://www.tnqdroughthub.com.au/</vt:lpwstr>
      </vt:variant>
      <vt:variant>
        <vt:lpwstr/>
      </vt:variant>
      <vt:variant>
        <vt:i4>2752544</vt:i4>
      </vt:variant>
      <vt:variant>
        <vt:i4>42</vt:i4>
      </vt:variant>
      <vt:variant>
        <vt:i4>0</vt:i4>
      </vt:variant>
      <vt:variant>
        <vt:i4>5</vt:i4>
      </vt:variant>
      <vt:variant>
        <vt:lpwstr>https://www.jcu.edu.au/centre-for-tropical-biosecurity</vt:lpwstr>
      </vt:variant>
      <vt:variant>
        <vt:lpwstr/>
      </vt:variant>
      <vt:variant>
        <vt:i4>5963866</vt:i4>
      </vt:variant>
      <vt:variant>
        <vt:i4>39</vt:i4>
      </vt:variant>
      <vt:variant>
        <vt:i4>0</vt:i4>
      </vt:variant>
      <vt:variant>
        <vt:i4>5</vt:i4>
      </vt:variant>
      <vt:variant>
        <vt:lpwstr>https://rtcm-trailblazer.au/</vt:lpwstr>
      </vt:variant>
      <vt:variant>
        <vt:lpwstr/>
      </vt:variant>
      <vt:variant>
        <vt:i4>4325387</vt:i4>
      </vt:variant>
      <vt:variant>
        <vt:i4>36</vt:i4>
      </vt:variant>
      <vt:variant>
        <vt:i4>0</vt:i4>
      </vt:variant>
      <vt:variant>
        <vt:i4>5</vt:i4>
      </vt:variant>
      <vt:variant>
        <vt:lpwstr>https://egru.jcu.edu.au/</vt:lpwstr>
      </vt:variant>
      <vt:variant>
        <vt:lpwstr/>
      </vt:variant>
      <vt:variant>
        <vt:i4>6553642</vt:i4>
      </vt:variant>
      <vt:variant>
        <vt:i4>33</vt:i4>
      </vt:variant>
      <vt:variant>
        <vt:i4>0</vt:i4>
      </vt:variant>
      <vt:variant>
        <vt:i4>5</vt:i4>
      </vt:variant>
      <vt:variant>
        <vt:lpwstr>https://journeytech.com.au/</vt:lpwstr>
      </vt:variant>
      <vt:variant>
        <vt:lpwstr/>
      </vt:variant>
      <vt:variant>
        <vt:i4>6357094</vt:i4>
      </vt:variant>
      <vt:variant>
        <vt:i4>30</vt:i4>
      </vt:variant>
      <vt:variant>
        <vt:i4>0</vt:i4>
      </vt:variant>
      <vt:variant>
        <vt:i4>5</vt:i4>
      </vt:variant>
      <vt:variant>
        <vt:lpwstr>https://macrobiometherapeutics.com/</vt:lpwstr>
      </vt:variant>
      <vt:variant>
        <vt:lpwstr/>
      </vt:variant>
      <vt:variant>
        <vt:i4>3604513</vt:i4>
      </vt:variant>
      <vt:variant>
        <vt:i4>27</vt:i4>
      </vt:variant>
      <vt:variant>
        <vt:i4>0</vt:i4>
      </vt:variant>
      <vt:variant>
        <vt:i4>5</vt:i4>
      </vt:variant>
      <vt:variant>
        <vt:lpwstr>https://impact10x.com.au/simulator/</vt:lpwstr>
      </vt:variant>
      <vt:variant>
        <vt:lpwstr/>
      </vt:variant>
      <vt:variant>
        <vt:i4>2097201</vt:i4>
      </vt:variant>
      <vt:variant>
        <vt:i4>24</vt:i4>
      </vt:variant>
      <vt:variant>
        <vt:i4>0</vt:i4>
      </vt:variant>
      <vt:variant>
        <vt:i4>5</vt:i4>
      </vt:variant>
      <vt:variant>
        <vt:lpwstr>https://www.jcu.edu.au/jcu-ideas-lab/events</vt:lpwstr>
      </vt:variant>
      <vt:variant>
        <vt:lpwstr/>
      </vt:variant>
      <vt:variant>
        <vt:i4>8192076</vt:i4>
      </vt:variant>
      <vt:variant>
        <vt:i4>21</vt:i4>
      </vt:variant>
      <vt:variant>
        <vt:i4>0</vt:i4>
      </vt:variant>
      <vt:variant>
        <vt:i4>5</vt:i4>
      </vt:variant>
      <vt:variant>
        <vt:lpwstr>https://www.jcu.edu.au/graduate-research-school/phd@work</vt:lpwstr>
      </vt:variant>
      <vt:variant>
        <vt:lpwstr/>
      </vt:variant>
      <vt:variant>
        <vt:i4>7077925</vt:i4>
      </vt:variant>
      <vt:variant>
        <vt:i4>18</vt:i4>
      </vt:variant>
      <vt:variant>
        <vt:i4>0</vt:i4>
      </vt:variant>
      <vt:variant>
        <vt:i4>5</vt:i4>
      </vt:variant>
      <vt:variant>
        <vt:lpwstr>https://www.careeconomycrc.com.au/</vt:lpwstr>
      </vt:variant>
      <vt:variant>
        <vt:lpwstr/>
      </vt:variant>
      <vt:variant>
        <vt:i4>4915265</vt:i4>
      </vt:variant>
      <vt:variant>
        <vt:i4>15</vt:i4>
      </vt:variant>
      <vt:variant>
        <vt:i4>0</vt:i4>
      </vt:variant>
      <vt:variant>
        <vt:i4>5</vt:i4>
      </vt:variant>
      <vt:variant>
        <vt:lpwstr>https://ciehf.au/</vt:lpwstr>
      </vt:variant>
      <vt:variant>
        <vt:lpwstr/>
      </vt:variant>
      <vt:variant>
        <vt:i4>6553661</vt:i4>
      </vt:variant>
      <vt:variant>
        <vt:i4>12</vt:i4>
      </vt:variant>
      <vt:variant>
        <vt:i4>0</vt:i4>
      </vt:variant>
      <vt:variant>
        <vt:i4>5</vt:i4>
      </vt:variant>
      <vt:variant>
        <vt:lpwstr>https://www.jcu.edu.au/students/learning-centre</vt:lpwstr>
      </vt:variant>
      <vt:variant>
        <vt:lpwstr/>
      </vt:variant>
      <vt:variant>
        <vt:i4>2490474</vt:i4>
      </vt:variant>
      <vt:variant>
        <vt:i4>9</vt:i4>
      </vt:variant>
      <vt:variant>
        <vt:i4>0</vt:i4>
      </vt:variant>
      <vt:variant>
        <vt:i4>5</vt:i4>
      </vt:variant>
      <vt:variant>
        <vt:lpwstr>https://www.jcu.edu.au/courses/jcu-prep</vt:lpwstr>
      </vt:variant>
      <vt:variant>
        <vt:lpwstr/>
      </vt:variant>
      <vt:variant>
        <vt:i4>2359344</vt:i4>
      </vt:variant>
      <vt:variant>
        <vt:i4>6</vt:i4>
      </vt:variant>
      <vt:variant>
        <vt:i4>0</vt:i4>
      </vt:variant>
      <vt:variant>
        <vt:i4>5</vt:i4>
      </vt:variant>
      <vt:variant>
        <vt:lpwstr>https://www.jcu.edu.au/__data/assets/pdf_file/0005/2286005/Attachment-B2-2024-ISSP-Performance-Report_FINAL.pdf</vt:lpwstr>
      </vt:variant>
      <vt:variant>
        <vt:lpwstr/>
      </vt:variant>
      <vt:variant>
        <vt:i4>786526</vt:i4>
      </vt:variant>
      <vt:variant>
        <vt:i4>3</vt:i4>
      </vt:variant>
      <vt:variant>
        <vt:i4>0</vt:i4>
      </vt:variant>
      <vt:variant>
        <vt:i4>5</vt:i4>
      </vt:variant>
      <vt:variant>
        <vt:lpwstr>https://www.jcu.edu.au/edqs/pd-and-recognition/cltjcu</vt:lpwstr>
      </vt:variant>
      <vt:variant>
        <vt:lpwstr/>
      </vt:variant>
      <vt:variant>
        <vt:i4>4194350</vt:i4>
      </vt:variant>
      <vt:variant>
        <vt:i4>0</vt:i4>
      </vt:variant>
      <vt:variant>
        <vt:i4>0</vt:i4>
      </vt:variant>
      <vt:variant>
        <vt:i4>5</vt:i4>
      </vt:variant>
      <vt:variant>
        <vt:lpwstr>https://www.jcu.edu.au/__data/assets/pdf_file/0017/2007071/2022-JCU-Corporate-Strategy.pdf</vt:lpwstr>
      </vt:variant>
      <vt:variant>
        <vt:lpwstr/>
      </vt:variant>
      <vt:variant>
        <vt:i4>6422568</vt:i4>
      </vt:variant>
      <vt:variant>
        <vt:i4>3</vt:i4>
      </vt:variant>
      <vt:variant>
        <vt:i4>0</vt:i4>
      </vt:variant>
      <vt:variant>
        <vt:i4>5</vt:i4>
      </vt:variant>
      <vt:variant>
        <vt:lpwstr>https://aus01.safelinks.protection.outlook.com/?url=https%3A%2F%2Fwww.education.gov.au%2Fhigher-education-statistics%2Fresources%2F2024-section-15-attrition-success-and-retention&amp;data=05%7C02%7Cryl.harrison%40jcu.edu.au%7C814bb3b98ca446db074b08de06274166%7C30a8c4e81ecd4f148099f73482a7adc0%7C0%7C0%7C638954962821186051%7CUnknown%7CTWFpbGZsb3d8eyJFbXB0eU1hcGkiOnRydWUsIlYiOiIwLjAuMDAwMCIsIlAiOiJXaW4zMiIsIkFOIjoiTWFpbCIsIldUIjoyfQ%3D%3D%7C0%7C%7C%7C&amp;sdata=hTv8S33FWcHBpsAGLHvJ6LU7mzw9JMv2r7L0sfEGOts%3D&amp;reserved=0</vt:lpwstr>
      </vt:variant>
      <vt:variant>
        <vt:lpwstr/>
      </vt:variant>
      <vt:variant>
        <vt:i4>589940</vt:i4>
      </vt:variant>
      <vt:variant>
        <vt:i4>0</vt:i4>
      </vt:variant>
      <vt:variant>
        <vt:i4>0</vt:i4>
      </vt:variant>
      <vt:variant>
        <vt:i4>5</vt:i4>
      </vt:variant>
      <vt:variant>
        <vt:lpwstr>mailto:jc426011@jcu.edu.au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12</cp:revision>
  <cp:lastPrinted>2025-12-01T05:12:00Z</cp:lastPrinted>
  <dcterms:created xsi:type="dcterms:W3CDTF">2025-11-23T22:23:00Z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