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0B80CD5">
        <w:tc>
          <w:tcPr>
            <w:tcW w:w="5000" w:type="pct"/>
            <w:tcBorders>
              <w:bottom w:val="single" w:sz="4" w:space="0" w:color="auto"/>
            </w:tcBorders>
          </w:tcPr>
          <w:p w14:paraId="26FC6577" w14:textId="36078891" w:rsidR="001B109C" w:rsidRPr="007B3D23" w:rsidRDefault="001B109C" w:rsidP="007B3D23">
            <w:pPr>
              <w:pStyle w:val="Heading4"/>
              <w:keepLines w:val="0"/>
              <w:spacing w:before="0"/>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B80CD5">
              <w:t>Federation University Australia</w:t>
            </w:r>
          </w:p>
        </w:tc>
      </w:tr>
      <w:tr w:rsidR="001B109C" w:rsidRPr="00E41388" w14:paraId="2126955C" w14:textId="77777777" w:rsidTr="00B80CD5">
        <w:tc>
          <w:tcPr>
            <w:tcW w:w="5000" w:type="pct"/>
          </w:tcPr>
          <w:p w14:paraId="4E36A361" w14:textId="77777777" w:rsidR="001B109C" w:rsidRPr="00F30BFA" w:rsidRDefault="001B109C" w:rsidP="00B80CD5">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B80CD5">
        <w:trPr>
          <w:trHeight w:val="1682"/>
        </w:trPr>
        <w:tc>
          <w:tcPr>
            <w:tcW w:w="5000" w:type="pct"/>
            <w:tcBorders>
              <w:bottom w:val="single" w:sz="4" w:space="0" w:color="auto"/>
            </w:tcBorders>
          </w:tcPr>
          <w:p w14:paraId="603CAB15" w14:textId="357DAB3E" w:rsidR="001B109C" w:rsidRPr="00E169EE" w:rsidRDefault="001B109C" w:rsidP="00B80CD5">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B80CD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B80CD5">
        <w:tc>
          <w:tcPr>
            <w:tcW w:w="5000" w:type="pct"/>
          </w:tcPr>
          <w:p w14:paraId="43C124C8" w14:textId="55208677" w:rsidR="001B109C" w:rsidRPr="00E169EE" w:rsidRDefault="00F30BFA" w:rsidP="00B80CD5">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B80CD5">
        <w:trPr>
          <w:trHeight w:val="1123"/>
        </w:trPr>
        <w:tc>
          <w:tcPr>
            <w:tcW w:w="5000" w:type="pct"/>
            <w:tcBorders>
              <w:bottom w:val="single" w:sz="4" w:space="0" w:color="auto"/>
            </w:tcBorders>
          </w:tcPr>
          <w:p w14:paraId="4793F27A" w14:textId="630FCB81" w:rsidR="00077737" w:rsidRPr="00B839C5" w:rsidRDefault="00077737" w:rsidP="008B1F14">
            <w:pPr>
              <w:spacing w:after="0"/>
            </w:pPr>
            <w:r w:rsidRPr="00B839C5">
              <w:t xml:space="preserve">Federation University’s mission is to deliver </w:t>
            </w:r>
            <w:r w:rsidR="00AF1F8D">
              <w:t xml:space="preserve">the </w:t>
            </w:r>
            <w:r w:rsidRPr="00B839C5">
              <w:t>transformative education, training and research that enable</w:t>
            </w:r>
            <w:r w:rsidR="00AF1F8D">
              <w:t>s</w:t>
            </w:r>
            <w:r w:rsidRPr="00B839C5">
              <w:t xml:space="preserve"> regional communities to thrive. Our strategy </w:t>
            </w:r>
            <w:r w:rsidR="000B55CB">
              <w:t>focuses on</w:t>
            </w:r>
            <w:r w:rsidRPr="00B839C5">
              <w:t>:</w:t>
            </w:r>
          </w:p>
          <w:p w14:paraId="11CA1E12" w14:textId="77777777" w:rsidR="00077737" w:rsidRDefault="00077737" w:rsidP="008B1F14">
            <w:pPr>
              <w:pStyle w:val="ListParagraph"/>
              <w:numPr>
                <w:ilvl w:val="0"/>
                <w:numId w:val="22"/>
              </w:numPr>
              <w:spacing w:after="0" w:line="278" w:lineRule="auto"/>
              <w:contextualSpacing w:val="0"/>
            </w:pPr>
            <w:r>
              <w:t xml:space="preserve">a “needs-first” approach that begins with understanding the needs of students and regional </w:t>
            </w:r>
            <w:proofErr w:type="gramStart"/>
            <w:r>
              <w:t>employers;</w:t>
            </w:r>
            <w:proofErr w:type="gramEnd"/>
          </w:p>
          <w:p w14:paraId="11F053A9" w14:textId="77777777" w:rsidR="00077737" w:rsidRDefault="00077737" w:rsidP="008B1F14">
            <w:pPr>
              <w:pStyle w:val="ListParagraph"/>
              <w:numPr>
                <w:ilvl w:val="0"/>
                <w:numId w:val="22"/>
              </w:numPr>
              <w:spacing w:after="0" w:line="278" w:lineRule="auto"/>
              <w:contextualSpacing w:val="0"/>
            </w:pPr>
            <w:r>
              <w:t>an innovative Co-operative (Co-op) Education Model that integrates work and study to meet those needs; and</w:t>
            </w:r>
          </w:p>
          <w:p w14:paraId="4BC639EF" w14:textId="77777777" w:rsidR="00077737" w:rsidRDefault="00077737" w:rsidP="00077737">
            <w:pPr>
              <w:pStyle w:val="ListParagraph"/>
              <w:numPr>
                <w:ilvl w:val="0"/>
                <w:numId w:val="22"/>
              </w:numPr>
              <w:spacing w:after="160" w:line="278" w:lineRule="auto"/>
              <w:contextualSpacing w:val="0"/>
            </w:pPr>
            <w:r>
              <w:t>a deep commitment to equity and regional development.</w:t>
            </w:r>
          </w:p>
          <w:p w14:paraId="0EA960DE" w14:textId="77777777" w:rsidR="00077737" w:rsidRPr="006307F5" w:rsidRDefault="00077737" w:rsidP="00077737">
            <w:pPr>
              <w:pStyle w:val="NormalIndent"/>
              <w:spacing w:before="0" w:after="160"/>
              <w:ind w:left="0"/>
              <w:rPr>
                <w:rFonts w:cstheme="minorHAnsi"/>
              </w:rPr>
            </w:pPr>
            <w:r w:rsidRPr="006307F5">
              <w:rPr>
                <w:rFonts w:cstheme="minorHAnsi"/>
              </w:rPr>
              <w:t xml:space="preserve">Our 2040 vision </w:t>
            </w:r>
            <w:r>
              <w:rPr>
                <w:rFonts w:cstheme="minorHAnsi"/>
              </w:rPr>
              <w:t>identifies six strategic drivers:</w:t>
            </w:r>
          </w:p>
          <w:p w14:paraId="12F5CC5D" w14:textId="77777777" w:rsidR="00077737" w:rsidRPr="006307F5" w:rsidRDefault="00077737" w:rsidP="00077737">
            <w:pPr>
              <w:pStyle w:val="NormalIndent"/>
              <w:numPr>
                <w:ilvl w:val="0"/>
                <w:numId w:val="20"/>
              </w:numPr>
              <w:spacing w:before="0" w:after="160"/>
              <w:rPr>
                <w:rFonts w:cstheme="minorHAnsi"/>
              </w:rPr>
            </w:pPr>
            <w:r w:rsidRPr="006307F5">
              <w:rPr>
                <w:rFonts w:cstheme="minorHAnsi"/>
                <w:b/>
                <w:bCs/>
              </w:rPr>
              <w:t>Truly differentiated:</w:t>
            </w:r>
            <w:r w:rsidRPr="006307F5">
              <w:rPr>
                <w:rFonts w:cstheme="minorHAnsi"/>
              </w:rPr>
              <w:t xml:space="preserve"> </w:t>
            </w:r>
            <w:r w:rsidRPr="0032482C">
              <w:rPr>
                <w:rFonts w:cstheme="minorHAnsi"/>
              </w:rPr>
              <w:t xml:space="preserve">Federation is redefining tertiary education, using co-op as the engine to deliver unique value to learners and employers. By early 2026, all in-scope programs will include co-op learning in the workplace, with </w:t>
            </w:r>
            <w:r>
              <w:rPr>
                <w:rFonts w:cstheme="minorHAnsi"/>
              </w:rPr>
              <w:t>s</w:t>
            </w:r>
            <w:r w:rsidRPr="00DA1CA3">
              <w:rPr>
                <w:rFonts w:cstheme="minorHAnsi"/>
              </w:rPr>
              <w:t>uccess measured by placements, graduate employment and employer satisfaction.</w:t>
            </w:r>
          </w:p>
          <w:p w14:paraId="7AADC999" w14:textId="3F1C87A7" w:rsidR="00077737" w:rsidRPr="006307F5" w:rsidRDefault="00077737" w:rsidP="00077737">
            <w:pPr>
              <w:pStyle w:val="NormalIndent"/>
              <w:numPr>
                <w:ilvl w:val="0"/>
                <w:numId w:val="20"/>
              </w:numPr>
              <w:spacing w:before="0" w:after="160"/>
              <w:rPr>
                <w:rFonts w:cstheme="minorHAnsi"/>
              </w:rPr>
            </w:pPr>
            <w:r w:rsidRPr="006307F5">
              <w:rPr>
                <w:rFonts w:cstheme="minorHAnsi"/>
                <w:b/>
                <w:bCs/>
              </w:rPr>
              <w:t>Enabling sustainable and thriving regions:</w:t>
            </w:r>
            <w:r w:rsidRPr="006307F5">
              <w:rPr>
                <w:rFonts w:cstheme="minorHAnsi"/>
              </w:rPr>
              <w:t xml:space="preserve"> </w:t>
            </w:r>
            <w:r w:rsidR="00515A53">
              <w:t>Co-designing education and research with industry to address regional skill shortages and partnering on</w:t>
            </w:r>
            <w:r w:rsidR="00515A53" w:rsidRPr="002121A8">
              <w:t xml:space="preserve"> innovation and </w:t>
            </w:r>
            <w:r w:rsidR="00515A53">
              <w:t>research</w:t>
            </w:r>
            <w:r w:rsidR="00515A53" w:rsidRPr="002121A8">
              <w:t xml:space="preserve"> </w:t>
            </w:r>
            <w:r w:rsidR="00515A53">
              <w:t>solutions to local challenges</w:t>
            </w:r>
            <w:r w:rsidR="00515A53" w:rsidRPr="002121A8">
              <w:t>.</w:t>
            </w:r>
            <w:r w:rsidR="00515A53">
              <w:rPr>
                <w:b/>
                <w:bCs/>
              </w:rPr>
              <w:t xml:space="preserve"> </w:t>
            </w:r>
            <w:r w:rsidR="00483B81">
              <w:rPr>
                <w:rFonts w:cstheme="minorHAnsi"/>
              </w:rPr>
              <w:t>Measures of success include</w:t>
            </w:r>
            <w:r w:rsidRPr="001B00C8">
              <w:rPr>
                <w:rFonts w:cstheme="minorHAnsi"/>
              </w:rPr>
              <w:t xml:space="preserve"> the number of graduates in </w:t>
            </w:r>
            <w:r w:rsidR="00F9128B">
              <w:rPr>
                <w:rFonts w:cstheme="minorHAnsi"/>
              </w:rPr>
              <w:t>areas of</w:t>
            </w:r>
            <w:r w:rsidRPr="001B00C8">
              <w:rPr>
                <w:rFonts w:cstheme="minorHAnsi"/>
              </w:rPr>
              <w:t xml:space="preserve"> demand and our economic and social contribution</w:t>
            </w:r>
            <w:r w:rsidR="001A5C79">
              <w:rPr>
                <w:rFonts w:cstheme="minorHAnsi"/>
              </w:rPr>
              <w:t xml:space="preserve"> to the regions</w:t>
            </w:r>
            <w:r w:rsidRPr="001B00C8">
              <w:rPr>
                <w:rFonts w:cstheme="minorHAnsi"/>
              </w:rPr>
              <w:t>.</w:t>
            </w:r>
          </w:p>
          <w:p w14:paraId="781BED29" w14:textId="77777777" w:rsidR="00077737" w:rsidRPr="006307F5" w:rsidRDefault="00077737" w:rsidP="00077737">
            <w:pPr>
              <w:pStyle w:val="NormalIndent"/>
              <w:numPr>
                <w:ilvl w:val="0"/>
                <w:numId w:val="20"/>
              </w:numPr>
              <w:spacing w:before="0" w:after="160"/>
              <w:rPr>
                <w:rFonts w:cstheme="minorHAnsi"/>
              </w:rPr>
            </w:pPr>
            <w:r w:rsidRPr="006307F5">
              <w:rPr>
                <w:rFonts w:cstheme="minorHAnsi"/>
                <w:b/>
                <w:bCs/>
              </w:rPr>
              <w:t>Empowered learners and expanded opportunity:</w:t>
            </w:r>
            <w:r w:rsidRPr="006307F5">
              <w:rPr>
                <w:rFonts w:cstheme="minorHAnsi"/>
              </w:rPr>
              <w:t xml:space="preserve"> </w:t>
            </w:r>
            <w:r w:rsidRPr="00113CDD">
              <w:rPr>
                <w:rFonts w:cstheme="minorHAnsi"/>
              </w:rPr>
              <w:t xml:space="preserve">Our goal is to lift attainment in our regions and achieve parity in student outcomes by 2040. </w:t>
            </w:r>
            <w:r>
              <w:rPr>
                <w:rFonts w:cstheme="minorHAnsi"/>
              </w:rPr>
              <w:t>Our gro</w:t>
            </w:r>
            <w:r w:rsidRPr="00113CDD">
              <w:rPr>
                <w:rFonts w:cstheme="minorHAnsi"/>
              </w:rPr>
              <w:t xml:space="preserve">wth </w:t>
            </w:r>
            <w:r>
              <w:rPr>
                <w:rFonts w:cstheme="minorHAnsi"/>
              </w:rPr>
              <w:t xml:space="preserve">aligns </w:t>
            </w:r>
            <w:r w:rsidRPr="00113CDD">
              <w:rPr>
                <w:rFonts w:cstheme="minorHAnsi"/>
              </w:rPr>
              <w:t>with national priorities—skilling regional Australia, boosting equity participation and addressing workforce gaps. Progress is measured by growth, retention, success, completion and satisfaction.</w:t>
            </w:r>
          </w:p>
          <w:p w14:paraId="62664464" w14:textId="7DEB6F6B" w:rsidR="00077737" w:rsidRPr="006307F5" w:rsidRDefault="00077737" w:rsidP="00077737">
            <w:pPr>
              <w:pStyle w:val="NormalIndent"/>
              <w:numPr>
                <w:ilvl w:val="0"/>
                <w:numId w:val="20"/>
              </w:numPr>
              <w:spacing w:before="0" w:after="160"/>
              <w:rPr>
                <w:rFonts w:cstheme="minorBidi"/>
              </w:rPr>
            </w:pPr>
            <w:r w:rsidRPr="585DBDF8">
              <w:rPr>
                <w:rFonts w:cstheme="minorBidi"/>
                <w:b/>
              </w:rPr>
              <w:t>First Peoples’ advancement:</w:t>
            </w:r>
            <w:r w:rsidRPr="585DBDF8">
              <w:rPr>
                <w:rFonts w:cstheme="minorBidi"/>
              </w:rPr>
              <w:t xml:space="preserve"> We aim to significantly raise First Peoples’ learner participation and success, increasing the number of Aboriginal and Torres Strait Islander learners and achieving parity in retention and completion rates by 2040. </w:t>
            </w:r>
            <w:r w:rsidR="35F4CC3A" w:rsidRPr="585DBDF8">
              <w:t xml:space="preserve">Our Aboriginal Education Centre and National Centre for Reconciliation, Truth and Justice are </w:t>
            </w:r>
            <w:proofErr w:type="gramStart"/>
            <w:r w:rsidR="00C76677">
              <w:t xml:space="preserve">driving </w:t>
            </w:r>
            <w:r w:rsidR="35F4CC3A" w:rsidRPr="585DBDF8">
              <w:t xml:space="preserve"> </w:t>
            </w:r>
            <w:r w:rsidR="35F4CC3A" w:rsidRPr="585DBDF8">
              <w:lastRenderedPageBreak/>
              <w:t>change</w:t>
            </w:r>
            <w:proofErr w:type="gramEnd"/>
            <w:r w:rsidR="35F4CC3A" w:rsidRPr="585DBDF8">
              <w:t xml:space="preserve"> through award-winning </w:t>
            </w:r>
            <w:r w:rsidR="00141A05">
              <w:t xml:space="preserve">language </w:t>
            </w:r>
            <w:r w:rsidR="35F4CC3A" w:rsidRPr="585DBDF8">
              <w:t>programs, expanded access, prison education and national leadership in reconciliation and truth-telling.</w:t>
            </w:r>
          </w:p>
          <w:p w14:paraId="085A8BF8" w14:textId="6BF781A4" w:rsidR="00077737" w:rsidRPr="006307F5" w:rsidRDefault="00077737" w:rsidP="00077737">
            <w:pPr>
              <w:pStyle w:val="NormalIndent"/>
              <w:numPr>
                <w:ilvl w:val="0"/>
                <w:numId w:val="20"/>
              </w:numPr>
              <w:spacing w:before="0" w:after="160"/>
              <w:rPr>
                <w:rFonts w:cstheme="minorHAnsi"/>
              </w:rPr>
            </w:pPr>
            <w:r w:rsidRPr="006307F5">
              <w:rPr>
                <w:rFonts w:cstheme="minorHAnsi"/>
                <w:b/>
                <w:bCs/>
              </w:rPr>
              <w:t>Place-based, globally engaged:</w:t>
            </w:r>
            <w:r w:rsidRPr="006307F5">
              <w:rPr>
                <w:rFonts w:cstheme="minorHAnsi"/>
              </w:rPr>
              <w:t xml:space="preserve"> </w:t>
            </w:r>
            <w:r w:rsidRPr="00F805D8">
              <w:rPr>
                <w:rFonts w:cstheme="minorHAnsi"/>
              </w:rPr>
              <w:t xml:space="preserve">Federation remains proudly regional while pursuing global partnerships. </w:t>
            </w:r>
            <w:r w:rsidRPr="00F805D8">
              <w:t xml:space="preserve"> </w:t>
            </w:r>
            <w:r w:rsidRPr="00F805D8">
              <w:rPr>
                <w:rFonts w:cstheme="minorHAnsi"/>
              </w:rPr>
              <w:t xml:space="preserve">We will focus on international learners who are pursuing our co-operative, model and </w:t>
            </w:r>
            <w:r>
              <w:rPr>
                <w:rFonts w:cstheme="minorHAnsi"/>
              </w:rPr>
              <w:t>i</w:t>
            </w:r>
            <w:r w:rsidRPr="00F805D8">
              <w:rPr>
                <w:rFonts w:cstheme="minorHAnsi"/>
              </w:rPr>
              <w:t>ncrease international research collaborations that directly benefit regional learners and communities</w:t>
            </w:r>
            <w:r>
              <w:rPr>
                <w:rFonts w:cstheme="minorHAnsi"/>
              </w:rPr>
              <w:t>. KPIs include</w:t>
            </w:r>
            <w:r w:rsidRPr="00F805D8">
              <w:rPr>
                <w:rFonts w:cstheme="minorHAnsi"/>
              </w:rPr>
              <w:t xml:space="preserve"> the proportion of international students participating in co-op placements</w:t>
            </w:r>
            <w:r w:rsidR="001A24C9">
              <w:rPr>
                <w:rFonts w:cstheme="minorHAnsi"/>
              </w:rPr>
              <w:t xml:space="preserve"> and global research impact</w:t>
            </w:r>
            <w:r w:rsidRPr="00F805D8">
              <w:rPr>
                <w:rFonts w:cstheme="minorHAnsi"/>
              </w:rPr>
              <w:t>.</w:t>
            </w:r>
          </w:p>
          <w:p w14:paraId="14B86231" w14:textId="77777777" w:rsidR="00077737" w:rsidRPr="006307F5" w:rsidRDefault="00077737" w:rsidP="00077737">
            <w:pPr>
              <w:pStyle w:val="NormalIndent"/>
              <w:numPr>
                <w:ilvl w:val="0"/>
                <w:numId w:val="20"/>
              </w:numPr>
              <w:spacing w:before="0" w:after="160"/>
              <w:rPr>
                <w:rFonts w:cstheme="minorHAnsi"/>
              </w:rPr>
            </w:pPr>
            <w:r w:rsidRPr="006307F5">
              <w:rPr>
                <w:rFonts w:cstheme="minorHAnsi"/>
                <w:b/>
                <w:bCs/>
              </w:rPr>
              <w:t>Careers with impact in an employer of choice:</w:t>
            </w:r>
            <w:r w:rsidRPr="006307F5">
              <w:rPr>
                <w:rFonts w:cstheme="minorHAnsi"/>
              </w:rPr>
              <w:t xml:space="preserve"> We foster a workplace where impactful work, community connection and continuous development define every career. Staff engagement and retention are tracked through surveys and sector benchmarks.</w:t>
            </w:r>
          </w:p>
          <w:p w14:paraId="0C74ED0E" w14:textId="60A3299C" w:rsidR="00D22D0D" w:rsidRDefault="00077737" w:rsidP="00077737">
            <w:pPr>
              <w:pStyle w:val="NormalIndent"/>
              <w:spacing w:before="0" w:after="160"/>
              <w:ind w:left="0"/>
              <w:rPr>
                <w:rFonts w:cstheme="minorHAnsi"/>
              </w:rPr>
            </w:pPr>
            <w:r w:rsidRPr="006307F5">
              <w:rPr>
                <w:rFonts w:cstheme="minorHAnsi"/>
                <w:b/>
                <w:bCs/>
              </w:rPr>
              <w:t xml:space="preserve">National </w:t>
            </w:r>
            <w:r w:rsidR="00E42EF7">
              <w:rPr>
                <w:rFonts w:cstheme="minorHAnsi"/>
                <w:b/>
                <w:bCs/>
              </w:rPr>
              <w:t>P</w:t>
            </w:r>
            <w:r w:rsidRPr="006307F5">
              <w:rPr>
                <w:rFonts w:cstheme="minorHAnsi"/>
                <w:b/>
                <w:bCs/>
              </w:rPr>
              <w:t>riorities</w:t>
            </w:r>
            <w:r w:rsidRPr="006307F5">
              <w:rPr>
                <w:rFonts w:cstheme="minorHAnsi"/>
              </w:rPr>
              <w:br/>
              <w:t xml:space="preserve">Federation’s strategy is strongly aligned with national and sector priorities, including enhancing equity and participation, addressing workforce needs and contributing to regional development. </w:t>
            </w:r>
          </w:p>
          <w:p w14:paraId="009BB504" w14:textId="347803CE" w:rsidR="00077737" w:rsidRDefault="00077737" w:rsidP="00077737">
            <w:pPr>
              <w:pStyle w:val="NormalIndent"/>
              <w:spacing w:before="0" w:after="160"/>
              <w:ind w:left="0"/>
              <w:rPr>
                <w:rFonts w:cstheme="minorHAnsi"/>
              </w:rPr>
            </w:pPr>
            <w:r w:rsidRPr="006307F5">
              <w:rPr>
                <w:rFonts w:cstheme="minorHAnsi"/>
              </w:rPr>
              <w:t xml:space="preserve">We maintain robust governance and risk management, including compliance with the Australian </w:t>
            </w:r>
            <w:hyperlink r:id="rId14" w:history="1">
              <w:r w:rsidRPr="006307F5">
                <w:rPr>
                  <w:rStyle w:val="Hyperlink"/>
                  <w:rFonts w:cstheme="minorHAnsi"/>
                </w:rPr>
                <w:t>Foreign Arrangements Scheme</w:t>
              </w:r>
            </w:hyperlink>
            <w:r>
              <w:rPr>
                <w:rFonts w:cstheme="minorHAnsi"/>
              </w:rPr>
              <w:t xml:space="preserve"> and </w:t>
            </w:r>
            <w:hyperlink r:id="rId15" w:history="1">
              <w:r w:rsidRPr="00331A12">
                <w:rPr>
                  <w:rStyle w:val="Hyperlink"/>
                  <w:rFonts w:cstheme="minorHAnsi"/>
                </w:rPr>
                <w:t>expert controls</w:t>
              </w:r>
            </w:hyperlink>
            <w:r w:rsidR="00255086">
              <w:t xml:space="preserve"> and</w:t>
            </w:r>
            <w:r w:rsidR="00943810">
              <w:rPr>
                <w:rFonts w:cstheme="minorHAnsi"/>
              </w:rPr>
              <w:t xml:space="preserve"> </w:t>
            </w:r>
            <w:r w:rsidR="00FB0629">
              <w:rPr>
                <w:rFonts w:cstheme="minorHAnsi"/>
              </w:rPr>
              <w:t xml:space="preserve">cyber and data security </w:t>
            </w:r>
            <w:r w:rsidR="00255086">
              <w:rPr>
                <w:rFonts w:cstheme="minorHAnsi"/>
              </w:rPr>
              <w:t xml:space="preserve">requirements </w:t>
            </w:r>
            <w:r w:rsidR="00FB0629">
              <w:rPr>
                <w:rFonts w:cstheme="minorHAnsi"/>
              </w:rPr>
              <w:t xml:space="preserve">through </w:t>
            </w:r>
            <w:r w:rsidR="00255086">
              <w:rPr>
                <w:rFonts w:cstheme="minorHAnsi"/>
              </w:rPr>
              <w:t>our</w:t>
            </w:r>
            <w:r w:rsidRPr="006307F5">
              <w:rPr>
                <w:rFonts w:cstheme="minorHAnsi"/>
              </w:rPr>
              <w:t xml:space="preserve"> comprehensive Cyber Security Roadmap</w:t>
            </w:r>
            <w:r w:rsidR="00255086">
              <w:rPr>
                <w:rFonts w:cstheme="minorHAnsi"/>
              </w:rPr>
              <w:t xml:space="preserve">. </w:t>
            </w:r>
            <w:r w:rsidRPr="006307F5">
              <w:rPr>
                <w:rFonts w:cstheme="minorHAnsi"/>
              </w:rPr>
              <w:t xml:space="preserve"> </w:t>
            </w:r>
            <w:r w:rsidR="00FB7479" w:rsidRPr="00FB7479">
              <w:rPr>
                <w:rFonts w:cstheme="minorHAnsi"/>
              </w:rPr>
              <w:t xml:space="preserve">Academic freedom and freedom of speech are protected through </w:t>
            </w:r>
            <w:hyperlink r:id="rId16" w:history="1">
              <w:r w:rsidR="00FB7479" w:rsidRPr="00FB7479">
                <w:rPr>
                  <w:rStyle w:val="Hyperlink"/>
                  <w:rFonts w:cstheme="minorHAnsi"/>
                </w:rPr>
                <w:t>formal policy</w:t>
              </w:r>
            </w:hyperlink>
            <w:r w:rsidR="00FB7479" w:rsidRPr="00FB7479">
              <w:rPr>
                <w:rFonts w:cstheme="minorHAnsi"/>
              </w:rPr>
              <w:t>, consistent with national standards. Compliance is monitored and staff surveys assess the environment for open discourse.</w:t>
            </w:r>
            <w:r w:rsidR="00FB7479">
              <w:rPr>
                <w:rFonts w:cstheme="minorHAnsi"/>
              </w:rPr>
              <w:t xml:space="preserve"> </w:t>
            </w:r>
            <w:r w:rsidRPr="006307F5">
              <w:rPr>
                <w:rFonts w:cstheme="minorHAnsi"/>
              </w:rPr>
              <w:t xml:space="preserve"> </w:t>
            </w:r>
          </w:p>
          <w:p w14:paraId="2621DC09" w14:textId="5D3718A8" w:rsidR="00E45699" w:rsidRDefault="00077737" w:rsidP="006F117C">
            <w:pPr>
              <w:pStyle w:val="NormalIndent"/>
              <w:spacing w:before="160" w:after="160"/>
              <w:ind w:left="0"/>
              <w:rPr>
                <w:rFonts w:cstheme="minorHAnsi"/>
              </w:rPr>
            </w:pPr>
            <w:r w:rsidRPr="002C122E">
              <w:rPr>
                <w:rFonts w:cstheme="minorHAnsi"/>
              </w:rPr>
              <w:t>The safety, wellbeing and inclusion of our students and staff are paramount. We have a dedicated Student Support and Wellbeing division, conduct regular audits and maintain robust procedures.</w:t>
            </w:r>
            <w:r>
              <w:rPr>
                <w:rFonts w:cstheme="minorHAnsi"/>
              </w:rPr>
              <w:t xml:space="preserve"> </w:t>
            </w:r>
            <w:r w:rsidR="00EB21EC" w:rsidRPr="00B0030D">
              <w:rPr>
                <w:rFonts w:cstheme="minorHAnsi"/>
              </w:rPr>
              <w:t xml:space="preserve">In preparation for the National Higher Education Code to Prevent and Respond to Gender-based Violence, we have formed </w:t>
            </w:r>
            <w:r w:rsidR="00A717AA">
              <w:rPr>
                <w:rFonts w:cstheme="minorHAnsi"/>
              </w:rPr>
              <w:t>an</w:t>
            </w:r>
            <w:r w:rsidR="00EB21EC" w:rsidRPr="00B0030D">
              <w:rPr>
                <w:rFonts w:cstheme="minorHAnsi"/>
              </w:rPr>
              <w:t xml:space="preserve"> Implementation Advisory Group to plan </w:t>
            </w:r>
            <w:r w:rsidR="00A717AA">
              <w:rPr>
                <w:rFonts w:cstheme="minorHAnsi"/>
              </w:rPr>
              <w:t>to</w:t>
            </w:r>
            <w:r w:rsidR="00EB21EC" w:rsidRPr="00B0030D">
              <w:rPr>
                <w:rFonts w:cstheme="minorHAnsi"/>
              </w:rPr>
              <w:t xml:space="preserve"> implement the Code with the inclusion of students, lived experience and expertise.</w:t>
            </w:r>
            <w:r w:rsidR="004023FD" w:rsidRPr="00B0030D">
              <w:rPr>
                <w:rFonts w:cstheme="minorHAnsi"/>
              </w:rPr>
              <w:t xml:space="preserve"> </w:t>
            </w:r>
          </w:p>
          <w:p w14:paraId="707C0B4E" w14:textId="3D87AB65" w:rsidR="00077737" w:rsidRPr="006F117C" w:rsidRDefault="00E45699" w:rsidP="006F117C">
            <w:pPr>
              <w:pStyle w:val="NormalIndent"/>
              <w:spacing w:before="160" w:after="160"/>
              <w:ind w:left="0"/>
              <w:rPr>
                <w:rFonts w:asciiTheme="minorHAnsi" w:hAnsiTheme="minorHAnsi" w:cstheme="minorHAnsi"/>
                <w:szCs w:val="22"/>
              </w:rPr>
            </w:pPr>
            <w:r w:rsidRPr="005A2C18">
              <w:rPr>
                <w:rFonts w:asciiTheme="minorHAnsi" w:hAnsiTheme="minorHAnsi" w:cstheme="minorHAnsi"/>
                <w:szCs w:val="22"/>
              </w:rPr>
              <w:t xml:space="preserve">Federation is proud of its diverse community and </w:t>
            </w:r>
            <w:r>
              <w:rPr>
                <w:rFonts w:asciiTheme="minorHAnsi" w:hAnsiTheme="minorHAnsi" w:cstheme="minorHAnsi"/>
                <w:szCs w:val="22"/>
              </w:rPr>
              <w:t>works to actively</w:t>
            </w:r>
            <w:r w:rsidRPr="005A2C18">
              <w:rPr>
                <w:rFonts w:asciiTheme="minorHAnsi" w:hAnsiTheme="minorHAnsi" w:cstheme="minorHAnsi"/>
                <w:szCs w:val="22"/>
              </w:rPr>
              <w:t xml:space="preserve"> combat</w:t>
            </w:r>
            <w:r>
              <w:rPr>
                <w:rFonts w:asciiTheme="minorHAnsi" w:hAnsiTheme="minorHAnsi" w:cstheme="minorHAnsi"/>
                <w:szCs w:val="22"/>
              </w:rPr>
              <w:t xml:space="preserve"> </w:t>
            </w:r>
            <w:r w:rsidRPr="005A2C18">
              <w:rPr>
                <w:rFonts w:asciiTheme="minorHAnsi" w:hAnsiTheme="minorHAnsi" w:cstheme="minorHAnsi"/>
                <w:szCs w:val="22"/>
              </w:rPr>
              <w:t xml:space="preserve">racism, sexism and discrimination. </w:t>
            </w:r>
            <w:r w:rsidR="00F660BB">
              <w:rPr>
                <w:rFonts w:cstheme="minorHAnsi"/>
              </w:rPr>
              <w:t>We</w:t>
            </w:r>
            <w:r w:rsidR="00077737" w:rsidRPr="005F4BD5">
              <w:rPr>
                <w:rFonts w:cstheme="minorHAnsi"/>
              </w:rPr>
              <w:t xml:space="preserve"> monitor progress through our Inclusion Committee</w:t>
            </w:r>
            <w:r w:rsidR="00077737">
              <w:rPr>
                <w:rFonts w:cstheme="minorHAnsi"/>
              </w:rPr>
              <w:t xml:space="preserve"> of Council,</w:t>
            </w:r>
            <w:r w:rsidR="00077737" w:rsidRPr="005F4BD5">
              <w:rPr>
                <w:rFonts w:cstheme="minorHAnsi"/>
              </w:rPr>
              <w:t xml:space="preserve"> ensuring a respectful, safe and inclusive environment for all.</w:t>
            </w:r>
          </w:p>
          <w:p w14:paraId="61CA99A9" w14:textId="3C43178A" w:rsidR="00077737" w:rsidRPr="006307F5" w:rsidRDefault="00077737" w:rsidP="008B1F14">
            <w:pPr>
              <w:pStyle w:val="NormalIndent"/>
              <w:spacing w:before="0" w:after="0"/>
              <w:ind w:left="0"/>
              <w:rPr>
                <w:rFonts w:cstheme="minorHAnsi"/>
              </w:rPr>
            </w:pPr>
            <w:r w:rsidRPr="006307F5">
              <w:rPr>
                <w:rFonts w:cstheme="minorHAnsi"/>
                <w:b/>
                <w:bCs/>
              </w:rPr>
              <w:t>Measures of Success</w:t>
            </w:r>
          </w:p>
          <w:p w14:paraId="41DEE537" w14:textId="77777777" w:rsidR="009C6B00" w:rsidRPr="006307F5" w:rsidRDefault="009C6B00" w:rsidP="009C6B00">
            <w:pPr>
              <w:pStyle w:val="NormalIndent"/>
              <w:numPr>
                <w:ilvl w:val="0"/>
                <w:numId w:val="21"/>
              </w:numPr>
              <w:spacing w:before="0" w:after="0"/>
              <w:rPr>
                <w:rFonts w:cstheme="minorHAnsi"/>
              </w:rPr>
            </w:pPr>
            <w:r w:rsidRPr="006307F5">
              <w:rPr>
                <w:rFonts w:cstheme="minorHAnsi"/>
              </w:rPr>
              <w:t>Number of co-op placements completed</w:t>
            </w:r>
          </w:p>
          <w:p w14:paraId="1F0C51F7" w14:textId="77777777" w:rsidR="009C6B00" w:rsidRPr="006307F5" w:rsidRDefault="009C6B00" w:rsidP="009C6B00">
            <w:pPr>
              <w:pStyle w:val="NormalIndent"/>
              <w:numPr>
                <w:ilvl w:val="0"/>
                <w:numId w:val="21"/>
              </w:numPr>
              <w:spacing w:before="0" w:after="0"/>
              <w:rPr>
                <w:rFonts w:cstheme="minorHAnsi"/>
              </w:rPr>
            </w:pPr>
            <w:r w:rsidRPr="006307F5">
              <w:rPr>
                <w:rFonts w:cstheme="minorHAnsi"/>
              </w:rPr>
              <w:t xml:space="preserve">Graduate employment outcomes </w:t>
            </w:r>
          </w:p>
          <w:p w14:paraId="36B1222F" w14:textId="77777777" w:rsidR="009C6B00" w:rsidRPr="006307F5" w:rsidRDefault="009C6B00" w:rsidP="009C6B00">
            <w:pPr>
              <w:pStyle w:val="NormalIndent"/>
              <w:numPr>
                <w:ilvl w:val="0"/>
                <w:numId w:val="21"/>
              </w:numPr>
              <w:spacing w:before="0" w:after="0"/>
              <w:rPr>
                <w:rFonts w:cstheme="minorHAnsi"/>
              </w:rPr>
            </w:pPr>
            <w:r w:rsidRPr="006307F5">
              <w:rPr>
                <w:rFonts w:cstheme="minorHAnsi"/>
              </w:rPr>
              <w:t>Economic and social contribution to regional communities</w:t>
            </w:r>
          </w:p>
          <w:p w14:paraId="44793A6B" w14:textId="77777777" w:rsidR="009C6B00" w:rsidRPr="006307F5" w:rsidRDefault="009C6B00" w:rsidP="009C6B00">
            <w:pPr>
              <w:pStyle w:val="NormalIndent"/>
              <w:numPr>
                <w:ilvl w:val="0"/>
                <w:numId w:val="21"/>
              </w:numPr>
              <w:spacing w:before="0" w:after="0"/>
              <w:rPr>
                <w:rFonts w:cstheme="minorHAnsi"/>
              </w:rPr>
            </w:pPr>
            <w:r w:rsidRPr="006307F5">
              <w:rPr>
                <w:rFonts w:cstheme="minorHAnsi"/>
              </w:rPr>
              <w:t>Student retention, completion and satisfaction rates</w:t>
            </w:r>
          </w:p>
          <w:p w14:paraId="79C2F070" w14:textId="77777777" w:rsidR="009C6B00" w:rsidRPr="006307F5" w:rsidRDefault="009C6B00" w:rsidP="009C6B00">
            <w:pPr>
              <w:pStyle w:val="NormalIndent"/>
              <w:numPr>
                <w:ilvl w:val="0"/>
                <w:numId w:val="21"/>
              </w:numPr>
              <w:spacing w:before="0" w:after="0"/>
              <w:rPr>
                <w:rFonts w:cstheme="minorHAnsi"/>
              </w:rPr>
            </w:pPr>
            <w:r w:rsidRPr="006307F5">
              <w:rPr>
                <w:rFonts w:cstheme="minorHAnsi"/>
              </w:rPr>
              <w:t>Progress towards parity for equity and First Peoples’ cohorts</w:t>
            </w:r>
          </w:p>
          <w:p w14:paraId="2C91A87B" w14:textId="76C79D89" w:rsidR="00B35B2F" w:rsidRPr="00D15D42" w:rsidRDefault="00E42EF7" w:rsidP="00D15D42">
            <w:pPr>
              <w:pStyle w:val="NormalIndent"/>
              <w:numPr>
                <w:ilvl w:val="0"/>
                <w:numId w:val="21"/>
              </w:numPr>
              <w:spacing w:before="0" w:after="0"/>
              <w:rPr>
                <w:rFonts w:cstheme="minorHAnsi"/>
              </w:rPr>
            </w:pPr>
            <w:r>
              <w:rPr>
                <w:rFonts w:cstheme="minorHAnsi"/>
              </w:rPr>
              <w:t>Student and staff survey results</w:t>
            </w:r>
          </w:p>
        </w:tc>
      </w:tr>
      <w:tr w:rsidR="001B109C" w:rsidRPr="00E41388" w14:paraId="0EA45E0C" w14:textId="77777777" w:rsidTr="00B80CD5">
        <w:tc>
          <w:tcPr>
            <w:tcW w:w="5000" w:type="pct"/>
          </w:tcPr>
          <w:p w14:paraId="767F59C9" w14:textId="6521BCE0" w:rsidR="001B109C" w:rsidRDefault="00462848" w:rsidP="00B80CD5">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B80CD5">
        <w:tc>
          <w:tcPr>
            <w:tcW w:w="5000" w:type="pct"/>
          </w:tcPr>
          <w:p w14:paraId="03DC8ED6" w14:textId="77777777" w:rsidR="009B44A4" w:rsidRDefault="009B44A4" w:rsidP="00F56616">
            <w:pPr>
              <w:pStyle w:val="NormalIndent"/>
              <w:spacing w:before="160" w:after="160"/>
              <w:ind w:left="0"/>
              <w:rPr>
                <w:rFonts w:cstheme="minorHAnsi"/>
                <w:iCs/>
                <w:color w:val="000000" w:themeColor="text1"/>
              </w:rPr>
            </w:pPr>
            <w:bookmarkStart w:id="0" w:name="_Hlk150338733"/>
            <w:bookmarkStart w:id="1" w:name="_Hlk150338471"/>
            <w:r w:rsidRPr="00ED7A49">
              <w:rPr>
                <w:rFonts w:cstheme="minorHAnsi"/>
                <w:iCs/>
                <w:color w:val="000000" w:themeColor="text1"/>
              </w:rPr>
              <w:t xml:space="preserve">Equity is central to Federation’s identity as the #1 university in Australia for first generation enrolments and #1 in Victoria for social equity. </w:t>
            </w:r>
            <w:r>
              <w:rPr>
                <w:rFonts w:cstheme="minorHAnsi"/>
                <w:iCs/>
                <w:color w:val="000000" w:themeColor="text1"/>
              </w:rPr>
              <w:t>We are</w:t>
            </w:r>
            <w:r w:rsidRPr="00F1624A">
              <w:rPr>
                <w:rFonts w:cstheme="minorHAnsi"/>
                <w:iCs/>
                <w:color w:val="000000" w:themeColor="text1"/>
              </w:rPr>
              <w:t xml:space="preserve"> committed to broadening access and improving outcomes for students from under</w:t>
            </w:r>
            <w:r>
              <w:rPr>
                <w:rFonts w:cstheme="minorHAnsi"/>
                <w:iCs/>
                <w:color w:val="000000" w:themeColor="text1"/>
              </w:rPr>
              <w:t>served communities, with</w:t>
            </w:r>
            <w:r w:rsidRPr="00F1624A">
              <w:rPr>
                <w:rFonts w:cstheme="minorHAnsi"/>
                <w:iCs/>
                <w:color w:val="000000" w:themeColor="text1"/>
              </w:rPr>
              <w:t xml:space="preserve"> 60% of </w:t>
            </w:r>
            <w:r>
              <w:rPr>
                <w:rFonts w:cstheme="minorHAnsi"/>
                <w:iCs/>
                <w:color w:val="000000" w:themeColor="text1"/>
              </w:rPr>
              <w:t xml:space="preserve">Federation’s </w:t>
            </w:r>
            <w:r w:rsidRPr="00F1624A">
              <w:rPr>
                <w:rFonts w:cstheme="minorHAnsi"/>
                <w:iCs/>
                <w:color w:val="000000" w:themeColor="text1"/>
              </w:rPr>
              <w:t xml:space="preserve">students </w:t>
            </w:r>
            <w:r>
              <w:rPr>
                <w:rFonts w:cstheme="minorHAnsi"/>
                <w:iCs/>
                <w:color w:val="000000" w:themeColor="text1"/>
              </w:rPr>
              <w:t>meeting</w:t>
            </w:r>
            <w:r w:rsidRPr="00F1624A">
              <w:rPr>
                <w:rFonts w:cstheme="minorHAnsi"/>
                <w:iCs/>
                <w:color w:val="000000" w:themeColor="text1"/>
              </w:rPr>
              <w:t xml:space="preserve"> one or more equity criteria</w:t>
            </w:r>
            <w:r>
              <w:rPr>
                <w:rFonts w:cstheme="minorHAnsi"/>
                <w:iCs/>
                <w:color w:val="000000" w:themeColor="text1"/>
              </w:rPr>
              <w:t>,</w:t>
            </w:r>
            <w:r w:rsidRPr="00F1624A">
              <w:rPr>
                <w:rFonts w:cstheme="minorHAnsi"/>
                <w:iCs/>
                <w:color w:val="000000" w:themeColor="text1"/>
              </w:rPr>
              <w:t xml:space="preserve"> including First </w:t>
            </w:r>
            <w:r>
              <w:rPr>
                <w:rFonts w:cstheme="minorHAnsi"/>
                <w:iCs/>
                <w:color w:val="000000" w:themeColor="text1"/>
              </w:rPr>
              <w:t>Peoples</w:t>
            </w:r>
            <w:r w:rsidRPr="00F1624A">
              <w:rPr>
                <w:rFonts w:cstheme="minorHAnsi"/>
                <w:iCs/>
                <w:color w:val="000000" w:themeColor="text1"/>
              </w:rPr>
              <w:t xml:space="preserve">, low </w:t>
            </w:r>
            <w:r>
              <w:rPr>
                <w:rFonts w:cstheme="minorHAnsi"/>
                <w:iCs/>
                <w:color w:val="000000" w:themeColor="text1"/>
              </w:rPr>
              <w:t>SES</w:t>
            </w:r>
            <w:r w:rsidRPr="00F1624A">
              <w:rPr>
                <w:rFonts w:cstheme="minorHAnsi"/>
                <w:iCs/>
                <w:color w:val="000000" w:themeColor="text1"/>
              </w:rPr>
              <w:t>, regional/remote and students</w:t>
            </w:r>
            <w:r>
              <w:rPr>
                <w:rFonts w:cstheme="minorHAnsi"/>
                <w:iCs/>
                <w:color w:val="000000" w:themeColor="text1"/>
              </w:rPr>
              <w:t xml:space="preserve"> living</w:t>
            </w:r>
            <w:r w:rsidRPr="00F1624A">
              <w:rPr>
                <w:rFonts w:cstheme="minorHAnsi"/>
                <w:iCs/>
                <w:color w:val="000000" w:themeColor="text1"/>
              </w:rPr>
              <w:t xml:space="preserve"> </w:t>
            </w:r>
            <w:r w:rsidRPr="00F56616">
              <w:rPr>
                <w:rFonts w:asciiTheme="minorHAnsi" w:hAnsiTheme="minorHAnsi" w:cstheme="minorHAnsi"/>
                <w:szCs w:val="22"/>
              </w:rPr>
              <w:t>with</w:t>
            </w:r>
            <w:r w:rsidRPr="00F1624A">
              <w:rPr>
                <w:rFonts w:cstheme="minorHAnsi"/>
                <w:iCs/>
                <w:color w:val="000000" w:themeColor="text1"/>
              </w:rPr>
              <w:t xml:space="preserve"> </w:t>
            </w:r>
            <w:r w:rsidRPr="00F56616">
              <w:rPr>
                <w:rFonts w:asciiTheme="minorHAnsi" w:hAnsiTheme="minorHAnsi" w:cstheme="minorHAnsi"/>
                <w:szCs w:val="22"/>
              </w:rPr>
              <w:t>disability</w:t>
            </w:r>
            <w:r w:rsidRPr="00F1624A">
              <w:rPr>
                <w:rFonts w:cstheme="minorHAnsi"/>
                <w:iCs/>
                <w:color w:val="000000" w:themeColor="text1"/>
              </w:rPr>
              <w:t xml:space="preserve">. </w:t>
            </w:r>
          </w:p>
          <w:p w14:paraId="6E16EAD5" w14:textId="77777777" w:rsidR="009B44A4" w:rsidRPr="006307F5" w:rsidRDefault="009B44A4" w:rsidP="009B44A4">
            <w:pPr>
              <w:pStyle w:val="NormalIndent"/>
              <w:spacing w:before="0" w:after="0"/>
              <w:ind w:left="0"/>
              <w:rPr>
                <w:rFonts w:cstheme="minorHAnsi"/>
              </w:rPr>
            </w:pPr>
            <w:r>
              <w:rPr>
                <w:rFonts w:cstheme="minorHAnsi"/>
                <w:b/>
                <w:bCs/>
              </w:rPr>
              <w:t>Access and pathways</w:t>
            </w:r>
          </w:p>
          <w:p w14:paraId="003BE6C4" w14:textId="34C2EEED" w:rsidR="009B44A4" w:rsidRDefault="009B44A4" w:rsidP="00F56616">
            <w:pPr>
              <w:pStyle w:val="NormalIndent"/>
              <w:spacing w:before="160" w:after="160"/>
              <w:ind w:left="0"/>
              <w:rPr>
                <w:rFonts w:cstheme="minorHAnsi"/>
                <w:iCs/>
                <w:color w:val="000000" w:themeColor="text1"/>
              </w:rPr>
            </w:pPr>
            <w:r w:rsidRPr="00F1624A">
              <w:rPr>
                <w:rFonts w:cstheme="minorHAnsi"/>
                <w:iCs/>
                <w:color w:val="000000" w:themeColor="text1"/>
              </w:rPr>
              <w:t>We leverage our dual-sector status to create seamless TAFE-to-university pathways, enabling students to begin with certificates or diplomas and transition into degrees</w:t>
            </w:r>
            <w:r w:rsidR="000B7CA9">
              <w:rPr>
                <w:rFonts w:cstheme="minorHAnsi"/>
                <w:iCs/>
                <w:color w:val="000000" w:themeColor="text1"/>
              </w:rPr>
              <w:t>.</w:t>
            </w:r>
            <w:r w:rsidRPr="00F1624A">
              <w:rPr>
                <w:rFonts w:cstheme="minorHAnsi"/>
                <w:iCs/>
                <w:color w:val="000000" w:themeColor="text1"/>
              </w:rPr>
              <w:t xml:space="preserve"> The Foundation Access Studies (FAST) program offers an enabling pathway for students who do not meet standard entry requirements or need to refresh their academic skills before starting higher education. </w:t>
            </w:r>
          </w:p>
          <w:p w14:paraId="4AA3D36D" w14:textId="61927F61" w:rsidR="009B44A4" w:rsidRDefault="009B44A4" w:rsidP="00F56616">
            <w:pPr>
              <w:pStyle w:val="NormalIndent"/>
              <w:spacing w:before="160" w:after="160"/>
              <w:ind w:left="0"/>
              <w:rPr>
                <w:rFonts w:cstheme="minorHAnsi"/>
                <w:iCs/>
                <w:color w:val="000000" w:themeColor="text1"/>
              </w:rPr>
            </w:pPr>
            <w:r w:rsidRPr="00F1624A">
              <w:rPr>
                <w:rFonts w:cstheme="minorHAnsi"/>
                <w:iCs/>
                <w:color w:val="000000" w:themeColor="text1"/>
              </w:rPr>
              <w:lastRenderedPageBreak/>
              <w:t xml:space="preserve">Outreach initiatives </w:t>
            </w:r>
            <w:r w:rsidRPr="00F56616">
              <w:rPr>
                <w:rFonts w:asciiTheme="minorHAnsi" w:hAnsiTheme="minorHAnsi" w:cstheme="minorHAnsi"/>
                <w:szCs w:val="22"/>
              </w:rPr>
              <w:t>target</w:t>
            </w:r>
            <w:r w:rsidRPr="00F1624A">
              <w:rPr>
                <w:rFonts w:cstheme="minorHAnsi"/>
                <w:iCs/>
                <w:color w:val="000000" w:themeColor="text1"/>
              </w:rPr>
              <w:t xml:space="preserve"> regional and underserved schools through experience days, student ambassadors and “Bring Your Parents to Uni” events. Transition programs such as Ready Set Go in Gippsland support Year 10 students to build confidence and explore post-school pathways, while Advance to Uni allows </w:t>
            </w:r>
            <w:r w:rsidRPr="00F56616">
              <w:rPr>
                <w:rFonts w:asciiTheme="minorHAnsi" w:hAnsiTheme="minorHAnsi" w:cstheme="minorHAnsi"/>
                <w:szCs w:val="22"/>
              </w:rPr>
              <w:t>senior</w:t>
            </w:r>
            <w:r>
              <w:rPr>
                <w:rFonts w:cstheme="minorHAnsi"/>
                <w:iCs/>
                <w:color w:val="000000" w:themeColor="text1"/>
              </w:rPr>
              <w:t xml:space="preserve"> school</w:t>
            </w:r>
            <w:r w:rsidRPr="00F1624A">
              <w:rPr>
                <w:rFonts w:cstheme="minorHAnsi"/>
                <w:iCs/>
                <w:color w:val="000000" w:themeColor="text1"/>
              </w:rPr>
              <w:t xml:space="preserve"> students to try two first-year university units free of charge. Initiatives are designed to raise aspirations, demystify university and ensure that students from equity backgrounds are supported from early </w:t>
            </w:r>
            <w:r w:rsidRPr="00F56616">
              <w:rPr>
                <w:rFonts w:asciiTheme="minorHAnsi" w:hAnsiTheme="minorHAnsi" w:cstheme="minorHAnsi"/>
                <w:szCs w:val="22"/>
              </w:rPr>
              <w:t>engagement</w:t>
            </w:r>
            <w:r w:rsidRPr="00F1624A">
              <w:rPr>
                <w:rFonts w:cstheme="minorHAnsi"/>
                <w:iCs/>
                <w:color w:val="000000" w:themeColor="text1"/>
              </w:rPr>
              <w:t xml:space="preserve"> through to enrolment and success.</w:t>
            </w:r>
          </w:p>
          <w:p w14:paraId="09F2D8FD" w14:textId="77777777" w:rsidR="009B44A4" w:rsidRDefault="009B44A4" w:rsidP="009B44A4">
            <w:pPr>
              <w:pStyle w:val="NormalIndent"/>
              <w:spacing w:before="0" w:after="0"/>
              <w:ind w:left="0"/>
              <w:rPr>
                <w:rFonts w:cstheme="minorHAnsi"/>
                <w:b/>
                <w:bCs/>
              </w:rPr>
            </w:pPr>
            <w:r w:rsidRPr="00DC1FFA">
              <w:rPr>
                <w:rFonts w:cstheme="minorHAnsi"/>
                <w:b/>
                <w:bCs/>
              </w:rPr>
              <w:t>First Peoples’ Strategy</w:t>
            </w:r>
          </w:p>
          <w:p w14:paraId="3BA1392E" w14:textId="03AFFB63" w:rsidR="009B44A4" w:rsidRDefault="009B44A4" w:rsidP="585DBDF8">
            <w:pPr>
              <w:pStyle w:val="NormalIndent"/>
              <w:spacing w:before="160" w:after="160"/>
              <w:ind w:left="0"/>
              <w:rPr>
                <w:rFonts w:cstheme="minorBidi"/>
                <w:color w:val="000000" w:themeColor="text1"/>
              </w:rPr>
            </w:pPr>
            <w:r w:rsidRPr="585DBDF8">
              <w:rPr>
                <w:rFonts w:cstheme="minorBidi"/>
                <w:color w:val="000000" w:themeColor="text1"/>
              </w:rPr>
              <w:t xml:space="preserve">Lifting First Peoples’ participation is critical for Federation. </w:t>
            </w:r>
            <w:r w:rsidR="614A2E7D" w:rsidRPr="585DBDF8">
              <w:rPr>
                <w:rFonts w:cstheme="minorBidi"/>
                <w:color w:val="000000" w:themeColor="text1"/>
              </w:rPr>
              <w:t xml:space="preserve">We are working directly with regional and remote communities and the Victorian Government to co-design targeted programs that reflect local priorities and cultural strengths. Building on the work of our Aboriginal Education Centre and National Centre for Reconciliation, Truth and Justice, we are developing a whole-of-institution First Peoples’ Strategy to expand culturally safe learning, grow First Peoples’ language programs, embed Indigenous knowledges across curricula and strengthen pathways into education, research and leadership. </w:t>
            </w:r>
          </w:p>
          <w:p w14:paraId="2DE592AF" w14:textId="77777777" w:rsidR="009B44A4" w:rsidRPr="00314712" w:rsidRDefault="009B44A4" w:rsidP="009B44A4">
            <w:pPr>
              <w:pStyle w:val="NormalIndent"/>
              <w:spacing w:before="0" w:after="0"/>
              <w:ind w:left="0"/>
              <w:rPr>
                <w:rFonts w:cstheme="minorHAnsi"/>
                <w:b/>
                <w:bCs/>
              </w:rPr>
            </w:pPr>
            <w:r>
              <w:rPr>
                <w:rFonts w:cstheme="minorHAnsi"/>
                <w:b/>
                <w:bCs/>
              </w:rPr>
              <w:t>E</w:t>
            </w:r>
            <w:r w:rsidRPr="00314712">
              <w:rPr>
                <w:rFonts w:cstheme="minorHAnsi"/>
                <w:b/>
                <w:bCs/>
              </w:rPr>
              <w:t xml:space="preserve">xperience, success, retention and completion </w:t>
            </w:r>
          </w:p>
          <w:p w14:paraId="365B9D83" w14:textId="7421B28F" w:rsidR="009B44A4" w:rsidRDefault="009B44A4" w:rsidP="00F56616">
            <w:pPr>
              <w:pStyle w:val="NormalIndent"/>
              <w:spacing w:before="160" w:after="160"/>
              <w:ind w:left="0"/>
              <w:rPr>
                <w:rFonts w:cstheme="minorHAnsi"/>
                <w:iCs/>
                <w:color w:val="000000" w:themeColor="text1"/>
              </w:rPr>
            </w:pPr>
            <w:r w:rsidRPr="00F1624A">
              <w:rPr>
                <w:rFonts w:cstheme="minorHAnsi"/>
                <w:iCs/>
                <w:color w:val="000000" w:themeColor="text1"/>
              </w:rPr>
              <w:t>Federation is ranked #1 in Victoria for</w:t>
            </w:r>
            <w:r w:rsidR="00E621B6">
              <w:rPr>
                <w:rFonts w:cstheme="minorHAnsi"/>
                <w:iCs/>
                <w:color w:val="000000" w:themeColor="text1"/>
              </w:rPr>
              <w:t xml:space="preserve"> undergraduate</w:t>
            </w:r>
            <w:r w:rsidRPr="00F1624A">
              <w:rPr>
                <w:rFonts w:cstheme="minorHAnsi"/>
                <w:iCs/>
                <w:color w:val="000000" w:themeColor="text1"/>
              </w:rPr>
              <w:t xml:space="preserve"> student support and #6 nationally. Small class sizes and personal </w:t>
            </w:r>
            <w:r w:rsidRPr="00F56616">
              <w:rPr>
                <w:rFonts w:asciiTheme="minorHAnsi" w:hAnsiTheme="minorHAnsi" w:cstheme="minorHAnsi"/>
                <w:szCs w:val="22"/>
              </w:rPr>
              <w:t>attention</w:t>
            </w:r>
            <w:r w:rsidRPr="00F1624A">
              <w:rPr>
                <w:rFonts w:cstheme="minorHAnsi"/>
                <w:iCs/>
                <w:color w:val="000000" w:themeColor="text1"/>
              </w:rPr>
              <w:t xml:space="preserve"> help students succeed. A Retention and Success Taskforce uses analytics to identify and support at-risk students, which contributed to a significant turnaround in attrition from ~27% to 21% in two years. We project further improvement, with a target to reduce this to 17% by 2030. </w:t>
            </w:r>
          </w:p>
          <w:p w14:paraId="73B67E6F" w14:textId="45E14A05" w:rsidR="009B44A4" w:rsidRDefault="009B44A4" w:rsidP="00F56616">
            <w:pPr>
              <w:pStyle w:val="NormalIndent"/>
              <w:spacing w:before="0" w:after="160"/>
              <w:ind w:left="0"/>
              <w:rPr>
                <w:rFonts w:cstheme="minorHAnsi"/>
                <w:iCs/>
                <w:color w:val="000000" w:themeColor="text1"/>
              </w:rPr>
            </w:pPr>
            <w:r w:rsidRPr="00F1624A">
              <w:rPr>
                <w:rFonts w:cstheme="minorHAnsi"/>
                <w:iCs/>
                <w:color w:val="000000" w:themeColor="text1"/>
              </w:rPr>
              <w:t xml:space="preserve">Academic support includes writing mentors, innovation in mathematics and statistics support and peer tutoring. Flexible learning options accommodate part-time students and those with family responsibilities. The Disability Liaison Unit provides extensive support, with 18% of </w:t>
            </w:r>
            <w:r w:rsidR="00AE0061">
              <w:rPr>
                <w:rFonts w:cstheme="minorHAnsi"/>
                <w:iCs/>
                <w:color w:val="000000" w:themeColor="text1"/>
              </w:rPr>
              <w:t xml:space="preserve">Federation </w:t>
            </w:r>
            <w:r w:rsidRPr="00F1624A">
              <w:rPr>
                <w:rFonts w:cstheme="minorHAnsi"/>
                <w:iCs/>
                <w:color w:val="000000" w:themeColor="text1"/>
              </w:rPr>
              <w:t xml:space="preserve">students identifying as living with a </w:t>
            </w:r>
            <w:r w:rsidRPr="00F56616">
              <w:rPr>
                <w:rFonts w:cstheme="minorBidi"/>
              </w:rPr>
              <w:t>disability</w:t>
            </w:r>
            <w:r w:rsidRPr="00F1624A">
              <w:rPr>
                <w:rFonts w:cstheme="minorHAnsi"/>
                <w:iCs/>
                <w:color w:val="000000" w:themeColor="text1"/>
              </w:rPr>
              <w:t xml:space="preserve">, well above the national average. </w:t>
            </w:r>
          </w:p>
          <w:p w14:paraId="6DF8A623" w14:textId="77777777" w:rsidR="009B44A4" w:rsidRDefault="009B44A4" w:rsidP="00F56616">
            <w:pPr>
              <w:pStyle w:val="NormalIndent"/>
              <w:spacing w:before="160" w:after="160"/>
              <w:ind w:left="0"/>
              <w:rPr>
                <w:rFonts w:cstheme="minorHAnsi"/>
                <w:iCs/>
                <w:color w:val="000000" w:themeColor="text1"/>
              </w:rPr>
            </w:pPr>
            <w:r w:rsidRPr="78DC8552">
              <w:rPr>
                <w:rFonts w:cstheme="minorBidi"/>
              </w:rPr>
              <w:t xml:space="preserve">Financial barriers are addressed through over 200 scholarships and bursaries, including the </w:t>
            </w:r>
            <w:proofErr w:type="spellStart"/>
            <w:r w:rsidRPr="78DC8552">
              <w:rPr>
                <w:rFonts w:cstheme="minorBidi"/>
              </w:rPr>
              <w:t>KickStart</w:t>
            </w:r>
            <w:proofErr w:type="spellEnd"/>
            <w:r w:rsidRPr="78DC8552">
              <w:rPr>
                <w:rFonts w:cstheme="minorBidi"/>
              </w:rPr>
              <w:t xml:space="preserve"> bursary for remote students </w:t>
            </w:r>
            <w:r w:rsidRPr="00F56616">
              <w:rPr>
                <w:rFonts w:asciiTheme="minorHAnsi" w:hAnsiTheme="minorHAnsi" w:cstheme="minorHAnsi"/>
                <w:szCs w:val="22"/>
              </w:rPr>
              <w:t>and</w:t>
            </w:r>
            <w:r w:rsidRPr="78DC8552">
              <w:rPr>
                <w:rFonts w:cstheme="minorBidi"/>
              </w:rPr>
              <w:t xml:space="preserve"> emergency funds for those at risk of deferring.</w:t>
            </w:r>
            <w:r>
              <w:rPr>
                <w:rFonts w:cstheme="minorBidi"/>
              </w:rPr>
              <w:t xml:space="preserve"> Other </w:t>
            </w:r>
            <w:r w:rsidRPr="00F1624A">
              <w:rPr>
                <w:rFonts w:cstheme="minorHAnsi"/>
                <w:iCs/>
                <w:color w:val="000000" w:themeColor="text1"/>
              </w:rPr>
              <w:t>supports include food banks, free counselling and peer mentoring programs. The co-op model integrates paid placements into degrees, reducing financial stress and improving employment outcomes.</w:t>
            </w:r>
          </w:p>
          <w:p w14:paraId="770A7144" w14:textId="77777777" w:rsidR="009B44A4" w:rsidRDefault="009B44A4" w:rsidP="00F56616">
            <w:pPr>
              <w:pStyle w:val="NormalIndent"/>
              <w:spacing w:before="160" w:after="160"/>
              <w:ind w:left="0"/>
              <w:rPr>
                <w:rFonts w:cstheme="minorBidi"/>
              </w:rPr>
            </w:pPr>
            <w:r>
              <w:rPr>
                <w:rFonts w:cstheme="minorBidi"/>
              </w:rPr>
              <w:t xml:space="preserve">We are committed to </w:t>
            </w:r>
            <w:r w:rsidRPr="003B015A">
              <w:rPr>
                <w:rFonts w:cstheme="minorBidi"/>
              </w:rPr>
              <w:t>ensur</w:t>
            </w:r>
            <w:r>
              <w:rPr>
                <w:rFonts w:cstheme="minorBidi"/>
              </w:rPr>
              <w:t>ing</w:t>
            </w:r>
            <w:r w:rsidRPr="003B015A">
              <w:rPr>
                <w:rFonts w:cstheme="minorBidi"/>
              </w:rPr>
              <w:t xml:space="preserve"> students are directly involved in shaping policies and actions that affect their experience</w:t>
            </w:r>
            <w:r>
              <w:rPr>
                <w:rFonts w:cstheme="minorBidi"/>
              </w:rPr>
              <w:t xml:space="preserve">, </w:t>
            </w:r>
            <w:r w:rsidRPr="00F56616">
              <w:rPr>
                <w:rFonts w:asciiTheme="minorHAnsi" w:hAnsiTheme="minorHAnsi" w:cstheme="minorHAnsi"/>
                <w:szCs w:val="22"/>
              </w:rPr>
              <w:t>including</w:t>
            </w:r>
            <w:r>
              <w:rPr>
                <w:rFonts w:cstheme="minorBidi"/>
              </w:rPr>
              <w:t xml:space="preserve"> through our </w:t>
            </w:r>
            <w:hyperlink r:id="rId17" w:history="1">
              <w:r w:rsidRPr="00947A88">
                <w:rPr>
                  <w:rStyle w:val="Hyperlink"/>
                  <w:rFonts w:cstheme="minorBidi"/>
                </w:rPr>
                <w:t>Student Equity and Inclusion Network</w:t>
              </w:r>
            </w:hyperlink>
            <w:r>
              <w:rPr>
                <w:rFonts w:cstheme="minorBidi"/>
              </w:rPr>
              <w:t xml:space="preserve">, </w:t>
            </w:r>
            <w:r w:rsidRPr="00641918">
              <w:rPr>
                <w:rFonts w:cstheme="minorBidi"/>
              </w:rPr>
              <w:t xml:space="preserve">a student-led advisory body comprising 10–12 members from diverse backgrounds, ensuring intersectional representation across equity cohorts. </w:t>
            </w:r>
          </w:p>
          <w:p w14:paraId="5E02CE8C" w14:textId="290B8E7A" w:rsidR="009B44A4" w:rsidRPr="00D67E47" w:rsidRDefault="009B44A4" w:rsidP="00F56616">
            <w:pPr>
              <w:pStyle w:val="NormalIndent"/>
              <w:spacing w:before="160" w:after="160"/>
              <w:ind w:left="0"/>
              <w:rPr>
                <w:rFonts w:cstheme="minorHAnsi"/>
                <w:iCs/>
                <w:color w:val="000000" w:themeColor="text1"/>
              </w:rPr>
            </w:pPr>
            <w:r w:rsidRPr="00F1624A">
              <w:rPr>
                <w:rFonts w:cstheme="minorHAnsi"/>
                <w:iCs/>
                <w:color w:val="000000" w:themeColor="text1"/>
              </w:rPr>
              <w:t xml:space="preserve">Federation tracks success, retention, completion rates and graduate outcomes by cohort. </w:t>
            </w:r>
            <w:r>
              <w:rPr>
                <w:rFonts w:cstheme="minorHAnsi"/>
                <w:iCs/>
                <w:color w:val="000000" w:themeColor="text1"/>
              </w:rPr>
              <w:t>I</w:t>
            </w:r>
            <w:r w:rsidRPr="00F1624A">
              <w:rPr>
                <w:rFonts w:cstheme="minorHAnsi"/>
                <w:iCs/>
                <w:color w:val="000000" w:themeColor="text1"/>
              </w:rPr>
              <w:t xml:space="preserve">mproved retention and success rates will lead to higher completion rates over time, with the goal of achieving parity between equity students and Federation’s broader student cohort. Despite the challenges faced by many equity students, Federation delivers consistently strong graduate employment </w:t>
            </w:r>
            <w:proofErr w:type="gramStart"/>
            <w:r w:rsidRPr="00F1624A">
              <w:rPr>
                <w:rFonts w:cstheme="minorHAnsi"/>
                <w:iCs/>
                <w:color w:val="000000" w:themeColor="text1"/>
              </w:rPr>
              <w:t>outcomes</w:t>
            </w:r>
            <w:proofErr w:type="gramEnd"/>
            <w:r w:rsidR="0052295C">
              <w:rPr>
                <w:rFonts w:cstheme="minorHAnsi"/>
                <w:iCs/>
                <w:color w:val="000000" w:themeColor="text1"/>
              </w:rPr>
              <w:t xml:space="preserve"> </w:t>
            </w:r>
            <w:r w:rsidRPr="00F1624A">
              <w:rPr>
                <w:rFonts w:cstheme="minorHAnsi"/>
                <w:iCs/>
                <w:color w:val="000000" w:themeColor="text1"/>
              </w:rPr>
              <w:t>and our graduates have the second-highest starting salaries in Victoria, strongly positioning them for successful and rewarding careers.</w:t>
            </w:r>
          </w:p>
          <w:p w14:paraId="2CBAAD06" w14:textId="77777777" w:rsidR="009B44A4" w:rsidRDefault="009B44A4" w:rsidP="009B44A4">
            <w:pPr>
              <w:pStyle w:val="NormalIndent"/>
              <w:spacing w:before="0" w:after="0"/>
              <w:ind w:left="0"/>
              <w:rPr>
                <w:rFonts w:cstheme="minorHAnsi"/>
                <w:b/>
                <w:bCs/>
                <w:iCs/>
                <w:color w:val="000000" w:themeColor="text1"/>
              </w:rPr>
            </w:pPr>
            <w:r w:rsidRPr="00F1624A">
              <w:rPr>
                <w:rFonts w:cstheme="minorHAnsi"/>
                <w:b/>
                <w:bCs/>
                <w:iCs/>
                <w:color w:val="000000" w:themeColor="text1"/>
              </w:rPr>
              <w:t>HECG Funding</w:t>
            </w:r>
          </w:p>
          <w:p w14:paraId="797E8D06" w14:textId="2456AA98" w:rsidR="009B44A4" w:rsidRPr="00F1624A" w:rsidRDefault="009B44A4" w:rsidP="00F56616">
            <w:pPr>
              <w:pStyle w:val="NormalIndent"/>
              <w:spacing w:before="160" w:after="160"/>
              <w:ind w:left="0"/>
              <w:rPr>
                <w:rFonts w:cstheme="minorHAnsi"/>
                <w:iCs/>
                <w:color w:val="000000" w:themeColor="text1"/>
              </w:rPr>
            </w:pPr>
            <w:r w:rsidRPr="00F1624A">
              <w:rPr>
                <w:rFonts w:cstheme="minorHAnsi"/>
                <w:iCs/>
                <w:color w:val="000000" w:themeColor="text1"/>
              </w:rPr>
              <w:t>Higher Education Continuity Grant funding will be used to expand outreach</w:t>
            </w:r>
            <w:r>
              <w:rPr>
                <w:rFonts w:cstheme="minorHAnsi"/>
                <w:iCs/>
                <w:color w:val="000000" w:themeColor="text1"/>
              </w:rPr>
              <w:t xml:space="preserve"> and enhance student support, experience and </w:t>
            </w:r>
            <w:r w:rsidRPr="00F56616">
              <w:rPr>
                <w:rFonts w:asciiTheme="minorHAnsi" w:hAnsiTheme="minorHAnsi" w:cstheme="minorHAnsi"/>
                <w:szCs w:val="22"/>
              </w:rPr>
              <w:t>outcomes</w:t>
            </w:r>
            <w:r>
              <w:rPr>
                <w:rFonts w:cstheme="minorHAnsi"/>
                <w:iCs/>
                <w:color w:val="000000" w:themeColor="text1"/>
              </w:rPr>
              <w:t xml:space="preserve">. </w:t>
            </w:r>
            <w:r w:rsidRPr="00F1624A">
              <w:rPr>
                <w:rFonts w:cstheme="minorHAnsi"/>
                <w:iCs/>
                <w:color w:val="000000" w:themeColor="text1"/>
              </w:rPr>
              <w:t xml:space="preserve">These initiatives </w:t>
            </w:r>
            <w:r>
              <w:rPr>
                <w:rFonts w:cstheme="minorHAnsi"/>
                <w:iCs/>
                <w:color w:val="000000" w:themeColor="text1"/>
              </w:rPr>
              <w:t>are</w:t>
            </w:r>
            <w:r w:rsidRPr="00F1624A">
              <w:rPr>
                <w:rFonts w:cstheme="minorHAnsi"/>
                <w:iCs/>
                <w:color w:val="000000" w:themeColor="text1"/>
              </w:rPr>
              <w:t xml:space="preserve"> detailed in </w:t>
            </w:r>
            <w:r>
              <w:rPr>
                <w:rFonts w:cstheme="minorHAnsi"/>
                <w:iCs/>
                <w:color w:val="000000" w:themeColor="text1"/>
              </w:rPr>
              <w:t>Federation’s</w:t>
            </w:r>
            <w:r w:rsidRPr="00F1624A">
              <w:rPr>
                <w:rFonts w:cstheme="minorHAnsi"/>
                <w:iCs/>
                <w:color w:val="000000" w:themeColor="text1"/>
              </w:rPr>
              <w:t xml:space="preserve"> Equity Plan.</w:t>
            </w:r>
          </w:p>
          <w:p w14:paraId="06F51F63" w14:textId="77777777" w:rsidR="009B44A4" w:rsidRDefault="009B44A4" w:rsidP="009B44A4">
            <w:pPr>
              <w:pStyle w:val="NormalIndent"/>
              <w:spacing w:before="0" w:after="0"/>
              <w:ind w:left="0"/>
              <w:rPr>
                <w:rFonts w:cstheme="minorHAnsi"/>
                <w:b/>
                <w:bCs/>
                <w:iCs/>
                <w:color w:val="000000" w:themeColor="text1"/>
              </w:rPr>
            </w:pPr>
            <w:r w:rsidRPr="00F1624A">
              <w:rPr>
                <w:rFonts w:cstheme="minorHAnsi"/>
                <w:b/>
                <w:bCs/>
                <w:iCs/>
                <w:color w:val="000000" w:themeColor="text1"/>
              </w:rPr>
              <w:t>Measures of success</w:t>
            </w:r>
          </w:p>
          <w:p w14:paraId="69B8EC08" w14:textId="77777777" w:rsidR="002C3A7E" w:rsidRDefault="009B44A4" w:rsidP="002C3A7E">
            <w:pPr>
              <w:pStyle w:val="NormalIndent"/>
              <w:numPr>
                <w:ilvl w:val="0"/>
                <w:numId w:val="29"/>
              </w:numPr>
              <w:spacing w:before="0" w:after="0"/>
              <w:rPr>
                <w:rFonts w:cstheme="minorHAnsi"/>
                <w:iCs/>
                <w:color w:val="000000" w:themeColor="text1"/>
              </w:rPr>
            </w:pPr>
            <w:r w:rsidRPr="002C3A7E">
              <w:rPr>
                <w:rFonts w:cstheme="minorHAnsi"/>
                <w:iCs/>
                <w:color w:val="000000" w:themeColor="text1"/>
              </w:rPr>
              <w:t xml:space="preserve">Participation, retention and </w:t>
            </w:r>
            <w:r w:rsidRPr="002C3A7E">
              <w:rPr>
                <w:rFonts w:asciiTheme="minorHAnsi" w:hAnsiTheme="minorHAnsi" w:cstheme="minorHAnsi"/>
                <w:szCs w:val="22"/>
              </w:rPr>
              <w:t>completion</w:t>
            </w:r>
            <w:r w:rsidRPr="002C3A7E">
              <w:rPr>
                <w:rFonts w:cstheme="minorHAnsi"/>
                <w:iCs/>
                <w:color w:val="000000" w:themeColor="text1"/>
              </w:rPr>
              <w:t xml:space="preserve"> rates for equity cohort</w:t>
            </w:r>
            <w:r w:rsidR="002C3A7E" w:rsidRPr="002C3A7E">
              <w:rPr>
                <w:rFonts w:cstheme="minorHAnsi"/>
                <w:iCs/>
                <w:color w:val="000000" w:themeColor="text1"/>
              </w:rPr>
              <w:t>s</w:t>
            </w:r>
          </w:p>
          <w:p w14:paraId="58DD8344" w14:textId="77777777" w:rsidR="002C3A7E" w:rsidRDefault="002C3A7E" w:rsidP="002C3A7E">
            <w:pPr>
              <w:pStyle w:val="NormalIndent"/>
              <w:numPr>
                <w:ilvl w:val="0"/>
                <w:numId w:val="29"/>
              </w:numPr>
              <w:spacing w:before="0" w:after="0"/>
              <w:rPr>
                <w:rFonts w:cstheme="minorHAnsi"/>
                <w:iCs/>
                <w:color w:val="000000" w:themeColor="text1"/>
              </w:rPr>
            </w:pPr>
            <w:r>
              <w:rPr>
                <w:rFonts w:cstheme="minorHAnsi"/>
                <w:iCs/>
                <w:color w:val="000000" w:themeColor="text1"/>
              </w:rPr>
              <w:t>N</w:t>
            </w:r>
            <w:r w:rsidR="009B44A4" w:rsidRPr="002C3A7E">
              <w:rPr>
                <w:rFonts w:cstheme="minorHAnsi"/>
                <w:iCs/>
                <w:color w:val="000000" w:themeColor="text1"/>
              </w:rPr>
              <w:t>umber of students accessing enabling and pathway programs</w:t>
            </w:r>
          </w:p>
          <w:p w14:paraId="5B82EB35" w14:textId="77777777" w:rsidR="002C3A7E" w:rsidRDefault="002C3A7E" w:rsidP="002C3A7E">
            <w:pPr>
              <w:pStyle w:val="NormalIndent"/>
              <w:numPr>
                <w:ilvl w:val="0"/>
                <w:numId w:val="29"/>
              </w:numPr>
              <w:spacing w:before="0" w:after="0"/>
              <w:rPr>
                <w:rFonts w:cstheme="minorHAnsi"/>
                <w:iCs/>
                <w:color w:val="000000" w:themeColor="text1"/>
              </w:rPr>
            </w:pPr>
            <w:r>
              <w:rPr>
                <w:rFonts w:cstheme="minorHAnsi"/>
                <w:iCs/>
                <w:color w:val="000000" w:themeColor="text1"/>
              </w:rPr>
              <w:t>A</w:t>
            </w:r>
            <w:r w:rsidR="009B44A4" w:rsidRPr="002C3A7E">
              <w:rPr>
                <w:rFonts w:cstheme="minorHAnsi"/>
                <w:iCs/>
                <w:color w:val="000000" w:themeColor="text1"/>
              </w:rPr>
              <w:t>ttainment rates in regional Victoria</w:t>
            </w:r>
          </w:p>
          <w:p w14:paraId="04C1C45A" w14:textId="08590E36" w:rsidR="009B44A4" w:rsidRPr="002C3A7E" w:rsidRDefault="002C3A7E" w:rsidP="002C3A7E">
            <w:pPr>
              <w:pStyle w:val="NormalIndent"/>
              <w:numPr>
                <w:ilvl w:val="0"/>
                <w:numId w:val="29"/>
              </w:numPr>
              <w:spacing w:before="0"/>
              <w:rPr>
                <w:rFonts w:cstheme="minorHAnsi"/>
                <w:iCs/>
                <w:color w:val="000000" w:themeColor="text1"/>
              </w:rPr>
            </w:pPr>
            <w:r w:rsidRPr="002C3A7E">
              <w:rPr>
                <w:rFonts w:cstheme="minorHAnsi"/>
                <w:iCs/>
                <w:color w:val="000000" w:themeColor="text1"/>
              </w:rPr>
              <w:lastRenderedPageBreak/>
              <w:t>P</w:t>
            </w:r>
            <w:r w:rsidR="009B44A4" w:rsidRPr="002C3A7E">
              <w:rPr>
                <w:rFonts w:cstheme="minorHAnsi"/>
                <w:iCs/>
                <w:color w:val="000000" w:themeColor="text1"/>
              </w:rPr>
              <w:t>rogress towards parity in outcomes for underserved groups.</w:t>
            </w:r>
          </w:p>
          <w:p w14:paraId="5D87D267" w14:textId="6F59FE4C" w:rsidR="009B44A4" w:rsidRPr="00F1624A" w:rsidRDefault="009B44A4" w:rsidP="009B44A4">
            <w:pPr>
              <w:pStyle w:val="NormalIndent"/>
              <w:spacing w:before="0" w:after="0"/>
              <w:ind w:left="0"/>
              <w:rPr>
                <w:rFonts w:cstheme="minorHAnsi"/>
                <w:iCs/>
                <w:color w:val="000000" w:themeColor="text1"/>
              </w:rPr>
            </w:pPr>
            <w:r w:rsidRPr="00F1624A">
              <w:rPr>
                <w:rFonts w:cstheme="minorHAnsi"/>
                <w:b/>
                <w:bCs/>
                <w:iCs/>
                <w:color w:val="000000" w:themeColor="text1"/>
              </w:rPr>
              <w:t>Further information</w:t>
            </w:r>
          </w:p>
          <w:p w14:paraId="3E9FABE9" w14:textId="77777777" w:rsidR="009B44A4" w:rsidRPr="00F1624A" w:rsidRDefault="009B44A4" w:rsidP="009B44A4">
            <w:pPr>
              <w:pStyle w:val="NormalIndent"/>
              <w:numPr>
                <w:ilvl w:val="0"/>
                <w:numId w:val="23"/>
              </w:numPr>
              <w:spacing w:before="0" w:after="0"/>
              <w:ind w:left="11"/>
              <w:rPr>
                <w:rFonts w:cstheme="minorHAnsi"/>
                <w:iCs/>
                <w:color w:val="000000" w:themeColor="text1"/>
              </w:rPr>
            </w:pPr>
            <w:hyperlink r:id="rId18" w:history="1">
              <w:r w:rsidRPr="00D938B0">
                <w:rPr>
                  <w:rStyle w:val="Hyperlink"/>
                  <w:rFonts w:cstheme="minorHAnsi"/>
                  <w:iCs/>
                </w:rPr>
                <w:t xml:space="preserve">Students and Support for Students Policy </w:t>
              </w:r>
            </w:hyperlink>
          </w:p>
          <w:p w14:paraId="0E92D21B" w14:textId="77777777" w:rsidR="009B44A4" w:rsidRPr="00AE2CEA" w:rsidRDefault="009B44A4" w:rsidP="009B44A4">
            <w:pPr>
              <w:pStyle w:val="NormalIndent"/>
              <w:numPr>
                <w:ilvl w:val="0"/>
                <w:numId w:val="23"/>
              </w:numPr>
              <w:spacing w:before="0" w:after="0"/>
              <w:ind w:left="11"/>
              <w:rPr>
                <w:rFonts w:cstheme="minorHAnsi"/>
                <w:iCs/>
                <w:color w:val="FF0000"/>
              </w:rPr>
            </w:pPr>
            <w:hyperlink r:id="rId19" w:history="1">
              <w:r w:rsidRPr="00A61FD8">
                <w:rPr>
                  <w:rStyle w:val="Hyperlink"/>
                  <w:rFonts w:cstheme="minorHAnsi"/>
                  <w:iCs/>
                </w:rPr>
                <w:t>Support services - Federation University Australia</w:t>
              </w:r>
            </w:hyperlink>
          </w:p>
          <w:p w14:paraId="3192FBB9" w14:textId="77777777" w:rsidR="009B44A4" w:rsidRDefault="009B44A4" w:rsidP="009B44A4">
            <w:pPr>
              <w:pStyle w:val="NormalIndent"/>
              <w:numPr>
                <w:ilvl w:val="0"/>
                <w:numId w:val="23"/>
              </w:numPr>
              <w:spacing w:before="0" w:after="0"/>
              <w:ind w:left="11"/>
              <w:rPr>
                <w:rFonts w:cstheme="minorHAnsi"/>
                <w:iCs/>
                <w:color w:val="FF0000"/>
              </w:rPr>
            </w:pPr>
            <w:hyperlink r:id="rId20" w:history="1">
              <w:r w:rsidRPr="00AE2CEA">
                <w:rPr>
                  <w:rStyle w:val="Hyperlink"/>
                  <w:rFonts w:cstheme="minorHAnsi"/>
                  <w:iCs/>
                </w:rPr>
                <w:t>Equity and inclusion - Federation University Australia</w:t>
              </w:r>
            </w:hyperlink>
          </w:p>
          <w:bookmarkEnd w:id="0"/>
          <w:bookmarkEnd w:id="1"/>
          <w:p w14:paraId="22B87A46" w14:textId="32CFDDFB" w:rsidR="00AE2CEA" w:rsidRPr="00F56616" w:rsidRDefault="00AE2CEA" w:rsidP="00F56616">
            <w:pPr>
              <w:pStyle w:val="NormalIndent"/>
              <w:numPr>
                <w:ilvl w:val="0"/>
                <w:numId w:val="23"/>
              </w:numPr>
              <w:spacing w:before="0" w:after="0"/>
              <w:ind w:left="11"/>
              <w:rPr>
                <w:rFonts w:cstheme="minorHAnsi"/>
                <w:iCs/>
                <w:color w:val="FF0000"/>
              </w:rPr>
            </w:pPr>
          </w:p>
        </w:tc>
      </w:tr>
      <w:tr w:rsidR="001B109C" w:rsidRPr="00E41388" w14:paraId="39ADE404" w14:textId="77777777" w:rsidTr="00B80CD5">
        <w:tc>
          <w:tcPr>
            <w:tcW w:w="5000" w:type="pct"/>
          </w:tcPr>
          <w:p w14:paraId="5E8BF11E" w14:textId="0E120B78" w:rsidR="001B109C" w:rsidRPr="002A58A5" w:rsidRDefault="001B109C" w:rsidP="00B80CD5">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B80CD5">
        <w:trPr>
          <w:trHeight w:val="977"/>
        </w:trPr>
        <w:tc>
          <w:tcPr>
            <w:tcW w:w="5000" w:type="pct"/>
            <w:tcBorders>
              <w:bottom w:val="single" w:sz="4" w:space="0" w:color="auto"/>
            </w:tcBorders>
          </w:tcPr>
          <w:p w14:paraId="6E41F6BB" w14:textId="22DBF45D" w:rsidR="00C83D34" w:rsidRDefault="00C83D34" w:rsidP="00C83D34">
            <w:pPr>
              <w:pStyle w:val="NormalIndent"/>
              <w:spacing w:after="0"/>
              <w:ind w:left="0"/>
              <w:rPr>
                <w:rFonts w:cstheme="minorHAnsi"/>
                <w:iCs/>
                <w:color w:val="000000" w:themeColor="text1"/>
              </w:rPr>
            </w:pPr>
            <w:r w:rsidRPr="00306105">
              <w:rPr>
                <w:rFonts w:cstheme="minorHAnsi"/>
                <w:iCs/>
                <w:color w:val="000000" w:themeColor="text1"/>
              </w:rPr>
              <w:t xml:space="preserve">Our </w:t>
            </w:r>
            <w:r w:rsidRPr="00306105">
              <w:rPr>
                <w:rFonts w:cstheme="minorHAnsi"/>
                <w:i/>
                <w:color w:val="000000" w:themeColor="text1"/>
              </w:rPr>
              <w:t>Learning and Teaching Strategy 2025–2030</w:t>
            </w:r>
            <w:r>
              <w:rPr>
                <w:rFonts w:cstheme="minorHAnsi"/>
                <w:iCs/>
                <w:color w:val="000000" w:themeColor="text1"/>
              </w:rPr>
              <w:t xml:space="preserve"> (in development)</w:t>
            </w:r>
            <w:r w:rsidRPr="00306105">
              <w:rPr>
                <w:rFonts w:cstheme="minorHAnsi"/>
                <w:iCs/>
                <w:color w:val="000000" w:themeColor="text1"/>
              </w:rPr>
              <w:t xml:space="preserve"> focuses on three priorities: </w:t>
            </w:r>
            <w:r w:rsidR="00F420F6">
              <w:rPr>
                <w:rFonts w:cstheme="minorHAnsi"/>
                <w:iCs/>
                <w:color w:val="000000" w:themeColor="text1"/>
              </w:rPr>
              <w:t>exemplar</w:t>
            </w:r>
            <w:r w:rsidRPr="00306105">
              <w:rPr>
                <w:rFonts w:cstheme="minorHAnsi"/>
                <w:iCs/>
                <w:color w:val="000000" w:themeColor="text1"/>
              </w:rPr>
              <w:t xml:space="preserve"> in co-operative education, outstanding student experience and success and sustainability in delivery. </w:t>
            </w:r>
          </w:p>
          <w:p w14:paraId="07EA2C00" w14:textId="77777777" w:rsidR="00085637" w:rsidRDefault="00085637" w:rsidP="00527AB9">
            <w:pPr>
              <w:pStyle w:val="NormalIndent"/>
              <w:spacing w:after="0"/>
              <w:ind w:left="0"/>
              <w:rPr>
                <w:rFonts w:cstheme="minorHAnsi"/>
                <w:b/>
                <w:bCs/>
                <w:iCs/>
                <w:color w:val="000000" w:themeColor="text1"/>
              </w:rPr>
            </w:pPr>
            <w:r w:rsidRPr="00085637">
              <w:rPr>
                <w:rFonts w:cstheme="minorHAnsi"/>
                <w:b/>
                <w:bCs/>
                <w:iCs/>
                <w:color w:val="000000" w:themeColor="text1"/>
              </w:rPr>
              <w:t>Exemplar in Co-operative Education</w:t>
            </w:r>
          </w:p>
          <w:p w14:paraId="5AE25577" w14:textId="6DBF1098" w:rsidR="002212ED" w:rsidRDefault="002212ED" w:rsidP="002212ED">
            <w:pPr>
              <w:pStyle w:val="NormalIndent"/>
              <w:spacing w:after="0"/>
              <w:ind w:left="0"/>
              <w:rPr>
                <w:rFonts w:cstheme="minorHAnsi"/>
                <w:iCs/>
                <w:color w:val="000000" w:themeColor="text1"/>
              </w:rPr>
            </w:pPr>
            <w:r>
              <w:rPr>
                <w:rFonts w:cstheme="minorHAnsi"/>
                <w:iCs/>
                <w:color w:val="000000" w:themeColor="text1"/>
              </w:rPr>
              <w:t>Our</w:t>
            </w:r>
            <w:r w:rsidRPr="00306105">
              <w:rPr>
                <w:rFonts w:cstheme="minorHAnsi"/>
                <w:iCs/>
                <w:color w:val="000000" w:themeColor="text1"/>
              </w:rPr>
              <w:t xml:space="preserve"> </w:t>
            </w:r>
            <w:r>
              <w:rPr>
                <w:rFonts w:cstheme="minorHAnsi"/>
                <w:iCs/>
                <w:color w:val="000000" w:themeColor="text1"/>
              </w:rPr>
              <w:t>c</w:t>
            </w:r>
            <w:r w:rsidRPr="00306105">
              <w:rPr>
                <w:rFonts w:cstheme="minorHAnsi"/>
                <w:iCs/>
                <w:color w:val="000000" w:themeColor="text1"/>
              </w:rPr>
              <w:t>o-op</w:t>
            </w:r>
            <w:r>
              <w:rPr>
                <w:rFonts w:cstheme="minorHAnsi"/>
                <w:iCs/>
                <w:color w:val="000000" w:themeColor="text1"/>
              </w:rPr>
              <w:t xml:space="preserve"> m</w:t>
            </w:r>
            <w:r w:rsidRPr="00306105">
              <w:rPr>
                <w:rFonts w:cstheme="minorHAnsi"/>
                <w:iCs/>
                <w:color w:val="000000" w:themeColor="text1"/>
              </w:rPr>
              <w:t>odel</w:t>
            </w:r>
            <w:r>
              <w:rPr>
                <w:rFonts w:cstheme="minorHAnsi"/>
                <w:iCs/>
                <w:color w:val="000000" w:themeColor="text1"/>
              </w:rPr>
              <w:t xml:space="preserve"> </w:t>
            </w:r>
            <w:r w:rsidRPr="00306105">
              <w:rPr>
                <w:rFonts w:cstheme="minorHAnsi"/>
                <w:iCs/>
                <w:color w:val="000000" w:themeColor="text1"/>
              </w:rPr>
              <w:t>integrates academic learning with structured, meaningful workplace experiences. By 2026, all in-scope programs will embed co-op placements, ensuring students graduate with industry-relevant skills and experience.</w:t>
            </w:r>
            <w:r>
              <w:rPr>
                <w:rFonts w:cstheme="minorHAnsi"/>
                <w:iCs/>
                <w:color w:val="000000" w:themeColor="text1"/>
              </w:rPr>
              <w:t xml:space="preserve"> </w:t>
            </w:r>
            <w:r w:rsidRPr="00306105">
              <w:rPr>
                <w:rFonts w:cstheme="minorHAnsi"/>
                <w:iCs/>
                <w:color w:val="000000" w:themeColor="text1"/>
              </w:rPr>
              <w:t>We are expanding cadetships, paid internships and research placements, supported by a digital marketplace for co-op opportunities. Industry partnerships are deepened through staff exchanges, co-teaching and co-designed programs</w:t>
            </w:r>
            <w:r>
              <w:rPr>
                <w:rFonts w:cstheme="minorHAnsi"/>
                <w:iCs/>
                <w:color w:val="000000" w:themeColor="text1"/>
              </w:rPr>
              <w:t>.</w:t>
            </w:r>
          </w:p>
          <w:p w14:paraId="51BDB737" w14:textId="51E1CB47" w:rsidR="00A575BB" w:rsidRDefault="00A575BB" w:rsidP="00527AB9">
            <w:pPr>
              <w:pStyle w:val="NormalIndent"/>
              <w:spacing w:after="0"/>
              <w:ind w:left="0"/>
              <w:rPr>
                <w:rFonts w:cstheme="minorHAnsi"/>
                <w:b/>
                <w:bCs/>
                <w:iCs/>
                <w:color w:val="000000" w:themeColor="text1"/>
              </w:rPr>
            </w:pPr>
            <w:r w:rsidRPr="00A575BB">
              <w:rPr>
                <w:rFonts w:cstheme="minorHAnsi"/>
                <w:b/>
                <w:bCs/>
                <w:iCs/>
                <w:color w:val="000000" w:themeColor="text1"/>
              </w:rPr>
              <w:t>Outstanding Student Experience and Success</w:t>
            </w:r>
          </w:p>
          <w:p w14:paraId="33DDF81D" w14:textId="2336163B" w:rsidR="00527AB9" w:rsidRDefault="00527AB9" w:rsidP="00527AB9">
            <w:pPr>
              <w:pStyle w:val="NormalIndent"/>
              <w:spacing w:after="0"/>
              <w:ind w:left="0"/>
              <w:rPr>
                <w:rFonts w:cstheme="minorHAnsi"/>
                <w:iCs/>
                <w:color w:val="000000" w:themeColor="text1"/>
              </w:rPr>
            </w:pPr>
            <w:r w:rsidRPr="00527AB9">
              <w:rPr>
                <w:rFonts w:cstheme="minorHAnsi"/>
                <w:iCs/>
                <w:color w:val="000000" w:themeColor="text1"/>
              </w:rPr>
              <w:t xml:space="preserve">Federation ranks </w:t>
            </w:r>
            <w:r w:rsidR="0052295C">
              <w:rPr>
                <w:rFonts w:cstheme="minorHAnsi"/>
                <w:iCs/>
                <w:color w:val="000000" w:themeColor="text1"/>
              </w:rPr>
              <w:t xml:space="preserve">#1 </w:t>
            </w:r>
            <w:r w:rsidRPr="00527AB9">
              <w:rPr>
                <w:rFonts w:cstheme="minorHAnsi"/>
                <w:iCs/>
                <w:color w:val="000000" w:themeColor="text1"/>
              </w:rPr>
              <w:t xml:space="preserve">in Victoria for undergraduate teaching quality and undergraduate student support (2024 QILT Student Experience Survey). </w:t>
            </w:r>
          </w:p>
          <w:p w14:paraId="7E099834" w14:textId="1A42808A" w:rsidR="002212ED" w:rsidRDefault="00527AB9" w:rsidP="002212ED">
            <w:pPr>
              <w:pStyle w:val="NormalIndent"/>
              <w:spacing w:after="0"/>
              <w:ind w:left="0"/>
              <w:rPr>
                <w:rFonts w:cstheme="minorHAnsi"/>
                <w:iCs/>
                <w:color w:val="000000" w:themeColor="text1"/>
              </w:rPr>
            </w:pPr>
            <w:r w:rsidRPr="00527AB9">
              <w:rPr>
                <w:rFonts w:cstheme="minorHAnsi"/>
                <w:iCs/>
                <w:color w:val="000000" w:themeColor="text1"/>
              </w:rPr>
              <w:t xml:space="preserve">We place students at the centre of learning. We are committed </w:t>
            </w:r>
            <w:r w:rsidRPr="00306105">
              <w:rPr>
                <w:rFonts w:cstheme="minorHAnsi"/>
                <w:iCs/>
                <w:color w:val="000000" w:themeColor="text1"/>
              </w:rPr>
              <w:t xml:space="preserve">to delivering high-quality education that meets the needs of regional communities and aligns with national priorities. </w:t>
            </w:r>
            <w:r w:rsidR="0052295C">
              <w:rPr>
                <w:rFonts w:cstheme="minorHAnsi"/>
                <w:iCs/>
                <w:color w:val="000000" w:themeColor="text1"/>
              </w:rPr>
              <w:t>W</w:t>
            </w:r>
            <w:r>
              <w:rPr>
                <w:rFonts w:cstheme="minorHAnsi"/>
                <w:iCs/>
                <w:color w:val="000000" w:themeColor="text1"/>
              </w:rPr>
              <w:t xml:space="preserve">e </w:t>
            </w:r>
            <w:r w:rsidRPr="00527AB9">
              <w:rPr>
                <w:rFonts w:cstheme="minorHAnsi"/>
                <w:iCs/>
                <w:color w:val="000000" w:themeColor="text1"/>
              </w:rPr>
              <w:t>cultivat</w:t>
            </w:r>
            <w:r>
              <w:rPr>
                <w:rFonts w:cstheme="minorHAnsi"/>
                <w:iCs/>
                <w:color w:val="000000" w:themeColor="text1"/>
              </w:rPr>
              <w:t>e</w:t>
            </w:r>
            <w:r w:rsidRPr="00527AB9">
              <w:rPr>
                <w:rFonts w:cstheme="minorHAnsi"/>
                <w:iCs/>
                <w:color w:val="000000" w:themeColor="text1"/>
              </w:rPr>
              <w:t xml:space="preserve"> a culture of excellence and innovation in teaching and researcher training, supported by professional development and recognition. </w:t>
            </w:r>
            <w:r w:rsidR="00007BB2" w:rsidRPr="00306105">
              <w:rPr>
                <w:rFonts w:cstheme="minorHAnsi"/>
                <w:iCs/>
                <w:color w:val="000000" w:themeColor="text1"/>
              </w:rPr>
              <w:t>We are enhancing feedback systems, embedding GenAI ethically and improving assessment through assurance of learning frameworks.</w:t>
            </w:r>
          </w:p>
          <w:p w14:paraId="0E650109" w14:textId="77777777" w:rsidR="002212ED" w:rsidRPr="002212ED" w:rsidRDefault="002212ED" w:rsidP="002212ED">
            <w:pPr>
              <w:pStyle w:val="NormalIndent"/>
              <w:spacing w:after="0"/>
              <w:ind w:left="0"/>
              <w:rPr>
                <w:rFonts w:cstheme="minorHAnsi"/>
                <w:b/>
                <w:bCs/>
                <w:iCs/>
                <w:color w:val="000000" w:themeColor="text1"/>
              </w:rPr>
            </w:pPr>
            <w:r w:rsidRPr="002212ED">
              <w:rPr>
                <w:rFonts w:cstheme="minorHAnsi"/>
                <w:b/>
                <w:bCs/>
                <w:iCs/>
                <w:color w:val="000000" w:themeColor="text1"/>
              </w:rPr>
              <w:t>Sustainability and Resource Optimisation</w:t>
            </w:r>
          </w:p>
          <w:p w14:paraId="27F573B7" w14:textId="1FE139F0" w:rsidR="002212ED" w:rsidRDefault="0024762D" w:rsidP="002212ED">
            <w:pPr>
              <w:pStyle w:val="NormalIndent"/>
              <w:spacing w:after="0"/>
              <w:ind w:left="0"/>
              <w:rPr>
                <w:rFonts w:cstheme="minorHAnsi"/>
                <w:iCs/>
                <w:color w:val="000000" w:themeColor="text1"/>
              </w:rPr>
            </w:pPr>
            <w:r w:rsidRPr="0024762D">
              <w:rPr>
                <w:rFonts w:cstheme="minorHAnsi"/>
                <w:iCs/>
                <w:color w:val="000000" w:themeColor="text1"/>
              </w:rPr>
              <w:t xml:space="preserve">To ensure long-term viability, Federation </w:t>
            </w:r>
            <w:r>
              <w:rPr>
                <w:rFonts w:cstheme="minorHAnsi"/>
                <w:iCs/>
                <w:color w:val="000000" w:themeColor="text1"/>
              </w:rPr>
              <w:t>is</w:t>
            </w:r>
            <w:r w:rsidRPr="0024762D">
              <w:rPr>
                <w:rFonts w:cstheme="minorHAnsi"/>
                <w:iCs/>
                <w:color w:val="000000" w:themeColor="text1"/>
              </w:rPr>
              <w:t xml:space="preserve"> align</w:t>
            </w:r>
            <w:r>
              <w:rPr>
                <w:rFonts w:cstheme="minorHAnsi"/>
                <w:iCs/>
                <w:color w:val="000000" w:themeColor="text1"/>
              </w:rPr>
              <w:t>ing</w:t>
            </w:r>
            <w:r w:rsidRPr="0024762D">
              <w:rPr>
                <w:rFonts w:cstheme="minorHAnsi"/>
                <w:iCs/>
                <w:color w:val="000000" w:themeColor="text1"/>
              </w:rPr>
              <w:t xml:space="preserve"> offerings with student demand, workforce need and regional priorities. We will foster cross-campus collaboration and shared resource models.</w:t>
            </w:r>
          </w:p>
          <w:p w14:paraId="1851194D" w14:textId="77777777" w:rsidR="002212ED" w:rsidRPr="002057F0" w:rsidRDefault="002212ED" w:rsidP="002057F0">
            <w:pPr>
              <w:pStyle w:val="NormalIndent"/>
              <w:spacing w:after="0"/>
              <w:ind w:left="0"/>
              <w:rPr>
                <w:rFonts w:cstheme="minorHAnsi"/>
                <w:b/>
                <w:bCs/>
                <w:iCs/>
                <w:color w:val="000000" w:themeColor="text1"/>
              </w:rPr>
            </w:pPr>
            <w:r w:rsidRPr="002057F0">
              <w:rPr>
                <w:rFonts w:cstheme="minorHAnsi"/>
                <w:b/>
                <w:bCs/>
                <w:iCs/>
                <w:color w:val="000000" w:themeColor="text1"/>
              </w:rPr>
              <w:t xml:space="preserve">Student success and retention  </w:t>
            </w:r>
          </w:p>
          <w:p w14:paraId="6B6407CF" w14:textId="212412FA" w:rsidR="002212ED" w:rsidRDefault="0052295C" w:rsidP="002212ED">
            <w:pPr>
              <w:pStyle w:val="NormalIndent"/>
              <w:spacing w:after="0"/>
              <w:ind w:left="0"/>
              <w:rPr>
                <w:rFonts w:cstheme="minorHAnsi"/>
                <w:iCs/>
                <w:color w:val="000000" w:themeColor="text1"/>
              </w:rPr>
            </w:pPr>
            <w:r>
              <w:rPr>
                <w:rFonts w:cstheme="minorHAnsi"/>
                <w:iCs/>
                <w:color w:val="000000" w:themeColor="text1"/>
              </w:rPr>
              <w:t>Student r</w:t>
            </w:r>
            <w:r w:rsidR="00306105" w:rsidRPr="00306105">
              <w:rPr>
                <w:rFonts w:cstheme="minorHAnsi"/>
                <w:iCs/>
                <w:color w:val="000000" w:themeColor="text1"/>
              </w:rPr>
              <w:t>etention and success are central to our approach. We use analytics to identify at-risk students and provide early intervention through academic skills support, welfare services and personalised learning plans. Flexible delivery models, including online and blended learning, ensure accessibility for all students, particularly those balancing study with work or family commitments. International students receive comprehensive orientation, social programs</w:t>
            </w:r>
            <w:r w:rsidR="00EC7DE6">
              <w:rPr>
                <w:rFonts w:cstheme="minorHAnsi"/>
                <w:iCs/>
                <w:color w:val="000000" w:themeColor="text1"/>
              </w:rPr>
              <w:t xml:space="preserve"> </w:t>
            </w:r>
            <w:r w:rsidR="00306105" w:rsidRPr="00306105">
              <w:rPr>
                <w:rFonts w:cstheme="minorHAnsi"/>
                <w:iCs/>
                <w:color w:val="000000" w:themeColor="text1"/>
              </w:rPr>
              <w:t>and tailored support, with outcomes tracked through satisfaction and retention rates.</w:t>
            </w:r>
          </w:p>
          <w:p w14:paraId="0D3E12D9" w14:textId="77777777" w:rsidR="00B4345F" w:rsidRDefault="00306105" w:rsidP="00B4345F">
            <w:pPr>
              <w:pStyle w:val="NormalIndent"/>
              <w:spacing w:after="0"/>
              <w:ind w:left="0"/>
              <w:rPr>
                <w:rFonts w:cstheme="minorHAnsi"/>
                <w:iCs/>
                <w:color w:val="000000" w:themeColor="text1"/>
              </w:rPr>
            </w:pPr>
            <w:r w:rsidRPr="00306105">
              <w:rPr>
                <w:rFonts w:cstheme="minorHAnsi"/>
                <w:iCs/>
                <w:color w:val="000000" w:themeColor="text1"/>
              </w:rPr>
              <w:t xml:space="preserve">We are committed to admissions transparency, regularly publishing entry requirements and program information. Our approach to student support is inclusive, with targeted initiatives for equity cohorts. </w:t>
            </w:r>
            <w:r w:rsidR="0094459A" w:rsidRPr="00D3712D">
              <w:rPr>
                <w:rFonts w:cstheme="minorHAnsi"/>
                <w:iCs/>
                <w:color w:val="000000" w:themeColor="text1"/>
              </w:rPr>
              <w:t xml:space="preserve">Data insights are used to plan retention and student support activities, as well as improve student experience and retention. </w:t>
            </w:r>
            <w:r w:rsidR="0094459A">
              <w:rPr>
                <w:rFonts w:cstheme="minorHAnsi"/>
                <w:iCs/>
                <w:color w:val="000000" w:themeColor="text1"/>
              </w:rPr>
              <w:t>I</w:t>
            </w:r>
            <w:r w:rsidR="00D3712D" w:rsidRPr="00D3712D">
              <w:rPr>
                <w:rFonts w:cstheme="minorHAnsi"/>
                <w:iCs/>
                <w:color w:val="000000" w:themeColor="text1"/>
              </w:rPr>
              <w:t xml:space="preserve">ntervention strategies are activated where the student has failed, or deemed not yet competent, in 50% or more of the courses or units studied in any study period. </w:t>
            </w:r>
          </w:p>
          <w:p w14:paraId="2AD5B238" w14:textId="6322CA96" w:rsidR="00B4345F" w:rsidRDefault="00306105" w:rsidP="00B4345F">
            <w:pPr>
              <w:pStyle w:val="NormalIndent"/>
              <w:spacing w:after="0"/>
              <w:ind w:left="0"/>
              <w:rPr>
                <w:rFonts w:cstheme="minorHAnsi"/>
                <w:b/>
                <w:bCs/>
                <w:iCs/>
                <w:color w:val="000000" w:themeColor="text1"/>
              </w:rPr>
            </w:pPr>
            <w:r w:rsidRPr="00306105">
              <w:rPr>
                <w:rFonts w:cstheme="minorHAnsi"/>
                <w:b/>
                <w:bCs/>
                <w:iCs/>
                <w:color w:val="000000" w:themeColor="text1"/>
              </w:rPr>
              <w:t>Measures of Success</w:t>
            </w:r>
          </w:p>
          <w:p w14:paraId="3F346938" w14:textId="5568A6D9" w:rsidR="00306105" w:rsidRPr="00306105" w:rsidRDefault="00306105" w:rsidP="00B4345F">
            <w:pPr>
              <w:pStyle w:val="NormalIndent"/>
              <w:numPr>
                <w:ilvl w:val="0"/>
                <w:numId w:val="30"/>
              </w:numPr>
              <w:spacing w:after="0"/>
              <w:rPr>
                <w:rFonts w:cstheme="minorHAnsi"/>
                <w:iCs/>
                <w:color w:val="000000" w:themeColor="text1"/>
              </w:rPr>
            </w:pPr>
            <w:r w:rsidRPr="00306105">
              <w:rPr>
                <w:rFonts w:cstheme="minorHAnsi"/>
                <w:iCs/>
                <w:color w:val="000000" w:themeColor="text1"/>
              </w:rPr>
              <w:t>Five-star ratings for teaching quality and student experience</w:t>
            </w:r>
          </w:p>
          <w:p w14:paraId="58B550F9" w14:textId="77777777" w:rsidR="00306105" w:rsidRPr="00306105" w:rsidRDefault="00306105" w:rsidP="00B4345F">
            <w:pPr>
              <w:pStyle w:val="NormalIndent"/>
              <w:numPr>
                <w:ilvl w:val="0"/>
                <w:numId w:val="30"/>
              </w:numPr>
              <w:spacing w:before="0" w:after="0"/>
              <w:rPr>
                <w:rFonts w:cstheme="minorHAnsi"/>
                <w:iCs/>
                <w:color w:val="000000" w:themeColor="text1"/>
              </w:rPr>
            </w:pPr>
            <w:r w:rsidRPr="00306105">
              <w:rPr>
                <w:rFonts w:cstheme="minorHAnsi"/>
                <w:iCs/>
                <w:color w:val="000000" w:themeColor="text1"/>
              </w:rPr>
              <w:t>Growth in co-op placements and graduate employment outcomes</w:t>
            </w:r>
          </w:p>
          <w:p w14:paraId="3EF0532C" w14:textId="77777777" w:rsidR="00306105" w:rsidRPr="00306105" w:rsidRDefault="00306105" w:rsidP="00B4345F">
            <w:pPr>
              <w:pStyle w:val="NormalIndent"/>
              <w:numPr>
                <w:ilvl w:val="0"/>
                <w:numId w:val="30"/>
              </w:numPr>
              <w:spacing w:before="0" w:after="0"/>
              <w:rPr>
                <w:rFonts w:cstheme="minorHAnsi"/>
                <w:iCs/>
                <w:color w:val="000000" w:themeColor="text1"/>
              </w:rPr>
            </w:pPr>
            <w:r w:rsidRPr="00306105">
              <w:rPr>
                <w:rFonts w:cstheme="minorHAnsi"/>
                <w:iCs/>
                <w:color w:val="000000" w:themeColor="text1"/>
              </w:rPr>
              <w:lastRenderedPageBreak/>
              <w:t>Retention and completion rates, especially for equity cohorts</w:t>
            </w:r>
          </w:p>
          <w:p w14:paraId="0DB67ED4" w14:textId="77777777" w:rsidR="00E13B0E" w:rsidRDefault="00306105" w:rsidP="00B4345F">
            <w:pPr>
              <w:pStyle w:val="NormalIndent"/>
              <w:numPr>
                <w:ilvl w:val="0"/>
                <w:numId w:val="30"/>
              </w:numPr>
              <w:spacing w:before="0" w:after="0"/>
              <w:rPr>
                <w:rFonts w:cstheme="minorHAnsi"/>
                <w:iCs/>
                <w:color w:val="000000" w:themeColor="text1"/>
              </w:rPr>
            </w:pPr>
            <w:r w:rsidRPr="00306105">
              <w:rPr>
                <w:rFonts w:cstheme="minorHAnsi"/>
                <w:iCs/>
                <w:color w:val="000000" w:themeColor="text1"/>
              </w:rPr>
              <w:t>Student satisfaction and engagement metrics</w:t>
            </w:r>
          </w:p>
          <w:p w14:paraId="64688F83" w14:textId="277242C2" w:rsidR="001B109C" w:rsidRPr="00E13B0E" w:rsidRDefault="00306105" w:rsidP="00B4345F">
            <w:pPr>
              <w:pStyle w:val="NormalIndent"/>
              <w:numPr>
                <w:ilvl w:val="0"/>
                <w:numId w:val="30"/>
              </w:numPr>
              <w:spacing w:before="0" w:after="0"/>
              <w:rPr>
                <w:rFonts w:cstheme="minorHAnsi"/>
                <w:iCs/>
                <w:color w:val="000000" w:themeColor="text1"/>
              </w:rPr>
            </w:pPr>
            <w:r w:rsidRPr="00306105">
              <w:rPr>
                <w:rFonts w:cstheme="minorHAnsi"/>
                <w:iCs/>
                <w:color w:val="000000" w:themeColor="text1"/>
              </w:rPr>
              <w:t>Staff professional development and recognition</w:t>
            </w:r>
          </w:p>
          <w:p w14:paraId="08FFDBF8" w14:textId="77777777" w:rsidR="001B109C" w:rsidRDefault="001B109C" w:rsidP="00B80CD5">
            <w:pPr>
              <w:pStyle w:val="NormalIndent"/>
              <w:spacing w:before="0" w:after="0"/>
              <w:ind w:left="0"/>
              <w:rPr>
                <w:rFonts w:asciiTheme="minorHAnsi" w:hAnsiTheme="minorHAnsi" w:cstheme="minorHAnsi"/>
                <w:i/>
                <w:color w:val="FF0000"/>
                <w:szCs w:val="22"/>
              </w:rPr>
            </w:pPr>
          </w:p>
          <w:p w14:paraId="18FD7BEE" w14:textId="77777777" w:rsidR="00B4345F" w:rsidRDefault="00B4345F" w:rsidP="00B4345F">
            <w:pPr>
              <w:pStyle w:val="NormalIndent"/>
              <w:spacing w:before="0" w:after="0"/>
              <w:ind w:left="0"/>
              <w:rPr>
                <w:rFonts w:cstheme="minorHAnsi"/>
                <w:b/>
                <w:bCs/>
                <w:iCs/>
                <w:color w:val="000000" w:themeColor="text1"/>
              </w:rPr>
            </w:pPr>
            <w:r w:rsidRPr="00F1624A">
              <w:rPr>
                <w:rFonts w:cstheme="minorHAnsi"/>
                <w:b/>
                <w:bCs/>
                <w:iCs/>
                <w:color w:val="000000" w:themeColor="text1"/>
              </w:rPr>
              <w:t>Further information</w:t>
            </w:r>
          </w:p>
          <w:p w14:paraId="790EA680" w14:textId="257B4EA2" w:rsidR="00DB17B6" w:rsidRPr="00F1624A" w:rsidRDefault="00DB17B6" w:rsidP="00B4345F">
            <w:pPr>
              <w:pStyle w:val="NormalIndent"/>
              <w:spacing w:before="0" w:after="0"/>
              <w:ind w:left="0"/>
              <w:rPr>
                <w:rFonts w:cstheme="minorHAnsi"/>
                <w:iCs/>
                <w:color w:val="000000" w:themeColor="text1"/>
              </w:rPr>
            </w:pPr>
            <w:hyperlink r:id="rId21" w:history="1">
              <w:r w:rsidRPr="00DB17B6">
                <w:rPr>
                  <w:rStyle w:val="Hyperlink"/>
                  <w:rFonts w:cstheme="minorHAnsi"/>
                  <w:iCs/>
                </w:rPr>
                <w:t>Students and Support for Students Policy</w:t>
              </w:r>
            </w:hyperlink>
          </w:p>
          <w:p w14:paraId="132BA32A" w14:textId="5CCBC517" w:rsidR="00691E07" w:rsidRDefault="00691E07" w:rsidP="00B80CD5">
            <w:pPr>
              <w:pStyle w:val="NormalIndent"/>
              <w:spacing w:before="0" w:after="0"/>
              <w:ind w:left="0"/>
              <w:rPr>
                <w:rFonts w:asciiTheme="minorHAnsi" w:hAnsiTheme="minorHAnsi" w:cstheme="minorHAnsi"/>
                <w:iCs/>
                <w:color w:val="FF0000"/>
                <w:szCs w:val="22"/>
              </w:rPr>
            </w:pPr>
            <w:hyperlink r:id="rId22" w:history="1">
              <w:r w:rsidRPr="00CF2E38">
                <w:rPr>
                  <w:rStyle w:val="Hyperlink"/>
                  <w:rFonts w:asciiTheme="minorHAnsi" w:hAnsiTheme="minorHAnsi" w:cstheme="minorHAnsi"/>
                  <w:iCs/>
                  <w:szCs w:val="22"/>
                </w:rPr>
                <w:t xml:space="preserve">Monitoring Course/Qualification Progression Procedure </w:t>
              </w:r>
            </w:hyperlink>
          </w:p>
          <w:p w14:paraId="10C36F02" w14:textId="5DAACD51" w:rsidR="00647A5D" w:rsidRDefault="00647A5D" w:rsidP="00B80CD5">
            <w:pPr>
              <w:pStyle w:val="NormalIndent"/>
              <w:spacing w:before="0" w:after="0"/>
              <w:ind w:left="0"/>
              <w:rPr>
                <w:rFonts w:asciiTheme="minorHAnsi" w:hAnsiTheme="minorHAnsi" w:cstheme="minorHAnsi"/>
                <w:iCs/>
                <w:color w:val="FF0000"/>
                <w:szCs w:val="22"/>
              </w:rPr>
            </w:pPr>
            <w:hyperlink r:id="rId23" w:history="1">
              <w:r w:rsidRPr="00934507">
                <w:rPr>
                  <w:rStyle w:val="Hyperlink"/>
                  <w:rFonts w:asciiTheme="minorHAnsi" w:hAnsiTheme="minorHAnsi" w:cstheme="minorHAnsi"/>
                  <w:iCs/>
                  <w:szCs w:val="22"/>
                </w:rPr>
                <w:t>Student Support and Orientation for International Students Procedure</w:t>
              </w:r>
            </w:hyperlink>
          </w:p>
          <w:p w14:paraId="74D1FDC7" w14:textId="3BD71458" w:rsidR="00691E07" w:rsidRPr="00691E07" w:rsidRDefault="00691E07" w:rsidP="00B80CD5">
            <w:pPr>
              <w:pStyle w:val="NormalIndent"/>
              <w:spacing w:before="0" w:after="0"/>
              <w:ind w:left="0"/>
              <w:rPr>
                <w:rFonts w:asciiTheme="minorHAnsi" w:hAnsiTheme="minorHAnsi" w:cstheme="minorHAnsi"/>
                <w:iCs/>
                <w:color w:val="FF0000"/>
                <w:szCs w:val="22"/>
              </w:rPr>
            </w:pPr>
            <w:hyperlink r:id="rId24" w:history="1">
              <w:r w:rsidRPr="00934507">
                <w:rPr>
                  <w:rStyle w:val="Hyperlink"/>
                  <w:rFonts w:asciiTheme="minorHAnsi" w:hAnsiTheme="minorHAnsi" w:cstheme="minorHAnsi"/>
                  <w:iCs/>
                  <w:szCs w:val="22"/>
                </w:rPr>
                <w:t>Partners and Community Engagement Policy</w:t>
              </w:r>
            </w:hyperlink>
          </w:p>
        </w:tc>
      </w:tr>
      <w:tr w:rsidR="001B109C" w:rsidRPr="00E41388" w14:paraId="3EB68E1B" w14:textId="77777777" w:rsidTr="00B80CD5">
        <w:tc>
          <w:tcPr>
            <w:tcW w:w="5000" w:type="pct"/>
          </w:tcPr>
          <w:p w14:paraId="54D9B30B" w14:textId="09B691CB" w:rsidR="001B109C" w:rsidRPr="00E169EE" w:rsidRDefault="001B109C" w:rsidP="00B80CD5">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B80CD5">
        <w:tc>
          <w:tcPr>
            <w:tcW w:w="5000" w:type="pct"/>
          </w:tcPr>
          <w:p w14:paraId="0FEC3951" w14:textId="020993EE" w:rsidR="00154869" w:rsidRDefault="00423AF7" w:rsidP="00154869">
            <w:pPr>
              <w:pStyle w:val="NormalIndent"/>
              <w:spacing w:after="0"/>
              <w:ind w:left="0"/>
              <w:rPr>
                <w:rFonts w:cstheme="minorHAnsi"/>
                <w:iCs/>
                <w:color w:val="000000" w:themeColor="text1"/>
              </w:rPr>
            </w:pPr>
            <w:r w:rsidRPr="00423AF7">
              <w:rPr>
                <w:rFonts w:cstheme="minorHAnsi"/>
                <w:iCs/>
                <w:color w:val="000000" w:themeColor="text1"/>
              </w:rPr>
              <w:t>Federation</w:t>
            </w:r>
            <w:r>
              <w:rPr>
                <w:rFonts w:cstheme="minorHAnsi"/>
                <w:iCs/>
                <w:color w:val="000000" w:themeColor="text1"/>
              </w:rPr>
              <w:t xml:space="preserve">’s </w:t>
            </w:r>
            <w:r w:rsidRPr="00423AF7">
              <w:rPr>
                <w:rFonts w:cstheme="minorHAnsi"/>
                <w:iCs/>
                <w:color w:val="000000" w:themeColor="text1"/>
              </w:rPr>
              <w:t>research strategy is focused on practical, applied research that drives regional innovation and contributes to global knowledge. Our vision is to be Australia’s leading regional, co-operative university for research, emphasising community impact, industry partnerships and excellence in select fields.</w:t>
            </w:r>
          </w:p>
          <w:p w14:paraId="084CF98D" w14:textId="674BB330" w:rsidR="00154869" w:rsidRPr="00154869" w:rsidRDefault="00154869" w:rsidP="00154869">
            <w:pPr>
              <w:pStyle w:val="NormalIndent"/>
              <w:spacing w:after="0"/>
              <w:ind w:left="0"/>
              <w:rPr>
                <w:rFonts w:cstheme="minorHAnsi"/>
                <w:b/>
                <w:bCs/>
                <w:iCs/>
                <w:color w:val="000000" w:themeColor="text1"/>
              </w:rPr>
            </w:pPr>
            <w:r w:rsidRPr="00154869">
              <w:rPr>
                <w:rFonts w:cstheme="minorHAnsi"/>
                <w:b/>
                <w:bCs/>
                <w:iCs/>
                <w:color w:val="000000" w:themeColor="text1"/>
              </w:rPr>
              <w:t>Research priorities and impact</w:t>
            </w:r>
          </w:p>
          <w:p w14:paraId="7CC97422" w14:textId="77777777" w:rsidR="00423AF7" w:rsidRDefault="00423AF7" w:rsidP="00440511">
            <w:pPr>
              <w:pStyle w:val="NormalIndent"/>
              <w:spacing w:after="0"/>
              <w:ind w:left="0"/>
              <w:rPr>
                <w:rFonts w:cstheme="minorHAnsi"/>
                <w:iCs/>
                <w:color w:val="000000" w:themeColor="text1"/>
              </w:rPr>
            </w:pPr>
            <w:r w:rsidRPr="00423AF7">
              <w:rPr>
                <w:rFonts w:cstheme="minorHAnsi"/>
                <w:iCs/>
                <w:color w:val="000000" w:themeColor="text1"/>
              </w:rPr>
              <w:t xml:space="preserve">We have identified five interdisciplinary research priorities: </w:t>
            </w:r>
          </w:p>
          <w:p w14:paraId="00FCF38F" w14:textId="77777777" w:rsidR="00423AF7" w:rsidRDefault="00423AF7" w:rsidP="00423AF7">
            <w:pPr>
              <w:pStyle w:val="NormalIndent"/>
              <w:numPr>
                <w:ilvl w:val="0"/>
                <w:numId w:val="27"/>
              </w:numPr>
              <w:spacing w:before="0" w:after="0"/>
              <w:rPr>
                <w:rFonts w:cstheme="minorHAnsi"/>
                <w:iCs/>
                <w:color w:val="000000" w:themeColor="text1"/>
              </w:rPr>
            </w:pPr>
            <w:r w:rsidRPr="00423AF7">
              <w:rPr>
                <w:rFonts w:cstheme="minorHAnsi"/>
                <w:iCs/>
                <w:color w:val="000000" w:themeColor="text1"/>
              </w:rPr>
              <w:t>First Peoples’ and Reconciliation Research</w:t>
            </w:r>
          </w:p>
          <w:p w14:paraId="30864ADC" w14:textId="77777777" w:rsidR="00423AF7" w:rsidRDefault="00423AF7" w:rsidP="00423AF7">
            <w:pPr>
              <w:pStyle w:val="NormalIndent"/>
              <w:numPr>
                <w:ilvl w:val="0"/>
                <w:numId w:val="27"/>
              </w:numPr>
              <w:spacing w:before="0" w:after="0"/>
              <w:rPr>
                <w:rFonts w:cstheme="minorHAnsi"/>
                <w:iCs/>
                <w:color w:val="000000" w:themeColor="text1"/>
              </w:rPr>
            </w:pPr>
            <w:r w:rsidRPr="00423AF7">
              <w:rPr>
                <w:rFonts w:cstheme="minorHAnsi"/>
                <w:iCs/>
                <w:color w:val="000000" w:themeColor="text1"/>
              </w:rPr>
              <w:t>Global-Regional Health and Wellbeing</w:t>
            </w:r>
          </w:p>
          <w:p w14:paraId="0B79B6BE" w14:textId="77777777" w:rsidR="00423AF7" w:rsidRDefault="00423AF7" w:rsidP="00423AF7">
            <w:pPr>
              <w:pStyle w:val="NormalIndent"/>
              <w:numPr>
                <w:ilvl w:val="0"/>
                <w:numId w:val="27"/>
              </w:numPr>
              <w:spacing w:before="0" w:after="0"/>
              <w:rPr>
                <w:rFonts w:cstheme="minorHAnsi"/>
                <w:iCs/>
                <w:color w:val="000000" w:themeColor="text1"/>
              </w:rPr>
            </w:pPr>
            <w:r w:rsidRPr="00423AF7">
              <w:rPr>
                <w:rFonts w:cstheme="minorHAnsi"/>
                <w:iCs/>
                <w:color w:val="000000" w:themeColor="text1"/>
              </w:rPr>
              <w:t>Co-operative Industrial Transformation</w:t>
            </w:r>
          </w:p>
          <w:p w14:paraId="72337D8A" w14:textId="77777777" w:rsidR="00423AF7" w:rsidRDefault="00423AF7" w:rsidP="00423AF7">
            <w:pPr>
              <w:pStyle w:val="NormalIndent"/>
              <w:numPr>
                <w:ilvl w:val="0"/>
                <w:numId w:val="27"/>
              </w:numPr>
              <w:spacing w:before="0" w:after="0"/>
              <w:rPr>
                <w:rFonts w:cstheme="minorHAnsi"/>
                <w:iCs/>
                <w:color w:val="000000" w:themeColor="text1"/>
              </w:rPr>
            </w:pPr>
            <w:r w:rsidRPr="00423AF7">
              <w:rPr>
                <w:rFonts w:cstheme="minorHAnsi"/>
                <w:iCs/>
                <w:color w:val="000000" w:themeColor="text1"/>
              </w:rPr>
              <w:t>Sustainable Environments and Communities</w:t>
            </w:r>
          </w:p>
          <w:p w14:paraId="2E63AB9E" w14:textId="48595C1C" w:rsidR="00423AF7" w:rsidRPr="00154869" w:rsidRDefault="00423AF7" w:rsidP="00154869">
            <w:pPr>
              <w:pStyle w:val="NormalIndent"/>
              <w:numPr>
                <w:ilvl w:val="0"/>
                <w:numId w:val="27"/>
              </w:numPr>
              <w:spacing w:before="0" w:after="0"/>
              <w:rPr>
                <w:rFonts w:cstheme="minorHAnsi"/>
                <w:iCs/>
                <w:color w:val="000000" w:themeColor="text1"/>
              </w:rPr>
            </w:pPr>
            <w:r w:rsidRPr="00423AF7">
              <w:rPr>
                <w:rFonts w:cstheme="minorHAnsi"/>
                <w:iCs/>
                <w:color w:val="000000" w:themeColor="text1"/>
              </w:rPr>
              <w:t xml:space="preserve">Advancing Society and Education. </w:t>
            </w:r>
          </w:p>
          <w:p w14:paraId="5D4A3754" w14:textId="547BD9E9" w:rsidR="00423AF7" w:rsidRPr="00423AF7" w:rsidRDefault="00423AF7" w:rsidP="00154869">
            <w:pPr>
              <w:pStyle w:val="NormalIndent"/>
              <w:spacing w:after="0"/>
              <w:ind w:left="0"/>
              <w:rPr>
                <w:rFonts w:cstheme="minorHAnsi"/>
                <w:iCs/>
                <w:color w:val="000000" w:themeColor="text1"/>
              </w:rPr>
            </w:pPr>
            <w:r w:rsidRPr="00423AF7">
              <w:rPr>
                <w:rFonts w:cstheme="minorHAnsi"/>
                <w:iCs/>
                <w:color w:val="000000" w:themeColor="text1"/>
              </w:rPr>
              <w:t>These themes align with national priorities and the United Nations Sustainable Development Goals, ensuring our research is both regionally relevant and globally significant.</w:t>
            </w:r>
          </w:p>
          <w:p w14:paraId="1E95CE0E" w14:textId="30D7AEBD" w:rsidR="0009620F" w:rsidRDefault="0009620F" w:rsidP="00154869">
            <w:pPr>
              <w:pStyle w:val="NormalIndent"/>
              <w:spacing w:after="0"/>
              <w:ind w:left="0"/>
              <w:rPr>
                <w:rFonts w:cstheme="minorHAnsi"/>
                <w:b/>
                <w:bCs/>
                <w:iCs/>
                <w:color w:val="000000" w:themeColor="text1"/>
              </w:rPr>
            </w:pPr>
            <w:r w:rsidRPr="0009620F">
              <w:rPr>
                <w:rFonts w:cstheme="minorHAnsi"/>
                <w:b/>
                <w:bCs/>
                <w:iCs/>
                <w:color w:val="000000" w:themeColor="text1"/>
              </w:rPr>
              <w:t xml:space="preserve">Research excellence and </w:t>
            </w:r>
            <w:r w:rsidR="001D76C7">
              <w:rPr>
                <w:rFonts w:cstheme="minorHAnsi"/>
                <w:b/>
                <w:bCs/>
                <w:iCs/>
                <w:color w:val="000000" w:themeColor="text1"/>
              </w:rPr>
              <w:t>impact</w:t>
            </w:r>
          </w:p>
          <w:p w14:paraId="39513180" w14:textId="6D03B39F" w:rsidR="006360C2" w:rsidRDefault="006360C2" w:rsidP="00154869">
            <w:pPr>
              <w:pStyle w:val="NormalIndent"/>
              <w:spacing w:after="0"/>
              <w:ind w:left="0"/>
              <w:rPr>
                <w:rFonts w:cstheme="minorHAnsi"/>
                <w:iCs/>
                <w:color w:val="000000" w:themeColor="text1"/>
              </w:rPr>
            </w:pPr>
            <w:r w:rsidRPr="006360C2">
              <w:rPr>
                <w:rFonts w:cstheme="minorHAnsi"/>
                <w:iCs/>
                <w:color w:val="000000" w:themeColor="text1"/>
              </w:rPr>
              <w:t>Federation has improved its research quality, with 80% of disciplines rated at or above world standard in the 2024 ERA. The University continues to climb global rankings, targeting THE World Rankings 301–400 and maintaining Top 100 in Impact Rankings by 2030. Publication quality and citation impact are key metrics.</w:t>
            </w:r>
            <w:r w:rsidR="00DB4E2D">
              <w:rPr>
                <w:rFonts w:cstheme="minorHAnsi"/>
                <w:iCs/>
                <w:color w:val="000000" w:themeColor="text1"/>
              </w:rPr>
              <w:t xml:space="preserve"> </w:t>
            </w:r>
            <w:r w:rsidR="00DB4E2D" w:rsidRPr="00423AF7">
              <w:rPr>
                <w:rFonts w:cstheme="minorHAnsi"/>
                <w:iCs/>
                <w:color w:val="000000" w:themeColor="text1"/>
              </w:rPr>
              <w:t xml:space="preserve">We are </w:t>
            </w:r>
            <w:r w:rsidR="00DA31A6">
              <w:rPr>
                <w:rFonts w:cstheme="minorHAnsi"/>
                <w:iCs/>
                <w:color w:val="000000" w:themeColor="text1"/>
              </w:rPr>
              <w:t>working to</w:t>
            </w:r>
            <w:r w:rsidR="00DB4E2D" w:rsidRPr="00423AF7">
              <w:rPr>
                <w:rFonts w:cstheme="minorHAnsi"/>
                <w:iCs/>
                <w:color w:val="000000" w:themeColor="text1"/>
              </w:rPr>
              <w:t xml:space="preserve"> improve collaboration and success rates </w:t>
            </w:r>
            <w:r w:rsidR="00DA31A6">
              <w:rPr>
                <w:rFonts w:cstheme="minorHAnsi"/>
                <w:iCs/>
                <w:color w:val="000000" w:themeColor="text1"/>
              </w:rPr>
              <w:t xml:space="preserve">across the University </w:t>
            </w:r>
            <w:r w:rsidR="00DB4E2D" w:rsidRPr="00423AF7">
              <w:rPr>
                <w:rFonts w:cstheme="minorHAnsi"/>
                <w:iCs/>
                <w:color w:val="000000" w:themeColor="text1"/>
              </w:rPr>
              <w:t>and supporting early career researchers through mentoring and seed grants.</w:t>
            </w:r>
          </w:p>
          <w:p w14:paraId="20B30DBA" w14:textId="37FCE1DC" w:rsidR="0019377B" w:rsidRPr="0019377B" w:rsidRDefault="0019377B" w:rsidP="00154869">
            <w:pPr>
              <w:pStyle w:val="NormalIndent"/>
              <w:spacing w:after="0"/>
              <w:ind w:left="0"/>
              <w:rPr>
                <w:rFonts w:cstheme="minorHAnsi"/>
                <w:b/>
                <w:bCs/>
                <w:iCs/>
                <w:color w:val="000000" w:themeColor="text1"/>
              </w:rPr>
            </w:pPr>
            <w:r w:rsidRPr="0019377B">
              <w:rPr>
                <w:rFonts w:cstheme="minorHAnsi"/>
                <w:b/>
                <w:bCs/>
                <w:iCs/>
                <w:color w:val="000000" w:themeColor="text1"/>
              </w:rPr>
              <w:t xml:space="preserve">Co-operative </w:t>
            </w:r>
            <w:r w:rsidR="00BF5577">
              <w:rPr>
                <w:rFonts w:cstheme="minorHAnsi"/>
                <w:b/>
                <w:bCs/>
                <w:iCs/>
                <w:color w:val="000000" w:themeColor="text1"/>
              </w:rPr>
              <w:t>re</w:t>
            </w:r>
            <w:r w:rsidRPr="0019377B">
              <w:rPr>
                <w:rFonts w:cstheme="minorHAnsi"/>
                <w:b/>
                <w:bCs/>
                <w:iCs/>
                <w:color w:val="000000" w:themeColor="text1"/>
              </w:rPr>
              <w:t xml:space="preserve">search </w:t>
            </w:r>
            <w:r w:rsidR="00BF5577">
              <w:rPr>
                <w:rFonts w:cstheme="minorHAnsi"/>
                <w:b/>
                <w:bCs/>
                <w:iCs/>
                <w:color w:val="000000" w:themeColor="text1"/>
              </w:rPr>
              <w:t>d</w:t>
            </w:r>
            <w:r w:rsidRPr="0019377B">
              <w:rPr>
                <w:rFonts w:cstheme="minorHAnsi"/>
                <w:b/>
                <w:bCs/>
                <w:iCs/>
                <w:color w:val="000000" w:themeColor="text1"/>
              </w:rPr>
              <w:t>egrees</w:t>
            </w:r>
          </w:p>
          <w:p w14:paraId="55249C60" w14:textId="55EC8E6E" w:rsidR="00DB4E2D" w:rsidRDefault="00154869" w:rsidP="00154869">
            <w:pPr>
              <w:pStyle w:val="NormalIndent"/>
              <w:spacing w:after="0"/>
              <w:ind w:left="0"/>
              <w:rPr>
                <w:rFonts w:cstheme="minorHAnsi"/>
                <w:iCs/>
                <w:color w:val="000000" w:themeColor="text1"/>
              </w:rPr>
            </w:pPr>
            <w:r>
              <w:rPr>
                <w:rFonts w:cstheme="minorHAnsi"/>
                <w:iCs/>
                <w:color w:val="000000" w:themeColor="text1"/>
              </w:rPr>
              <w:t>C</w:t>
            </w:r>
            <w:r w:rsidR="00423AF7" w:rsidRPr="00423AF7">
              <w:rPr>
                <w:rFonts w:cstheme="minorHAnsi"/>
                <w:iCs/>
                <w:color w:val="000000" w:themeColor="text1"/>
              </w:rPr>
              <w:t xml:space="preserve">o-operative research degrees are a hallmark of our approach, offering students industry-linked research experiences with projects co-designed alongside industry, government and community. Over 60% of research scholarships are awarded in partnership with external organisations, ensuring our research delivers real-world impact and prepares graduates for diverse careers. </w:t>
            </w:r>
          </w:p>
          <w:p w14:paraId="4406E4BF" w14:textId="421F2141" w:rsidR="00E73D58" w:rsidRPr="00E73D58" w:rsidRDefault="00E73D58" w:rsidP="00154869">
            <w:pPr>
              <w:pStyle w:val="NormalIndent"/>
              <w:spacing w:after="0"/>
              <w:ind w:left="0"/>
              <w:rPr>
                <w:rFonts w:cstheme="minorHAnsi"/>
                <w:b/>
                <w:bCs/>
                <w:iCs/>
                <w:color w:val="000000" w:themeColor="text1"/>
              </w:rPr>
            </w:pPr>
            <w:r w:rsidRPr="00E73D58">
              <w:rPr>
                <w:rFonts w:cstheme="minorHAnsi"/>
                <w:b/>
                <w:bCs/>
                <w:iCs/>
                <w:color w:val="000000" w:themeColor="text1"/>
              </w:rPr>
              <w:t>Innovation and commercialisation</w:t>
            </w:r>
          </w:p>
          <w:p w14:paraId="79DDCF5B" w14:textId="7E7DBB28" w:rsidR="00423AF7" w:rsidRPr="00F55B27" w:rsidRDefault="00423AF7" w:rsidP="00F55B27">
            <w:pPr>
              <w:pStyle w:val="NormalIndent"/>
              <w:spacing w:after="0"/>
              <w:ind w:left="0"/>
              <w:rPr>
                <w:rFonts w:cstheme="minorHAnsi"/>
                <w:iCs/>
                <w:color w:val="000000" w:themeColor="text1"/>
              </w:rPr>
            </w:pPr>
            <w:r w:rsidRPr="00423AF7">
              <w:rPr>
                <w:rFonts w:cstheme="minorHAnsi"/>
                <w:iCs/>
                <w:color w:val="000000" w:themeColor="text1"/>
              </w:rPr>
              <w:t>Innovation and commercialisation are accelerated through our technology parks and innovation hubs, which foster translational research, support start-ups</w:t>
            </w:r>
            <w:r w:rsidR="006E2B06">
              <w:rPr>
                <w:rFonts w:cstheme="minorHAnsi"/>
                <w:iCs/>
                <w:color w:val="000000" w:themeColor="text1"/>
              </w:rPr>
              <w:t xml:space="preserve"> </w:t>
            </w:r>
            <w:r w:rsidRPr="00423AF7">
              <w:rPr>
                <w:rFonts w:cstheme="minorHAnsi"/>
                <w:iCs/>
                <w:color w:val="000000" w:themeColor="text1"/>
              </w:rPr>
              <w:t>and enable R&amp;D partnerships with industry. We have launched accelerator programs to fast-track commercialisation and support emerging entrepreneurs within the university community.</w:t>
            </w:r>
          </w:p>
          <w:p w14:paraId="1FDB5535" w14:textId="13247D0B" w:rsidR="00423AF7" w:rsidRPr="00423AF7" w:rsidRDefault="00423AF7" w:rsidP="00F55B27">
            <w:pPr>
              <w:pStyle w:val="NormalIndent"/>
              <w:spacing w:after="0"/>
              <w:ind w:left="0"/>
              <w:rPr>
                <w:rFonts w:cstheme="minorHAnsi"/>
                <w:iCs/>
                <w:color w:val="000000" w:themeColor="text1"/>
              </w:rPr>
            </w:pPr>
            <w:r w:rsidRPr="00423AF7">
              <w:rPr>
                <w:rFonts w:cstheme="minorHAnsi"/>
                <w:b/>
                <w:bCs/>
                <w:iCs/>
                <w:color w:val="000000" w:themeColor="text1"/>
              </w:rPr>
              <w:t>Measures of Success:</w:t>
            </w:r>
          </w:p>
          <w:p w14:paraId="3C609B9D" w14:textId="77777777" w:rsidR="00423AF7" w:rsidRPr="00423AF7" w:rsidRDefault="00423AF7" w:rsidP="00F55B27">
            <w:pPr>
              <w:pStyle w:val="NormalIndent"/>
              <w:numPr>
                <w:ilvl w:val="0"/>
                <w:numId w:val="31"/>
              </w:numPr>
              <w:spacing w:before="0" w:after="0"/>
              <w:rPr>
                <w:rFonts w:cstheme="minorHAnsi"/>
                <w:iCs/>
                <w:color w:val="000000" w:themeColor="text1"/>
              </w:rPr>
            </w:pPr>
            <w:r w:rsidRPr="00423AF7">
              <w:rPr>
                <w:rFonts w:cstheme="minorHAnsi"/>
                <w:iCs/>
                <w:color w:val="000000" w:themeColor="text1"/>
              </w:rPr>
              <w:t>Growth in HDR enrolments and industry-linked research projects</w:t>
            </w:r>
          </w:p>
          <w:p w14:paraId="613E99D8" w14:textId="77777777" w:rsidR="00423AF7" w:rsidRPr="00423AF7" w:rsidRDefault="00423AF7" w:rsidP="00F55B27">
            <w:pPr>
              <w:pStyle w:val="NormalIndent"/>
              <w:numPr>
                <w:ilvl w:val="0"/>
                <w:numId w:val="31"/>
              </w:numPr>
              <w:spacing w:before="0" w:after="0"/>
              <w:rPr>
                <w:rFonts w:cstheme="minorHAnsi"/>
                <w:iCs/>
                <w:color w:val="000000" w:themeColor="text1"/>
              </w:rPr>
            </w:pPr>
            <w:r w:rsidRPr="00423AF7">
              <w:rPr>
                <w:rFonts w:cstheme="minorHAnsi"/>
                <w:iCs/>
                <w:color w:val="000000" w:themeColor="text1"/>
              </w:rPr>
              <w:t>External research income and commercialisation outcomes</w:t>
            </w:r>
          </w:p>
          <w:p w14:paraId="39A0DC12" w14:textId="77777777" w:rsidR="00423AF7" w:rsidRPr="00423AF7" w:rsidRDefault="00423AF7" w:rsidP="00F55B27">
            <w:pPr>
              <w:pStyle w:val="NormalIndent"/>
              <w:numPr>
                <w:ilvl w:val="0"/>
                <w:numId w:val="31"/>
              </w:numPr>
              <w:spacing w:before="0" w:after="0"/>
              <w:rPr>
                <w:rFonts w:cstheme="minorHAnsi"/>
                <w:iCs/>
                <w:color w:val="000000" w:themeColor="text1"/>
              </w:rPr>
            </w:pPr>
            <w:r w:rsidRPr="00423AF7">
              <w:rPr>
                <w:rFonts w:cstheme="minorHAnsi"/>
                <w:iCs/>
                <w:color w:val="000000" w:themeColor="text1"/>
              </w:rPr>
              <w:t>Proportion of publications in Q1 journals</w:t>
            </w:r>
          </w:p>
          <w:p w14:paraId="6B2767E4" w14:textId="77777777" w:rsidR="00423AF7" w:rsidRPr="00423AF7" w:rsidRDefault="00423AF7" w:rsidP="00F55B27">
            <w:pPr>
              <w:pStyle w:val="NormalIndent"/>
              <w:numPr>
                <w:ilvl w:val="0"/>
                <w:numId w:val="31"/>
              </w:numPr>
              <w:spacing w:before="0" w:after="0"/>
              <w:rPr>
                <w:rFonts w:cstheme="minorHAnsi"/>
                <w:iCs/>
                <w:color w:val="000000" w:themeColor="text1"/>
              </w:rPr>
            </w:pPr>
            <w:r w:rsidRPr="00423AF7">
              <w:rPr>
                <w:rFonts w:cstheme="minorHAnsi"/>
                <w:iCs/>
                <w:color w:val="000000" w:themeColor="text1"/>
              </w:rPr>
              <w:t>Impact rankings and research quality metrics</w:t>
            </w:r>
          </w:p>
          <w:p w14:paraId="61C98F5C" w14:textId="77777777" w:rsidR="00423AF7" w:rsidRPr="00423AF7" w:rsidRDefault="00423AF7" w:rsidP="00F55B27">
            <w:pPr>
              <w:pStyle w:val="NormalIndent"/>
              <w:numPr>
                <w:ilvl w:val="0"/>
                <w:numId w:val="31"/>
              </w:numPr>
              <w:spacing w:before="0" w:after="0"/>
              <w:rPr>
                <w:rFonts w:cstheme="minorHAnsi"/>
                <w:iCs/>
                <w:color w:val="000000" w:themeColor="text1"/>
              </w:rPr>
            </w:pPr>
            <w:r w:rsidRPr="00423AF7">
              <w:rPr>
                <w:rFonts w:cstheme="minorHAnsi"/>
                <w:iCs/>
                <w:color w:val="000000" w:themeColor="text1"/>
              </w:rPr>
              <w:t>Graduate employment outcomes for research students</w:t>
            </w:r>
          </w:p>
          <w:p w14:paraId="04CC4B38" w14:textId="77777777" w:rsidR="00423AF7" w:rsidRPr="00F1624A" w:rsidRDefault="00423AF7" w:rsidP="00F55B27">
            <w:pPr>
              <w:pStyle w:val="NormalIndent"/>
              <w:spacing w:after="0"/>
              <w:ind w:left="0"/>
              <w:rPr>
                <w:rFonts w:cstheme="minorHAnsi"/>
                <w:iCs/>
                <w:color w:val="000000" w:themeColor="text1"/>
              </w:rPr>
            </w:pPr>
            <w:r w:rsidRPr="00F1624A">
              <w:rPr>
                <w:rFonts w:cstheme="minorHAnsi"/>
                <w:b/>
                <w:bCs/>
                <w:iCs/>
                <w:color w:val="000000" w:themeColor="text1"/>
              </w:rPr>
              <w:lastRenderedPageBreak/>
              <w:t>Further information:</w:t>
            </w:r>
          </w:p>
          <w:p w14:paraId="20E9B53A" w14:textId="615A434E" w:rsidR="001B109C" w:rsidRDefault="00C10FE8" w:rsidP="00B80CD5">
            <w:pPr>
              <w:pStyle w:val="NormalIndent"/>
              <w:spacing w:before="0" w:after="0"/>
              <w:ind w:left="0"/>
              <w:rPr>
                <w:rFonts w:asciiTheme="minorHAnsi" w:hAnsiTheme="minorHAnsi" w:cstheme="minorHAnsi"/>
                <w:i/>
                <w:color w:val="FF0000"/>
                <w:szCs w:val="22"/>
              </w:rPr>
            </w:pPr>
            <w:hyperlink r:id="rId25" w:history="1">
              <w:r w:rsidRPr="00475A4F">
                <w:rPr>
                  <w:rStyle w:val="Hyperlink"/>
                </w:rPr>
                <w:t>Research Strategy 2025-2030</w:t>
              </w:r>
            </w:hyperlink>
          </w:p>
          <w:p w14:paraId="40DA31C2" w14:textId="77777777" w:rsidR="001B109C" w:rsidRPr="00583B49" w:rsidRDefault="001B109C" w:rsidP="00B80CD5">
            <w:pPr>
              <w:pStyle w:val="NormalIndent"/>
              <w:spacing w:before="0" w:after="0"/>
              <w:ind w:left="0"/>
              <w:rPr>
                <w:rFonts w:asciiTheme="minorHAnsi" w:hAnsiTheme="minorHAnsi" w:cstheme="minorHAnsi"/>
                <w:i/>
                <w:color w:val="FF0000"/>
                <w:szCs w:val="22"/>
              </w:rPr>
            </w:pPr>
          </w:p>
        </w:tc>
      </w:tr>
      <w:tr w:rsidR="001B109C" w:rsidRPr="00E41388" w14:paraId="23C06863" w14:textId="77777777" w:rsidTr="00B80CD5">
        <w:tc>
          <w:tcPr>
            <w:tcW w:w="5000" w:type="pct"/>
          </w:tcPr>
          <w:p w14:paraId="451DCFF9" w14:textId="3BDD3562" w:rsidR="001B109C" w:rsidRPr="00E169EE" w:rsidRDefault="00F30BFA" w:rsidP="00B80CD5">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B80CD5">
        <w:trPr>
          <w:trHeight w:val="1033"/>
        </w:trPr>
        <w:tc>
          <w:tcPr>
            <w:tcW w:w="5000" w:type="pct"/>
          </w:tcPr>
          <w:p w14:paraId="2BB3750B" w14:textId="77777777" w:rsidR="00012AAA" w:rsidRPr="00012AAA" w:rsidRDefault="00012AAA" w:rsidP="00845383">
            <w:pPr>
              <w:pStyle w:val="NormalIndent"/>
              <w:spacing w:after="0"/>
              <w:ind w:left="0"/>
              <w:rPr>
                <w:rFonts w:cstheme="minorHAnsi"/>
                <w:b/>
                <w:bCs/>
                <w:iCs/>
                <w:color w:val="000000" w:themeColor="text1"/>
              </w:rPr>
            </w:pPr>
            <w:r w:rsidRPr="00012AAA">
              <w:rPr>
                <w:rFonts w:cstheme="minorHAnsi"/>
                <w:b/>
                <w:bCs/>
                <w:iCs/>
                <w:color w:val="000000" w:themeColor="text1"/>
              </w:rPr>
              <w:t>Co-operative education partnerships</w:t>
            </w:r>
          </w:p>
          <w:p w14:paraId="65F04EDC" w14:textId="3F8B88CF" w:rsidR="00BB3077" w:rsidRDefault="00BB3077" w:rsidP="00845383">
            <w:pPr>
              <w:pStyle w:val="NormalIndent"/>
              <w:spacing w:after="0"/>
              <w:ind w:left="0"/>
              <w:rPr>
                <w:rFonts w:cstheme="minorHAnsi"/>
                <w:iCs/>
                <w:color w:val="000000" w:themeColor="text1"/>
              </w:rPr>
            </w:pPr>
            <w:r w:rsidRPr="00BB3077">
              <w:rPr>
                <w:rFonts w:cstheme="minorHAnsi"/>
                <w:iCs/>
                <w:color w:val="000000" w:themeColor="text1"/>
              </w:rPr>
              <w:t>Industry engagement is central to Federation</w:t>
            </w:r>
            <w:r w:rsidR="00487B55">
              <w:rPr>
                <w:rFonts w:cstheme="minorHAnsi"/>
                <w:iCs/>
                <w:color w:val="000000" w:themeColor="text1"/>
              </w:rPr>
              <w:t xml:space="preserve">’s </w:t>
            </w:r>
            <w:r w:rsidRPr="00BB3077">
              <w:rPr>
                <w:rFonts w:cstheme="minorHAnsi"/>
                <w:iCs/>
                <w:color w:val="000000" w:themeColor="text1"/>
              </w:rPr>
              <w:t>identity as Australia’s first co-operative university. Our strategy embeds partnerships with employers across teaching, research and innovation, positioning Federation as a bridge between academia and industry. With over 1,800 active partners—from global firms to local SMEs and government agencies—our goal is to deepen and expand these relationships to meet regional workforce needs and drive economic growth.</w:t>
            </w:r>
          </w:p>
          <w:p w14:paraId="71BB6019" w14:textId="670C5593" w:rsidR="00BB3077" w:rsidRDefault="00BB3077" w:rsidP="00845383">
            <w:pPr>
              <w:pStyle w:val="NormalIndent"/>
              <w:spacing w:after="0"/>
              <w:ind w:left="0"/>
              <w:rPr>
                <w:rFonts w:cstheme="minorHAnsi"/>
                <w:iCs/>
                <w:color w:val="000000" w:themeColor="text1"/>
              </w:rPr>
            </w:pPr>
            <w:r w:rsidRPr="00BB3077">
              <w:rPr>
                <w:rFonts w:cstheme="minorHAnsi"/>
                <w:iCs/>
                <w:color w:val="000000" w:themeColor="text1"/>
              </w:rPr>
              <w:t>The co-op model relies on employer partnerships to deliver paid placements and shape curriculum. Formal agreements outline placement commitments and curriculum input, while Industry Advisory Panels ensure alignment with workforce needs. Our goal is for 100% of undergraduate students to complete at least one co-op experience in industry by graduation. We are expanding our partner base across sectors, including health, education, energy and advanced manufacturing.</w:t>
            </w:r>
          </w:p>
          <w:p w14:paraId="35161E5E" w14:textId="711EC58F" w:rsidR="00685670" w:rsidRPr="00685670" w:rsidRDefault="00685670" w:rsidP="00845383">
            <w:pPr>
              <w:pStyle w:val="NormalIndent"/>
              <w:spacing w:after="0"/>
              <w:ind w:left="0"/>
              <w:rPr>
                <w:rFonts w:cstheme="minorHAnsi"/>
                <w:b/>
                <w:bCs/>
                <w:iCs/>
                <w:color w:val="000000" w:themeColor="text1"/>
              </w:rPr>
            </w:pPr>
            <w:r w:rsidRPr="00685670">
              <w:rPr>
                <w:rFonts w:cstheme="minorHAnsi"/>
                <w:b/>
                <w:bCs/>
                <w:iCs/>
                <w:color w:val="000000" w:themeColor="text1"/>
              </w:rPr>
              <w:t>Cadetships and employment-based pathways</w:t>
            </w:r>
          </w:p>
          <w:p w14:paraId="71BA6AB3" w14:textId="73250757" w:rsidR="00082908" w:rsidRDefault="00082908" w:rsidP="00845383">
            <w:pPr>
              <w:pStyle w:val="NormalIndent"/>
              <w:spacing w:after="0"/>
              <w:ind w:left="0"/>
              <w:rPr>
                <w:rFonts w:cstheme="minorHAnsi"/>
                <w:iCs/>
                <w:color w:val="000000" w:themeColor="text1"/>
              </w:rPr>
            </w:pPr>
            <w:r w:rsidRPr="00082908">
              <w:rPr>
                <w:rFonts w:cstheme="minorHAnsi"/>
                <w:iCs/>
                <w:color w:val="000000" w:themeColor="text1"/>
              </w:rPr>
              <w:t xml:space="preserve">Federation is pioneering cadetship programs that link study with employment. We are partnering with major health networks to place nursing and allied health students </w:t>
            </w:r>
            <w:r w:rsidR="00BA18E5">
              <w:rPr>
                <w:rFonts w:cstheme="minorHAnsi"/>
                <w:iCs/>
                <w:color w:val="000000" w:themeColor="text1"/>
              </w:rPr>
              <w:t xml:space="preserve">(both HE and VET) </w:t>
            </w:r>
            <w:r w:rsidRPr="00082908">
              <w:rPr>
                <w:rFonts w:cstheme="minorHAnsi"/>
                <w:iCs/>
                <w:color w:val="000000" w:themeColor="text1"/>
              </w:rPr>
              <w:t>in paid cadetships to address hospital workforce needs and with local government and engineering firms to run engineering cadetships that fill municipal infrastructure skill gaps. In response to teacher shortages, we partner with the Victorian Government to deliver part-time education pathways for school staff. Similar models are being developed in aged care and childcare, where students work while studying, supported by scholarships. These programs directly address workforce gaps and improve graduate outcomes.</w:t>
            </w:r>
          </w:p>
          <w:p w14:paraId="1CB5F917" w14:textId="77777777" w:rsidR="00F61BC0" w:rsidRPr="00F61BC0" w:rsidRDefault="00F61BC0" w:rsidP="00F61BC0">
            <w:pPr>
              <w:pStyle w:val="NormalIndent"/>
              <w:spacing w:after="0"/>
              <w:ind w:left="0"/>
              <w:rPr>
                <w:rFonts w:cstheme="minorHAnsi"/>
                <w:b/>
                <w:bCs/>
                <w:iCs/>
                <w:color w:val="000000" w:themeColor="text1"/>
              </w:rPr>
            </w:pPr>
            <w:r w:rsidRPr="00F61BC0">
              <w:rPr>
                <w:rFonts w:cstheme="minorHAnsi"/>
                <w:b/>
                <w:bCs/>
                <w:iCs/>
                <w:color w:val="000000" w:themeColor="text1"/>
              </w:rPr>
              <w:t>Technology parks and innovation precincts</w:t>
            </w:r>
          </w:p>
          <w:p w14:paraId="2CDC2859" w14:textId="32DA8856" w:rsidR="00F61BC0" w:rsidRDefault="00F61BC0" w:rsidP="00F61BC0">
            <w:pPr>
              <w:pStyle w:val="NormalIndent"/>
              <w:spacing w:after="0"/>
              <w:ind w:left="0"/>
              <w:rPr>
                <w:rFonts w:cstheme="minorBidi"/>
                <w:color w:val="000000" w:themeColor="text1"/>
              </w:rPr>
            </w:pPr>
            <w:r w:rsidRPr="585DBDF8">
              <w:rPr>
                <w:rFonts w:cstheme="minorBidi"/>
                <w:color w:val="000000" w:themeColor="text1"/>
              </w:rPr>
              <w:t>Federation hosts Australia’s largest regional technology park at Ballarat, home to 6</w:t>
            </w:r>
            <w:r w:rsidR="22CE8B98" w:rsidRPr="585DBDF8">
              <w:rPr>
                <w:rFonts w:cstheme="minorBidi"/>
                <w:color w:val="000000" w:themeColor="text1"/>
              </w:rPr>
              <w:t>4</w:t>
            </w:r>
            <w:r w:rsidRPr="585DBDF8">
              <w:rPr>
                <w:rFonts w:cstheme="minorBidi"/>
                <w:color w:val="000000" w:themeColor="text1"/>
              </w:rPr>
              <w:t>+ companies and over 2,</w:t>
            </w:r>
            <w:r w:rsidR="49011CB7" w:rsidRPr="585DBDF8">
              <w:rPr>
                <w:rFonts w:cstheme="minorBidi"/>
                <w:color w:val="000000" w:themeColor="text1"/>
              </w:rPr>
              <w:t>4</w:t>
            </w:r>
            <w:r w:rsidRPr="585DBDF8">
              <w:rPr>
                <w:rFonts w:cstheme="minorBidi"/>
                <w:color w:val="000000" w:themeColor="text1"/>
              </w:rPr>
              <w:t>00 employees. The park fosters daily interaction between industry and university, with students interning and academics collaborating on projects. The longstanding IBM partnership exemplifies this model. We have expanded this through the Morwell Innovation Centre in Gippsland and Tech Park Central in Ballarat’s CBD. Our model continues to attract large companies to our Tech Park which in turn provides a positive impact to the economic development of our regions</w:t>
            </w:r>
            <w:r w:rsidR="00A438F1">
              <w:rPr>
                <w:rFonts w:cstheme="minorBidi"/>
                <w:color w:val="000000" w:themeColor="text1"/>
              </w:rPr>
              <w:t xml:space="preserve"> (~$700m in economic activity)</w:t>
            </w:r>
            <w:r w:rsidRPr="585DBDF8">
              <w:rPr>
                <w:rFonts w:cstheme="minorBidi"/>
                <w:color w:val="000000" w:themeColor="text1"/>
              </w:rPr>
              <w:t xml:space="preserve">. This is evidenced through the recent launch of Accenture at our Ballarat Tech Park. By 2040, we </w:t>
            </w:r>
            <w:r w:rsidR="00C9619A" w:rsidRPr="585DBDF8">
              <w:rPr>
                <w:rFonts w:cstheme="minorBidi"/>
                <w:color w:val="000000" w:themeColor="text1"/>
              </w:rPr>
              <w:t>aim</w:t>
            </w:r>
            <w:r w:rsidRPr="585DBDF8">
              <w:rPr>
                <w:rFonts w:cstheme="minorBidi"/>
                <w:color w:val="000000" w:themeColor="text1"/>
              </w:rPr>
              <w:t xml:space="preserve"> for our precincts to support over 5,000 jobs and serve as hubs for co-op learning, research and enterprise.</w:t>
            </w:r>
          </w:p>
          <w:p w14:paraId="273B2E6F" w14:textId="30436D09" w:rsidR="00BB3077" w:rsidRPr="00BB3077" w:rsidRDefault="00BB3077" w:rsidP="00845383">
            <w:pPr>
              <w:pStyle w:val="NormalIndent"/>
              <w:spacing w:after="0"/>
              <w:ind w:left="0"/>
              <w:rPr>
                <w:rFonts w:cstheme="minorHAnsi"/>
                <w:iCs/>
                <w:color w:val="000000" w:themeColor="text1"/>
              </w:rPr>
            </w:pPr>
            <w:r w:rsidRPr="00BB3077">
              <w:rPr>
                <w:rFonts w:cstheme="minorHAnsi"/>
                <w:b/>
                <w:bCs/>
                <w:iCs/>
                <w:color w:val="000000" w:themeColor="text1"/>
              </w:rPr>
              <w:t>Measures of Success:</w:t>
            </w:r>
          </w:p>
          <w:p w14:paraId="24710D13" w14:textId="348DCB64" w:rsidR="00BB3077" w:rsidRPr="00BB3077" w:rsidRDefault="00BB3077" w:rsidP="00A16AA1">
            <w:pPr>
              <w:pStyle w:val="NormalIndent"/>
              <w:numPr>
                <w:ilvl w:val="0"/>
                <w:numId w:val="32"/>
              </w:numPr>
              <w:spacing w:after="0"/>
              <w:rPr>
                <w:rFonts w:cstheme="minorHAnsi"/>
                <w:iCs/>
                <w:color w:val="000000" w:themeColor="text1"/>
              </w:rPr>
            </w:pPr>
            <w:r w:rsidRPr="00BB3077">
              <w:rPr>
                <w:rFonts w:cstheme="minorHAnsi"/>
                <w:iCs/>
                <w:color w:val="000000" w:themeColor="text1"/>
              </w:rPr>
              <w:t xml:space="preserve">Student </w:t>
            </w:r>
            <w:r>
              <w:rPr>
                <w:rFonts w:cstheme="minorHAnsi"/>
                <w:iCs/>
                <w:color w:val="000000" w:themeColor="text1"/>
              </w:rPr>
              <w:t>co-op placements</w:t>
            </w:r>
            <w:r w:rsidRPr="00BB3077">
              <w:rPr>
                <w:rFonts w:cstheme="minorHAnsi"/>
                <w:iCs/>
                <w:color w:val="000000" w:themeColor="text1"/>
              </w:rPr>
              <w:t xml:space="preserve"> (target: 100% of undergraduates with co-op experiences)</w:t>
            </w:r>
          </w:p>
          <w:p w14:paraId="200F66F3" w14:textId="159E3EBC" w:rsidR="00BB3077" w:rsidRPr="00BB3077" w:rsidRDefault="00BB3077" w:rsidP="00A16AA1">
            <w:pPr>
              <w:pStyle w:val="NormalIndent"/>
              <w:numPr>
                <w:ilvl w:val="0"/>
                <w:numId w:val="32"/>
              </w:numPr>
              <w:spacing w:before="0" w:after="0"/>
              <w:rPr>
                <w:rFonts w:cstheme="minorHAnsi"/>
                <w:iCs/>
                <w:color w:val="000000" w:themeColor="text1"/>
              </w:rPr>
            </w:pPr>
            <w:r w:rsidRPr="00BB3077">
              <w:rPr>
                <w:rFonts w:cstheme="minorHAnsi"/>
                <w:iCs/>
                <w:color w:val="000000" w:themeColor="text1"/>
              </w:rPr>
              <w:t>Growth in co-op placements, cadetships and industry-linked research projects</w:t>
            </w:r>
          </w:p>
          <w:p w14:paraId="09ED31FA" w14:textId="77777777" w:rsidR="00BB3077" w:rsidRPr="00BB3077" w:rsidRDefault="00BB3077" w:rsidP="00A16AA1">
            <w:pPr>
              <w:pStyle w:val="NormalIndent"/>
              <w:numPr>
                <w:ilvl w:val="0"/>
                <w:numId w:val="32"/>
              </w:numPr>
              <w:spacing w:before="0" w:after="0"/>
              <w:rPr>
                <w:rFonts w:cstheme="minorHAnsi"/>
                <w:iCs/>
                <w:color w:val="000000" w:themeColor="text1"/>
              </w:rPr>
            </w:pPr>
            <w:r w:rsidRPr="00BB3077">
              <w:rPr>
                <w:rFonts w:cstheme="minorHAnsi"/>
                <w:iCs/>
                <w:color w:val="000000" w:themeColor="text1"/>
              </w:rPr>
              <w:t>Research income from industry sources</w:t>
            </w:r>
          </w:p>
          <w:p w14:paraId="6BA2F20C" w14:textId="77777777" w:rsidR="00BB3077" w:rsidRPr="00BB3077" w:rsidRDefault="00BB3077" w:rsidP="00A16AA1">
            <w:pPr>
              <w:pStyle w:val="NormalIndent"/>
              <w:numPr>
                <w:ilvl w:val="0"/>
                <w:numId w:val="32"/>
              </w:numPr>
              <w:spacing w:before="0" w:after="0"/>
              <w:rPr>
                <w:rFonts w:cstheme="minorHAnsi"/>
                <w:iCs/>
                <w:color w:val="000000" w:themeColor="text1"/>
              </w:rPr>
            </w:pPr>
            <w:r w:rsidRPr="00BB3077">
              <w:rPr>
                <w:rFonts w:cstheme="minorHAnsi"/>
                <w:iCs/>
                <w:color w:val="000000" w:themeColor="text1"/>
              </w:rPr>
              <w:t>Employer satisfaction and retention of graduates in regional jobs</w:t>
            </w:r>
          </w:p>
          <w:p w14:paraId="652CB955" w14:textId="72D9719C" w:rsidR="00BB3077" w:rsidRPr="00BB3077" w:rsidRDefault="00BB3077" w:rsidP="00A16AA1">
            <w:pPr>
              <w:pStyle w:val="NormalIndent"/>
              <w:numPr>
                <w:ilvl w:val="0"/>
                <w:numId w:val="32"/>
              </w:numPr>
              <w:spacing w:before="0" w:after="0"/>
              <w:rPr>
                <w:rFonts w:cstheme="minorHAnsi"/>
                <w:iCs/>
                <w:color w:val="000000" w:themeColor="text1"/>
              </w:rPr>
            </w:pPr>
            <w:r w:rsidRPr="00BB3077">
              <w:rPr>
                <w:rFonts w:cstheme="minorHAnsi"/>
                <w:iCs/>
                <w:color w:val="000000" w:themeColor="text1"/>
              </w:rPr>
              <w:t>Economic impact of precincts</w:t>
            </w:r>
            <w:r>
              <w:rPr>
                <w:rFonts w:cstheme="minorHAnsi"/>
                <w:iCs/>
                <w:color w:val="000000" w:themeColor="text1"/>
              </w:rPr>
              <w:t>.</w:t>
            </w:r>
          </w:p>
          <w:p w14:paraId="3BCBCA6B" w14:textId="77777777" w:rsidR="001B109C" w:rsidRDefault="001B109C" w:rsidP="00B80CD5">
            <w:pPr>
              <w:pStyle w:val="NormalIndent"/>
              <w:spacing w:before="0" w:after="0"/>
              <w:ind w:left="0"/>
              <w:rPr>
                <w:rFonts w:asciiTheme="minorHAnsi" w:hAnsiTheme="minorHAnsi" w:cstheme="minorHAnsi"/>
                <w:i/>
                <w:color w:val="FF0000"/>
                <w:szCs w:val="22"/>
              </w:rPr>
            </w:pPr>
          </w:p>
          <w:p w14:paraId="142142B1" w14:textId="77777777" w:rsidR="00BB3077" w:rsidRPr="00F1624A" w:rsidRDefault="00BB3077" w:rsidP="00845383">
            <w:pPr>
              <w:pStyle w:val="NormalIndent"/>
              <w:spacing w:after="0"/>
              <w:ind w:left="0"/>
              <w:rPr>
                <w:rFonts w:cstheme="minorHAnsi"/>
                <w:iCs/>
                <w:color w:val="000000" w:themeColor="text1"/>
              </w:rPr>
            </w:pPr>
            <w:r w:rsidRPr="00F1624A">
              <w:rPr>
                <w:rFonts w:cstheme="minorHAnsi"/>
                <w:b/>
                <w:bCs/>
                <w:iCs/>
                <w:color w:val="000000" w:themeColor="text1"/>
              </w:rPr>
              <w:t xml:space="preserve">Further </w:t>
            </w:r>
            <w:r w:rsidRPr="00131994">
              <w:rPr>
                <w:rFonts w:cstheme="minorHAnsi"/>
                <w:b/>
                <w:bCs/>
                <w:iCs/>
                <w:color w:val="000000" w:themeColor="text1"/>
              </w:rPr>
              <w:t>information</w:t>
            </w:r>
            <w:r w:rsidRPr="00F1624A">
              <w:rPr>
                <w:rFonts w:cstheme="minorHAnsi"/>
                <w:b/>
                <w:bCs/>
                <w:iCs/>
                <w:color w:val="000000" w:themeColor="text1"/>
              </w:rPr>
              <w:t>:</w:t>
            </w:r>
          </w:p>
          <w:p w14:paraId="6465FC91" w14:textId="610F3C2E" w:rsidR="00BB3077" w:rsidRPr="00BB3077" w:rsidRDefault="00131994" w:rsidP="00B80CD5">
            <w:pPr>
              <w:pStyle w:val="NormalIndent"/>
              <w:spacing w:before="0" w:after="0"/>
              <w:ind w:left="0"/>
              <w:rPr>
                <w:rFonts w:asciiTheme="minorHAnsi" w:hAnsiTheme="minorHAnsi" w:cstheme="minorHAnsi"/>
                <w:iCs/>
                <w:color w:val="FF0000"/>
                <w:szCs w:val="22"/>
              </w:rPr>
            </w:pPr>
            <w:hyperlink r:id="rId26" w:history="1">
              <w:r w:rsidRPr="00EE02AA">
                <w:rPr>
                  <w:rStyle w:val="Hyperlink"/>
                  <w:rFonts w:asciiTheme="minorHAnsi" w:hAnsiTheme="minorHAnsi" w:cstheme="minorHAnsi"/>
                  <w:bCs/>
                </w:rPr>
                <w:t>Engage | Federation University</w:t>
              </w:r>
            </w:hyperlink>
            <w:r>
              <w:rPr>
                <w:rFonts w:asciiTheme="minorHAnsi" w:hAnsiTheme="minorHAnsi" w:cstheme="minorHAnsi"/>
                <w:bCs/>
                <w:color w:val="005BB7" w:themeColor="text2" w:themeTint="BF"/>
              </w:rPr>
              <w:br/>
            </w:r>
            <w:hyperlink r:id="rId27" w:history="1">
              <w:r w:rsidRPr="0097786A">
                <w:rPr>
                  <w:rStyle w:val="Hyperlink"/>
                  <w:rFonts w:asciiTheme="minorHAnsi" w:hAnsiTheme="minorHAnsi" w:cstheme="minorHAnsi"/>
                  <w:bCs/>
                </w:rPr>
                <w:t>Co-operative education | Federation University</w:t>
              </w:r>
            </w:hyperlink>
            <w:r>
              <w:rPr>
                <w:rFonts w:asciiTheme="minorHAnsi" w:hAnsiTheme="minorHAnsi" w:cstheme="minorHAnsi"/>
                <w:bCs/>
                <w:color w:val="005BB7" w:themeColor="text2" w:themeTint="BF"/>
              </w:rPr>
              <w:br/>
            </w:r>
            <w:hyperlink r:id="rId28" w:history="1">
              <w:r w:rsidRPr="00877834">
                <w:rPr>
                  <w:rStyle w:val="Hyperlink"/>
                  <w:rFonts w:asciiTheme="minorHAnsi" w:hAnsiTheme="minorHAnsi" w:cstheme="minorHAnsi"/>
                  <w:bCs/>
                </w:rPr>
                <w:t>Apply for a co-op placement | Federation University</w:t>
              </w:r>
            </w:hyperlink>
          </w:p>
        </w:tc>
      </w:tr>
    </w:tbl>
    <w:p w14:paraId="3BBBBA25" w14:textId="77777777" w:rsidR="001B109C" w:rsidRDefault="001B109C" w:rsidP="00B80CD5">
      <w:pPr>
        <w:spacing w:after="0"/>
        <w:rPr>
          <w:rFonts w:ascii="Times New Roman" w:hAnsi="Times New Roman" w:cs="Times New Roman"/>
          <w:b/>
          <w:bCs/>
          <w:sz w:val="24"/>
          <w:szCs w:val="24"/>
        </w:rPr>
      </w:pP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005357A7" w:rsidR="001B109C" w:rsidRPr="00E114B4" w:rsidRDefault="000634D5">
            <w:pPr>
              <w:pBdr>
                <w:bottom w:val="single" w:sz="12" w:space="1" w:color="auto"/>
              </w:pBdr>
              <w:rPr>
                <w:rFonts w:cstheme="minorHAnsi"/>
                <w:b/>
                <w:bCs/>
              </w:rPr>
            </w:pPr>
            <w:r w:rsidRPr="001E1D51">
              <w:rPr>
                <w:b/>
                <w:bCs/>
              </w:rPr>
              <w:t>Jessica Mohr</w:t>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4A625852" w:rsidR="001B109C" w:rsidRPr="00E114B4" w:rsidRDefault="00165B2B">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5326A556" w:rsidR="001B109C" w:rsidRPr="00E114B4" w:rsidRDefault="00B23AD2">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7CFB1D37" w:rsidR="001B109C" w:rsidRPr="00E114B4" w:rsidRDefault="009E269D">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5F66CA62" w:rsidR="001B109C" w:rsidRPr="00ED6419" w:rsidRDefault="00ED6419">
            <w:pPr>
              <w:pBdr>
                <w:bottom w:val="single" w:sz="12" w:space="1" w:color="auto"/>
              </w:pBdr>
              <w:rPr>
                <w:rFonts w:cstheme="minorHAnsi"/>
              </w:rPr>
            </w:pPr>
            <w:r w:rsidRPr="00ED6419">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36B1A7BC" w:rsidR="001B109C" w:rsidRPr="00E169EE" w:rsidRDefault="00FD608C">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FEDERATION UNIVERSITY AUSTRALIA</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4E5A9BC4" w:rsidR="001B109C" w:rsidRPr="00E169EE" w:rsidRDefault="00FD608C">
            <w:pPr>
              <w:pBdr>
                <w:bottom w:val="single" w:sz="12" w:space="1" w:color="auto"/>
              </w:pBdr>
              <w:rPr>
                <w:rFonts w:cstheme="minorHAnsi"/>
                <w:b/>
                <w:bCs/>
              </w:rPr>
            </w:pPr>
            <w:r>
              <w:rPr>
                <w:rFonts w:cstheme="minorHAnsi"/>
                <w:b/>
                <w:bCs/>
              </w:rPr>
              <w:t xml:space="preserve">Professor Duncan Bentley </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61E84F9D" w:rsidR="001B109C" w:rsidRPr="002F4604" w:rsidRDefault="00FD608C">
            <w:pPr>
              <w:pBdr>
                <w:bottom w:val="single" w:sz="12" w:space="1" w:color="auto"/>
              </w:pBdr>
              <w:rPr>
                <w:rFonts w:cstheme="minorHAnsi"/>
                <w:b/>
                <w:bCs/>
              </w:rPr>
            </w:pPr>
            <w:r>
              <w:rPr>
                <w:rFonts w:cstheme="minorHAnsi"/>
                <w:b/>
                <w:bCs/>
              </w:rPr>
              <w:t>Paula Burton</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6024D23B" w:rsidR="001B109C" w:rsidRPr="00E169EE" w:rsidRDefault="00FD608C">
            <w:pPr>
              <w:pBdr>
                <w:bottom w:val="single" w:sz="12" w:space="1" w:color="auto"/>
              </w:pBdr>
              <w:spacing w:after="0"/>
              <w:rPr>
                <w:rFonts w:cstheme="minorHAnsi"/>
                <w:b/>
                <w:bCs/>
              </w:rPr>
            </w:pPr>
            <w:r>
              <w:rPr>
                <w:rFonts w:cstheme="minorHAnsi"/>
                <w:b/>
                <w:bCs/>
              </w:rPr>
              <w:t xml:space="preserve">Vice-Chancellor and President </w:t>
            </w:r>
          </w:p>
          <w:p w14:paraId="231ABA73" w14:textId="77777777" w:rsidR="001B109C" w:rsidRPr="00E169EE" w:rsidRDefault="001B109C">
            <w:pPr>
              <w:spacing w:after="0"/>
              <w:rPr>
                <w:rFonts w:cstheme="minorHAnsi"/>
              </w:rPr>
            </w:pPr>
            <w:r w:rsidRPr="00E169EE">
              <w:rPr>
                <w:rFonts w:cstheme="minorHAnsi"/>
              </w:rPr>
              <w:t>Position</w:t>
            </w:r>
          </w:p>
          <w:p w14:paraId="536F9855" w14:textId="7F813D3C" w:rsidR="001B109C" w:rsidRPr="00E169EE" w:rsidRDefault="001B109C">
            <w:pPr>
              <w:spacing w:after="0"/>
              <w:rPr>
                <w:rFonts w:cstheme="minorHAnsi"/>
              </w:rPr>
            </w:pPr>
          </w:p>
        </w:tc>
        <w:tc>
          <w:tcPr>
            <w:tcW w:w="4508" w:type="dxa"/>
          </w:tcPr>
          <w:p w14:paraId="7B33C473" w14:textId="42DD2B38" w:rsidR="001B109C" w:rsidRPr="002F4604" w:rsidRDefault="00FD608C">
            <w:pPr>
              <w:pBdr>
                <w:bottom w:val="single" w:sz="12" w:space="1" w:color="auto"/>
              </w:pBdr>
              <w:spacing w:after="0"/>
              <w:rPr>
                <w:rFonts w:cstheme="minorHAnsi"/>
                <w:b/>
                <w:bCs/>
              </w:rPr>
            </w:pPr>
            <w:r>
              <w:rPr>
                <w:rFonts w:cstheme="minorHAnsi"/>
                <w:b/>
                <w:bCs/>
              </w:rPr>
              <w:t xml:space="preserve">Executive Assistant </w:t>
            </w:r>
          </w:p>
          <w:p w14:paraId="3DC8350F" w14:textId="77777777" w:rsidR="001B109C" w:rsidRDefault="001B109C">
            <w:pPr>
              <w:spacing w:after="0"/>
              <w:rPr>
                <w:rFonts w:cstheme="minorHAnsi"/>
                <w:b/>
                <w:bCs/>
              </w:rPr>
            </w:pPr>
            <w:r w:rsidRPr="002F4604">
              <w:rPr>
                <w:rFonts w:cstheme="minorHAnsi"/>
              </w:rPr>
              <w:t>Position or profession of witness (please print)</w:t>
            </w:r>
            <w:r w:rsidR="00D01CFA" w:rsidRPr="00D01CFA">
              <w:rPr>
                <w:rFonts w:cstheme="minorHAnsi"/>
                <w:b/>
                <w:bCs/>
              </w:rPr>
              <w:t xml:space="preserve"> </w:t>
            </w:r>
          </w:p>
          <w:p w14:paraId="44140A3D" w14:textId="77777777" w:rsidR="007A2A85" w:rsidRDefault="007A2A85">
            <w:pPr>
              <w:spacing w:after="0"/>
              <w:rPr>
                <w:rFonts w:cstheme="minorHAnsi"/>
              </w:rPr>
            </w:pPr>
          </w:p>
          <w:p w14:paraId="0C046C3D" w14:textId="1C172FEB" w:rsidR="007A2A85" w:rsidRPr="002F4604" w:rsidRDefault="007A2A85">
            <w:pPr>
              <w:spacing w:after="0"/>
              <w:rPr>
                <w:rFonts w:cstheme="minorHAnsi"/>
              </w:rPr>
            </w:pPr>
          </w:p>
        </w:tc>
      </w:tr>
      <w:tr w:rsidR="001B109C" w:rsidRPr="00E169EE" w14:paraId="51440CFB" w14:textId="77777777">
        <w:trPr>
          <w:trHeight w:val="80"/>
        </w:trPr>
        <w:tc>
          <w:tcPr>
            <w:tcW w:w="4508" w:type="dxa"/>
          </w:tcPr>
          <w:p w14:paraId="7583F948" w14:textId="77777777"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74619780"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497A5D64" w14:textId="4857B3BC" w:rsidR="00A776B9" w:rsidRDefault="00A776B9" w:rsidP="00A776B9">
      <w:pPr>
        <w:rPr>
          <w:rFonts w:cstheme="minorHAnsi"/>
          <w:b/>
          <w:bCs/>
        </w:rPr>
      </w:pPr>
      <w:r>
        <w:rPr>
          <w:rFonts w:cstheme="minorHAnsi"/>
          <w:b/>
          <w:bCs/>
        </w:rPr>
        <w:t xml:space="preserve">  </w:t>
      </w:r>
    </w:p>
    <w:p w14:paraId="3E0BA521" w14:textId="36F0AFE9" w:rsidR="00A776B9" w:rsidRPr="00285733" w:rsidRDefault="00A776B9" w:rsidP="00A776B9">
      <w:r>
        <w:rPr>
          <w:rFonts w:cstheme="minorHAnsi"/>
          <w:b/>
          <w:bCs/>
        </w:rPr>
        <w:t xml:space="preserve">   </w:t>
      </w:r>
      <w:r>
        <w:rPr>
          <w:rFonts w:cstheme="minorHAnsi"/>
        </w:rPr>
        <w:t xml:space="preserve">Date: </w:t>
      </w:r>
      <w:r w:rsidR="00D91CF1">
        <w:rPr>
          <w:rFonts w:cstheme="minorHAnsi"/>
        </w:rPr>
        <w:t>12 November 2025</w:t>
      </w:r>
    </w:p>
    <w:p w14:paraId="2C788895" w14:textId="77777777" w:rsidR="00CF4F44" w:rsidRPr="001B109C" w:rsidRDefault="00CF4F44" w:rsidP="001B109C">
      <w:pPr>
        <w:pStyle w:val="NormalIndent"/>
        <w:spacing w:line="240" w:lineRule="auto"/>
        <w:ind w:left="0"/>
        <w:rPr>
          <w:rFonts w:asciiTheme="minorHAnsi" w:hAnsiTheme="minorHAnsi" w:cstheme="minorHAnsi"/>
          <w:szCs w:val="22"/>
        </w:rPr>
      </w:pPr>
    </w:p>
    <w:sectPr w:rsidR="00CF4F44" w:rsidRPr="001B109C" w:rsidSect="00D86284">
      <w:footerReference w:type="default" r:id="rId29"/>
      <w:footerReference w:type="first" r:id="rId3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33BB" w14:textId="77777777" w:rsidR="00DE60F5" w:rsidRDefault="00DE60F5" w:rsidP="000A6228">
      <w:pPr>
        <w:spacing w:after="0" w:line="240" w:lineRule="auto"/>
      </w:pPr>
      <w:r>
        <w:separator/>
      </w:r>
    </w:p>
  </w:endnote>
  <w:endnote w:type="continuationSeparator" w:id="0">
    <w:p w14:paraId="30B076BE" w14:textId="77777777" w:rsidR="00DE60F5" w:rsidRDefault="00DE60F5" w:rsidP="000A6228">
      <w:pPr>
        <w:spacing w:after="0" w:line="240" w:lineRule="auto"/>
      </w:pPr>
      <w:r>
        <w:continuationSeparator/>
      </w:r>
    </w:p>
  </w:endnote>
  <w:endnote w:type="continuationNotice" w:id="1">
    <w:p w14:paraId="2394E7A9" w14:textId="77777777" w:rsidR="00DE60F5" w:rsidRDefault="00DE6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53B95D11" w14:textId="1307A5D5" w:rsidR="006C1BBB" w:rsidRPr="00A438F1" w:rsidRDefault="0029618B" w:rsidP="00A438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702FC99A" w14:textId="692445B6" w:rsidR="0029618B" w:rsidRPr="00A438F1" w:rsidRDefault="0029618B" w:rsidP="00A438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74BE" w14:textId="77777777" w:rsidR="00DE60F5" w:rsidRDefault="00DE60F5" w:rsidP="000A6228">
      <w:pPr>
        <w:spacing w:after="0" w:line="240" w:lineRule="auto"/>
      </w:pPr>
      <w:r>
        <w:separator/>
      </w:r>
    </w:p>
  </w:footnote>
  <w:footnote w:type="continuationSeparator" w:id="0">
    <w:p w14:paraId="2399ACDA" w14:textId="77777777" w:rsidR="00DE60F5" w:rsidRDefault="00DE60F5" w:rsidP="000A6228">
      <w:pPr>
        <w:spacing w:after="0" w:line="240" w:lineRule="auto"/>
      </w:pPr>
      <w:r>
        <w:continuationSeparator/>
      </w:r>
    </w:p>
  </w:footnote>
  <w:footnote w:type="continuationNotice" w:id="1">
    <w:p w14:paraId="750869D2" w14:textId="77777777" w:rsidR="00DE60F5" w:rsidRDefault="00DE60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55B0198"/>
    <w:multiLevelType w:val="multilevel"/>
    <w:tmpl w:val="74042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21728A"/>
    <w:multiLevelType w:val="hybridMultilevel"/>
    <w:tmpl w:val="BF7C7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F52680"/>
    <w:multiLevelType w:val="hybridMultilevel"/>
    <w:tmpl w:val="8C82B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3B4AA4"/>
    <w:multiLevelType w:val="multilevel"/>
    <w:tmpl w:val="74042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E322B7"/>
    <w:multiLevelType w:val="multilevel"/>
    <w:tmpl w:val="74042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2101518"/>
    <w:multiLevelType w:val="hybridMultilevel"/>
    <w:tmpl w:val="6CB00692"/>
    <w:lvl w:ilvl="0" w:tplc="D11467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5B5EC5"/>
    <w:multiLevelType w:val="hybridMultilevel"/>
    <w:tmpl w:val="DB640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1B7B78"/>
    <w:multiLevelType w:val="hybridMultilevel"/>
    <w:tmpl w:val="EAAC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BC3382"/>
    <w:multiLevelType w:val="multilevel"/>
    <w:tmpl w:val="740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D43CE"/>
    <w:multiLevelType w:val="multilevel"/>
    <w:tmpl w:val="74042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E148BE"/>
    <w:multiLevelType w:val="multilevel"/>
    <w:tmpl w:val="A43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64874"/>
    <w:multiLevelType w:val="hybridMultilevel"/>
    <w:tmpl w:val="A65E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DEF7F67"/>
    <w:multiLevelType w:val="multilevel"/>
    <w:tmpl w:val="D258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5"/>
  </w:num>
  <w:num w:numId="6" w16cid:durableId="120733662">
    <w:abstractNumId w:val="2"/>
  </w:num>
  <w:num w:numId="7" w16cid:durableId="2022584168">
    <w:abstractNumId w:val="1"/>
  </w:num>
  <w:num w:numId="8" w16cid:durableId="534267804">
    <w:abstractNumId w:val="0"/>
  </w:num>
  <w:num w:numId="9" w16cid:durableId="1265042610">
    <w:abstractNumId w:val="14"/>
  </w:num>
  <w:num w:numId="10" w16cid:durableId="1943879001">
    <w:abstractNumId w:val="7"/>
  </w:num>
  <w:num w:numId="11" w16cid:durableId="419833051">
    <w:abstractNumId w:val="28"/>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9"/>
  </w:num>
  <w:num w:numId="17" w16cid:durableId="1022434231">
    <w:abstractNumId w:val="17"/>
  </w:num>
  <w:num w:numId="18" w16cid:durableId="618417265">
    <w:abstractNumId w:val="8"/>
  </w:num>
  <w:num w:numId="19" w16cid:durableId="271010807">
    <w:abstractNumId w:val="23"/>
  </w:num>
  <w:num w:numId="20" w16cid:durableId="801575381">
    <w:abstractNumId w:val="30"/>
  </w:num>
  <w:num w:numId="21" w16cid:durableId="792986139">
    <w:abstractNumId w:val="26"/>
  </w:num>
  <w:num w:numId="22" w16cid:durableId="554895843">
    <w:abstractNumId w:val="20"/>
  </w:num>
  <w:num w:numId="23" w16cid:durableId="1736774923">
    <w:abstractNumId w:val="24"/>
  </w:num>
  <w:num w:numId="24" w16cid:durableId="1691108652">
    <w:abstractNumId w:val="25"/>
  </w:num>
  <w:num w:numId="25" w16cid:durableId="1587183570">
    <w:abstractNumId w:val="10"/>
  </w:num>
  <w:num w:numId="26" w16cid:durableId="1131509974">
    <w:abstractNumId w:val="18"/>
  </w:num>
  <w:num w:numId="27" w16cid:durableId="642851983">
    <w:abstractNumId w:val="16"/>
  </w:num>
  <w:num w:numId="28" w16cid:durableId="148206931">
    <w:abstractNumId w:val="19"/>
  </w:num>
  <w:num w:numId="29" w16cid:durableId="983697104">
    <w:abstractNumId w:val="13"/>
  </w:num>
  <w:num w:numId="30" w16cid:durableId="689843087">
    <w:abstractNumId w:val="22"/>
  </w:num>
  <w:num w:numId="31" w16cid:durableId="2118019023">
    <w:abstractNumId w:val="21"/>
  </w:num>
  <w:num w:numId="32" w16cid:durableId="159307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BB2"/>
    <w:rsid w:val="00012366"/>
    <w:rsid w:val="00012AAA"/>
    <w:rsid w:val="00021FBE"/>
    <w:rsid w:val="00040F3B"/>
    <w:rsid w:val="00045E1D"/>
    <w:rsid w:val="00047F3F"/>
    <w:rsid w:val="000521D7"/>
    <w:rsid w:val="000634D5"/>
    <w:rsid w:val="00077737"/>
    <w:rsid w:val="00082908"/>
    <w:rsid w:val="00085637"/>
    <w:rsid w:val="000960CF"/>
    <w:rsid w:val="0009620F"/>
    <w:rsid w:val="000A0B58"/>
    <w:rsid w:val="000A3A19"/>
    <w:rsid w:val="000A6228"/>
    <w:rsid w:val="000B55CB"/>
    <w:rsid w:val="000B5D40"/>
    <w:rsid w:val="000B7CA9"/>
    <w:rsid w:val="000B7EC6"/>
    <w:rsid w:val="000C0541"/>
    <w:rsid w:val="000C28C8"/>
    <w:rsid w:val="000C35DD"/>
    <w:rsid w:val="000F7CA3"/>
    <w:rsid w:val="00101A9E"/>
    <w:rsid w:val="00107D87"/>
    <w:rsid w:val="00107DD5"/>
    <w:rsid w:val="00113CDD"/>
    <w:rsid w:val="0012343A"/>
    <w:rsid w:val="00130EA3"/>
    <w:rsid w:val="00131994"/>
    <w:rsid w:val="00133B8D"/>
    <w:rsid w:val="0013611E"/>
    <w:rsid w:val="00141A05"/>
    <w:rsid w:val="001515BF"/>
    <w:rsid w:val="001516B4"/>
    <w:rsid w:val="00154869"/>
    <w:rsid w:val="0015549C"/>
    <w:rsid w:val="00165B2B"/>
    <w:rsid w:val="00165FA3"/>
    <w:rsid w:val="0017134D"/>
    <w:rsid w:val="0019377B"/>
    <w:rsid w:val="00196CDA"/>
    <w:rsid w:val="001A24C9"/>
    <w:rsid w:val="001A5C79"/>
    <w:rsid w:val="001B00C8"/>
    <w:rsid w:val="001B109C"/>
    <w:rsid w:val="001C1523"/>
    <w:rsid w:val="001D76C7"/>
    <w:rsid w:val="001E3BF1"/>
    <w:rsid w:val="001E6DBC"/>
    <w:rsid w:val="002057F0"/>
    <w:rsid w:val="0020682E"/>
    <w:rsid w:val="00217414"/>
    <w:rsid w:val="002212ED"/>
    <w:rsid w:val="00221D8F"/>
    <w:rsid w:val="002272DB"/>
    <w:rsid w:val="00235752"/>
    <w:rsid w:val="00241CF3"/>
    <w:rsid w:val="0024762D"/>
    <w:rsid w:val="00255086"/>
    <w:rsid w:val="00276047"/>
    <w:rsid w:val="002775F3"/>
    <w:rsid w:val="00292D3C"/>
    <w:rsid w:val="002938E7"/>
    <w:rsid w:val="0029618B"/>
    <w:rsid w:val="002A4458"/>
    <w:rsid w:val="002C122E"/>
    <w:rsid w:val="002C1F0F"/>
    <w:rsid w:val="002C3A7E"/>
    <w:rsid w:val="002D0C7B"/>
    <w:rsid w:val="002D3EFA"/>
    <w:rsid w:val="002D55C5"/>
    <w:rsid w:val="002D589A"/>
    <w:rsid w:val="002E420C"/>
    <w:rsid w:val="002E491A"/>
    <w:rsid w:val="002F4604"/>
    <w:rsid w:val="00304890"/>
    <w:rsid w:val="00306105"/>
    <w:rsid w:val="00314712"/>
    <w:rsid w:val="0031729D"/>
    <w:rsid w:val="0032482C"/>
    <w:rsid w:val="00331A12"/>
    <w:rsid w:val="003766CF"/>
    <w:rsid w:val="00393EA7"/>
    <w:rsid w:val="0040155D"/>
    <w:rsid w:val="004023FD"/>
    <w:rsid w:val="0041713E"/>
    <w:rsid w:val="00421D3F"/>
    <w:rsid w:val="00423785"/>
    <w:rsid w:val="00423AF7"/>
    <w:rsid w:val="00425308"/>
    <w:rsid w:val="0042692C"/>
    <w:rsid w:val="00440511"/>
    <w:rsid w:val="00452D26"/>
    <w:rsid w:val="00462848"/>
    <w:rsid w:val="00463568"/>
    <w:rsid w:val="00483B81"/>
    <w:rsid w:val="00487B55"/>
    <w:rsid w:val="0049333E"/>
    <w:rsid w:val="004A06CD"/>
    <w:rsid w:val="004A4B6F"/>
    <w:rsid w:val="004A4CF9"/>
    <w:rsid w:val="004A75C7"/>
    <w:rsid w:val="004D087E"/>
    <w:rsid w:val="004D2965"/>
    <w:rsid w:val="004D2D9D"/>
    <w:rsid w:val="004E6C1C"/>
    <w:rsid w:val="00515A53"/>
    <w:rsid w:val="0052015D"/>
    <w:rsid w:val="00520BA6"/>
    <w:rsid w:val="0052295C"/>
    <w:rsid w:val="00527AB9"/>
    <w:rsid w:val="00541139"/>
    <w:rsid w:val="00547FB7"/>
    <w:rsid w:val="0057028F"/>
    <w:rsid w:val="005825B7"/>
    <w:rsid w:val="00591F57"/>
    <w:rsid w:val="005968CE"/>
    <w:rsid w:val="005A75C9"/>
    <w:rsid w:val="005B187D"/>
    <w:rsid w:val="005C1BB0"/>
    <w:rsid w:val="005E714D"/>
    <w:rsid w:val="005F015E"/>
    <w:rsid w:val="005F35D6"/>
    <w:rsid w:val="005F4BD5"/>
    <w:rsid w:val="006232DC"/>
    <w:rsid w:val="006307F5"/>
    <w:rsid w:val="0063094F"/>
    <w:rsid w:val="00634516"/>
    <w:rsid w:val="006360C2"/>
    <w:rsid w:val="00647A5D"/>
    <w:rsid w:val="00671CA1"/>
    <w:rsid w:val="00685670"/>
    <w:rsid w:val="00691E07"/>
    <w:rsid w:val="006A0F59"/>
    <w:rsid w:val="006B2B77"/>
    <w:rsid w:val="006C1BBB"/>
    <w:rsid w:val="006C37D4"/>
    <w:rsid w:val="006D4CF3"/>
    <w:rsid w:val="006D67F3"/>
    <w:rsid w:val="006E2B06"/>
    <w:rsid w:val="006E493B"/>
    <w:rsid w:val="006E6078"/>
    <w:rsid w:val="006F117C"/>
    <w:rsid w:val="006F1FFF"/>
    <w:rsid w:val="006F2406"/>
    <w:rsid w:val="006F6D10"/>
    <w:rsid w:val="00712B94"/>
    <w:rsid w:val="0071640F"/>
    <w:rsid w:val="00717352"/>
    <w:rsid w:val="00745FC6"/>
    <w:rsid w:val="007517BA"/>
    <w:rsid w:val="0077782B"/>
    <w:rsid w:val="007A2A85"/>
    <w:rsid w:val="007B2CA1"/>
    <w:rsid w:val="007B3D23"/>
    <w:rsid w:val="007D0ABC"/>
    <w:rsid w:val="007E1D68"/>
    <w:rsid w:val="007E4A76"/>
    <w:rsid w:val="008034C4"/>
    <w:rsid w:val="008042F5"/>
    <w:rsid w:val="00834C6D"/>
    <w:rsid w:val="00845383"/>
    <w:rsid w:val="00846079"/>
    <w:rsid w:val="00863F77"/>
    <w:rsid w:val="0086428D"/>
    <w:rsid w:val="008679E3"/>
    <w:rsid w:val="00886959"/>
    <w:rsid w:val="00893A34"/>
    <w:rsid w:val="008A183C"/>
    <w:rsid w:val="008A36E1"/>
    <w:rsid w:val="008A37A7"/>
    <w:rsid w:val="008A7AB4"/>
    <w:rsid w:val="008B0736"/>
    <w:rsid w:val="008B1F14"/>
    <w:rsid w:val="008C1F5A"/>
    <w:rsid w:val="008D4FA9"/>
    <w:rsid w:val="008D6636"/>
    <w:rsid w:val="008F17B1"/>
    <w:rsid w:val="00907EBF"/>
    <w:rsid w:val="00913D0F"/>
    <w:rsid w:val="00917195"/>
    <w:rsid w:val="00934507"/>
    <w:rsid w:val="009354D0"/>
    <w:rsid w:val="00943810"/>
    <w:rsid w:val="0094459A"/>
    <w:rsid w:val="00950B06"/>
    <w:rsid w:val="00970069"/>
    <w:rsid w:val="0097211E"/>
    <w:rsid w:val="009721EB"/>
    <w:rsid w:val="009741FE"/>
    <w:rsid w:val="00975DBF"/>
    <w:rsid w:val="009769D1"/>
    <w:rsid w:val="00980B05"/>
    <w:rsid w:val="0099294D"/>
    <w:rsid w:val="00994D60"/>
    <w:rsid w:val="009A08CE"/>
    <w:rsid w:val="009B44A4"/>
    <w:rsid w:val="009B5C87"/>
    <w:rsid w:val="009B706E"/>
    <w:rsid w:val="009C1E72"/>
    <w:rsid w:val="009C423A"/>
    <w:rsid w:val="009C6B00"/>
    <w:rsid w:val="009E269D"/>
    <w:rsid w:val="009E79ED"/>
    <w:rsid w:val="00A06861"/>
    <w:rsid w:val="00A07596"/>
    <w:rsid w:val="00A16AA1"/>
    <w:rsid w:val="00A17A08"/>
    <w:rsid w:val="00A2072C"/>
    <w:rsid w:val="00A314D3"/>
    <w:rsid w:val="00A438F1"/>
    <w:rsid w:val="00A466A3"/>
    <w:rsid w:val="00A575BB"/>
    <w:rsid w:val="00A60673"/>
    <w:rsid w:val="00A61FD8"/>
    <w:rsid w:val="00A717AA"/>
    <w:rsid w:val="00A776B9"/>
    <w:rsid w:val="00A818DE"/>
    <w:rsid w:val="00A95646"/>
    <w:rsid w:val="00AB1859"/>
    <w:rsid w:val="00AB2A61"/>
    <w:rsid w:val="00AC1872"/>
    <w:rsid w:val="00AC21EE"/>
    <w:rsid w:val="00AD13D0"/>
    <w:rsid w:val="00AD631F"/>
    <w:rsid w:val="00AE0061"/>
    <w:rsid w:val="00AE21FF"/>
    <w:rsid w:val="00AE2CEA"/>
    <w:rsid w:val="00AF1F18"/>
    <w:rsid w:val="00AF1F8D"/>
    <w:rsid w:val="00B0030D"/>
    <w:rsid w:val="00B04FA8"/>
    <w:rsid w:val="00B0726E"/>
    <w:rsid w:val="00B219D1"/>
    <w:rsid w:val="00B23AD2"/>
    <w:rsid w:val="00B35B2F"/>
    <w:rsid w:val="00B37F99"/>
    <w:rsid w:val="00B4345F"/>
    <w:rsid w:val="00B64B3D"/>
    <w:rsid w:val="00B72125"/>
    <w:rsid w:val="00B80CD5"/>
    <w:rsid w:val="00B81FA4"/>
    <w:rsid w:val="00B8794C"/>
    <w:rsid w:val="00B95EF4"/>
    <w:rsid w:val="00BA18E5"/>
    <w:rsid w:val="00BB3077"/>
    <w:rsid w:val="00BB588B"/>
    <w:rsid w:val="00BB6509"/>
    <w:rsid w:val="00BC248C"/>
    <w:rsid w:val="00BF5577"/>
    <w:rsid w:val="00C01EC0"/>
    <w:rsid w:val="00C10FE8"/>
    <w:rsid w:val="00C11164"/>
    <w:rsid w:val="00C212D2"/>
    <w:rsid w:val="00C2270F"/>
    <w:rsid w:val="00C244EE"/>
    <w:rsid w:val="00C319A4"/>
    <w:rsid w:val="00C32AE5"/>
    <w:rsid w:val="00C62385"/>
    <w:rsid w:val="00C72224"/>
    <w:rsid w:val="00C7541B"/>
    <w:rsid w:val="00C75706"/>
    <w:rsid w:val="00C76677"/>
    <w:rsid w:val="00C83D34"/>
    <w:rsid w:val="00C9619A"/>
    <w:rsid w:val="00CA4815"/>
    <w:rsid w:val="00CC1725"/>
    <w:rsid w:val="00CC6464"/>
    <w:rsid w:val="00CC6DE6"/>
    <w:rsid w:val="00CD0336"/>
    <w:rsid w:val="00CF2E38"/>
    <w:rsid w:val="00CF4F44"/>
    <w:rsid w:val="00CF6562"/>
    <w:rsid w:val="00D00EA9"/>
    <w:rsid w:val="00D01CFA"/>
    <w:rsid w:val="00D067CA"/>
    <w:rsid w:val="00D15D42"/>
    <w:rsid w:val="00D22D0D"/>
    <w:rsid w:val="00D22F93"/>
    <w:rsid w:val="00D23ABC"/>
    <w:rsid w:val="00D3712D"/>
    <w:rsid w:val="00D53835"/>
    <w:rsid w:val="00D5688A"/>
    <w:rsid w:val="00D6488C"/>
    <w:rsid w:val="00D65E8B"/>
    <w:rsid w:val="00D67AEF"/>
    <w:rsid w:val="00D7558A"/>
    <w:rsid w:val="00D82BFE"/>
    <w:rsid w:val="00D82C32"/>
    <w:rsid w:val="00D86284"/>
    <w:rsid w:val="00D91CF1"/>
    <w:rsid w:val="00D938B0"/>
    <w:rsid w:val="00DA1CA3"/>
    <w:rsid w:val="00DA31A6"/>
    <w:rsid w:val="00DB17B6"/>
    <w:rsid w:val="00DB2992"/>
    <w:rsid w:val="00DB4E2D"/>
    <w:rsid w:val="00DC1FFA"/>
    <w:rsid w:val="00DC5980"/>
    <w:rsid w:val="00DD2B46"/>
    <w:rsid w:val="00DD3400"/>
    <w:rsid w:val="00DD3642"/>
    <w:rsid w:val="00DE60F5"/>
    <w:rsid w:val="00DF3F63"/>
    <w:rsid w:val="00E06ED6"/>
    <w:rsid w:val="00E0752E"/>
    <w:rsid w:val="00E114B4"/>
    <w:rsid w:val="00E13B0E"/>
    <w:rsid w:val="00E30B4D"/>
    <w:rsid w:val="00E36238"/>
    <w:rsid w:val="00E42EF7"/>
    <w:rsid w:val="00E45699"/>
    <w:rsid w:val="00E529E5"/>
    <w:rsid w:val="00E55C8C"/>
    <w:rsid w:val="00E621B6"/>
    <w:rsid w:val="00E73D58"/>
    <w:rsid w:val="00E80895"/>
    <w:rsid w:val="00E83AFF"/>
    <w:rsid w:val="00EA6A5F"/>
    <w:rsid w:val="00EB21EC"/>
    <w:rsid w:val="00EB4C2F"/>
    <w:rsid w:val="00EC6541"/>
    <w:rsid w:val="00EC7DE6"/>
    <w:rsid w:val="00ED0DDF"/>
    <w:rsid w:val="00ED6419"/>
    <w:rsid w:val="00ED7A49"/>
    <w:rsid w:val="00EE2E52"/>
    <w:rsid w:val="00EF5C61"/>
    <w:rsid w:val="00F0154E"/>
    <w:rsid w:val="00F023DD"/>
    <w:rsid w:val="00F07246"/>
    <w:rsid w:val="00F1000D"/>
    <w:rsid w:val="00F11041"/>
    <w:rsid w:val="00F128E5"/>
    <w:rsid w:val="00F1328D"/>
    <w:rsid w:val="00F1624A"/>
    <w:rsid w:val="00F209AA"/>
    <w:rsid w:val="00F30BFA"/>
    <w:rsid w:val="00F311A4"/>
    <w:rsid w:val="00F33F66"/>
    <w:rsid w:val="00F420F6"/>
    <w:rsid w:val="00F55B27"/>
    <w:rsid w:val="00F56616"/>
    <w:rsid w:val="00F60B66"/>
    <w:rsid w:val="00F61BC0"/>
    <w:rsid w:val="00F61FF1"/>
    <w:rsid w:val="00F660BB"/>
    <w:rsid w:val="00F667DB"/>
    <w:rsid w:val="00F82C2C"/>
    <w:rsid w:val="00F85913"/>
    <w:rsid w:val="00F9128B"/>
    <w:rsid w:val="00FA7392"/>
    <w:rsid w:val="00FB0629"/>
    <w:rsid w:val="00FB7479"/>
    <w:rsid w:val="00FC2B31"/>
    <w:rsid w:val="00FD4D6E"/>
    <w:rsid w:val="00FD608C"/>
    <w:rsid w:val="00FD6383"/>
    <w:rsid w:val="00FD7A94"/>
    <w:rsid w:val="00FD7AD5"/>
    <w:rsid w:val="00FF28D9"/>
    <w:rsid w:val="00FF5BC8"/>
    <w:rsid w:val="22CE8B98"/>
    <w:rsid w:val="35F4CC3A"/>
    <w:rsid w:val="49011CB7"/>
    <w:rsid w:val="4ED9590E"/>
    <w:rsid w:val="5648B1C7"/>
    <w:rsid w:val="585DBDF8"/>
    <w:rsid w:val="5A7426EA"/>
    <w:rsid w:val="614A2E7D"/>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BF10CA1-10BB-489D-AE0F-2CE3607B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aliases w:val="L,List Paragraph1,List Paragraph11,Recommendation,bullet point list,Bullet point,DDM Gen Text,List Paragraph - bullets,NFP GP Bulleted List,List Paragraph Number,0Bullet,Body text,Bullet Point,Bullets,Content descriptions,Indented bullet"/>
    <w:basedOn w:val="Normal"/>
    <w:link w:val="ListParagraphChar"/>
    <w:uiPriority w:val="34"/>
    <w:qFormat/>
    <w:rsid w:val="0052015D"/>
    <w:pPr>
      <w:spacing w:after="200" w:line="276" w:lineRule="auto"/>
      <w:ind w:left="720"/>
      <w:contextualSpacing/>
    </w:pPr>
    <w:rPr>
      <w:rFonts w:eastAsiaTheme="minorEastAsia"/>
      <w:lang w:eastAsia="zh-CN"/>
    </w:rPr>
  </w:style>
  <w:style w:type="character" w:customStyle="1" w:styleId="ListParagraphChar">
    <w:name w:val="List Paragraph Char"/>
    <w:aliases w:val="L Char,List Paragraph1 Char,List Paragraph11 Char,Recommendation Char,bullet point list Char,Bullet point Char,DDM Gen Text Char,List Paragraph - bullets Char,NFP GP Bulleted List Char,List Paragraph Number Char,0Bullet Char"/>
    <w:basedOn w:val="DefaultParagraphFont"/>
    <w:link w:val="ListParagraph"/>
    <w:uiPriority w:val="34"/>
    <w:locked/>
    <w:rsid w:val="0052015D"/>
    <w:rPr>
      <w:rFonts w:eastAsiaTheme="minorEastAsia"/>
      <w:lang w:eastAsia="zh-CN"/>
    </w:rPr>
  </w:style>
  <w:style w:type="character" w:styleId="FollowedHyperlink">
    <w:name w:val="FollowedHyperlink"/>
    <w:basedOn w:val="DefaultParagraphFont"/>
    <w:uiPriority w:val="99"/>
    <w:semiHidden/>
    <w:unhideWhenUsed/>
    <w:rsid w:val="00D00EA9"/>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387">
      <w:bodyDiv w:val="1"/>
      <w:marLeft w:val="0"/>
      <w:marRight w:val="0"/>
      <w:marTop w:val="0"/>
      <w:marBottom w:val="0"/>
      <w:divBdr>
        <w:top w:val="none" w:sz="0" w:space="0" w:color="auto"/>
        <w:left w:val="none" w:sz="0" w:space="0" w:color="auto"/>
        <w:bottom w:val="none" w:sz="0" w:space="0" w:color="auto"/>
        <w:right w:val="none" w:sz="0" w:space="0" w:color="auto"/>
      </w:divBdr>
    </w:div>
    <w:div w:id="98722970">
      <w:bodyDiv w:val="1"/>
      <w:marLeft w:val="0"/>
      <w:marRight w:val="0"/>
      <w:marTop w:val="0"/>
      <w:marBottom w:val="0"/>
      <w:divBdr>
        <w:top w:val="none" w:sz="0" w:space="0" w:color="auto"/>
        <w:left w:val="none" w:sz="0" w:space="0" w:color="auto"/>
        <w:bottom w:val="none" w:sz="0" w:space="0" w:color="auto"/>
        <w:right w:val="none" w:sz="0" w:space="0" w:color="auto"/>
      </w:divBdr>
    </w:div>
    <w:div w:id="253974867">
      <w:bodyDiv w:val="1"/>
      <w:marLeft w:val="0"/>
      <w:marRight w:val="0"/>
      <w:marTop w:val="0"/>
      <w:marBottom w:val="0"/>
      <w:divBdr>
        <w:top w:val="none" w:sz="0" w:space="0" w:color="auto"/>
        <w:left w:val="none" w:sz="0" w:space="0" w:color="auto"/>
        <w:bottom w:val="none" w:sz="0" w:space="0" w:color="auto"/>
        <w:right w:val="none" w:sz="0" w:space="0" w:color="auto"/>
      </w:divBdr>
    </w:div>
    <w:div w:id="262226794">
      <w:bodyDiv w:val="1"/>
      <w:marLeft w:val="0"/>
      <w:marRight w:val="0"/>
      <w:marTop w:val="0"/>
      <w:marBottom w:val="0"/>
      <w:divBdr>
        <w:top w:val="none" w:sz="0" w:space="0" w:color="auto"/>
        <w:left w:val="none" w:sz="0" w:space="0" w:color="auto"/>
        <w:bottom w:val="none" w:sz="0" w:space="0" w:color="auto"/>
        <w:right w:val="none" w:sz="0" w:space="0" w:color="auto"/>
      </w:divBdr>
    </w:div>
    <w:div w:id="1211066201">
      <w:bodyDiv w:val="1"/>
      <w:marLeft w:val="0"/>
      <w:marRight w:val="0"/>
      <w:marTop w:val="0"/>
      <w:marBottom w:val="0"/>
      <w:divBdr>
        <w:top w:val="none" w:sz="0" w:space="0" w:color="auto"/>
        <w:left w:val="none" w:sz="0" w:space="0" w:color="auto"/>
        <w:bottom w:val="none" w:sz="0" w:space="0" w:color="auto"/>
        <w:right w:val="none" w:sz="0" w:space="0" w:color="auto"/>
      </w:divBdr>
    </w:div>
    <w:div w:id="1248223303">
      <w:bodyDiv w:val="1"/>
      <w:marLeft w:val="0"/>
      <w:marRight w:val="0"/>
      <w:marTop w:val="0"/>
      <w:marBottom w:val="0"/>
      <w:divBdr>
        <w:top w:val="none" w:sz="0" w:space="0" w:color="auto"/>
        <w:left w:val="none" w:sz="0" w:space="0" w:color="auto"/>
        <w:bottom w:val="none" w:sz="0" w:space="0" w:color="auto"/>
        <w:right w:val="none" w:sz="0" w:space="0" w:color="auto"/>
      </w:divBdr>
    </w:div>
    <w:div w:id="1621260365">
      <w:bodyDiv w:val="1"/>
      <w:marLeft w:val="0"/>
      <w:marRight w:val="0"/>
      <w:marTop w:val="0"/>
      <w:marBottom w:val="0"/>
      <w:divBdr>
        <w:top w:val="none" w:sz="0" w:space="0" w:color="auto"/>
        <w:left w:val="none" w:sz="0" w:space="0" w:color="auto"/>
        <w:bottom w:val="none" w:sz="0" w:space="0" w:color="auto"/>
        <w:right w:val="none" w:sz="0" w:space="0" w:color="auto"/>
      </w:divBdr>
    </w:div>
    <w:div w:id="1649629922">
      <w:bodyDiv w:val="1"/>
      <w:marLeft w:val="0"/>
      <w:marRight w:val="0"/>
      <w:marTop w:val="0"/>
      <w:marBottom w:val="0"/>
      <w:divBdr>
        <w:top w:val="none" w:sz="0" w:space="0" w:color="auto"/>
        <w:left w:val="none" w:sz="0" w:space="0" w:color="auto"/>
        <w:bottom w:val="none" w:sz="0" w:space="0" w:color="auto"/>
        <w:right w:val="none" w:sz="0" w:space="0" w:color="auto"/>
      </w:divBdr>
    </w:div>
    <w:div w:id="1759591315">
      <w:bodyDiv w:val="1"/>
      <w:marLeft w:val="0"/>
      <w:marRight w:val="0"/>
      <w:marTop w:val="0"/>
      <w:marBottom w:val="0"/>
      <w:divBdr>
        <w:top w:val="none" w:sz="0" w:space="0" w:color="auto"/>
        <w:left w:val="none" w:sz="0" w:space="0" w:color="auto"/>
        <w:bottom w:val="none" w:sz="0" w:space="0" w:color="auto"/>
        <w:right w:val="none" w:sz="0" w:space="0" w:color="auto"/>
      </w:divBdr>
    </w:div>
    <w:div w:id="211872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policy.federation.edu.au/students/policy/ch01.php" TargetMode="External"/><Relationship Id="rId26" Type="http://schemas.openxmlformats.org/officeDocument/2006/relationships/hyperlink" Target="https://www.federation.edu.au/engage/" TargetMode="External"/><Relationship Id="rId3" Type="http://schemas.openxmlformats.org/officeDocument/2006/relationships/customXml" Target="../customXml/item3.xml"/><Relationship Id="rId21" Type="http://schemas.openxmlformats.org/officeDocument/2006/relationships/hyperlink" Target="https://policy.federation.edu.au/students/policy/ch01.ph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nternal.federation.edu.au/current-students/assistance-support-and-services/equity-and-inclusion/student-equity-and-inclusion-network" TargetMode="External"/><Relationship Id="rId25" Type="http://schemas.openxmlformats.org/officeDocument/2006/relationships/hyperlink" Target="https://www.federation.edu.au/siteassets/files/research/federation-university-research-strategy-2025-2030.pdf" TargetMode="External"/><Relationship Id="rId2" Type="http://schemas.openxmlformats.org/officeDocument/2006/relationships/customXml" Target="../customXml/item2.xml"/><Relationship Id="rId16" Type="http://schemas.openxmlformats.org/officeDocument/2006/relationships/hyperlink" Target="https://policy.federation.edu.au/academic_governance/procedures/academicfreedom/ch01.php" TargetMode="External"/><Relationship Id="rId20" Type="http://schemas.openxmlformats.org/officeDocument/2006/relationships/hyperlink" Target="https://internal.federation.edu.au/current-students/assistance-support-and-services/equity-and-inclus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licy.federation.edu.au/global_and_community/policy/ch01.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icy.federation.edu.au/research/procedures/research_ethics/ch10.php" TargetMode="External"/><Relationship Id="rId23" Type="http://schemas.openxmlformats.org/officeDocument/2006/relationships/hyperlink" Target="https://policy.federation.edu.au/research/procedures/standard_6/ch02.php" TargetMode="External"/><Relationship Id="rId28" Type="http://schemas.openxmlformats.org/officeDocument/2006/relationships/hyperlink" Target="https://www.federation.edu.au/students/student-essentials/manage-your-placement/apply-for-a-co-op-placement/" TargetMode="External"/><Relationship Id="rId10" Type="http://schemas.openxmlformats.org/officeDocument/2006/relationships/endnotes" Target="endnotes.xml"/><Relationship Id="rId19" Type="http://schemas.openxmlformats.org/officeDocument/2006/relationships/hyperlink" Target="https://federation.edu.au/current-students/support-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federation.edu.au/global_and_community/procedures/foreign_arrangements_notification/ch01.php" TargetMode="External"/><Relationship Id="rId22" Type="http://schemas.openxmlformats.org/officeDocument/2006/relationships/hyperlink" Target="https://policy.federation.edu.au/research/procedures/standard_8/ch02.php" TargetMode="External"/><Relationship Id="rId27" Type="http://schemas.openxmlformats.org/officeDocument/2006/relationships/hyperlink" Target="https://www.federation.edu.au/engage/industry/cooperative-education"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3.xml><?xml version="1.0" encoding="utf-8"?>
<ds:datastoreItem xmlns:ds="http://schemas.openxmlformats.org/officeDocument/2006/customXml" ds:itemID="{5C0966C6-33C9-4B92-BD4A-6669301E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2602</Words>
  <Characters>16584</Characters>
  <Application>Microsoft Office Word</Application>
  <DocSecurity>0</DocSecurity>
  <Lines>307</Lines>
  <Paragraphs>146</Paragraphs>
  <ScaleCrop>false</ScaleCrop>
  <Company/>
  <LinksUpToDate>false</LinksUpToDate>
  <CharactersWithSpaces>19098</CharactersWithSpaces>
  <SharedDoc>false</SharedDoc>
  <HLinks>
    <vt:vector size="90" baseType="variant">
      <vt:variant>
        <vt:i4>983126</vt:i4>
      </vt:variant>
      <vt:variant>
        <vt:i4>42</vt:i4>
      </vt:variant>
      <vt:variant>
        <vt:i4>0</vt:i4>
      </vt:variant>
      <vt:variant>
        <vt:i4>5</vt:i4>
      </vt:variant>
      <vt:variant>
        <vt:lpwstr>https://www.federation.edu.au/students/student-essentials/manage-your-placement/apply-for-a-co-op-placement/</vt:lpwstr>
      </vt:variant>
      <vt:variant>
        <vt:lpwstr/>
      </vt:variant>
      <vt:variant>
        <vt:i4>6750330</vt:i4>
      </vt:variant>
      <vt:variant>
        <vt:i4>39</vt:i4>
      </vt:variant>
      <vt:variant>
        <vt:i4>0</vt:i4>
      </vt:variant>
      <vt:variant>
        <vt:i4>5</vt:i4>
      </vt:variant>
      <vt:variant>
        <vt:lpwstr>https://www.federation.edu.au/engage/industry/cooperative-education</vt:lpwstr>
      </vt:variant>
      <vt:variant>
        <vt:lpwstr/>
      </vt:variant>
      <vt:variant>
        <vt:i4>1704031</vt:i4>
      </vt:variant>
      <vt:variant>
        <vt:i4>36</vt:i4>
      </vt:variant>
      <vt:variant>
        <vt:i4>0</vt:i4>
      </vt:variant>
      <vt:variant>
        <vt:i4>5</vt:i4>
      </vt:variant>
      <vt:variant>
        <vt:lpwstr>https://www.federation.edu.au/engage/</vt:lpwstr>
      </vt:variant>
      <vt:variant>
        <vt:lpwstr/>
      </vt:variant>
      <vt:variant>
        <vt:i4>1179659</vt:i4>
      </vt:variant>
      <vt:variant>
        <vt:i4>33</vt:i4>
      </vt:variant>
      <vt:variant>
        <vt:i4>0</vt:i4>
      </vt:variant>
      <vt:variant>
        <vt:i4>5</vt:i4>
      </vt:variant>
      <vt:variant>
        <vt:lpwstr>https://www.federation.edu.au/siteassets/files/research/federation-university-research-strategy-2025-2030.pdf</vt:lpwstr>
      </vt:variant>
      <vt:variant>
        <vt:lpwstr/>
      </vt:variant>
      <vt:variant>
        <vt:i4>5111900</vt:i4>
      </vt:variant>
      <vt:variant>
        <vt:i4>30</vt:i4>
      </vt:variant>
      <vt:variant>
        <vt:i4>0</vt:i4>
      </vt:variant>
      <vt:variant>
        <vt:i4>5</vt:i4>
      </vt:variant>
      <vt:variant>
        <vt:lpwstr>https://policy.federation.edu.au/global_and_community/policy/ch01.php</vt:lpwstr>
      </vt:variant>
      <vt:variant>
        <vt:lpwstr/>
      </vt:variant>
      <vt:variant>
        <vt:i4>6422602</vt:i4>
      </vt:variant>
      <vt:variant>
        <vt:i4>27</vt:i4>
      </vt:variant>
      <vt:variant>
        <vt:i4>0</vt:i4>
      </vt:variant>
      <vt:variant>
        <vt:i4>5</vt:i4>
      </vt:variant>
      <vt:variant>
        <vt:lpwstr>https://policy.federation.edu.au/research/procedures/standard_6/ch02.php</vt:lpwstr>
      </vt:variant>
      <vt:variant>
        <vt:lpwstr/>
      </vt:variant>
      <vt:variant>
        <vt:i4>6422596</vt:i4>
      </vt:variant>
      <vt:variant>
        <vt:i4>24</vt:i4>
      </vt:variant>
      <vt:variant>
        <vt:i4>0</vt:i4>
      </vt:variant>
      <vt:variant>
        <vt:i4>5</vt:i4>
      </vt:variant>
      <vt:variant>
        <vt:lpwstr>https://policy.federation.edu.au/research/procedures/standard_8/ch02.php</vt:lpwstr>
      </vt:variant>
      <vt:variant>
        <vt:lpwstr/>
      </vt:variant>
      <vt:variant>
        <vt:i4>4587613</vt:i4>
      </vt:variant>
      <vt:variant>
        <vt:i4>21</vt:i4>
      </vt:variant>
      <vt:variant>
        <vt:i4>0</vt:i4>
      </vt:variant>
      <vt:variant>
        <vt:i4>5</vt:i4>
      </vt:variant>
      <vt:variant>
        <vt:lpwstr>https://policy.federation.edu.au/students/policy/ch01.php</vt:lpwstr>
      </vt:variant>
      <vt:variant>
        <vt:lpwstr/>
      </vt:variant>
      <vt:variant>
        <vt:i4>1835089</vt:i4>
      </vt:variant>
      <vt:variant>
        <vt:i4>18</vt:i4>
      </vt:variant>
      <vt:variant>
        <vt:i4>0</vt:i4>
      </vt:variant>
      <vt:variant>
        <vt:i4>5</vt:i4>
      </vt:variant>
      <vt:variant>
        <vt:lpwstr>https://internal.federation.edu.au/current-students/assistance-support-and-services/equity-and-inclusion</vt:lpwstr>
      </vt:variant>
      <vt:variant>
        <vt:lpwstr/>
      </vt:variant>
      <vt:variant>
        <vt:i4>7667752</vt:i4>
      </vt:variant>
      <vt:variant>
        <vt:i4>15</vt:i4>
      </vt:variant>
      <vt:variant>
        <vt:i4>0</vt:i4>
      </vt:variant>
      <vt:variant>
        <vt:i4>5</vt:i4>
      </vt:variant>
      <vt:variant>
        <vt:lpwstr>https://federation.edu.au/current-students/support-services</vt:lpwstr>
      </vt:variant>
      <vt:variant>
        <vt:lpwstr/>
      </vt:variant>
      <vt:variant>
        <vt:i4>4587613</vt:i4>
      </vt:variant>
      <vt:variant>
        <vt:i4>12</vt:i4>
      </vt:variant>
      <vt:variant>
        <vt:i4>0</vt:i4>
      </vt:variant>
      <vt:variant>
        <vt:i4>5</vt:i4>
      </vt:variant>
      <vt:variant>
        <vt:lpwstr>https://policy.federation.edu.au/students/policy/ch01.php</vt:lpwstr>
      </vt:variant>
      <vt:variant>
        <vt:lpwstr/>
      </vt:variant>
      <vt:variant>
        <vt:i4>5374020</vt:i4>
      </vt:variant>
      <vt:variant>
        <vt:i4>9</vt:i4>
      </vt:variant>
      <vt:variant>
        <vt:i4>0</vt:i4>
      </vt:variant>
      <vt:variant>
        <vt:i4>5</vt:i4>
      </vt:variant>
      <vt:variant>
        <vt:lpwstr>https://internal.federation.edu.au/current-students/assistance-support-and-services/equity-and-inclusion/student-equity-and-inclusion-network</vt:lpwstr>
      </vt:variant>
      <vt:variant>
        <vt:lpwstr/>
      </vt:variant>
      <vt:variant>
        <vt:i4>6946825</vt:i4>
      </vt:variant>
      <vt:variant>
        <vt:i4>6</vt:i4>
      </vt:variant>
      <vt:variant>
        <vt:i4>0</vt:i4>
      </vt:variant>
      <vt:variant>
        <vt:i4>5</vt:i4>
      </vt:variant>
      <vt:variant>
        <vt:lpwstr>https://policy.federation.edu.au/academic_governance/procedures/academicfreedom/ch01.php</vt:lpwstr>
      </vt:variant>
      <vt:variant>
        <vt:lpwstr/>
      </vt:variant>
      <vt:variant>
        <vt:i4>6946821</vt:i4>
      </vt:variant>
      <vt:variant>
        <vt:i4>3</vt:i4>
      </vt:variant>
      <vt:variant>
        <vt:i4>0</vt:i4>
      </vt:variant>
      <vt:variant>
        <vt:i4>5</vt:i4>
      </vt:variant>
      <vt:variant>
        <vt:lpwstr>https://policy.federation.edu.au/research/procedures/research_ethics/ch10.php</vt:lpwstr>
      </vt:variant>
      <vt:variant>
        <vt:lpwstr/>
      </vt:variant>
      <vt:variant>
        <vt:i4>589908</vt:i4>
      </vt:variant>
      <vt:variant>
        <vt:i4>0</vt:i4>
      </vt:variant>
      <vt:variant>
        <vt:i4>0</vt:i4>
      </vt:variant>
      <vt:variant>
        <vt:i4>5</vt:i4>
      </vt:variant>
      <vt:variant>
        <vt:lpwstr>https://policy.federation.edu.au/global_and_community/procedures/foreign_arrangements_notification/ch01.php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2025-12-01T05:09:00Z</cp:lastPrinted>
  <dcterms:created xsi:type="dcterms:W3CDTF">2025-11-23T22:20:00Z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