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059678F">
        <w:tc>
          <w:tcPr>
            <w:tcW w:w="5000" w:type="pct"/>
            <w:tcBorders>
              <w:bottom w:val="single" w:sz="4" w:space="0" w:color="auto"/>
            </w:tcBorders>
          </w:tcPr>
          <w:p w14:paraId="26FC6577" w14:textId="4D123B09" w:rsidR="001B109C" w:rsidRPr="0007338F" w:rsidRDefault="001B109C" w:rsidP="003D68E3">
            <w:pPr>
              <w:pStyle w:val="Heading4"/>
              <w:spacing w:after="200"/>
              <w:rPr>
                <w:rFonts w:cstheme="minorHAnsi"/>
                <w:i/>
                <w:sz w:val="24"/>
                <w:szCs w:val="24"/>
              </w:rPr>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C00061">
              <w:t>Curtin University</w:t>
            </w:r>
          </w:p>
        </w:tc>
      </w:tr>
      <w:tr w:rsidR="001B109C" w:rsidRPr="00E41388" w14:paraId="2126955C" w14:textId="77777777" w:rsidTr="0059678F">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59678F">
        <w:trPr>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59678F">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59678F">
        <w:trPr>
          <w:trHeight w:val="1123"/>
        </w:trPr>
        <w:tc>
          <w:tcPr>
            <w:tcW w:w="5000" w:type="pct"/>
            <w:tcBorders>
              <w:bottom w:val="single" w:sz="4" w:space="0" w:color="auto"/>
            </w:tcBorders>
          </w:tcPr>
          <w:p w14:paraId="3B867F2B" w14:textId="7EB572D9" w:rsidR="0059678F" w:rsidRPr="00E86FA6" w:rsidRDefault="0059678F" w:rsidP="0059678F">
            <w:pPr>
              <w:pStyle w:val="NormalIndent"/>
              <w:ind w:left="0"/>
              <w:rPr>
                <w:rFonts w:asciiTheme="minorHAnsi" w:hAnsiTheme="minorHAnsi" w:cstheme="minorHAnsi"/>
                <w:szCs w:val="22"/>
              </w:rPr>
            </w:pPr>
            <w:r w:rsidRPr="00E86FA6">
              <w:rPr>
                <w:rFonts w:asciiTheme="minorHAnsi" w:hAnsiTheme="minorHAnsi" w:cstheme="minorHAnsi"/>
                <w:szCs w:val="22"/>
              </w:rPr>
              <w:t xml:space="preserve">With the launch of the </w:t>
            </w:r>
            <w:hyperlink r:id="rId14" w:history="1">
              <w:r w:rsidRPr="00E86FA6">
                <w:rPr>
                  <w:rStyle w:val="Hyperlink"/>
                  <w:rFonts w:asciiTheme="minorHAnsi" w:hAnsiTheme="minorHAnsi" w:cstheme="minorHAnsi"/>
                  <w:szCs w:val="22"/>
                </w:rPr>
                <w:t>Curtin 2030 Strategic Plan</w:t>
              </w:r>
            </w:hyperlink>
            <w:r w:rsidRPr="00E86FA6">
              <w:rPr>
                <w:rFonts w:asciiTheme="minorHAnsi" w:hAnsiTheme="minorHAnsi" w:cstheme="minorHAnsi"/>
                <w:szCs w:val="22"/>
              </w:rPr>
              <w:t xml:space="preserve"> in 2022, Curtin’s 2030 vision is “through partnership, we will make a difference for people and our planet”. Th</w:t>
            </w:r>
            <w:r w:rsidR="003D68E3">
              <w:rPr>
                <w:rFonts w:asciiTheme="minorHAnsi" w:hAnsiTheme="minorHAnsi" w:cstheme="minorHAnsi"/>
                <w:szCs w:val="22"/>
              </w:rPr>
              <w:t>e</w:t>
            </w:r>
            <w:r w:rsidRPr="00E86FA6">
              <w:rPr>
                <w:rFonts w:asciiTheme="minorHAnsi" w:hAnsiTheme="minorHAnsi" w:cstheme="minorHAnsi"/>
                <w:szCs w:val="22"/>
              </w:rPr>
              <w:t xml:space="preserve"> Plan is focused on the strategic pillars of People, Planet and Partnership, with priorities across the University appropriately aligned</w:t>
            </w:r>
            <w:r w:rsidR="003D68E3">
              <w:rPr>
                <w:rFonts w:asciiTheme="minorHAnsi" w:hAnsiTheme="minorHAnsi" w:cstheme="minorHAnsi"/>
                <w:szCs w:val="22"/>
              </w:rPr>
              <w:t>,</w:t>
            </w:r>
            <w:r w:rsidR="003D68E3">
              <w:t xml:space="preserve"> and p</w:t>
            </w:r>
            <w:r w:rsidRPr="00E86FA6">
              <w:rPr>
                <w:rFonts w:asciiTheme="minorHAnsi" w:hAnsiTheme="minorHAnsi" w:cstheme="minorHAnsi"/>
                <w:szCs w:val="22"/>
              </w:rPr>
              <w:t xml:space="preserve">erformance and progress is referenced in </w:t>
            </w:r>
            <w:r w:rsidRPr="00E86FA6">
              <w:rPr>
                <w:rStyle w:val="normaltextrun"/>
                <w:rFonts w:asciiTheme="minorHAnsi" w:hAnsiTheme="minorHAnsi" w:cstheme="minorHAnsi"/>
                <w:color w:val="000000"/>
                <w:szCs w:val="22"/>
              </w:rPr>
              <w:t xml:space="preserve">the </w:t>
            </w:r>
            <w:hyperlink r:id="rId15" w:history="1">
              <w:r w:rsidRPr="00E86FA6">
                <w:rPr>
                  <w:rStyle w:val="Hyperlink"/>
                  <w:rFonts w:asciiTheme="minorHAnsi" w:hAnsiTheme="minorHAnsi" w:cstheme="minorHAnsi"/>
                  <w:szCs w:val="22"/>
                </w:rPr>
                <w:t>Annual Report</w:t>
              </w:r>
            </w:hyperlink>
            <w:r w:rsidRPr="00E86FA6">
              <w:rPr>
                <w:rFonts w:asciiTheme="minorHAnsi" w:hAnsiTheme="minorHAnsi" w:cstheme="minorHAnsi"/>
                <w:szCs w:val="22"/>
              </w:rPr>
              <w:t xml:space="preserve">, including selected key performance indicators. </w:t>
            </w:r>
          </w:p>
          <w:p w14:paraId="31C96099" w14:textId="73E28094" w:rsidR="0059678F" w:rsidRPr="00E86FA6" w:rsidRDefault="0059678F" w:rsidP="0059678F">
            <w:pPr>
              <w:pStyle w:val="NormalIndent"/>
              <w:ind w:left="0"/>
              <w:rPr>
                <w:rFonts w:asciiTheme="minorHAnsi" w:hAnsiTheme="minorHAnsi" w:cstheme="minorHAnsi"/>
                <w:szCs w:val="22"/>
              </w:rPr>
            </w:pPr>
            <w:r w:rsidRPr="00E86FA6">
              <w:rPr>
                <w:rFonts w:asciiTheme="minorHAnsi" w:hAnsiTheme="minorHAnsi" w:cstheme="minorHAnsi"/>
                <w:szCs w:val="22"/>
              </w:rPr>
              <w:t xml:space="preserve">In developing and evaluating learning offerings Curtin examines a range of skills and workforce sources, such as the </w:t>
            </w:r>
            <w:hyperlink r:id="rId16" w:history="1">
              <w:r w:rsidRPr="00E86FA6">
                <w:rPr>
                  <w:rStyle w:val="Hyperlink"/>
                  <w:rFonts w:asciiTheme="minorHAnsi" w:hAnsiTheme="minorHAnsi" w:cstheme="minorHAnsi"/>
                  <w:szCs w:val="22"/>
                </w:rPr>
                <w:t xml:space="preserve">Jobs and Skills Australia </w:t>
              </w:r>
              <w:r w:rsidR="00B6684B">
                <w:rPr>
                  <w:rStyle w:val="Hyperlink"/>
                  <w:rFonts w:asciiTheme="minorHAnsi" w:hAnsiTheme="minorHAnsi" w:cstheme="minorHAnsi"/>
                  <w:szCs w:val="22"/>
                </w:rPr>
                <w:t>O</w:t>
              </w:r>
              <w:r w:rsidR="00B6684B">
                <w:rPr>
                  <w:rStyle w:val="Hyperlink"/>
                  <w:rFonts w:cstheme="minorHAnsi"/>
                </w:rPr>
                <w:t>ccupation Shortage</w:t>
              </w:r>
              <w:r w:rsidRPr="00E86FA6">
                <w:rPr>
                  <w:rStyle w:val="Hyperlink"/>
                  <w:rFonts w:asciiTheme="minorHAnsi" w:hAnsiTheme="minorHAnsi" w:cstheme="minorHAnsi"/>
                  <w:szCs w:val="22"/>
                </w:rPr>
                <w:t xml:space="preserve"> List</w:t>
              </w:r>
            </w:hyperlink>
            <w:r w:rsidRPr="00E86FA6">
              <w:rPr>
                <w:rFonts w:asciiTheme="minorHAnsi" w:hAnsiTheme="minorHAnsi" w:cstheme="minorHAnsi"/>
                <w:szCs w:val="22"/>
              </w:rPr>
              <w:t xml:space="preserve">, as well as engaging with employers, to ensure there will be suitable employment opportunities for graduates. This approach has been successful, with Curtin achieving the highest rates of graduate employment outcomes among Western Australia’s public universities. </w:t>
            </w:r>
          </w:p>
          <w:p w14:paraId="158BAE78" w14:textId="77777777" w:rsidR="0059678F" w:rsidRPr="00E86FA6" w:rsidRDefault="0059678F" w:rsidP="0059678F">
            <w:pPr>
              <w:pStyle w:val="NormalIndent"/>
              <w:ind w:left="0"/>
              <w:rPr>
                <w:rFonts w:asciiTheme="minorHAnsi" w:hAnsiTheme="minorHAnsi" w:cstheme="minorHAnsi"/>
                <w:szCs w:val="22"/>
              </w:rPr>
            </w:pPr>
            <w:r w:rsidRPr="00E86FA6">
              <w:rPr>
                <w:rFonts w:asciiTheme="minorHAnsi" w:hAnsiTheme="minorHAnsi" w:cstheme="minorHAnsi"/>
                <w:szCs w:val="22"/>
              </w:rPr>
              <w:t xml:space="preserve">Staff and student safety is protected on campus by the </w:t>
            </w:r>
            <w:hyperlink r:id="rId17" w:history="1">
              <w:r w:rsidRPr="00E86FA6">
                <w:rPr>
                  <w:rStyle w:val="Hyperlink"/>
                  <w:rFonts w:asciiTheme="minorHAnsi" w:hAnsiTheme="minorHAnsi" w:cstheme="minorHAnsi"/>
                  <w:szCs w:val="22"/>
                </w:rPr>
                <w:t>Safer Community Team</w:t>
              </w:r>
            </w:hyperlink>
            <w:r w:rsidRPr="00E86FA6">
              <w:rPr>
                <w:rFonts w:asciiTheme="minorHAnsi" w:hAnsiTheme="minorHAnsi" w:cstheme="minorHAnsi"/>
                <w:szCs w:val="22"/>
              </w:rPr>
              <w:t xml:space="preserve">, who are trained to manage general safety and security issues, in addition to complex welfare and wellbeing issues. The </w:t>
            </w:r>
            <w:hyperlink r:id="rId18" w:history="1">
              <w:r w:rsidRPr="00E86FA6">
                <w:rPr>
                  <w:rStyle w:val="Hyperlink"/>
                  <w:rFonts w:asciiTheme="minorHAnsi" w:hAnsiTheme="minorHAnsi" w:cstheme="minorHAnsi"/>
                  <w:szCs w:val="22"/>
                </w:rPr>
                <w:t>SafeZone security app</w:t>
              </w:r>
            </w:hyperlink>
            <w:r w:rsidRPr="00E86FA6">
              <w:rPr>
                <w:rFonts w:asciiTheme="minorHAnsi" w:hAnsiTheme="minorHAnsi" w:cstheme="minorHAnsi"/>
                <w:szCs w:val="22"/>
              </w:rPr>
              <w:t xml:space="preserve"> is made available to staff, students and visitors and provides options for reporting of emergency and non-emergency situations to qualified security personnel. </w:t>
            </w:r>
          </w:p>
          <w:p w14:paraId="5E849E64" w14:textId="402B9B10" w:rsidR="0059678F" w:rsidRPr="00E86FA6" w:rsidRDefault="0059678F" w:rsidP="0059678F">
            <w:pPr>
              <w:pStyle w:val="NormalIndent"/>
              <w:ind w:left="0"/>
              <w:rPr>
                <w:rFonts w:asciiTheme="minorHAnsi" w:hAnsiTheme="minorHAnsi" w:cstheme="minorHAnsi"/>
                <w:szCs w:val="22"/>
              </w:rPr>
            </w:pPr>
            <w:r w:rsidRPr="00E86FA6">
              <w:rPr>
                <w:rFonts w:asciiTheme="minorHAnsi" w:hAnsiTheme="minorHAnsi" w:cstheme="minorHAnsi"/>
                <w:szCs w:val="22"/>
              </w:rPr>
              <w:t xml:space="preserve">Curtin University is committed to enhancing the University’s resilience to Foreign Interference (FI) and </w:t>
            </w:r>
            <w:hyperlink r:id="rId19" w:history="1">
              <w:r w:rsidRPr="00E86FA6">
                <w:rPr>
                  <w:rStyle w:val="Hyperlink"/>
                  <w:rFonts w:asciiTheme="minorHAnsi" w:hAnsiTheme="minorHAnsi" w:cstheme="minorHAnsi"/>
                  <w:szCs w:val="22"/>
                </w:rPr>
                <w:t>protecting its staff and students from these risks</w:t>
              </w:r>
            </w:hyperlink>
            <w:r w:rsidRPr="00E86FA6">
              <w:rPr>
                <w:rFonts w:asciiTheme="minorHAnsi" w:hAnsiTheme="minorHAnsi" w:cstheme="minorHAnsi"/>
                <w:szCs w:val="22"/>
              </w:rPr>
              <w:t>. Curtin’s commitment is detailed within its inaugural Foreign Risk Policy. Curtin is acutely aware of the importance of Countering Foreign Interference (CFI), having dedicated significant resources towards identifying, assessing, and mitigating these risks, including having established its Foreign Risk Management Team (FRMT).</w:t>
            </w:r>
            <w:r w:rsidR="003D68E3">
              <w:rPr>
                <w:rFonts w:asciiTheme="minorHAnsi" w:hAnsiTheme="minorHAnsi" w:cstheme="minorHAnsi"/>
                <w:szCs w:val="22"/>
              </w:rPr>
              <w:t xml:space="preserve"> </w:t>
            </w:r>
            <w:r w:rsidRPr="00E86FA6">
              <w:rPr>
                <w:rFonts w:asciiTheme="minorHAnsi" w:hAnsiTheme="minorHAnsi" w:cstheme="minorHAnsi"/>
                <w:szCs w:val="22"/>
              </w:rPr>
              <w:t>Curtin’s FRMT has been resourced to conduct specialised in</w:t>
            </w:r>
            <w:r w:rsidR="003D68E3">
              <w:rPr>
                <w:rFonts w:asciiTheme="minorHAnsi" w:hAnsiTheme="minorHAnsi" w:cstheme="minorHAnsi"/>
                <w:szCs w:val="22"/>
              </w:rPr>
              <w:t>-</w:t>
            </w:r>
            <w:r w:rsidRPr="00E86FA6">
              <w:rPr>
                <w:rFonts w:asciiTheme="minorHAnsi" w:hAnsiTheme="minorHAnsi" w:cstheme="minorHAnsi"/>
                <w:szCs w:val="22"/>
              </w:rPr>
              <w:t>house open-source due diligence, risk assessment and mitigation for all Curtin’s activities and arrangements deemed at increased risk of foreign interference. Protecting staff and students from these risks is demonstrated through Curtin’s dedicated efforts to enhance CFI education for all staff and students, with tiered levels of awareness training available and assigned for staff and students dependent on identified threat vector and risk level.</w:t>
            </w:r>
          </w:p>
          <w:p w14:paraId="20BD53C6" w14:textId="3F1D5464" w:rsidR="0059678F" w:rsidRPr="00E86FA6" w:rsidRDefault="0059678F" w:rsidP="0059678F">
            <w:pPr>
              <w:pStyle w:val="NormalIndent"/>
              <w:ind w:left="0"/>
              <w:rPr>
                <w:rFonts w:asciiTheme="minorHAnsi" w:hAnsiTheme="minorHAnsi" w:cstheme="minorHAnsi"/>
                <w:color w:val="000000"/>
                <w:szCs w:val="22"/>
                <w:shd w:val="clear" w:color="auto" w:fill="FFFFFF"/>
              </w:rPr>
            </w:pPr>
            <w:r w:rsidRPr="00E86FA6">
              <w:rPr>
                <w:rFonts w:asciiTheme="minorHAnsi" w:hAnsiTheme="minorHAnsi" w:cstheme="minorHAnsi"/>
                <w:color w:val="000000"/>
                <w:szCs w:val="22"/>
                <w:shd w:val="clear" w:color="auto" w:fill="FFFFFF"/>
              </w:rPr>
              <w:lastRenderedPageBreak/>
              <w:t>Curtin takes cyber and data security responsibilities seriously, recognising that bad actors seek to access confidential or sensitive information for a range of different purposes. Online security approaches and processes are continually assessed and upgraded as required. The University also engages with wider policy aspects linked to cybersecurity, such as working to and in alignment with the legislative deliverables of the </w:t>
            </w:r>
            <w:hyperlink r:id="rId20" w:tooltip="https://www.wa.gov.au/government/privacy-and-responsible-information-sharing" w:history="1">
              <w:r w:rsidRPr="00E86FA6">
                <w:rPr>
                  <w:rStyle w:val="Hyperlink"/>
                  <w:rFonts w:asciiTheme="minorHAnsi" w:hAnsiTheme="minorHAnsi" w:cstheme="minorHAnsi"/>
                  <w:szCs w:val="22"/>
                  <w:bdr w:val="none" w:sz="0" w:space="0" w:color="auto" w:frame="1"/>
                  <w:shd w:val="clear" w:color="auto" w:fill="FFFFFF"/>
                </w:rPr>
                <w:t>WA Privacy and Responsible Sharing (PRIS) Readiness Plan</w:t>
              </w:r>
            </w:hyperlink>
            <w:r w:rsidRPr="00E86FA6">
              <w:rPr>
                <w:rFonts w:asciiTheme="minorHAnsi" w:hAnsiTheme="minorHAnsi" w:cstheme="minorHAnsi"/>
                <w:color w:val="000000"/>
                <w:szCs w:val="22"/>
                <w:shd w:val="clear" w:color="auto" w:fill="FFFFFF"/>
              </w:rPr>
              <w:t>.</w:t>
            </w:r>
          </w:p>
          <w:p w14:paraId="1A43868F" w14:textId="23431E59" w:rsidR="0059678F" w:rsidRPr="00E86FA6" w:rsidRDefault="0059678F" w:rsidP="0059678F">
            <w:pPr>
              <w:pStyle w:val="NormalWeb"/>
              <w:shd w:val="clear" w:color="auto" w:fill="FFFFFF"/>
              <w:spacing w:before="120" w:beforeAutospacing="0" w:after="120" w:afterAutospacing="0" w:line="228" w:lineRule="atLeast"/>
              <w:ind w:left="22" w:right="39"/>
              <w:rPr>
                <w:rFonts w:asciiTheme="minorHAnsi" w:hAnsiTheme="minorHAnsi" w:cstheme="minorHAnsi"/>
                <w:sz w:val="22"/>
                <w:szCs w:val="22"/>
                <w:bdr w:val="none" w:sz="0" w:space="0" w:color="auto" w:frame="1"/>
                <w:lang w:val="en-US"/>
              </w:rPr>
            </w:pPr>
            <w:r w:rsidRPr="00E86FA6">
              <w:rPr>
                <w:rFonts w:asciiTheme="minorHAnsi" w:hAnsiTheme="minorHAnsi" w:cstheme="minorHAnsi"/>
                <w:sz w:val="22"/>
                <w:szCs w:val="22"/>
                <w:bdr w:val="none" w:sz="0" w:space="0" w:color="auto" w:frame="1"/>
                <w:lang w:val="en-US"/>
              </w:rPr>
              <w:t>Curtin’s</w:t>
            </w:r>
            <w:r w:rsidRPr="00E86FA6">
              <w:rPr>
                <w:rFonts w:asciiTheme="minorHAnsi" w:hAnsiTheme="minorHAnsi" w:cstheme="minorHAnsi"/>
                <w:color w:val="58595B"/>
                <w:sz w:val="22"/>
                <w:szCs w:val="22"/>
                <w:bdr w:val="none" w:sz="0" w:space="0" w:color="auto" w:frame="1"/>
                <w:lang w:val="en-US"/>
              </w:rPr>
              <w:t> </w:t>
            </w:r>
            <w:hyperlink r:id="rId21" w:history="1">
              <w:r w:rsidRPr="00E86FA6">
                <w:rPr>
                  <w:rStyle w:val="Hyperlink"/>
                  <w:rFonts w:asciiTheme="minorHAnsi" w:hAnsiTheme="minorHAnsi" w:cstheme="minorHAnsi"/>
                  <w:sz w:val="22"/>
                  <w:szCs w:val="22"/>
                  <w:bdr w:val="none" w:sz="0" w:space="0" w:color="auto" w:frame="1"/>
                  <w:lang w:val="en-US"/>
                </w:rPr>
                <w:t>Academic Freedom and Freedom of Speech Policy</w:t>
              </w:r>
            </w:hyperlink>
            <w:r w:rsidRPr="00E86FA6">
              <w:rPr>
                <w:rFonts w:asciiTheme="minorHAnsi" w:hAnsiTheme="minorHAnsi" w:cstheme="minorHAnsi"/>
                <w:color w:val="58595B"/>
                <w:sz w:val="22"/>
                <w:szCs w:val="22"/>
                <w:bdr w:val="none" w:sz="0" w:space="0" w:color="auto" w:frame="1"/>
                <w:lang w:val="en-US"/>
              </w:rPr>
              <w:t> </w:t>
            </w:r>
            <w:r w:rsidRPr="00E86FA6">
              <w:rPr>
                <w:rFonts w:asciiTheme="minorHAnsi" w:hAnsiTheme="minorHAnsi" w:cstheme="minorHAnsi"/>
                <w:sz w:val="22"/>
                <w:szCs w:val="22"/>
                <w:bdr w:val="none" w:sz="0" w:space="0" w:color="auto" w:frame="1"/>
                <w:lang w:val="en-US"/>
              </w:rPr>
              <w:t>(</w:t>
            </w:r>
            <w:r w:rsidRPr="00E86FA6">
              <w:rPr>
                <w:rFonts w:asciiTheme="minorHAnsi" w:hAnsiTheme="minorHAnsi" w:cstheme="minorHAnsi"/>
                <w:b/>
                <w:bCs/>
                <w:sz w:val="22"/>
                <w:szCs w:val="22"/>
                <w:bdr w:val="none" w:sz="0" w:space="0" w:color="auto" w:frame="1"/>
                <w:lang w:val="en-US"/>
              </w:rPr>
              <w:t>Policy</w:t>
            </w:r>
            <w:r w:rsidRPr="00E86FA6">
              <w:rPr>
                <w:rFonts w:asciiTheme="minorHAnsi" w:hAnsiTheme="minorHAnsi" w:cstheme="minorHAnsi"/>
                <w:sz w:val="22"/>
                <w:szCs w:val="22"/>
                <w:bdr w:val="none" w:sz="0" w:space="0" w:color="auto" w:frame="1"/>
                <w:lang w:val="en-US"/>
              </w:rPr>
              <w:t>) is based on the Hon Robert French AC’s Model Code for the Protection of Freedom of Speech and Academic Freedom in Australian Higher Education Providers (</w:t>
            </w:r>
            <w:r w:rsidRPr="00E86FA6">
              <w:rPr>
                <w:rFonts w:asciiTheme="minorHAnsi" w:hAnsiTheme="minorHAnsi" w:cstheme="minorHAnsi"/>
                <w:b/>
                <w:bCs/>
                <w:sz w:val="22"/>
                <w:szCs w:val="22"/>
                <w:bdr w:val="none" w:sz="0" w:space="0" w:color="auto" w:frame="1"/>
                <w:lang w:val="en-US"/>
              </w:rPr>
              <w:t>Model Code</w:t>
            </w:r>
            <w:r w:rsidRPr="00E86FA6">
              <w:rPr>
                <w:rFonts w:asciiTheme="minorHAnsi" w:hAnsiTheme="minorHAnsi" w:cstheme="minorHAnsi"/>
                <w:sz w:val="22"/>
                <w:szCs w:val="22"/>
                <w:bdr w:val="none" w:sz="0" w:space="0" w:color="auto" w:frame="1"/>
                <w:lang w:val="en-US"/>
              </w:rPr>
              <w:t>). Professor Sally Walker’s Review of the Adoption of the Model Code confirmed that Curtin’s Policy was mostly aligned with the Model Code.</w:t>
            </w:r>
          </w:p>
          <w:p w14:paraId="2C91A87B" w14:textId="657D1954" w:rsidR="001B109C" w:rsidRPr="005774F2" w:rsidRDefault="0059678F" w:rsidP="003D68E3">
            <w:pPr>
              <w:pStyle w:val="NormalWeb"/>
              <w:shd w:val="clear" w:color="auto" w:fill="FFFFFF"/>
              <w:spacing w:before="120" w:beforeAutospacing="0" w:after="120" w:afterAutospacing="0" w:line="228" w:lineRule="atLeast"/>
              <w:ind w:left="22" w:right="39"/>
              <w:rPr>
                <w:rFonts w:asciiTheme="minorHAnsi" w:hAnsiTheme="minorHAnsi" w:cstheme="minorHAnsi"/>
                <w:i/>
                <w:iCs/>
                <w:szCs w:val="22"/>
              </w:rPr>
            </w:pPr>
            <w:r w:rsidRPr="00E86FA6">
              <w:rPr>
                <w:rFonts w:asciiTheme="minorHAnsi" w:hAnsiTheme="minorHAnsi" w:cstheme="minorHAnsi"/>
                <w:sz w:val="22"/>
                <w:szCs w:val="22"/>
                <w:bdr w:val="none" w:sz="0" w:space="0" w:color="auto" w:frame="1"/>
                <w:lang w:val="en-US"/>
              </w:rPr>
              <w:t>A significant development through the Curtin University Enterprise Bargaining Agreement 2022-2025 (</w:t>
            </w:r>
            <w:r w:rsidRPr="00E86FA6">
              <w:rPr>
                <w:rFonts w:asciiTheme="minorHAnsi" w:hAnsiTheme="minorHAnsi" w:cstheme="minorHAnsi"/>
                <w:b/>
                <w:bCs/>
                <w:sz w:val="22"/>
                <w:szCs w:val="22"/>
                <w:bdr w:val="none" w:sz="0" w:space="0" w:color="auto" w:frame="1"/>
                <w:lang w:val="en-US"/>
              </w:rPr>
              <w:t>EBA</w:t>
            </w:r>
            <w:r w:rsidRPr="00E86FA6">
              <w:rPr>
                <w:rFonts w:asciiTheme="minorHAnsi" w:hAnsiTheme="minorHAnsi" w:cstheme="minorHAnsi"/>
                <w:sz w:val="22"/>
                <w:szCs w:val="22"/>
                <w:bdr w:val="none" w:sz="0" w:space="0" w:color="auto" w:frame="1"/>
                <w:lang w:val="en-US"/>
              </w:rPr>
              <w:t xml:space="preserve">) was updating the previous EBA provisions relating to intellectual freedom to align with the Model Code. The </w:t>
            </w:r>
            <w:r w:rsidR="003039E5">
              <w:rPr>
                <w:rFonts w:asciiTheme="minorHAnsi" w:hAnsiTheme="minorHAnsi" w:cstheme="minorHAnsi"/>
                <w:sz w:val="22"/>
                <w:szCs w:val="22"/>
                <w:bdr w:val="none" w:sz="0" w:space="0" w:color="auto" w:frame="1"/>
                <w:lang w:val="en-US"/>
              </w:rPr>
              <w:t>current</w:t>
            </w:r>
            <w:r w:rsidRPr="00E86FA6">
              <w:rPr>
                <w:rFonts w:asciiTheme="minorHAnsi" w:hAnsiTheme="minorHAnsi" w:cstheme="minorHAnsi"/>
                <w:sz w:val="22"/>
                <w:szCs w:val="22"/>
                <w:bdr w:val="none" w:sz="0" w:space="0" w:color="auto" w:frame="1"/>
                <w:lang w:val="en-US"/>
              </w:rPr>
              <w:t xml:space="preserve"> EBA now directly incorporates relevant aspects of the Model Code relating to Academic Freedom and Freedom of Speech.</w:t>
            </w:r>
          </w:p>
        </w:tc>
      </w:tr>
      <w:tr w:rsidR="001B109C" w:rsidRPr="00E41388" w14:paraId="0EA45E0C" w14:textId="77777777" w:rsidTr="0059678F">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59678F">
        <w:tc>
          <w:tcPr>
            <w:tcW w:w="5000" w:type="pct"/>
          </w:tcPr>
          <w:p w14:paraId="2EB1A372" w14:textId="7F6EA83B"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bookmarkStart w:id="0" w:name="_Hlk150338733"/>
            <w:bookmarkStart w:id="1" w:name="_Hlk150338471"/>
            <w:r>
              <w:rPr>
                <w:rStyle w:val="normaltextrun"/>
                <w:rFonts w:asciiTheme="minorHAnsi" w:hAnsiTheme="minorHAnsi" w:cstheme="minorHAnsi"/>
                <w:sz w:val="22"/>
                <w:szCs w:val="22"/>
              </w:rPr>
              <w:t>T</w:t>
            </w:r>
            <w:r w:rsidRPr="00E86FA6">
              <w:rPr>
                <w:rStyle w:val="normaltextrun"/>
                <w:rFonts w:asciiTheme="minorHAnsi" w:hAnsiTheme="minorHAnsi" w:cstheme="minorHAnsi"/>
                <w:sz w:val="22"/>
                <w:szCs w:val="22"/>
              </w:rPr>
              <w:t>he University’s strategic plan confirms Curtin’s commitment to fostering inclusivity and creating an equitable community, underpinned by improved access, inclusion, and participation outcomes. </w:t>
            </w:r>
            <w:r w:rsidRPr="00E86FA6">
              <w:rPr>
                <w:rStyle w:val="eop"/>
                <w:rFonts w:asciiTheme="minorHAnsi" w:hAnsiTheme="minorHAnsi" w:cstheme="minorHAnsi"/>
                <w:sz w:val="22"/>
                <w:szCs w:val="22"/>
              </w:rPr>
              <w:t> </w:t>
            </w:r>
          </w:p>
          <w:p w14:paraId="6FD809ED" w14:textId="0184BB95"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 xml:space="preserve">Key priorities are to improve outcomes for equity students, supported by our </w:t>
            </w:r>
            <w:hyperlink r:id="rId22" w:tgtFrame="_blank" w:history="1">
              <w:r w:rsidRPr="00E86FA6">
                <w:rPr>
                  <w:rStyle w:val="normaltextrun"/>
                  <w:rFonts w:asciiTheme="minorHAnsi" w:hAnsiTheme="minorHAnsi" w:cstheme="minorHAnsi"/>
                  <w:color w:val="0563C1"/>
                  <w:sz w:val="22"/>
                  <w:szCs w:val="22"/>
                  <w:u w:val="single"/>
                </w:rPr>
                <w:t>Student Equity and Inclusion Framework</w:t>
              </w:r>
            </w:hyperlink>
            <w:r w:rsidRPr="00E86FA6">
              <w:rPr>
                <w:rStyle w:val="normaltextrun"/>
                <w:rFonts w:asciiTheme="minorHAnsi" w:hAnsiTheme="minorHAnsi" w:cstheme="minorHAnsi"/>
                <w:sz w:val="22"/>
                <w:szCs w:val="22"/>
              </w:rPr>
              <w:t>. The Framework supports an intersectional approach to student equity in learning, teaching, and research. The primary measure of success for 202</w:t>
            </w:r>
            <w:r>
              <w:rPr>
                <w:rStyle w:val="normaltextrun"/>
                <w:rFonts w:asciiTheme="minorHAnsi" w:hAnsiTheme="minorHAnsi" w:cstheme="minorHAnsi"/>
                <w:sz w:val="22"/>
                <w:szCs w:val="22"/>
              </w:rPr>
              <w:t>5</w:t>
            </w:r>
            <w:r w:rsidRPr="00E86FA6">
              <w:rPr>
                <w:rStyle w:val="normaltextrun"/>
                <w:rFonts w:asciiTheme="minorHAnsi" w:hAnsiTheme="minorHAnsi" w:cstheme="minorHAnsi"/>
                <w:sz w:val="22"/>
                <w:szCs w:val="22"/>
              </w:rPr>
              <w:t xml:space="preserve"> is domestic equity student participation inclusive of</w:t>
            </w:r>
            <w:r>
              <w:rPr>
                <w:rStyle w:val="normaltextrun"/>
                <w:rFonts w:asciiTheme="minorHAnsi" w:hAnsiTheme="minorHAnsi" w:cstheme="minorHAnsi"/>
                <w:sz w:val="22"/>
                <w:szCs w:val="22"/>
              </w:rPr>
              <w:t>:</w:t>
            </w:r>
            <w:r w:rsidRPr="00E86FA6">
              <w:rPr>
                <w:rStyle w:val="normaltextrun"/>
                <w:rFonts w:asciiTheme="minorHAnsi" w:hAnsiTheme="minorHAnsi" w:cstheme="minorHAnsi"/>
                <w:sz w:val="22"/>
                <w:szCs w:val="22"/>
              </w:rPr>
              <w:t xml:space="preserve"> students with disability and those with first in family; Aboriginal and Torres Strait Islander; rural, regional and remote; and low socioeconomic backgrounds. </w:t>
            </w:r>
            <w:r w:rsidRPr="00E86FA6">
              <w:rPr>
                <w:rStyle w:val="eop"/>
                <w:rFonts w:asciiTheme="minorHAnsi" w:hAnsiTheme="minorHAnsi" w:cstheme="minorHAnsi"/>
                <w:sz w:val="22"/>
                <w:szCs w:val="22"/>
              </w:rPr>
              <w:t> </w:t>
            </w:r>
          </w:p>
          <w:p w14:paraId="4E01CE2B" w14:textId="54945888"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Curtin is committed to embedding voices and perspectives of First Nations peoples at the forefront of our decision-making to create an environment in which everyone thrives. Key priorities are to further develop Curtin’s Indigenous governance framework and progress opportunities to improve Aboriginal and Torres Strait Islander success. This includes increasing Indigenous leadership positions in all faculties; strengthening Indigenous cultural capabilities amongst all staff; and improving enrolments, retention, and completion for Aboriginal and Torres Strait Islander students. The primary measure of success for 202</w:t>
            </w:r>
            <w:r>
              <w:rPr>
                <w:rStyle w:val="normaltextrun"/>
                <w:rFonts w:asciiTheme="minorHAnsi" w:hAnsiTheme="minorHAnsi" w:cstheme="minorHAnsi"/>
                <w:sz w:val="22"/>
                <w:szCs w:val="22"/>
              </w:rPr>
              <w:t>5</w:t>
            </w:r>
            <w:r w:rsidRPr="00E86FA6">
              <w:rPr>
                <w:rStyle w:val="normaltextrun"/>
                <w:rFonts w:asciiTheme="minorHAnsi" w:hAnsiTheme="minorHAnsi" w:cstheme="minorHAnsi"/>
                <w:sz w:val="22"/>
                <w:szCs w:val="22"/>
              </w:rPr>
              <w:t xml:space="preserve"> is Aboriginal and Torres Strait Islander student success. Performance against these indicators is reported in </w:t>
            </w:r>
            <w:r w:rsidRPr="00E86FA6">
              <w:rPr>
                <w:rStyle w:val="normaltextrun"/>
                <w:rFonts w:asciiTheme="minorHAnsi" w:hAnsiTheme="minorHAnsi" w:cstheme="minorHAnsi"/>
                <w:color w:val="000000"/>
                <w:sz w:val="22"/>
                <w:szCs w:val="22"/>
              </w:rPr>
              <w:t xml:space="preserve">the </w:t>
            </w:r>
            <w:hyperlink r:id="rId23" w:history="1">
              <w:r w:rsidRPr="00E86FA6">
                <w:rPr>
                  <w:rStyle w:val="Hyperlink"/>
                  <w:rFonts w:asciiTheme="minorHAnsi" w:hAnsiTheme="minorHAnsi" w:cstheme="minorHAnsi"/>
                  <w:sz w:val="22"/>
                  <w:szCs w:val="22"/>
                </w:rPr>
                <w:t>Annual Report</w:t>
              </w:r>
            </w:hyperlink>
            <w:r w:rsidRPr="00E86FA6">
              <w:rPr>
                <w:rStyle w:val="normaltextrun"/>
                <w:rFonts w:asciiTheme="minorHAnsi" w:hAnsiTheme="minorHAnsi" w:cstheme="minorHAnsi"/>
                <w:sz w:val="22"/>
                <w:szCs w:val="22"/>
              </w:rPr>
              <w:t>.</w:t>
            </w:r>
          </w:p>
          <w:p w14:paraId="364F383D" w14:textId="0E73C025"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Curtin’s AHEAD program has been expanded to include an innovative range of face</w:t>
            </w:r>
            <w:r w:rsidR="00C03A0E">
              <w:rPr>
                <w:rStyle w:val="normaltextrun"/>
                <w:rFonts w:asciiTheme="minorHAnsi" w:hAnsiTheme="minorHAnsi" w:cstheme="minorHAnsi"/>
                <w:sz w:val="22"/>
                <w:szCs w:val="22"/>
              </w:rPr>
              <w:t>-</w:t>
            </w:r>
            <w:r w:rsidRPr="00E86FA6">
              <w:rPr>
                <w:rStyle w:val="normaltextrun"/>
                <w:rFonts w:asciiTheme="minorHAnsi" w:hAnsiTheme="minorHAnsi" w:cstheme="minorHAnsi"/>
                <w:sz w:val="22"/>
                <w:szCs w:val="22"/>
              </w:rPr>
              <w:t>to</w:t>
            </w:r>
            <w:r w:rsidR="00C03A0E">
              <w:rPr>
                <w:rStyle w:val="normaltextrun"/>
                <w:rFonts w:asciiTheme="minorHAnsi" w:hAnsiTheme="minorHAnsi" w:cstheme="minorHAnsi"/>
                <w:sz w:val="22"/>
                <w:szCs w:val="22"/>
              </w:rPr>
              <w:t>-</w:t>
            </w:r>
            <w:r w:rsidRPr="00E86FA6">
              <w:rPr>
                <w:rStyle w:val="normaltextrun"/>
                <w:rFonts w:asciiTheme="minorHAnsi" w:hAnsiTheme="minorHAnsi" w:cstheme="minorHAnsi"/>
                <w:sz w:val="22"/>
                <w:szCs w:val="22"/>
              </w:rPr>
              <w:t>face and digital initiatives for high school students aimed at improving aspiration, awareness and academic skills needed for higher education success. This will continue across rural, regional and remote, and low socioeconomic communities, growing where our resources allow. </w:t>
            </w:r>
            <w:r w:rsidRPr="00E86FA6">
              <w:rPr>
                <w:rStyle w:val="eop"/>
                <w:rFonts w:asciiTheme="minorHAnsi" w:hAnsiTheme="minorHAnsi" w:cstheme="minorHAnsi"/>
                <w:sz w:val="22"/>
                <w:szCs w:val="22"/>
              </w:rPr>
              <w:t> </w:t>
            </w:r>
          </w:p>
          <w:p w14:paraId="182D563A" w14:textId="3F6AAC63"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 xml:space="preserve">Building on Curtin’s strong relationships in rural, regional and remote Western Australian communities, Regional University Study Hubs, and Suburban Study Hubs will play a key role in supporting success of Curtin students who can access the Hubs. Focused engagement and support services at our Kalgoorlie Campus and the community and industry within the Goldfields-Esperance Region are key to improving enrolment, participation and attainment for </w:t>
            </w:r>
            <w:hyperlink r:id="rId24" w:tgtFrame="_blank" w:history="1">
              <w:r w:rsidRPr="00E86FA6">
                <w:rPr>
                  <w:rStyle w:val="normaltextrun"/>
                  <w:rFonts w:asciiTheme="minorHAnsi" w:hAnsiTheme="minorHAnsi" w:cstheme="minorHAnsi"/>
                  <w:color w:val="0563C1"/>
                  <w:sz w:val="22"/>
                  <w:szCs w:val="22"/>
                  <w:u w:val="single"/>
                </w:rPr>
                <w:t>regional students.</w:t>
              </w:r>
            </w:hyperlink>
            <w:r w:rsidRPr="00E86FA6">
              <w:rPr>
                <w:rStyle w:val="normaltextrun"/>
                <w:rFonts w:asciiTheme="minorHAnsi" w:hAnsiTheme="minorHAnsi" w:cstheme="minorHAnsi"/>
                <w:sz w:val="22"/>
                <w:szCs w:val="22"/>
              </w:rPr>
              <w:t> </w:t>
            </w:r>
            <w:r w:rsidRPr="00E86FA6">
              <w:rPr>
                <w:rStyle w:val="eop"/>
                <w:rFonts w:asciiTheme="minorHAnsi" w:hAnsiTheme="minorHAnsi" w:cstheme="minorHAnsi"/>
                <w:sz w:val="22"/>
                <w:szCs w:val="22"/>
              </w:rPr>
              <w:t> </w:t>
            </w:r>
          </w:p>
          <w:p w14:paraId="1E51AF49" w14:textId="63EEDCC6"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A significant number of Curtin’s equity enrolments study through our online programs. Improvements to this experience to positively impact student outcomes will be a focus in 202</w:t>
            </w:r>
            <w:r>
              <w:rPr>
                <w:rStyle w:val="normaltextrun"/>
                <w:rFonts w:asciiTheme="minorHAnsi" w:hAnsiTheme="minorHAnsi" w:cstheme="minorHAnsi"/>
                <w:sz w:val="22"/>
                <w:szCs w:val="22"/>
              </w:rPr>
              <w:t>5 and 2026</w:t>
            </w:r>
            <w:r w:rsidRPr="00E86FA6">
              <w:rPr>
                <w:rStyle w:val="normaltextrun"/>
                <w:rFonts w:asciiTheme="minorHAnsi" w:hAnsiTheme="minorHAnsi" w:cstheme="minorHAnsi"/>
                <w:sz w:val="22"/>
                <w:szCs w:val="22"/>
              </w:rPr>
              <w:t>.</w:t>
            </w:r>
          </w:p>
          <w:p w14:paraId="3EBE508C" w14:textId="0B0EDD4A"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 xml:space="preserve">Implementation of Curtin’s </w:t>
            </w:r>
            <w:hyperlink r:id="rId25" w:tgtFrame="_blank" w:history="1">
              <w:r w:rsidRPr="00E86FA6">
                <w:rPr>
                  <w:rStyle w:val="normaltextrun"/>
                  <w:rFonts w:asciiTheme="minorHAnsi" w:hAnsiTheme="minorHAnsi" w:cstheme="minorHAnsi"/>
                  <w:color w:val="0563C1"/>
                  <w:sz w:val="22"/>
                  <w:szCs w:val="22"/>
                  <w:u w:val="single"/>
                </w:rPr>
                <w:t>Support for Student’s Policy</w:t>
              </w:r>
            </w:hyperlink>
            <w:r w:rsidRPr="00E86FA6">
              <w:rPr>
                <w:rStyle w:val="normaltextrun"/>
                <w:rFonts w:asciiTheme="minorHAnsi" w:hAnsiTheme="minorHAnsi" w:cstheme="minorHAnsi"/>
                <w:sz w:val="22"/>
                <w:szCs w:val="22"/>
              </w:rPr>
              <w:t xml:space="preserve"> </w:t>
            </w:r>
            <w:r w:rsidR="008B5C9D">
              <w:rPr>
                <w:rStyle w:val="normaltextrun"/>
                <w:rFonts w:asciiTheme="minorHAnsi" w:hAnsiTheme="minorHAnsi" w:cstheme="minorHAnsi"/>
                <w:sz w:val="22"/>
                <w:szCs w:val="22"/>
              </w:rPr>
              <w:t>focuses</w:t>
            </w:r>
            <w:r w:rsidRPr="00E86FA6">
              <w:rPr>
                <w:rStyle w:val="normaltextrun"/>
                <w:rFonts w:asciiTheme="minorHAnsi" w:hAnsiTheme="minorHAnsi" w:cstheme="minorHAnsi"/>
                <w:sz w:val="22"/>
                <w:szCs w:val="22"/>
              </w:rPr>
              <w:t xml:space="preserve"> on students at risk of non-completion, a proportion of whom are from equity backgrounds. </w:t>
            </w:r>
            <w:r w:rsidRPr="00E86FA6">
              <w:rPr>
                <w:rStyle w:val="eop"/>
                <w:rFonts w:asciiTheme="minorHAnsi" w:hAnsiTheme="minorHAnsi" w:cstheme="minorHAnsi"/>
                <w:sz w:val="22"/>
                <w:szCs w:val="22"/>
              </w:rPr>
              <w:t> </w:t>
            </w:r>
          </w:p>
          <w:p w14:paraId="2624DA36"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lastRenderedPageBreak/>
              <w:t xml:space="preserve">Curtin’s </w:t>
            </w:r>
            <w:hyperlink r:id="rId26" w:tgtFrame="_blank" w:history="1">
              <w:r w:rsidRPr="00E86FA6">
                <w:rPr>
                  <w:rStyle w:val="normaltextrun"/>
                  <w:rFonts w:asciiTheme="minorHAnsi" w:hAnsiTheme="minorHAnsi" w:cstheme="minorHAnsi"/>
                  <w:color w:val="0563C1"/>
                  <w:sz w:val="22"/>
                  <w:szCs w:val="22"/>
                  <w:u w:val="single"/>
                </w:rPr>
                <w:t>Disability Access and Inclusion Plan</w:t>
              </w:r>
            </w:hyperlink>
            <w:r w:rsidRPr="00E86FA6">
              <w:rPr>
                <w:rStyle w:val="normaltextrun"/>
                <w:rFonts w:asciiTheme="minorHAnsi" w:hAnsiTheme="minorHAnsi" w:cstheme="minorHAnsi"/>
                <w:sz w:val="22"/>
                <w:szCs w:val="22"/>
              </w:rPr>
              <w:t xml:space="preserve"> furthers our focus on inclusive practice, focussing on the embedding of universal design thinking into all of our activities. This will improve the experience and outcomes for students with disability across all interactions with Curtin, and more broadly will benefit all students. </w:t>
            </w:r>
            <w:r w:rsidRPr="00E86FA6">
              <w:rPr>
                <w:rStyle w:val="eop"/>
                <w:rFonts w:asciiTheme="minorHAnsi" w:hAnsiTheme="minorHAnsi" w:cstheme="minorHAnsi"/>
                <w:sz w:val="22"/>
                <w:szCs w:val="22"/>
              </w:rPr>
              <w:t> </w:t>
            </w:r>
          </w:p>
          <w:p w14:paraId="6ED40ACD"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Curtin encourages staff as champions for student equity and provides opportunity to enhance staff capability and inclusive practice knowledge to support equity students to achieve and succeed, through the Student Equity Network and professional learning and training opportunities.</w:t>
            </w:r>
            <w:r w:rsidRPr="00E86FA6">
              <w:rPr>
                <w:rStyle w:val="eop"/>
                <w:rFonts w:asciiTheme="minorHAnsi" w:hAnsiTheme="minorHAnsi" w:cstheme="minorHAnsi"/>
                <w:sz w:val="22"/>
                <w:szCs w:val="22"/>
              </w:rPr>
              <w:t> </w:t>
            </w:r>
          </w:p>
          <w:p w14:paraId="22B87A46" w14:textId="18032B13" w:rsidR="00967774" w:rsidRDefault="0059678F" w:rsidP="003D68E3">
            <w:pPr>
              <w:spacing w:after="0"/>
            </w:pPr>
            <w:r w:rsidRPr="00E86FA6">
              <w:rPr>
                <w:rStyle w:val="normaltextrun"/>
                <w:rFonts w:cstheme="minorHAnsi"/>
              </w:rPr>
              <w:t>Equity student data and insights are monitored and reported on to the University Council, Senior Executive Team, Academic Board and Learning and Student Experience Committee. This includes monitoring equity student performance in retention, pass rates and completions, satisfaction, and employability.</w:t>
            </w:r>
            <w:bookmarkEnd w:id="0"/>
            <w:bookmarkEnd w:id="1"/>
          </w:p>
        </w:tc>
      </w:tr>
      <w:tr w:rsidR="001B109C" w:rsidRPr="00E41388" w14:paraId="39ADE404" w14:textId="77777777" w:rsidTr="0059678F">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59678F">
        <w:trPr>
          <w:trHeight w:val="977"/>
        </w:trPr>
        <w:tc>
          <w:tcPr>
            <w:tcW w:w="5000" w:type="pct"/>
            <w:tcBorders>
              <w:bottom w:val="single" w:sz="4" w:space="0" w:color="auto"/>
            </w:tcBorders>
          </w:tcPr>
          <w:p w14:paraId="706BCDFD" w14:textId="17C8411E" w:rsidR="0059678F" w:rsidRPr="00C03A0E"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C03A0E">
              <w:rPr>
                <w:rStyle w:val="normaltextrun"/>
                <w:rFonts w:asciiTheme="minorHAnsi" w:hAnsiTheme="minorHAnsi" w:cstheme="minorHAnsi"/>
                <w:sz w:val="22"/>
                <w:szCs w:val="22"/>
              </w:rPr>
              <w:t xml:space="preserve">Curtin prides itself on being a student centric university. </w:t>
            </w:r>
            <w:r w:rsidR="00C03A0E" w:rsidRPr="00C03A0E">
              <w:rPr>
                <w:rStyle w:val="normaltextrun"/>
                <w:rFonts w:asciiTheme="minorHAnsi" w:hAnsiTheme="minorHAnsi" w:cstheme="minorHAnsi"/>
                <w:sz w:val="22"/>
                <w:szCs w:val="22"/>
              </w:rPr>
              <w:t>The</w:t>
            </w:r>
            <w:r w:rsidRPr="00C03A0E">
              <w:rPr>
                <w:rStyle w:val="normaltextrun"/>
                <w:rFonts w:asciiTheme="minorHAnsi" w:hAnsiTheme="minorHAnsi" w:cstheme="minorHAnsi"/>
                <w:sz w:val="22"/>
                <w:szCs w:val="22"/>
              </w:rPr>
              <w:t xml:space="preserve"> student experience, learning journey and success </w:t>
            </w:r>
            <w:r w:rsidR="00C03A0E" w:rsidRPr="00C03A0E">
              <w:rPr>
                <w:rStyle w:val="normaltextrun"/>
                <w:rFonts w:asciiTheme="minorHAnsi" w:hAnsiTheme="minorHAnsi" w:cstheme="minorHAnsi"/>
                <w:sz w:val="22"/>
                <w:szCs w:val="22"/>
              </w:rPr>
              <w:t>are</w:t>
            </w:r>
            <w:r w:rsidRPr="00C03A0E">
              <w:rPr>
                <w:rStyle w:val="normaltextrun"/>
                <w:rFonts w:asciiTheme="minorHAnsi" w:hAnsiTheme="minorHAnsi" w:cstheme="minorHAnsi"/>
                <w:sz w:val="22"/>
                <w:szCs w:val="22"/>
              </w:rPr>
              <w:t xml:space="preserve"> at the heart of everything we do</w:t>
            </w:r>
            <w:r w:rsidR="00A242D5" w:rsidRPr="00C03A0E">
              <w:rPr>
                <w:rStyle w:val="normaltextrun"/>
                <w:rFonts w:asciiTheme="minorHAnsi" w:hAnsiTheme="minorHAnsi" w:cstheme="minorHAnsi"/>
                <w:sz w:val="22"/>
                <w:szCs w:val="22"/>
              </w:rPr>
              <w:t xml:space="preserve">, and </w:t>
            </w:r>
            <w:r w:rsidR="00C03A0E" w:rsidRPr="00C03A0E">
              <w:rPr>
                <w:rStyle w:val="normaltextrun"/>
                <w:rFonts w:asciiTheme="minorHAnsi" w:hAnsiTheme="minorHAnsi" w:cstheme="minorHAnsi"/>
                <w:sz w:val="22"/>
                <w:szCs w:val="22"/>
              </w:rPr>
              <w:t xml:space="preserve">progress and </w:t>
            </w:r>
            <w:r w:rsidR="00A242D5" w:rsidRPr="00C03A0E">
              <w:rPr>
                <w:rStyle w:val="normaltextrun"/>
                <w:rFonts w:asciiTheme="minorHAnsi" w:hAnsiTheme="minorHAnsi" w:cstheme="minorHAnsi"/>
                <w:color w:val="000000"/>
                <w:sz w:val="22"/>
                <w:szCs w:val="22"/>
              </w:rPr>
              <w:t>performance against our strategic objectives is monitored by the Learning and Student Experience Committee of Academic Board</w:t>
            </w:r>
            <w:r w:rsidRPr="00C03A0E">
              <w:rPr>
                <w:rStyle w:val="normaltextrun"/>
                <w:rFonts w:asciiTheme="minorHAnsi" w:hAnsiTheme="minorHAnsi" w:cstheme="minorHAnsi"/>
                <w:color w:val="000000"/>
                <w:sz w:val="22"/>
                <w:szCs w:val="22"/>
              </w:rPr>
              <w:t xml:space="preserve">. </w:t>
            </w:r>
          </w:p>
          <w:p w14:paraId="72CA510D"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color w:val="000000"/>
                <w:sz w:val="22"/>
                <w:szCs w:val="22"/>
              </w:rPr>
              <w:t xml:space="preserve">Students are welcomed with a comprehensive orientation programme designed to ease the transition to university. A range of innovative services are available to support students in their academic and employability success, mental health and wellbeing, leadership development and social impact. All information is freely available on our </w:t>
            </w:r>
            <w:hyperlink r:id="rId27" w:tgtFrame="_blank" w:history="1">
              <w:r w:rsidRPr="00E86FA6">
                <w:rPr>
                  <w:rStyle w:val="Hyperlink"/>
                  <w:rFonts w:asciiTheme="minorHAnsi" w:hAnsiTheme="minorHAnsi" w:cstheme="minorHAnsi"/>
                  <w:sz w:val="22"/>
                  <w:szCs w:val="22"/>
                </w:rPr>
                <w:t>Current Students</w:t>
              </w:r>
            </w:hyperlink>
            <w:r w:rsidRPr="00E86FA6">
              <w:rPr>
                <w:rStyle w:val="normaltextrun"/>
                <w:rFonts w:asciiTheme="minorHAnsi" w:hAnsiTheme="minorHAnsi" w:cstheme="minorHAnsi"/>
                <w:color w:val="000000"/>
                <w:sz w:val="22"/>
                <w:szCs w:val="22"/>
              </w:rPr>
              <w:t xml:space="preserve"> website, including our </w:t>
            </w:r>
            <w:hyperlink r:id="rId28" w:tgtFrame="_blank" w:history="1">
              <w:r w:rsidRPr="00E86FA6">
                <w:rPr>
                  <w:rStyle w:val="normaltextrun"/>
                  <w:rFonts w:asciiTheme="minorHAnsi" w:hAnsiTheme="minorHAnsi" w:cstheme="minorHAnsi"/>
                  <w:color w:val="0563C1"/>
                  <w:sz w:val="22"/>
                  <w:szCs w:val="22"/>
                  <w:u w:val="single"/>
                </w:rPr>
                <w:t>Students as Partners</w:t>
              </w:r>
            </w:hyperlink>
            <w:r w:rsidRPr="00E86FA6">
              <w:rPr>
                <w:rStyle w:val="normaltextrun"/>
                <w:rFonts w:asciiTheme="minorHAnsi" w:hAnsiTheme="minorHAnsi" w:cstheme="minorHAnsi"/>
                <w:color w:val="000000"/>
                <w:sz w:val="22"/>
                <w:szCs w:val="22"/>
              </w:rPr>
              <w:t xml:space="preserve"> approach. </w:t>
            </w:r>
          </w:p>
          <w:p w14:paraId="1547D7D0" w14:textId="051CA7B2" w:rsidR="0059678F" w:rsidRPr="00924CAF"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bookmarkStart w:id="2" w:name="_Hlk210818934"/>
            <w:r w:rsidRPr="00924CAF">
              <w:rPr>
                <w:rStyle w:val="normaltextrun"/>
                <w:rFonts w:asciiTheme="minorHAnsi" w:hAnsiTheme="minorHAnsi" w:cstheme="minorHAnsi"/>
                <w:sz w:val="22"/>
                <w:szCs w:val="22"/>
              </w:rPr>
              <w:t xml:space="preserve">Curtin </w:t>
            </w:r>
            <w:r w:rsidR="00924CAF" w:rsidRPr="00924CAF">
              <w:rPr>
                <w:rStyle w:val="normaltextrun"/>
                <w:rFonts w:asciiTheme="minorHAnsi" w:hAnsiTheme="minorHAnsi" w:cstheme="minorHAnsi"/>
                <w:sz w:val="22"/>
                <w:szCs w:val="22"/>
              </w:rPr>
              <w:t>i</w:t>
            </w:r>
            <w:r w:rsidR="00924CAF" w:rsidRPr="003D68E3">
              <w:rPr>
                <w:rStyle w:val="normaltextrun"/>
                <w:rFonts w:asciiTheme="minorHAnsi" w:hAnsiTheme="minorHAnsi" w:cstheme="minorHAnsi"/>
                <w:sz w:val="22"/>
                <w:szCs w:val="22"/>
              </w:rPr>
              <w:t xml:space="preserve">s focused on continuing to improve </w:t>
            </w:r>
            <w:r w:rsidRPr="00924CAF">
              <w:rPr>
                <w:rStyle w:val="normaltextrun"/>
                <w:rFonts w:asciiTheme="minorHAnsi" w:hAnsiTheme="minorHAnsi" w:cstheme="minorHAnsi"/>
                <w:sz w:val="22"/>
                <w:szCs w:val="22"/>
              </w:rPr>
              <w:t>student satisfaction</w:t>
            </w:r>
            <w:r w:rsidR="00924CAF" w:rsidRPr="00924CAF">
              <w:rPr>
                <w:rStyle w:val="normaltextrun"/>
                <w:rFonts w:asciiTheme="minorHAnsi" w:hAnsiTheme="minorHAnsi" w:cstheme="minorHAnsi"/>
                <w:sz w:val="22"/>
                <w:szCs w:val="22"/>
              </w:rPr>
              <w:t>, and a</w:t>
            </w:r>
            <w:r w:rsidRPr="00924CAF">
              <w:rPr>
                <w:rStyle w:val="normaltextrun"/>
                <w:rFonts w:asciiTheme="minorHAnsi" w:hAnsiTheme="minorHAnsi" w:cstheme="minorHAnsi"/>
                <w:sz w:val="22"/>
                <w:szCs w:val="22"/>
              </w:rPr>
              <w:t xml:space="preserve"> </w:t>
            </w:r>
            <w:r w:rsidR="00924CAF" w:rsidRPr="00924CAF">
              <w:rPr>
                <w:rStyle w:val="normaltextrun"/>
                <w:rFonts w:asciiTheme="minorHAnsi" w:hAnsiTheme="minorHAnsi" w:cstheme="minorHAnsi"/>
                <w:sz w:val="22"/>
                <w:szCs w:val="22"/>
              </w:rPr>
              <w:t xml:space="preserve">program of work is focused on </w:t>
            </w:r>
            <w:r w:rsidR="00924CAF">
              <w:rPr>
                <w:rStyle w:val="normaltextrun"/>
                <w:rFonts w:asciiTheme="minorHAnsi" w:hAnsiTheme="minorHAnsi" w:cstheme="minorHAnsi"/>
                <w:sz w:val="22"/>
                <w:szCs w:val="22"/>
              </w:rPr>
              <w:t xml:space="preserve">improving </w:t>
            </w:r>
            <w:r w:rsidR="00924CAF" w:rsidRPr="00924CAF">
              <w:rPr>
                <w:rStyle w:val="normaltextrun"/>
                <w:rFonts w:asciiTheme="minorHAnsi" w:hAnsiTheme="minorHAnsi" w:cstheme="minorHAnsi"/>
                <w:sz w:val="22"/>
                <w:szCs w:val="22"/>
              </w:rPr>
              <w:t xml:space="preserve">the student experience, including </w:t>
            </w:r>
            <w:r w:rsidRPr="00924CAF">
              <w:rPr>
                <w:rStyle w:val="normaltextrun"/>
                <w:rFonts w:asciiTheme="minorHAnsi" w:hAnsiTheme="minorHAnsi" w:cstheme="minorHAnsi"/>
                <w:sz w:val="22"/>
                <w:szCs w:val="22"/>
              </w:rPr>
              <w:t>student satisfaction</w:t>
            </w:r>
            <w:r w:rsidR="00924CAF" w:rsidRPr="00924CAF">
              <w:rPr>
                <w:rStyle w:val="normaltextrun"/>
                <w:rFonts w:asciiTheme="minorHAnsi" w:hAnsiTheme="minorHAnsi" w:cstheme="minorHAnsi"/>
                <w:sz w:val="22"/>
                <w:szCs w:val="22"/>
              </w:rPr>
              <w:t xml:space="preserve"> and teaching quality</w:t>
            </w:r>
            <w:r w:rsidRPr="00924CAF">
              <w:rPr>
                <w:rStyle w:val="normaltextrun"/>
                <w:rFonts w:asciiTheme="minorHAnsi" w:hAnsiTheme="minorHAnsi" w:cstheme="minorHAnsi"/>
                <w:sz w:val="22"/>
                <w:szCs w:val="22"/>
              </w:rPr>
              <w:t xml:space="preserve">. </w:t>
            </w:r>
            <w:r w:rsidR="00A242D5" w:rsidRPr="00924CAF">
              <w:rPr>
                <w:rStyle w:val="normaltextrun"/>
                <w:rFonts w:asciiTheme="minorHAnsi" w:hAnsiTheme="minorHAnsi" w:cstheme="minorHAnsi"/>
                <w:sz w:val="22"/>
                <w:szCs w:val="22"/>
              </w:rPr>
              <w:t>T</w:t>
            </w:r>
            <w:r w:rsidR="00A242D5" w:rsidRPr="003D68E3">
              <w:rPr>
                <w:rStyle w:val="normaltextrun"/>
                <w:rFonts w:asciiTheme="minorHAnsi" w:hAnsiTheme="minorHAnsi" w:cstheme="minorHAnsi"/>
                <w:sz w:val="22"/>
                <w:szCs w:val="22"/>
              </w:rPr>
              <w:t xml:space="preserve">he </w:t>
            </w:r>
            <w:r w:rsidRPr="00924CAF">
              <w:rPr>
                <w:rStyle w:val="normaltextrun"/>
                <w:rFonts w:asciiTheme="minorHAnsi" w:hAnsiTheme="minorHAnsi" w:cstheme="minorHAnsi"/>
                <w:sz w:val="22"/>
                <w:szCs w:val="22"/>
              </w:rPr>
              <w:t>Student Experience Survey (SES) data is used to monitor our performance. </w:t>
            </w:r>
            <w:r w:rsidRPr="00924CAF">
              <w:rPr>
                <w:rStyle w:val="eop"/>
                <w:rFonts w:asciiTheme="minorHAnsi" w:hAnsiTheme="minorHAnsi" w:cstheme="minorHAnsi"/>
                <w:sz w:val="22"/>
                <w:szCs w:val="22"/>
              </w:rPr>
              <w:t> </w:t>
            </w:r>
          </w:p>
          <w:bookmarkEnd w:id="2"/>
          <w:p w14:paraId="002F05F5" w14:textId="77777777" w:rsidR="0059678F" w:rsidRPr="00E86FA6" w:rsidRDefault="0059678F" w:rsidP="0059678F">
            <w:pPr>
              <w:pStyle w:val="paragraph"/>
              <w:spacing w:before="120" w:beforeAutospacing="0" w:after="120" w:afterAutospacing="0" w:line="220" w:lineRule="atLeast"/>
              <w:textAlignment w:val="baseline"/>
              <w:rPr>
                <w:rStyle w:val="normaltextrun"/>
                <w:rFonts w:asciiTheme="minorHAnsi" w:hAnsiTheme="minorHAnsi" w:cstheme="minorHAnsi"/>
                <w:color w:val="0078D4"/>
                <w:sz w:val="22"/>
                <w:szCs w:val="22"/>
                <w:u w:val="single"/>
              </w:rPr>
            </w:pPr>
            <w:r w:rsidRPr="00E86FA6">
              <w:rPr>
                <w:rStyle w:val="normaltextrun"/>
                <w:rFonts w:asciiTheme="minorHAnsi" w:hAnsiTheme="minorHAnsi" w:cstheme="minorHAnsi"/>
                <w:color w:val="212121"/>
                <w:sz w:val="22"/>
                <w:szCs w:val="22"/>
              </w:rPr>
              <w:t xml:space="preserve">Proactive measures are in place to identify students who are at risk of non-completion based on well-established indicators. Students are referred to a range of support programs depending on their needs including wellbeing, psychological and counselling services, specialist mentoring, </w:t>
            </w:r>
            <w:hyperlink r:id="rId29" w:history="1">
              <w:r w:rsidRPr="00E86FA6">
                <w:rPr>
                  <w:rStyle w:val="Hyperlink"/>
                  <w:rFonts w:asciiTheme="minorHAnsi" w:hAnsiTheme="minorHAnsi" w:cstheme="minorHAnsi"/>
                  <w:sz w:val="22"/>
                  <w:szCs w:val="22"/>
                </w:rPr>
                <w:t>AccessAbility services</w:t>
              </w:r>
            </w:hyperlink>
            <w:r w:rsidRPr="00E86FA6">
              <w:rPr>
                <w:rStyle w:val="normaltextrun"/>
                <w:rFonts w:asciiTheme="minorHAnsi" w:hAnsiTheme="minorHAnsi" w:cstheme="minorHAnsi"/>
                <w:color w:val="212121"/>
                <w:sz w:val="22"/>
                <w:szCs w:val="22"/>
              </w:rPr>
              <w:t xml:space="preserve">, academic skills development such as UniPASS and financial or other support. In addition, Aboriginal and Torres Strait Islander students can access a range of support through the </w:t>
            </w:r>
            <w:hyperlink r:id="rId30" w:history="1">
              <w:r w:rsidRPr="00E86FA6">
                <w:rPr>
                  <w:rStyle w:val="Hyperlink"/>
                  <w:rFonts w:asciiTheme="minorHAnsi" w:hAnsiTheme="minorHAnsi" w:cstheme="minorHAnsi"/>
                  <w:sz w:val="22"/>
                  <w:szCs w:val="22"/>
                </w:rPr>
                <w:t>Centre for Aboriginal Studies</w:t>
              </w:r>
            </w:hyperlink>
            <w:r w:rsidRPr="00E86FA6">
              <w:rPr>
                <w:rStyle w:val="normaltextrun"/>
                <w:rFonts w:asciiTheme="minorHAnsi" w:hAnsiTheme="minorHAnsi" w:cstheme="minorHAnsi"/>
                <w:color w:val="212121"/>
                <w:sz w:val="22"/>
                <w:szCs w:val="22"/>
              </w:rPr>
              <w:t>.</w:t>
            </w:r>
            <w:r w:rsidRPr="00E86FA6">
              <w:rPr>
                <w:rStyle w:val="normaltextrun"/>
                <w:rFonts w:asciiTheme="minorHAnsi" w:hAnsiTheme="minorHAnsi" w:cstheme="minorHAnsi"/>
                <w:color w:val="0078D4"/>
                <w:sz w:val="22"/>
                <w:szCs w:val="22"/>
                <w:u w:val="single"/>
              </w:rPr>
              <w:t xml:space="preserve"> </w:t>
            </w:r>
          </w:p>
          <w:p w14:paraId="27042EBE"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color w:val="212121"/>
                <w:sz w:val="22"/>
                <w:szCs w:val="22"/>
              </w:rPr>
              <w:t>At-risk students are proactively managed to address challenges and improve future student performance. Strategies for increasing student engagement include providing timely assessment feedback, monitoring attendance, regular and timely communication to students relevant to critical points in the learning journey.</w:t>
            </w:r>
            <w:r w:rsidRPr="00E86FA6">
              <w:rPr>
                <w:rStyle w:val="eop"/>
                <w:rFonts w:asciiTheme="minorHAnsi" w:hAnsiTheme="minorHAnsi" w:cstheme="minorHAnsi"/>
                <w:color w:val="212121"/>
                <w:sz w:val="22"/>
                <w:szCs w:val="22"/>
              </w:rPr>
              <w:t> </w:t>
            </w:r>
          </w:p>
          <w:p w14:paraId="66820557"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sz w:val="22"/>
                <w:szCs w:val="22"/>
              </w:rPr>
              <w:t xml:space="preserve">Curtin is committed to upholding the highest standards of transparency in student admission information and processes, accessible through the </w:t>
            </w:r>
            <w:hyperlink r:id="rId31" w:tgtFrame="_blank" w:history="1">
              <w:r w:rsidRPr="00E86FA6">
                <w:rPr>
                  <w:rStyle w:val="normaltextrun"/>
                  <w:rFonts w:asciiTheme="minorHAnsi" w:hAnsiTheme="minorHAnsi" w:cstheme="minorHAnsi"/>
                  <w:color w:val="0563C1"/>
                  <w:sz w:val="22"/>
                  <w:szCs w:val="22"/>
                  <w:u w:val="single"/>
                </w:rPr>
                <w:t>Study Curtin site</w:t>
              </w:r>
            </w:hyperlink>
            <w:r w:rsidRPr="00E86FA6">
              <w:rPr>
                <w:rStyle w:val="normaltextrun"/>
                <w:rFonts w:asciiTheme="minorHAnsi" w:hAnsiTheme="minorHAnsi" w:cstheme="minorHAnsi"/>
                <w:sz w:val="22"/>
                <w:szCs w:val="22"/>
              </w:rPr>
              <w:t xml:space="preserve">. Prospective students can access all information necessary to make informed decisions about their academic journey. Curtin's </w:t>
            </w:r>
            <w:hyperlink r:id="rId32" w:history="1">
              <w:r w:rsidRPr="00E86FA6">
                <w:rPr>
                  <w:rStyle w:val="Hyperlink"/>
                  <w:rFonts w:asciiTheme="minorHAnsi" w:hAnsiTheme="minorHAnsi" w:cstheme="minorHAnsi"/>
                  <w:sz w:val="22"/>
                  <w:szCs w:val="22"/>
                </w:rPr>
                <w:t>Admissions and Enrolment Policy and Procedures</w:t>
              </w:r>
            </w:hyperlink>
            <w:r w:rsidRPr="00E86FA6">
              <w:rPr>
                <w:rStyle w:val="normaltextrun"/>
                <w:rFonts w:asciiTheme="minorHAnsi" w:hAnsiTheme="minorHAnsi" w:cstheme="minorHAnsi"/>
                <w:sz w:val="22"/>
                <w:szCs w:val="22"/>
              </w:rPr>
              <w:t xml:space="preserve"> serves as a comprehensive resource, providing the governance for fair and accountable admission processes and practices.</w:t>
            </w:r>
            <w:r w:rsidRPr="00E86FA6">
              <w:rPr>
                <w:rStyle w:val="eop"/>
                <w:rFonts w:asciiTheme="minorHAnsi" w:hAnsiTheme="minorHAnsi" w:cstheme="minorHAnsi"/>
                <w:sz w:val="22"/>
                <w:szCs w:val="22"/>
              </w:rPr>
              <w:t> </w:t>
            </w:r>
          </w:p>
          <w:p w14:paraId="2513CC6C"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color w:val="000000"/>
                <w:sz w:val="22"/>
                <w:szCs w:val="22"/>
              </w:rPr>
              <w:t xml:space="preserve">Curtin is unique in its alignment with industry and the work it does with its industrial partners in both research and industry teaching into our programmes. Industry interfaces at many levels and involves teams in Learning Partnerships, Student Success and Community Engagement. Many of our students will have an industry placement or internship as part of their studies. </w:t>
            </w:r>
            <w:hyperlink r:id="rId33" w:history="1">
              <w:r w:rsidRPr="00E86FA6">
                <w:rPr>
                  <w:rStyle w:val="Hyperlink"/>
                  <w:rFonts w:asciiTheme="minorHAnsi" w:hAnsiTheme="minorHAnsi" w:cstheme="minorHAnsi"/>
                  <w:sz w:val="22"/>
                  <w:szCs w:val="22"/>
                </w:rPr>
                <w:t>Volunteering opportunities</w:t>
              </w:r>
            </w:hyperlink>
            <w:r w:rsidRPr="00E86FA6">
              <w:rPr>
                <w:rStyle w:val="normaltextrun"/>
                <w:rFonts w:asciiTheme="minorHAnsi" w:hAnsiTheme="minorHAnsi" w:cstheme="minorHAnsi"/>
                <w:color w:val="000000"/>
                <w:sz w:val="22"/>
                <w:szCs w:val="22"/>
              </w:rPr>
              <w:t xml:space="preserve"> and </w:t>
            </w:r>
            <w:hyperlink r:id="rId34" w:history="1">
              <w:r w:rsidRPr="00E86FA6">
                <w:rPr>
                  <w:rStyle w:val="Hyperlink"/>
                  <w:rFonts w:asciiTheme="minorHAnsi" w:hAnsiTheme="minorHAnsi" w:cstheme="minorHAnsi"/>
                  <w:sz w:val="22"/>
                  <w:szCs w:val="22"/>
                </w:rPr>
                <w:t>Curtin Extra</w:t>
              </w:r>
            </w:hyperlink>
            <w:r w:rsidRPr="00E86FA6">
              <w:rPr>
                <w:rStyle w:val="normaltextrun"/>
                <w:rFonts w:asciiTheme="minorHAnsi" w:hAnsiTheme="minorHAnsi" w:cstheme="minorHAnsi"/>
                <w:color w:val="000000"/>
                <w:sz w:val="22"/>
                <w:szCs w:val="22"/>
              </w:rPr>
              <w:t xml:space="preserve"> allow students to develop additional skills outside of their course or degree programme.</w:t>
            </w:r>
            <w:r w:rsidRPr="00E86FA6">
              <w:rPr>
                <w:rStyle w:val="eop"/>
                <w:rFonts w:asciiTheme="minorHAnsi" w:hAnsiTheme="minorHAnsi" w:cstheme="minorHAnsi"/>
                <w:color w:val="000000"/>
                <w:sz w:val="22"/>
                <w:szCs w:val="22"/>
              </w:rPr>
              <w:t> </w:t>
            </w:r>
          </w:p>
          <w:p w14:paraId="039621B5" w14:textId="77777777" w:rsidR="0059678F" w:rsidRPr="00E86FA6" w:rsidRDefault="0059678F" w:rsidP="0059678F">
            <w:pPr>
              <w:pStyle w:val="paragraph"/>
              <w:spacing w:before="120" w:beforeAutospacing="0" w:after="120" w:afterAutospacing="0" w:line="220" w:lineRule="atLeast"/>
              <w:textAlignment w:val="baseline"/>
              <w:rPr>
                <w:rFonts w:asciiTheme="minorHAnsi" w:hAnsiTheme="minorHAnsi" w:cstheme="minorHAnsi"/>
                <w:sz w:val="22"/>
                <w:szCs w:val="22"/>
              </w:rPr>
            </w:pPr>
            <w:r w:rsidRPr="00E86FA6">
              <w:rPr>
                <w:rStyle w:val="normaltextrun"/>
                <w:rFonts w:asciiTheme="minorHAnsi" w:hAnsiTheme="minorHAnsi" w:cstheme="minorHAnsi"/>
                <w:color w:val="000000"/>
                <w:sz w:val="22"/>
                <w:szCs w:val="22"/>
              </w:rPr>
              <w:lastRenderedPageBreak/>
              <w:t xml:space="preserve">Curtin already has a high employment rate at graduation and leads in educational innovation in preparing graduates for the world of work. The </w:t>
            </w:r>
            <w:hyperlink r:id="rId35" w:history="1">
              <w:r w:rsidRPr="00E86FA6">
                <w:rPr>
                  <w:rStyle w:val="Hyperlink"/>
                  <w:rFonts w:asciiTheme="minorHAnsi" w:hAnsiTheme="minorHAnsi" w:cstheme="minorHAnsi"/>
                  <w:sz w:val="22"/>
                  <w:szCs w:val="22"/>
                </w:rPr>
                <w:t>Course Quality Assurance Manual</w:t>
              </w:r>
            </w:hyperlink>
            <w:r w:rsidRPr="00E86FA6">
              <w:rPr>
                <w:rStyle w:val="normaltextrun"/>
                <w:rFonts w:asciiTheme="minorHAnsi" w:hAnsiTheme="minorHAnsi" w:cstheme="minorHAnsi"/>
                <w:color w:val="000000"/>
                <w:sz w:val="22"/>
                <w:szCs w:val="22"/>
              </w:rPr>
              <w:t xml:space="preserve"> defines Curtin’s approach to developing “industry-connected and career capable” graduates. Graduate outcomes are documented in the </w:t>
            </w:r>
            <w:hyperlink r:id="rId36" w:history="1">
              <w:r w:rsidRPr="00E86FA6">
                <w:rPr>
                  <w:rStyle w:val="Hyperlink"/>
                  <w:rFonts w:asciiTheme="minorHAnsi" w:hAnsiTheme="minorHAnsi" w:cstheme="minorHAnsi"/>
                  <w:sz w:val="22"/>
                  <w:szCs w:val="22"/>
                </w:rPr>
                <w:t>Annual Report</w:t>
              </w:r>
            </w:hyperlink>
            <w:r w:rsidRPr="00E86FA6">
              <w:rPr>
                <w:rStyle w:val="normaltextrun"/>
                <w:rFonts w:asciiTheme="minorHAnsi" w:hAnsiTheme="minorHAnsi" w:cstheme="minorHAnsi"/>
                <w:color w:val="000000"/>
                <w:sz w:val="22"/>
                <w:szCs w:val="22"/>
              </w:rPr>
              <w:t>.</w:t>
            </w:r>
            <w:r w:rsidRPr="00E86FA6">
              <w:rPr>
                <w:rStyle w:val="eop"/>
                <w:rFonts w:asciiTheme="minorHAnsi" w:hAnsiTheme="minorHAnsi" w:cstheme="minorHAnsi"/>
                <w:color w:val="000000"/>
                <w:sz w:val="22"/>
                <w:szCs w:val="22"/>
              </w:rPr>
              <w:t> </w:t>
            </w:r>
          </w:p>
          <w:p w14:paraId="74D1FDC7" w14:textId="4AD80A8A" w:rsidR="00967774" w:rsidRPr="007E3E37" w:rsidRDefault="0059678F" w:rsidP="003E7940">
            <w:pPr>
              <w:pStyle w:val="NormalIndent"/>
              <w:spacing w:before="0" w:after="0"/>
              <w:ind w:left="0"/>
              <w:rPr>
                <w:rFonts w:asciiTheme="minorHAnsi" w:hAnsiTheme="minorHAnsi" w:cstheme="minorHAnsi"/>
                <w:i/>
                <w:color w:val="FF0000"/>
                <w:szCs w:val="22"/>
              </w:rPr>
            </w:pPr>
            <w:r w:rsidRPr="00E86FA6">
              <w:rPr>
                <w:rStyle w:val="normaltextrun"/>
                <w:rFonts w:asciiTheme="minorHAnsi" w:hAnsiTheme="minorHAnsi" w:cstheme="minorHAnsi"/>
                <w:szCs w:val="22"/>
              </w:rPr>
              <w:t>Curtin is a global university with campuses in Western Australia, Singapore, Malaysia, Mauritius, Dubai</w:t>
            </w:r>
            <w:r>
              <w:rPr>
                <w:rStyle w:val="normaltextrun"/>
                <w:rFonts w:asciiTheme="minorHAnsi" w:hAnsiTheme="minorHAnsi" w:cstheme="minorHAnsi"/>
                <w:szCs w:val="22"/>
              </w:rPr>
              <w:t xml:space="preserve"> and Sri Lanka</w:t>
            </w:r>
            <w:r w:rsidRPr="00E86FA6">
              <w:rPr>
                <w:rStyle w:val="normaltextrun"/>
                <w:rFonts w:asciiTheme="minorHAnsi" w:hAnsiTheme="minorHAnsi" w:cstheme="minorHAnsi"/>
                <w:szCs w:val="22"/>
              </w:rPr>
              <w:t>. This provides a set of unique opportunities for our students to develop a global vision, gain multicultural experiences, and broaden networks for future career development. Through the development of shared curriculums, exchanges, short courses, and New Columbus Plan (NCP) programs, Curtin is committed to creating channels and possibilities for cultivating global talent.</w:t>
            </w:r>
          </w:p>
        </w:tc>
      </w:tr>
      <w:tr w:rsidR="001B109C" w:rsidRPr="00E41388" w14:paraId="3EB68E1B" w14:textId="77777777" w:rsidTr="0059678F">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59678F">
        <w:tc>
          <w:tcPr>
            <w:tcW w:w="5000" w:type="pct"/>
          </w:tcPr>
          <w:p w14:paraId="0605B2C4" w14:textId="77777777" w:rsidR="002160BF" w:rsidRPr="00011BDF" w:rsidRDefault="002160BF" w:rsidP="002160BF">
            <w:pPr>
              <w:spacing w:before="120" w:after="120" w:line="220" w:lineRule="atLeast"/>
            </w:pPr>
            <w:r w:rsidRPr="00011BDF">
              <w:t xml:space="preserve">Curtin research is being improved through strategies outlined in the </w:t>
            </w:r>
            <w:hyperlink r:id="rId37" w:history="1">
              <w:r w:rsidRPr="00011BDF">
                <w:rPr>
                  <w:rStyle w:val="Hyperlink"/>
                  <w:i/>
                  <w:iCs/>
                </w:rPr>
                <w:t>Enabling Plan for Research at Curtin University 2025-2027</w:t>
              </w:r>
            </w:hyperlink>
            <w:r w:rsidRPr="00011BDF">
              <w:t>, with the aim that</w:t>
            </w:r>
            <w:r>
              <w:t xml:space="preserve"> </w:t>
            </w:r>
            <w:r w:rsidRPr="00011BDF">
              <w:rPr>
                <w:i/>
                <w:iCs/>
              </w:rPr>
              <w:t>Curtin leads research that Australia and our global partners need now and for the future.</w:t>
            </w:r>
          </w:p>
          <w:p w14:paraId="23A7B543" w14:textId="77777777" w:rsidR="002160BF" w:rsidRPr="00011BDF" w:rsidRDefault="002160BF" w:rsidP="002160BF">
            <w:pPr>
              <w:spacing w:before="120" w:after="120" w:line="220" w:lineRule="atLeast"/>
            </w:pPr>
            <w:r w:rsidRPr="00011BDF">
              <w:t xml:space="preserve">This aim will be achieved through the following </w:t>
            </w:r>
            <w:r>
              <w:t>priorities:</w:t>
            </w:r>
          </w:p>
          <w:p w14:paraId="73E19DAF" w14:textId="77777777" w:rsidR="002160BF" w:rsidRPr="00011BDF" w:rsidRDefault="002160BF" w:rsidP="003D68E3">
            <w:pPr>
              <w:pStyle w:val="ListParagraph"/>
              <w:numPr>
                <w:ilvl w:val="0"/>
                <w:numId w:val="20"/>
              </w:numPr>
              <w:spacing w:before="0" w:after="0" w:line="220" w:lineRule="atLeast"/>
              <w:ind w:left="317" w:hanging="284"/>
              <w:contextualSpacing w:val="0"/>
              <w:rPr>
                <w:lang w:val="en-GB"/>
              </w:rPr>
            </w:pPr>
            <w:r w:rsidRPr="00011BDF">
              <w:rPr>
                <w:lang w:val="en-GB"/>
              </w:rPr>
              <w:t>Increas</w:t>
            </w:r>
            <w:r>
              <w:rPr>
                <w:lang w:val="en-GB"/>
              </w:rPr>
              <w:t>ing</w:t>
            </w:r>
            <w:r w:rsidRPr="00011BDF">
              <w:rPr>
                <w:lang w:val="en-GB"/>
              </w:rPr>
              <w:t xml:space="preserve"> engagement with, and awareness of, the impact of Curtin research by:</w:t>
            </w:r>
          </w:p>
          <w:p w14:paraId="316B3451" w14:textId="77777777" w:rsidR="002160BF" w:rsidRDefault="002160BF" w:rsidP="003D68E3">
            <w:pPr>
              <w:pStyle w:val="ListParagraph"/>
              <w:numPr>
                <w:ilvl w:val="1"/>
                <w:numId w:val="22"/>
              </w:numPr>
              <w:spacing w:before="0" w:after="0" w:line="220" w:lineRule="atLeast"/>
              <w:ind w:left="742" w:hanging="357"/>
              <w:contextualSpacing w:val="0"/>
              <w:rPr>
                <w:lang w:val="en-GB"/>
              </w:rPr>
            </w:pPr>
            <w:r w:rsidRPr="00011BDF">
              <w:rPr>
                <w:lang w:val="en-GB"/>
              </w:rPr>
              <w:t>Increas</w:t>
            </w:r>
            <w:r>
              <w:rPr>
                <w:lang w:val="en-GB"/>
              </w:rPr>
              <w:t>ing</w:t>
            </w:r>
            <w:r w:rsidRPr="00011BDF">
              <w:rPr>
                <w:lang w:val="en-GB"/>
              </w:rPr>
              <w:t xml:space="preserve"> awareness of Curtin academics’ expertise, innovation and impact among prospective HDR students, researchers and partners</w:t>
            </w:r>
          </w:p>
          <w:p w14:paraId="78C2D712" w14:textId="497D6A49" w:rsidR="002160BF" w:rsidRDefault="00967774" w:rsidP="003D68E3">
            <w:pPr>
              <w:pStyle w:val="ListParagraph"/>
              <w:numPr>
                <w:ilvl w:val="1"/>
                <w:numId w:val="22"/>
              </w:numPr>
              <w:spacing w:before="0" w:after="0" w:line="220" w:lineRule="atLeast"/>
              <w:ind w:left="742" w:hanging="357"/>
              <w:contextualSpacing w:val="0"/>
              <w:rPr>
                <w:lang w:val="en-GB"/>
              </w:rPr>
            </w:pPr>
            <w:r w:rsidRPr="00011BDF">
              <w:rPr>
                <w:lang w:val="en-GB"/>
              </w:rPr>
              <w:t>Increasi</w:t>
            </w:r>
            <w:r>
              <w:rPr>
                <w:lang w:val="en-GB"/>
              </w:rPr>
              <w:t>ng</w:t>
            </w:r>
            <w:r w:rsidR="002160BF" w:rsidRPr="00011BDF">
              <w:rPr>
                <w:lang w:val="en-GB"/>
              </w:rPr>
              <w:t xml:space="preserve"> awareness of HDR student research among prospective HDR students to build the pipeline </w:t>
            </w:r>
          </w:p>
          <w:p w14:paraId="65C1D0F6" w14:textId="77777777" w:rsidR="002160BF" w:rsidRPr="00A816C0" w:rsidRDefault="002160BF" w:rsidP="003D68E3">
            <w:pPr>
              <w:pStyle w:val="ListParagraph"/>
              <w:numPr>
                <w:ilvl w:val="1"/>
                <w:numId w:val="22"/>
              </w:numPr>
              <w:spacing w:before="0" w:after="0" w:line="220" w:lineRule="atLeast"/>
              <w:ind w:left="744" w:hanging="357"/>
              <w:contextualSpacing w:val="0"/>
              <w:rPr>
                <w:lang w:val="en-GB"/>
              </w:rPr>
            </w:pPr>
            <w:r w:rsidRPr="00011BDF">
              <w:rPr>
                <w:lang w:val="en-GB"/>
              </w:rPr>
              <w:t>Increas</w:t>
            </w:r>
            <w:r>
              <w:rPr>
                <w:lang w:val="en-GB"/>
              </w:rPr>
              <w:t>ing</w:t>
            </w:r>
            <w:r w:rsidRPr="00011BDF">
              <w:rPr>
                <w:lang w:val="en-GB"/>
              </w:rPr>
              <w:t xml:space="preserve"> Curtin’s voice in the national research context</w:t>
            </w:r>
          </w:p>
          <w:p w14:paraId="577A5E48" w14:textId="77777777" w:rsidR="002160BF" w:rsidRPr="00011BDF" w:rsidRDefault="002160BF" w:rsidP="003D68E3">
            <w:pPr>
              <w:pStyle w:val="ListParagraph"/>
              <w:numPr>
                <w:ilvl w:val="0"/>
                <w:numId w:val="22"/>
              </w:numPr>
              <w:spacing w:after="0" w:line="220" w:lineRule="atLeast"/>
              <w:ind w:left="318" w:hanging="284"/>
              <w:contextualSpacing w:val="0"/>
            </w:pPr>
            <w:r w:rsidRPr="00A816C0">
              <w:rPr>
                <w:lang w:val="en-GB"/>
              </w:rPr>
              <w:t>Build</w:t>
            </w:r>
            <w:r>
              <w:rPr>
                <w:lang w:val="en-GB"/>
              </w:rPr>
              <w:t>ing</w:t>
            </w:r>
            <w:r w:rsidRPr="00A816C0">
              <w:rPr>
                <w:lang w:val="en-GB"/>
              </w:rPr>
              <w:t xml:space="preserve"> research quality, capacity and impact by:</w:t>
            </w:r>
          </w:p>
          <w:p w14:paraId="0C7FE619" w14:textId="77777777" w:rsidR="002160BF" w:rsidRPr="00A816C0" w:rsidRDefault="002160BF" w:rsidP="003D68E3">
            <w:pPr>
              <w:pStyle w:val="ListParagraph"/>
              <w:numPr>
                <w:ilvl w:val="1"/>
                <w:numId w:val="22"/>
              </w:numPr>
              <w:spacing w:before="0" w:after="0" w:line="220" w:lineRule="atLeast"/>
              <w:ind w:left="742" w:hanging="357"/>
              <w:contextualSpacing w:val="0"/>
              <w:rPr>
                <w:lang w:val="en-GB"/>
              </w:rPr>
            </w:pPr>
            <w:r w:rsidRPr="00011BDF">
              <w:t>Increas</w:t>
            </w:r>
            <w:r>
              <w:t>ing</w:t>
            </w:r>
            <w:r w:rsidRPr="00011BDF">
              <w:t xml:space="preserve"> opportunities for HDR students to connect with researchers and industry</w:t>
            </w:r>
            <w:r w:rsidRPr="00011BDF" w:rsidDel="00011BDF">
              <w:rPr>
                <w:lang w:val="en-GB"/>
              </w:rPr>
              <w:t xml:space="preserve"> </w:t>
            </w:r>
          </w:p>
          <w:p w14:paraId="21AAFCD0" w14:textId="77777777" w:rsidR="002160BF" w:rsidRPr="00A816C0" w:rsidRDefault="002160BF" w:rsidP="003D68E3">
            <w:pPr>
              <w:pStyle w:val="ListParagraph"/>
              <w:numPr>
                <w:ilvl w:val="1"/>
                <w:numId w:val="22"/>
              </w:numPr>
              <w:spacing w:before="0" w:after="0" w:line="220" w:lineRule="atLeast"/>
              <w:ind w:left="742" w:hanging="357"/>
              <w:contextualSpacing w:val="0"/>
              <w:rPr>
                <w:lang w:val="en-GB"/>
              </w:rPr>
            </w:pPr>
            <w:r>
              <w:rPr>
                <w:lang w:val="en-GB"/>
              </w:rPr>
              <w:t>Enhancing commercialisation capability</w:t>
            </w:r>
          </w:p>
          <w:p w14:paraId="37B18617" w14:textId="77777777" w:rsidR="002160BF" w:rsidRPr="00A816C0" w:rsidRDefault="002160BF" w:rsidP="003D68E3">
            <w:pPr>
              <w:pStyle w:val="ListParagraph"/>
              <w:numPr>
                <w:ilvl w:val="1"/>
                <w:numId w:val="22"/>
              </w:numPr>
              <w:spacing w:before="0" w:after="0" w:line="220" w:lineRule="atLeast"/>
              <w:ind w:left="742" w:hanging="357"/>
              <w:contextualSpacing w:val="0"/>
              <w:rPr>
                <w:lang w:val="en-GB"/>
              </w:rPr>
            </w:pPr>
            <w:r>
              <w:rPr>
                <w:lang w:val="en-GB"/>
              </w:rPr>
              <w:t>Enhancing support for key industry partners that align with core focus areas</w:t>
            </w:r>
          </w:p>
          <w:p w14:paraId="3071E19F" w14:textId="77777777" w:rsidR="002160BF" w:rsidRPr="00A816C0" w:rsidRDefault="002160BF" w:rsidP="003D68E3">
            <w:pPr>
              <w:pStyle w:val="ListParagraph"/>
              <w:numPr>
                <w:ilvl w:val="1"/>
                <w:numId w:val="22"/>
              </w:numPr>
              <w:spacing w:before="0" w:after="0" w:line="220" w:lineRule="atLeast"/>
              <w:ind w:left="742" w:hanging="357"/>
              <w:contextualSpacing w:val="0"/>
              <w:rPr>
                <w:lang w:val="en-GB"/>
              </w:rPr>
            </w:pPr>
            <w:r>
              <w:rPr>
                <w:lang w:val="en-GB"/>
              </w:rPr>
              <w:t>Strengthening the Research Office’s relationship with schools to better understand support required</w:t>
            </w:r>
          </w:p>
          <w:p w14:paraId="1BE94C42" w14:textId="77777777" w:rsidR="002160BF" w:rsidRDefault="002160BF" w:rsidP="003D68E3">
            <w:pPr>
              <w:pStyle w:val="ListParagraph"/>
              <w:numPr>
                <w:ilvl w:val="1"/>
                <w:numId w:val="22"/>
              </w:numPr>
              <w:spacing w:before="0" w:after="0" w:line="220" w:lineRule="atLeast"/>
              <w:ind w:left="742" w:hanging="357"/>
              <w:contextualSpacing w:val="0"/>
              <w:rPr>
                <w:lang w:val="en-GB"/>
              </w:rPr>
            </w:pPr>
            <w:r>
              <w:rPr>
                <w:lang w:val="en-GB"/>
              </w:rPr>
              <w:t>Creating shared promotional assets to communicate research capability to industry</w:t>
            </w:r>
          </w:p>
          <w:p w14:paraId="601F3BFE" w14:textId="77777777" w:rsidR="002160BF" w:rsidRDefault="002160BF" w:rsidP="003D68E3">
            <w:pPr>
              <w:pStyle w:val="ListParagraph"/>
              <w:numPr>
                <w:ilvl w:val="1"/>
                <w:numId w:val="22"/>
              </w:numPr>
              <w:spacing w:before="0" w:after="0" w:line="220" w:lineRule="atLeast"/>
              <w:ind w:left="742" w:hanging="357"/>
              <w:contextualSpacing w:val="0"/>
              <w:rPr>
                <w:lang w:val="en-GB"/>
              </w:rPr>
            </w:pPr>
            <w:r>
              <w:rPr>
                <w:lang w:val="en-GB"/>
              </w:rPr>
              <w:t>Improving Curtin’s national competitive grant success rate</w:t>
            </w:r>
          </w:p>
          <w:p w14:paraId="294D6C12" w14:textId="77777777" w:rsidR="002160BF" w:rsidRPr="00A816C0" w:rsidRDefault="002160BF" w:rsidP="003D68E3">
            <w:pPr>
              <w:pStyle w:val="ListParagraph"/>
              <w:numPr>
                <w:ilvl w:val="1"/>
                <w:numId w:val="22"/>
              </w:numPr>
              <w:spacing w:before="0" w:after="0" w:line="220" w:lineRule="atLeast"/>
              <w:ind w:left="742" w:hanging="357"/>
              <w:contextualSpacing w:val="0"/>
              <w:rPr>
                <w:lang w:val="en-GB"/>
              </w:rPr>
            </w:pPr>
            <w:r>
              <w:rPr>
                <w:lang w:val="en-GB"/>
              </w:rPr>
              <w:t>Integrating research with learning and teaching</w:t>
            </w:r>
          </w:p>
          <w:p w14:paraId="1A37BE7D" w14:textId="77777777" w:rsidR="002160BF" w:rsidRDefault="002160BF" w:rsidP="003D68E3">
            <w:pPr>
              <w:pStyle w:val="ListParagraph"/>
              <w:numPr>
                <w:ilvl w:val="0"/>
                <w:numId w:val="22"/>
              </w:numPr>
              <w:spacing w:after="0" w:line="220" w:lineRule="atLeast"/>
              <w:ind w:left="318" w:hanging="284"/>
              <w:contextualSpacing w:val="0"/>
              <w:rPr>
                <w:lang w:val="en-GB"/>
              </w:rPr>
            </w:pPr>
            <w:r>
              <w:rPr>
                <w:lang w:val="en-GB"/>
              </w:rPr>
              <w:t>Improving</w:t>
            </w:r>
            <w:r w:rsidRPr="00A816C0">
              <w:rPr>
                <w:lang w:val="en-GB"/>
              </w:rPr>
              <w:t xml:space="preserve"> the processes of research at Curtin by</w:t>
            </w:r>
            <w:r>
              <w:rPr>
                <w:lang w:val="en-GB"/>
              </w:rPr>
              <w:t>:</w:t>
            </w:r>
          </w:p>
          <w:p w14:paraId="679393FB" w14:textId="77777777" w:rsidR="002160BF" w:rsidRPr="00A816C0" w:rsidRDefault="002160BF" w:rsidP="003D68E3">
            <w:pPr>
              <w:pStyle w:val="ListParagraph"/>
              <w:numPr>
                <w:ilvl w:val="1"/>
                <w:numId w:val="22"/>
              </w:numPr>
              <w:spacing w:before="0" w:after="0" w:line="220" w:lineRule="atLeast"/>
              <w:ind w:left="743" w:hanging="357"/>
              <w:contextualSpacing w:val="0"/>
              <w:rPr>
                <w:lang w:val="en-GB"/>
              </w:rPr>
            </w:pPr>
            <w:r>
              <w:rPr>
                <w:rFonts w:cstheme="minorHAnsi"/>
                <w:sz w:val="20"/>
                <w:szCs w:val="20"/>
              </w:rPr>
              <w:t>Creating a shared library of templates</w:t>
            </w:r>
            <w:r w:rsidRPr="00641EA7">
              <w:rPr>
                <w:rFonts w:cstheme="minorHAnsi"/>
                <w:sz w:val="20"/>
                <w:szCs w:val="20"/>
              </w:rPr>
              <w:t xml:space="preserve"> for greater </w:t>
            </w:r>
            <w:r>
              <w:rPr>
                <w:rFonts w:cstheme="minorHAnsi"/>
                <w:sz w:val="20"/>
                <w:szCs w:val="20"/>
              </w:rPr>
              <w:t xml:space="preserve">consistency, </w:t>
            </w:r>
            <w:r w:rsidRPr="00641EA7">
              <w:rPr>
                <w:rFonts w:cstheme="minorHAnsi"/>
                <w:sz w:val="20"/>
                <w:szCs w:val="20"/>
              </w:rPr>
              <w:t>efficiency and effectiveness</w:t>
            </w:r>
          </w:p>
          <w:p w14:paraId="23A0E478" w14:textId="77777777" w:rsidR="002160BF" w:rsidRPr="00A816C0" w:rsidRDefault="002160BF" w:rsidP="003D68E3">
            <w:pPr>
              <w:pStyle w:val="ListParagraph"/>
              <w:numPr>
                <w:ilvl w:val="1"/>
                <w:numId w:val="22"/>
              </w:numPr>
              <w:spacing w:before="0" w:after="0" w:line="220" w:lineRule="atLeast"/>
              <w:ind w:left="743" w:hanging="357"/>
              <w:contextualSpacing w:val="0"/>
              <w:rPr>
                <w:lang w:val="en-GB"/>
              </w:rPr>
            </w:pPr>
            <w:r>
              <w:rPr>
                <w:rFonts w:cstheme="minorHAnsi"/>
                <w:sz w:val="20"/>
                <w:szCs w:val="20"/>
              </w:rPr>
              <w:t>Optimising Research Office processes for greater efficiency and effectiveness</w:t>
            </w:r>
          </w:p>
          <w:p w14:paraId="6E6992BA" w14:textId="77777777" w:rsidR="002160BF" w:rsidRPr="00A816C0" w:rsidRDefault="002160BF" w:rsidP="003D68E3">
            <w:pPr>
              <w:pStyle w:val="ListParagraph"/>
              <w:numPr>
                <w:ilvl w:val="1"/>
                <w:numId w:val="22"/>
              </w:numPr>
              <w:spacing w:before="0" w:after="0" w:line="220" w:lineRule="atLeast"/>
              <w:ind w:left="743" w:hanging="357"/>
              <w:contextualSpacing w:val="0"/>
              <w:rPr>
                <w:lang w:val="en-GB"/>
              </w:rPr>
            </w:pPr>
            <w:r>
              <w:rPr>
                <w:rFonts w:cstheme="minorHAnsi"/>
                <w:sz w:val="20"/>
                <w:szCs w:val="20"/>
              </w:rPr>
              <w:t>Optimising budget processes for greater efficiency and effectiveness</w:t>
            </w:r>
          </w:p>
          <w:p w14:paraId="632EE02E" w14:textId="77777777" w:rsidR="002160BF" w:rsidRDefault="002160BF" w:rsidP="003D68E3">
            <w:pPr>
              <w:pStyle w:val="ListParagraph"/>
              <w:numPr>
                <w:ilvl w:val="1"/>
                <w:numId w:val="22"/>
              </w:numPr>
              <w:spacing w:before="0" w:after="0" w:line="220" w:lineRule="atLeast"/>
              <w:ind w:left="743" w:hanging="357"/>
              <w:contextualSpacing w:val="0"/>
              <w:rPr>
                <w:lang w:val="en-GB"/>
              </w:rPr>
            </w:pPr>
            <w:r>
              <w:rPr>
                <w:lang w:val="en-GB"/>
              </w:rPr>
              <w:t>Phasing out obsolete research management system for HDR examination</w:t>
            </w:r>
          </w:p>
          <w:p w14:paraId="185B333C" w14:textId="77777777" w:rsidR="002160BF" w:rsidRDefault="002160BF" w:rsidP="003D68E3">
            <w:pPr>
              <w:pStyle w:val="ListParagraph"/>
              <w:numPr>
                <w:ilvl w:val="1"/>
                <w:numId w:val="22"/>
              </w:numPr>
              <w:spacing w:before="0" w:after="0" w:line="220" w:lineRule="atLeast"/>
              <w:ind w:left="743" w:hanging="357"/>
              <w:contextualSpacing w:val="0"/>
              <w:rPr>
                <w:lang w:val="en-GB"/>
              </w:rPr>
            </w:pPr>
            <w:r>
              <w:rPr>
                <w:lang w:val="en-GB"/>
              </w:rPr>
              <w:t>Improving research processes for global campus network</w:t>
            </w:r>
          </w:p>
          <w:p w14:paraId="7DC93532" w14:textId="77777777" w:rsidR="002160BF" w:rsidRDefault="002160BF" w:rsidP="003D68E3">
            <w:pPr>
              <w:pStyle w:val="ListParagraph"/>
              <w:numPr>
                <w:ilvl w:val="1"/>
                <w:numId w:val="22"/>
              </w:numPr>
              <w:spacing w:before="0" w:after="0" w:line="220" w:lineRule="atLeast"/>
              <w:ind w:left="743" w:hanging="357"/>
              <w:contextualSpacing w:val="0"/>
              <w:rPr>
                <w:lang w:val="en-GB"/>
              </w:rPr>
            </w:pPr>
            <w:r>
              <w:rPr>
                <w:lang w:val="en-GB"/>
              </w:rPr>
              <w:t>Expanding integration of foreign risk assessment mechanisms into research processes</w:t>
            </w:r>
          </w:p>
          <w:p w14:paraId="2B0ACC68" w14:textId="77777777" w:rsidR="002160BF" w:rsidRDefault="002160BF" w:rsidP="003D68E3">
            <w:pPr>
              <w:pStyle w:val="ListParagraph"/>
              <w:numPr>
                <w:ilvl w:val="1"/>
                <w:numId w:val="22"/>
              </w:numPr>
              <w:spacing w:before="0" w:after="0" w:line="220" w:lineRule="atLeast"/>
              <w:ind w:left="743" w:hanging="357"/>
              <w:contextualSpacing w:val="0"/>
              <w:rPr>
                <w:lang w:val="en-GB"/>
              </w:rPr>
            </w:pPr>
            <w:r>
              <w:rPr>
                <w:lang w:val="en-GB"/>
              </w:rPr>
              <w:t>Streamline Research Initiation Guide to maximise completion rate</w:t>
            </w:r>
          </w:p>
          <w:p w14:paraId="58507464" w14:textId="77777777" w:rsidR="002160BF" w:rsidRDefault="002160BF" w:rsidP="003D68E3">
            <w:pPr>
              <w:pStyle w:val="ListParagraph"/>
              <w:numPr>
                <w:ilvl w:val="0"/>
                <w:numId w:val="22"/>
              </w:numPr>
              <w:spacing w:after="0" w:line="220" w:lineRule="atLeast"/>
              <w:ind w:left="459" w:hanging="357"/>
              <w:contextualSpacing w:val="0"/>
              <w:rPr>
                <w:lang w:val="en-GB"/>
              </w:rPr>
            </w:pPr>
            <w:r>
              <w:rPr>
                <w:lang w:val="en-GB"/>
              </w:rPr>
              <w:t>Embedding Indigenous voices in research</w:t>
            </w:r>
          </w:p>
          <w:p w14:paraId="218E0C87" w14:textId="77777777" w:rsidR="002160BF" w:rsidRPr="00A816C0" w:rsidRDefault="002160BF" w:rsidP="003D68E3">
            <w:pPr>
              <w:pStyle w:val="ListParagraph"/>
              <w:numPr>
                <w:ilvl w:val="1"/>
                <w:numId w:val="22"/>
              </w:numPr>
              <w:spacing w:before="0" w:after="0" w:line="220" w:lineRule="atLeast"/>
              <w:ind w:left="743" w:hanging="357"/>
              <w:contextualSpacing w:val="0"/>
              <w:rPr>
                <w:lang w:val="en-GB"/>
              </w:rPr>
            </w:pPr>
            <w:r w:rsidRPr="002B4E7F">
              <w:t>Increas</w:t>
            </w:r>
            <w:r>
              <w:t>ing</w:t>
            </w:r>
            <w:r w:rsidRPr="002B4E7F">
              <w:t xml:space="preserve"> awareness of entrepreneurial career pathways for First Nations people</w:t>
            </w:r>
          </w:p>
          <w:p w14:paraId="6183559B" w14:textId="77777777" w:rsidR="002160BF" w:rsidRDefault="002160BF" w:rsidP="003D68E3">
            <w:pPr>
              <w:pStyle w:val="ListParagraph"/>
              <w:numPr>
                <w:ilvl w:val="1"/>
                <w:numId w:val="22"/>
              </w:numPr>
              <w:spacing w:before="0" w:after="0" w:line="220" w:lineRule="atLeast"/>
              <w:ind w:left="743" w:hanging="357"/>
              <w:contextualSpacing w:val="0"/>
              <w:rPr>
                <w:lang w:val="en-GB"/>
              </w:rPr>
            </w:pPr>
            <w:r>
              <w:rPr>
                <w:lang w:val="en-GB"/>
              </w:rPr>
              <w:t>Building engagement with Indigenous/regional focus</w:t>
            </w:r>
          </w:p>
          <w:p w14:paraId="06780EDA" w14:textId="77777777" w:rsidR="002160BF" w:rsidRPr="00A816C0" w:rsidRDefault="002160BF" w:rsidP="003D68E3">
            <w:pPr>
              <w:pStyle w:val="ListParagraph"/>
              <w:numPr>
                <w:ilvl w:val="1"/>
                <w:numId w:val="22"/>
              </w:numPr>
              <w:spacing w:before="0" w:after="0" w:line="220" w:lineRule="atLeast"/>
              <w:ind w:left="743" w:hanging="357"/>
              <w:contextualSpacing w:val="0"/>
              <w:rPr>
                <w:lang w:val="en-GB"/>
              </w:rPr>
            </w:pPr>
            <w:r>
              <w:rPr>
                <w:lang w:val="en-GB"/>
              </w:rPr>
              <w:t>Increasing research management support tailored to Indigenous HDR students</w:t>
            </w:r>
          </w:p>
          <w:p w14:paraId="31C1AEEB" w14:textId="77777777" w:rsidR="0059678F" w:rsidRDefault="0059678F" w:rsidP="0059678F">
            <w:pPr>
              <w:spacing w:before="120" w:after="120" w:line="220" w:lineRule="atLeast"/>
            </w:pPr>
            <w:r w:rsidRPr="006E4C65">
              <w:t>Curtin has committed to an institution</w:t>
            </w:r>
            <w:r>
              <w:t>-</w:t>
            </w:r>
            <w:r w:rsidRPr="006E4C65">
              <w:t>wide approach to supporting new models of industry collaboration, commercialisation, new business formation and scale</w:t>
            </w:r>
            <w:r>
              <w:t>-</w:t>
            </w:r>
            <w:r w:rsidRPr="006E4C65">
              <w:t>up. This approach has developed over several years</w:t>
            </w:r>
            <w:r>
              <w:t>,</w:t>
            </w:r>
            <w:r w:rsidRPr="006E4C65">
              <w:t xml:space="preserve"> based on the knowledge that it is not one thing that will lead to a paradigm shift, but sustained commitment to a comprehensive and aligned set of support activities. </w:t>
            </w:r>
          </w:p>
          <w:p w14:paraId="7AAD816C" w14:textId="20ED56C3" w:rsidR="0059678F" w:rsidRDefault="0059678F" w:rsidP="0059678F">
            <w:pPr>
              <w:spacing w:before="120" w:after="120" w:line="220" w:lineRule="atLeast"/>
              <w:rPr>
                <w:lang w:val="en-GB"/>
              </w:rPr>
            </w:pPr>
            <w:r w:rsidRPr="006E4C65">
              <w:lastRenderedPageBreak/>
              <w:t>The University has developed a pipeline of support for commercialisation that starts with shifting culture towards increased commercialisation activity by recognising and rewarding this work. A series of longstanding capability programs provide practical training to develop new technology</w:t>
            </w:r>
            <w:r>
              <w:t>-</w:t>
            </w:r>
            <w:r w:rsidRPr="006E4C65">
              <w:t>based products and services</w:t>
            </w:r>
            <w:r>
              <w:t>:</w:t>
            </w:r>
            <w:r w:rsidRPr="006E4C65">
              <w:t xml:space="preserve"> </w:t>
            </w:r>
            <w:hyperlink r:id="rId38" w:history="1">
              <w:r w:rsidRPr="00F236BD">
                <w:rPr>
                  <w:rStyle w:val="Hyperlink"/>
                </w:rPr>
                <w:t>Ignition</w:t>
              </w:r>
            </w:hyperlink>
            <w:r w:rsidR="00592ED0">
              <w:t>;</w:t>
            </w:r>
            <w:r w:rsidRPr="00E0412A">
              <w:t xml:space="preserve"> </w:t>
            </w:r>
            <w:hyperlink r:id="rId39" w:history="1">
              <w:r w:rsidRPr="00F236BD">
                <w:rPr>
                  <w:rStyle w:val="Hyperlink"/>
                </w:rPr>
                <w:t>Accelerate</w:t>
              </w:r>
            </w:hyperlink>
            <w:r w:rsidR="00592ED0">
              <w:t>;</w:t>
            </w:r>
            <w:r w:rsidRPr="00E0412A">
              <w:t xml:space="preserve"> </w:t>
            </w:r>
            <w:hyperlink r:id="rId40" w:history="1">
              <w:r w:rsidRPr="00F236BD">
                <w:rPr>
                  <w:rStyle w:val="Hyperlink"/>
                </w:rPr>
                <w:t>Kickstart</w:t>
              </w:r>
            </w:hyperlink>
            <w:r w:rsidR="00592ED0">
              <w:t>;</w:t>
            </w:r>
            <w:r w:rsidRPr="00E0412A">
              <w:t xml:space="preserve"> the </w:t>
            </w:r>
            <w:hyperlink r:id="rId41" w:history="1">
              <w:r w:rsidRPr="00F236BD">
                <w:rPr>
                  <w:rStyle w:val="Hyperlink"/>
                </w:rPr>
                <w:t>Curtinnovation Awards</w:t>
              </w:r>
            </w:hyperlink>
            <w:r w:rsidR="00592ED0">
              <w:t>;</w:t>
            </w:r>
            <w:r w:rsidRPr="00E0412A">
              <w:t xml:space="preserve"> and </w:t>
            </w:r>
            <w:hyperlink r:id="rId42" w:history="1">
              <w:r w:rsidRPr="00F236BD">
                <w:rPr>
                  <w:rStyle w:val="Hyperlink"/>
                </w:rPr>
                <w:t>West</w:t>
              </w:r>
              <w:r w:rsidR="00592ED0">
                <w:rPr>
                  <w:rStyle w:val="Hyperlink"/>
                </w:rPr>
                <w:t> </w:t>
              </w:r>
              <w:r w:rsidRPr="00F236BD">
                <w:rPr>
                  <w:rStyle w:val="Hyperlink"/>
                </w:rPr>
                <w:t>Tech Fest</w:t>
              </w:r>
            </w:hyperlink>
            <w:r w:rsidRPr="00E0412A">
              <w:t>. These programs support the translation of exceptional research outcomes and innovations into new commercial opportunities.</w:t>
            </w:r>
            <w:r w:rsidR="00592ED0">
              <w:t xml:space="preserve"> </w:t>
            </w:r>
            <w:r w:rsidRPr="006E4C65">
              <w:t>Curtin also directly invest</w:t>
            </w:r>
            <w:r>
              <w:t>s</w:t>
            </w:r>
            <w:r w:rsidRPr="006E4C65">
              <w:t xml:space="preserve"> in </w:t>
            </w:r>
            <w:r>
              <w:t>these</w:t>
            </w:r>
            <w:r w:rsidRPr="006E4C65">
              <w:t xml:space="preserve"> opportunities that progress through </w:t>
            </w:r>
            <w:r>
              <w:t xml:space="preserve">the </w:t>
            </w:r>
            <w:r w:rsidRPr="006E4C65">
              <w:t>pipeline and require funding for prototyping and proof</w:t>
            </w:r>
            <w:r>
              <w:t>-</w:t>
            </w:r>
            <w:r w:rsidRPr="006E4C65">
              <w:t>of</w:t>
            </w:r>
            <w:r>
              <w:t>-</w:t>
            </w:r>
            <w:r w:rsidRPr="006E4C65">
              <w:t>concept.</w:t>
            </w:r>
            <w:r w:rsidRPr="006E4C65">
              <w:rPr>
                <w:lang w:val="en-GB"/>
              </w:rPr>
              <w:t xml:space="preserve"> </w:t>
            </w:r>
          </w:p>
          <w:p w14:paraId="40DA31C2" w14:textId="5DD0DBEF" w:rsidR="001B109C" w:rsidRPr="00583B49" w:rsidRDefault="0059678F" w:rsidP="003D68E3">
            <w:pPr>
              <w:pStyle w:val="NormalIndent"/>
              <w:spacing w:after="0"/>
              <w:ind w:left="0"/>
              <w:rPr>
                <w:rFonts w:asciiTheme="minorHAnsi" w:hAnsiTheme="minorHAnsi" w:cstheme="minorHAnsi"/>
                <w:i/>
                <w:color w:val="FF0000"/>
                <w:szCs w:val="22"/>
              </w:rPr>
            </w:pPr>
            <w:r>
              <w:rPr>
                <w:lang w:val="en-GB"/>
              </w:rPr>
              <w:t xml:space="preserve">Performance against all abovementioned strategies is </w:t>
            </w:r>
            <w:r w:rsidRPr="00DE1F45">
              <w:rPr>
                <w:lang w:val="en-GB"/>
              </w:rPr>
              <w:t xml:space="preserve">measured through the University Council </w:t>
            </w:r>
            <w:r>
              <w:rPr>
                <w:lang w:val="en-GB"/>
              </w:rPr>
              <w:t>key performance indicators</w:t>
            </w:r>
            <w:r w:rsidRPr="00DE1F45">
              <w:rPr>
                <w:lang w:val="en-GB"/>
              </w:rPr>
              <w:t>, HERDC income data</w:t>
            </w:r>
            <w:r>
              <w:rPr>
                <w:lang w:val="en-GB"/>
              </w:rPr>
              <w:t>,</w:t>
            </w:r>
            <w:r w:rsidRPr="00DE1F45">
              <w:rPr>
                <w:lang w:val="en-GB"/>
              </w:rPr>
              <w:t xml:space="preserve"> and various </w:t>
            </w:r>
            <w:r>
              <w:rPr>
                <w:lang w:val="en-GB"/>
              </w:rPr>
              <w:t>s</w:t>
            </w:r>
            <w:r w:rsidRPr="00DE1F45">
              <w:rPr>
                <w:lang w:val="en-GB"/>
              </w:rPr>
              <w:t>chool</w:t>
            </w:r>
            <w:r>
              <w:rPr>
                <w:lang w:val="en-GB"/>
              </w:rPr>
              <w:t xml:space="preserve"> and f</w:t>
            </w:r>
            <w:r w:rsidRPr="00DE1F45">
              <w:rPr>
                <w:lang w:val="en-GB"/>
              </w:rPr>
              <w:t xml:space="preserve">aculty performance measures. Some </w:t>
            </w:r>
            <w:r>
              <w:rPr>
                <w:lang w:val="en-GB"/>
              </w:rPr>
              <w:t xml:space="preserve">of these key performance indicators </w:t>
            </w:r>
            <w:r w:rsidRPr="00DE1F45">
              <w:rPr>
                <w:lang w:val="en-GB"/>
              </w:rPr>
              <w:t xml:space="preserve">are available in the latest </w:t>
            </w:r>
            <w:hyperlink r:id="rId43" w:history="1">
              <w:r>
                <w:rPr>
                  <w:rStyle w:val="Hyperlink"/>
                  <w:lang w:val="en-GB"/>
                </w:rPr>
                <w:t>Annual Report</w:t>
              </w:r>
            </w:hyperlink>
            <w:r w:rsidRPr="00DE1F45">
              <w:rPr>
                <w:lang w:val="en-GB"/>
              </w:rPr>
              <w:t>.</w:t>
            </w:r>
            <w:r>
              <w:rPr>
                <w:lang w:val="en-GB"/>
              </w:rPr>
              <w:t xml:space="preserve"> </w:t>
            </w:r>
          </w:p>
        </w:tc>
      </w:tr>
      <w:tr w:rsidR="001B109C" w:rsidRPr="00E41388" w14:paraId="23C06863" w14:textId="77777777" w:rsidTr="0059678F">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59678F">
        <w:trPr>
          <w:trHeight w:val="1033"/>
        </w:trPr>
        <w:tc>
          <w:tcPr>
            <w:tcW w:w="5000" w:type="pct"/>
          </w:tcPr>
          <w:p w14:paraId="7E04E4CA" w14:textId="0F7C39AA" w:rsidR="0059678F" w:rsidRDefault="0059678F" w:rsidP="0059678F">
            <w:pPr>
              <w:pStyle w:val="NormalIndent"/>
              <w:ind w:left="23" w:hanging="23"/>
              <w:rPr>
                <w:rFonts w:cs="Calibri"/>
                <w:color w:val="000000"/>
                <w:szCs w:val="22"/>
              </w:rPr>
            </w:pPr>
            <w:r w:rsidRPr="00436194">
              <w:rPr>
                <w:rStyle w:val="outlook-search-highlight"/>
                <w:rFonts w:cs="Calibri"/>
                <w:color w:val="000000"/>
                <w:szCs w:val="22"/>
              </w:rPr>
              <w:t>Curtin</w:t>
            </w:r>
            <w:r w:rsidRPr="00436194">
              <w:rPr>
                <w:rStyle w:val="apple-converted-space"/>
                <w:rFonts w:cs="Calibri"/>
                <w:color w:val="000000"/>
                <w:szCs w:val="22"/>
              </w:rPr>
              <w:t> </w:t>
            </w:r>
            <w:r w:rsidRPr="00436194">
              <w:rPr>
                <w:rFonts w:cs="Calibri"/>
                <w:color w:val="000000"/>
                <w:szCs w:val="22"/>
              </w:rPr>
              <w:t>has always had a strong connection to industry through teaching, research, and innovation partnerships</w:t>
            </w:r>
            <w:r w:rsidR="002160BF">
              <w:rPr>
                <w:rFonts w:cs="Calibri"/>
                <w:color w:val="000000"/>
                <w:szCs w:val="22"/>
              </w:rPr>
              <w:t>,</w:t>
            </w:r>
            <w:r w:rsidRPr="00436194">
              <w:rPr>
                <w:rFonts w:cs="Calibri"/>
                <w:color w:val="000000"/>
                <w:szCs w:val="22"/>
              </w:rPr>
              <w:t xml:space="preserve"> build</w:t>
            </w:r>
            <w:r w:rsidR="002160BF">
              <w:rPr>
                <w:rFonts w:cs="Calibri"/>
                <w:color w:val="000000"/>
                <w:szCs w:val="22"/>
              </w:rPr>
              <w:t>ing</w:t>
            </w:r>
            <w:r w:rsidRPr="00436194">
              <w:rPr>
                <w:rFonts w:cs="Calibri"/>
                <w:color w:val="000000"/>
                <w:szCs w:val="22"/>
              </w:rPr>
              <w:t xml:space="preserve"> both a sustainable talent pipeline and accelerat</w:t>
            </w:r>
            <w:r w:rsidR="002160BF">
              <w:rPr>
                <w:rFonts w:cs="Calibri"/>
                <w:color w:val="000000"/>
                <w:szCs w:val="22"/>
              </w:rPr>
              <w:t>ing</w:t>
            </w:r>
            <w:r w:rsidRPr="00436194">
              <w:rPr>
                <w:rFonts w:cs="Calibri"/>
                <w:color w:val="000000"/>
                <w:szCs w:val="22"/>
              </w:rPr>
              <w:t xml:space="preserve"> cutting</w:t>
            </w:r>
            <w:r w:rsidRPr="00436194">
              <w:rPr>
                <w:rStyle w:val="outlook-search-highlight"/>
                <w:rFonts w:cs="Calibri"/>
                <w:color w:val="000000"/>
                <w:szCs w:val="22"/>
              </w:rPr>
              <w:t>-</w:t>
            </w:r>
            <w:r w:rsidRPr="00436194">
              <w:rPr>
                <w:rFonts w:cs="Calibri"/>
                <w:color w:val="000000"/>
                <w:szCs w:val="22"/>
              </w:rPr>
              <w:t>edge innovation.  </w:t>
            </w:r>
          </w:p>
          <w:p w14:paraId="1CCA1923" w14:textId="7A64370A" w:rsidR="0059678F" w:rsidRDefault="0059678F" w:rsidP="0059678F">
            <w:pPr>
              <w:pStyle w:val="NormalIndent"/>
              <w:ind w:left="22" w:hanging="22"/>
              <w:rPr>
                <w:rFonts w:cs="Calibri"/>
                <w:color w:val="000000"/>
                <w:szCs w:val="22"/>
              </w:rPr>
            </w:pPr>
            <w:r w:rsidRPr="00436194">
              <w:rPr>
                <w:rStyle w:val="outlook-search-highlight"/>
                <w:rFonts w:cs="Calibri"/>
                <w:color w:val="000000"/>
                <w:szCs w:val="22"/>
              </w:rPr>
              <w:t>Curtin</w:t>
            </w:r>
            <w:r w:rsidRPr="00436194">
              <w:rPr>
                <w:rStyle w:val="apple-converted-space"/>
                <w:rFonts w:cs="Calibri"/>
                <w:color w:val="000000"/>
                <w:szCs w:val="22"/>
              </w:rPr>
              <w:t> </w:t>
            </w:r>
            <w:r w:rsidRPr="00436194">
              <w:rPr>
                <w:rFonts w:cs="Calibri"/>
                <w:color w:val="000000"/>
                <w:szCs w:val="22"/>
              </w:rPr>
              <w:t xml:space="preserve">works with partners to develop and deliver education experiences focused on building workforce capability and talent pipelines dedicated to the critical needs of our state in both rural and city locations. </w:t>
            </w:r>
            <w:r>
              <w:rPr>
                <w:rFonts w:cs="Calibri"/>
                <w:color w:val="000000"/>
                <w:szCs w:val="22"/>
              </w:rPr>
              <w:t>R</w:t>
            </w:r>
            <w:r w:rsidRPr="00436194">
              <w:rPr>
                <w:rFonts w:cs="Calibri"/>
                <w:color w:val="000000"/>
                <w:szCs w:val="22"/>
              </w:rPr>
              <w:t xml:space="preserve">esearchers and working professionals </w:t>
            </w:r>
            <w:r>
              <w:rPr>
                <w:rFonts w:cs="Calibri"/>
                <w:color w:val="000000"/>
                <w:szCs w:val="22"/>
              </w:rPr>
              <w:t xml:space="preserve">explore </w:t>
            </w:r>
            <w:r w:rsidRPr="00436194">
              <w:rPr>
                <w:rFonts w:cs="Calibri"/>
                <w:color w:val="000000"/>
                <w:szCs w:val="22"/>
              </w:rPr>
              <w:t>opportunities to support</w:t>
            </w:r>
            <w:r w:rsidRPr="00436194">
              <w:rPr>
                <w:rStyle w:val="apple-converted-space"/>
                <w:rFonts w:cs="Calibri"/>
                <w:color w:val="000000"/>
                <w:szCs w:val="22"/>
              </w:rPr>
              <w:t> </w:t>
            </w:r>
            <w:r w:rsidRPr="00436194">
              <w:rPr>
                <w:rStyle w:val="outlook-search-highlight"/>
                <w:rFonts w:cs="Calibri"/>
                <w:color w:val="000000"/>
                <w:szCs w:val="22"/>
              </w:rPr>
              <w:t>Curtin</w:t>
            </w:r>
            <w:r w:rsidRPr="00436194">
              <w:rPr>
                <w:rStyle w:val="apple-converted-space"/>
                <w:rFonts w:cs="Calibri"/>
                <w:color w:val="000000"/>
                <w:szCs w:val="22"/>
              </w:rPr>
              <w:t> </w:t>
            </w:r>
            <w:r w:rsidRPr="00436194">
              <w:rPr>
                <w:rFonts w:cs="Calibri"/>
                <w:color w:val="000000"/>
                <w:szCs w:val="22"/>
              </w:rPr>
              <w:t>students across all aspects of their learning journey and career pathway including work integrated learning</w:t>
            </w:r>
            <w:r>
              <w:rPr>
                <w:rFonts w:cs="Calibri"/>
                <w:color w:val="000000"/>
                <w:szCs w:val="22"/>
              </w:rPr>
              <w:t xml:space="preserve"> (WIL)</w:t>
            </w:r>
            <w:r w:rsidRPr="00436194">
              <w:rPr>
                <w:rFonts w:cs="Calibri"/>
                <w:color w:val="000000"/>
                <w:szCs w:val="22"/>
              </w:rPr>
              <w:t>, certifications and internships.</w:t>
            </w:r>
          </w:p>
          <w:p w14:paraId="14ACC62D" w14:textId="63EB32C8" w:rsidR="0059678F" w:rsidRDefault="0059678F" w:rsidP="0059678F">
            <w:pPr>
              <w:pStyle w:val="NormalIndent"/>
              <w:ind w:left="22" w:hanging="22"/>
              <w:rPr>
                <w:rFonts w:cs="Calibri"/>
                <w:color w:val="000000"/>
                <w:szCs w:val="22"/>
              </w:rPr>
            </w:pPr>
            <w:r w:rsidRPr="00436194">
              <w:rPr>
                <w:rFonts w:cs="Calibri"/>
                <w:color w:val="000000"/>
                <w:szCs w:val="22"/>
              </w:rPr>
              <w:t xml:space="preserve">Our industry engagement in </w:t>
            </w:r>
            <w:r>
              <w:rPr>
                <w:rFonts w:cs="Calibri"/>
                <w:color w:val="000000"/>
                <w:szCs w:val="22"/>
              </w:rPr>
              <w:t>l</w:t>
            </w:r>
            <w:r w:rsidRPr="00436194">
              <w:rPr>
                <w:rFonts w:cs="Calibri"/>
                <w:color w:val="000000"/>
                <w:szCs w:val="22"/>
              </w:rPr>
              <w:t xml:space="preserve">earning and </w:t>
            </w:r>
            <w:r>
              <w:rPr>
                <w:rFonts w:cs="Calibri"/>
                <w:color w:val="000000"/>
                <w:szCs w:val="22"/>
              </w:rPr>
              <w:t>t</w:t>
            </w:r>
            <w:r w:rsidRPr="00436194">
              <w:rPr>
                <w:rFonts w:cs="Calibri"/>
                <w:color w:val="000000"/>
                <w:szCs w:val="22"/>
              </w:rPr>
              <w:t xml:space="preserve">eaching includes </w:t>
            </w:r>
            <w:r>
              <w:rPr>
                <w:rFonts w:cs="Calibri"/>
                <w:color w:val="000000"/>
                <w:szCs w:val="22"/>
              </w:rPr>
              <w:t>WIL</w:t>
            </w:r>
            <w:r w:rsidRPr="00436194">
              <w:rPr>
                <w:rFonts w:cs="Calibri"/>
                <w:color w:val="000000"/>
                <w:szCs w:val="22"/>
              </w:rPr>
              <w:t xml:space="preserve"> and specialised internship placements, customised professional development programs delivered within organisations, public facing professional learning, microcredentials, masterclasses, industry</w:t>
            </w:r>
            <w:r w:rsidRPr="00436194">
              <w:rPr>
                <w:rStyle w:val="outlook-search-highlight"/>
                <w:rFonts w:cs="Calibri"/>
                <w:color w:val="000000"/>
                <w:szCs w:val="22"/>
              </w:rPr>
              <w:t>-</w:t>
            </w:r>
            <w:r w:rsidRPr="00436194">
              <w:rPr>
                <w:rFonts w:cs="Calibri"/>
                <w:color w:val="000000"/>
                <w:szCs w:val="22"/>
              </w:rPr>
              <w:t>university co</w:t>
            </w:r>
            <w:r w:rsidRPr="00436194">
              <w:rPr>
                <w:rStyle w:val="outlook-search-highlight"/>
                <w:rFonts w:cs="Calibri"/>
                <w:color w:val="000000"/>
                <w:szCs w:val="22"/>
              </w:rPr>
              <w:t>-</w:t>
            </w:r>
            <w:r w:rsidRPr="00436194">
              <w:rPr>
                <w:rFonts w:cs="Calibri"/>
                <w:color w:val="000000"/>
                <w:szCs w:val="22"/>
              </w:rPr>
              <w:t>designed</w:t>
            </w:r>
            <w:r w:rsidRPr="00436194">
              <w:rPr>
                <w:rStyle w:val="apple-converted-space"/>
                <w:rFonts w:cs="Calibri"/>
                <w:color w:val="000000"/>
                <w:szCs w:val="22"/>
              </w:rPr>
              <w:t> </w:t>
            </w:r>
            <w:r w:rsidRPr="00436194">
              <w:rPr>
                <w:rStyle w:val="outlook-search-highlight"/>
                <w:rFonts w:cs="Calibri"/>
                <w:color w:val="000000"/>
                <w:szCs w:val="22"/>
              </w:rPr>
              <w:t>exec</w:t>
            </w:r>
            <w:r w:rsidRPr="00436194">
              <w:rPr>
                <w:rFonts w:cs="Calibri"/>
                <w:color w:val="000000"/>
                <w:szCs w:val="22"/>
              </w:rPr>
              <w:t>utive education and graduate courses. These partnerships focus</w:t>
            </w:r>
            <w:r>
              <w:rPr>
                <w:rFonts w:cs="Calibri"/>
                <w:color w:val="000000"/>
                <w:szCs w:val="22"/>
              </w:rPr>
              <w:t xml:space="preserve"> on</w:t>
            </w:r>
            <w:r w:rsidRPr="00436194">
              <w:rPr>
                <w:rFonts w:cs="Calibri"/>
                <w:color w:val="000000"/>
                <w:szCs w:val="22"/>
              </w:rPr>
              <w:t xml:space="preserve"> </w:t>
            </w:r>
            <w:r>
              <w:rPr>
                <w:rFonts w:cs="Calibri"/>
                <w:color w:val="000000"/>
                <w:szCs w:val="22"/>
              </w:rPr>
              <w:t>an enhanced</w:t>
            </w:r>
            <w:r w:rsidRPr="00436194">
              <w:rPr>
                <w:rFonts w:cs="Calibri"/>
                <w:color w:val="000000"/>
                <w:szCs w:val="22"/>
              </w:rPr>
              <w:t xml:space="preserve"> student experience, creating graduates who can adapt to and contribute to their industries and organisations whilst creating mutual value for the </w:t>
            </w:r>
            <w:r w:rsidR="00592ED0">
              <w:rPr>
                <w:rFonts w:cs="Calibri"/>
                <w:color w:val="000000"/>
                <w:szCs w:val="22"/>
              </w:rPr>
              <w:t>U</w:t>
            </w:r>
            <w:r w:rsidRPr="00436194">
              <w:rPr>
                <w:rFonts w:cs="Calibri"/>
                <w:color w:val="000000"/>
                <w:szCs w:val="22"/>
              </w:rPr>
              <w:t>niversity, the organisation</w:t>
            </w:r>
            <w:r>
              <w:rPr>
                <w:rFonts w:cs="Calibri"/>
                <w:color w:val="000000"/>
                <w:szCs w:val="22"/>
              </w:rPr>
              <w:t>,</w:t>
            </w:r>
            <w:r w:rsidRPr="00436194">
              <w:rPr>
                <w:rFonts w:cs="Calibri"/>
                <w:color w:val="000000"/>
                <w:szCs w:val="22"/>
              </w:rPr>
              <w:t xml:space="preserve"> and the communities we operate in. </w:t>
            </w:r>
          </w:p>
          <w:p w14:paraId="433B7434" w14:textId="51081DC3" w:rsidR="0059678F" w:rsidRPr="00436194" w:rsidRDefault="0059678F" w:rsidP="0059678F">
            <w:pPr>
              <w:pStyle w:val="NormalIndent"/>
              <w:ind w:left="22" w:hanging="22"/>
              <w:rPr>
                <w:rFonts w:cs="Calibri"/>
                <w:color w:val="212121"/>
                <w:szCs w:val="22"/>
              </w:rPr>
            </w:pPr>
            <w:r w:rsidRPr="00436194">
              <w:rPr>
                <w:rStyle w:val="outlook-search-highlight"/>
                <w:rFonts w:cs="Calibri"/>
                <w:color w:val="000000"/>
                <w:szCs w:val="22"/>
              </w:rPr>
              <w:t>Curtin</w:t>
            </w:r>
            <w:r w:rsidRPr="00436194">
              <w:rPr>
                <w:rFonts w:cs="Calibri"/>
                <w:color w:val="000000"/>
                <w:szCs w:val="22"/>
              </w:rPr>
              <w:t>’s research and development engagement with industry is focused on building long</w:t>
            </w:r>
            <w:r w:rsidRPr="00436194">
              <w:rPr>
                <w:rStyle w:val="outlook-search-highlight"/>
                <w:rFonts w:cs="Calibri"/>
                <w:color w:val="000000"/>
                <w:szCs w:val="22"/>
              </w:rPr>
              <w:t>-</w:t>
            </w:r>
            <w:r w:rsidRPr="00436194">
              <w:rPr>
                <w:rFonts w:cs="Calibri"/>
                <w:color w:val="000000"/>
                <w:szCs w:val="22"/>
              </w:rPr>
              <w:t xml:space="preserve">term relationships for sustained collaboration and innovation, </w:t>
            </w:r>
            <w:r>
              <w:rPr>
                <w:rFonts w:cs="Calibri"/>
                <w:color w:val="000000"/>
                <w:szCs w:val="22"/>
              </w:rPr>
              <w:t>aligning</w:t>
            </w:r>
            <w:r w:rsidRPr="00436194">
              <w:rPr>
                <w:rFonts w:cs="Calibri"/>
                <w:color w:val="000000"/>
                <w:szCs w:val="22"/>
              </w:rPr>
              <w:t xml:space="preserve"> research interests and expertise to maximise the impact of collaborative project outcomes</w:t>
            </w:r>
            <w:r w:rsidR="00DA24B4">
              <w:rPr>
                <w:rFonts w:cs="Calibri"/>
                <w:color w:val="000000"/>
                <w:szCs w:val="22"/>
              </w:rPr>
              <w:t xml:space="preserve"> across short-term joint projects and longer-term research alliances</w:t>
            </w:r>
            <w:r w:rsidRPr="00436194">
              <w:rPr>
                <w:rFonts w:cs="Calibri"/>
                <w:color w:val="000000"/>
                <w:szCs w:val="22"/>
              </w:rPr>
              <w:t>. Building upon these partnerships, mechanisms for transferring university</w:t>
            </w:r>
            <w:r>
              <w:rPr>
                <w:rFonts w:cs="Calibri"/>
                <w:color w:val="000000"/>
                <w:szCs w:val="22"/>
              </w:rPr>
              <w:t>-</w:t>
            </w:r>
            <w:r w:rsidRPr="00436194">
              <w:rPr>
                <w:rFonts w:cs="Calibri"/>
                <w:color w:val="000000"/>
                <w:szCs w:val="22"/>
              </w:rPr>
              <w:t xml:space="preserve">developed technologies to industry for commercialisation and providing resources such as </w:t>
            </w:r>
            <w:r>
              <w:rPr>
                <w:rFonts w:cs="Calibri"/>
                <w:color w:val="000000"/>
                <w:szCs w:val="22"/>
              </w:rPr>
              <w:t>I</w:t>
            </w:r>
            <w:r w:rsidRPr="00436194">
              <w:rPr>
                <w:rFonts w:cs="Calibri"/>
                <w:color w:val="000000"/>
                <w:szCs w:val="22"/>
              </w:rPr>
              <w:t>gnition (</w:t>
            </w:r>
            <w:hyperlink r:id="rId44" w:history="1">
              <w:r w:rsidRPr="00436194">
                <w:rPr>
                  <w:rStyle w:val="Hyperlink"/>
                  <w:rFonts w:cs="Calibri"/>
                  <w:szCs w:val="22"/>
                </w:rPr>
                <w:t>Curtin Ignition</w:t>
              </w:r>
            </w:hyperlink>
            <w:r w:rsidRPr="00436194">
              <w:rPr>
                <w:rFonts w:cs="Calibri"/>
                <w:color w:val="000000"/>
                <w:szCs w:val="22"/>
              </w:rPr>
              <w:t>) and accelerator programs (</w:t>
            </w:r>
            <w:hyperlink r:id="rId45" w:history="1">
              <w:r w:rsidRPr="00436194">
                <w:rPr>
                  <w:rStyle w:val="Hyperlink"/>
                  <w:rFonts w:cs="Calibri"/>
                  <w:szCs w:val="22"/>
                </w:rPr>
                <w:t>Curtin Accelerate</w:t>
              </w:r>
            </w:hyperlink>
            <w:r w:rsidRPr="00436194">
              <w:rPr>
                <w:rFonts w:cs="Calibri"/>
                <w:color w:val="000000"/>
                <w:szCs w:val="22"/>
              </w:rPr>
              <w:t xml:space="preserve">) are </w:t>
            </w:r>
            <w:r>
              <w:rPr>
                <w:rFonts w:cs="Calibri"/>
                <w:color w:val="000000"/>
                <w:szCs w:val="22"/>
              </w:rPr>
              <w:t>i</w:t>
            </w:r>
            <w:r w:rsidRPr="00436194">
              <w:rPr>
                <w:rFonts w:cs="Calibri"/>
                <w:color w:val="000000"/>
                <w:szCs w:val="22"/>
              </w:rPr>
              <w:t>n place to foster an ongoing culture of innovation and collaboration. Higher degree research internships for our PhD students with our industry partners are a particular focus. </w:t>
            </w:r>
          </w:p>
          <w:p w14:paraId="7D4017C1" w14:textId="3364778B" w:rsidR="002160BF" w:rsidRPr="00436194" w:rsidRDefault="00592ED0" w:rsidP="002160BF">
            <w:pPr>
              <w:pStyle w:val="NormalIndent"/>
              <w:ind w:left="22" w:hanging="22"/>
              <w:rPr>
                <w:rFonts w:cs="Calibri"/>
                <w:color w:val="212121"/>
                <w:szCs w:val="22"/>
              </w:rPr>
            </w:pPr>
            <w:r>
              <w:rPr>
                <w:rFonts w:cs="Calibri"/>
                <w:color w:val="000000"/>
                <w:szCs w:val="22"/>
              </w:rPr>
              <w:t>Curtin</w:t>
            </w:r>
            <w:r w:rsidR="002160BF" w:rsidRPr="00436194">
              <w:rPr>
                <w:rFonts w:cs="Calibri"/>
                <w:color w:val="000000"/>
                <w:szCs w:val="22"/>
              </w:rPr>
              <w:t xml:space="preserve"> </w:t>
            </w:r>
            <w:r w:rsidR="002160BF">
              <w:rPr>
                <w:rFonts w:cs="Calibri"/>
                <w:color w:val="000000"/>
                <w:szCs w:val="22"/>
              </w:rPr>
              <w:t>have partnerships with organisations across many sectors</w:t>
            </w:r>
            <w:r w:rsidR="002160BF" w:rsidRPr="00436194">
              <w:rPr>
                <w:rFonts w:cs="Calibri"/>
                <w:color w:val="000000"/>
                <w:szCs w:val="22"/>
              </w:rPr>
              <w:t xml:space="preserve"> to advance teaching and research, including resource</w:t>
            </w:r>
            <w:r w:rsidR="002160BF">
              <w:rPr>
                <w:rFonts w:cs="Calibri"/>
                <w:color w:val="000000"/>
                <w:szCs w:val="22"/>
              </w:rPr>
              <w:t>s</w:t>
            </w:r>
            <w:r w:rsidR="002160BF" w:rsidRPr="00436194">
              <w:rPr>
                <w:rFonts w:cs="Calibri"/>
                <w:color w:val="000000"/>
                <w:szCs w:val="22"/>
              </w:rPr>
              <w:t xml:space="preserve"> and energy (BHP, Mineral Resources WA, Woodside), telecommunications (Optus, Cisco), employment and human services (APM)</w:t>
            </w:r>
            <w:r w:rsidR="002160BF">
              <w:rPr>
                <w:rFonts w:cs="Calibri"/>
                <w:color w:val="000000"/>
                <w:szCs w:val="22"/>
              </w:rPr>
              <w:t>,</w:t>
            </w:r>
            <w:r w:rsidR="002160BF" w:rsidRPr="00436194">
              <w:rPr>
                <w:rFonts w:cs="Calibri"/>
                <w:color w:val="000000"/>
                <w:szCs w:val="22"/>
              </w:rPr>
              <w:t xml:space="preserve"> technology (Adobe, Amazon), </w:t>
            </w:r>
            <w:r w:rsidR="002160BF">
              <w:rPr>
                <w:rFonts w:cs="Calibri"/>
                <w:color w:val="000000"/>
                <w:szCs w:val="22"/>
              </w:rPr>
              <w:t>e</w:t>
            </w:r>
            <w:r w:rsidR="002160BF" w:rsidRPr="00436194">
              <w:rPr>
                <w:rFonts w:cs="Calibri"/>
                <w:color w:val="000000"/>
                <w:szCs w:val="22"/>
              </w:rPr>
              <w:t>ngineering/</w:t>
            </w:r>
            <w:r w:rsidR="002160BF">
              <w:rPr>
                <w:rFonts w:cs="Calibri"/>
                <w:color w:val="000000"/>
                <w:szCs w:val="22"/>
              </w:rPr>
              <w:t>d</w:t>
            </w:r>
            <w:r w:rsidR="002160BF" w:rsidRPr="00436194">
              <w:rPr>
                <w:rFonts w:cs="Calibri"/>
                <w:color w:val="000000"/>
                <w:szCs w:val="22"/>
              </w:rPr>
              <w:t xml:space="preserve">efence (Babcock Australasia, Huntington Ingalls), </w:t>
            </w:r>
            <w:r w:rsidR="002160BF">
              <w:rPr>
                <w:rFonts w:cs="Calibri"/>
                <w:color w:val="000000"/>
                <w:szCs w:val="22"/>
              </w:rPr>
              <w:t>h</w:t>
            </w:r>
            <w:r w:rsidR="002160BF" w:rsidRPr="00436194">
              <w:rPr>
                <w:rFonts w:cs="Calibri"/>
                <w:color w:val="000000"/>
                <w:szCs w:val="22"/>
              </w:rPr>
              <w:t>ealth (WA Country Health Services, Telethon Kids Institute</w:t>
            </w:r>
            <w:r w:rsidR="002160BF">
              <w:rPr>
                <w:rFonts w:cs="Calibri"/>
                <w:color w:val="000000"/>
                <w:szCs w:val="22"/>
              </w:rPr>
              <w:t>, Rural Health West</w:t>
            </w:r>
            <w:r w:rsidR="002160BF" w:rsidRPr="00436194">
              <w:rPr>
                <w:rFonts w:cs="Calibri"/>
                <w:color w:val="000000"/>
                <w:szCs w:val="22"/>
              </w:rPr>
              <w:t xml:space="preserve">), </w:t>
            </w:r>
            <w:r w:rsidR="002160BF">
              <w:rPr>
                <w:rFonts w:cs="Calibri"/>
                <w:color w:val="000000"/>
                <w:szCs w:val="22"/>
              </w:rPr>
              <w:t>s</w:t>
            </w:r>
            <w:r w:rsidR="002160BF" w:rsidRPr="00436194">
              <w:rPr>
                <w:rFonts w:cs="Calibri"/>
                <w:color w:val="000000"/>
                <w:szCs w:val="22"/>
              </w:rPr>
              <w:t>port (Fremantle Football Club) and finance (Bankwest).</w:t>
            </w:r>
            <w:r>
              <w:rPr>
                <w:rFonts w:cs="Calibri"/>
                <w:color w:val="000000"/>
                <w:szCs w:val="22"/>
              </w:rPr>
              <w:t xml:space="preserve"> </w:t>
            </w:r>
            <w:r w:rsidR="002160BF" w:rsidRPr="00436194">
              <w:rPr>
                <w:rFonts w:cs="Calibri"/>
                <w:color w:val="000000"/>
                <w:szCs w:val="22"/>
              </w:rPr>
              <w:t>Example</w:t>
            </w:r>
            <w:r w:rsidR="002160BF">
              <w:rPr>
                <w:rFonts w:cs="Calibri"/>
                <w:color w:val="000000"/>
                <w:szCs w:val="22"/>
              </w:rPr>
              <w:t>s</w:t>
            </w:r>
            <w:r w:rsidR="002160BF" w:rsidRPr="00436194">
              <w:rPr>
                <w:rFonts w:cs="Calibri"/>
                <w:color w:val="000000"/>
                <w:szCs w:val="22"/>
              </w:rPr>
              <w:t xml:space="preserve"> of our deep industry partnerships </w:t>
            </w:r>
            <w:r w:rsidR="002160BF">
              <w:rPr>
                <w:rFonts w:cs="Calibri"/>
                <w:color w:val="000000"/>
                <w:szCs w:val="22"/>
              </w:rPr>
              <w:t>include</w:t>
            </w:r>
            <w:r w:rsidR="002160BF" w:rsidRPr="00436194">
              <w:rPr>
                <w:rFonts w:cs="Calibri"/>
                <w:color w:val="000000"/>
                <w:szCs w:val="22"/>
              </w:rPr>
              <w:t>:</w:t>
            </w:r>
          </w:p>
          <w:p w14:paraId="0335C55A" w14:textId="6A8A75A9" w:rsidR="002160BF" w:rsidRPr="000246B4" w:rsidRDefault="002160BF" w:rsidP="003D68E3">
            <w:pPr>
              <w:pStyle w:val="NormalIndent"/>
              <w:numPr>
                <w:ilvl w:val="0"/>
                <w:numId w:val="21"/>
              </w:numPr>
              <w:spacing w:before="0" w:after="0"/>
              <w:ind w:left="317" w:hanging="284"/>
              <w:rPr>
                <w:rFonts w:cs="Calibri"/>
                <w:color w:val="000000"/>
              </w:rPr>
            </w:pPr>
            <w:hyperlink r:id="rId46" w:history="1">
              <w:r w:rsidRPr="006828E8">
                <w:rPr>
                  <w:rStyle w:val="Hyperlink"/>
                  <w:rFonts w:cs="Calibri"/>
                </w:rPr>
                <w:t>Innovation Central Perth</w:t>
              </w:r>
            </w:hyperlink>
            <w:r w:rsidRPr="000246B4">
              <w:rPr>
                <w:rFonts w:cs="Calibri"/>
                <w:color w:val="000000"/>
              </w:rPr>
              <w:t>, a student</w:t>
            </w:r>
            <w:r>
              <w:rPr>
                <w:rFonts w:cs="Calibri"/>
                <w:color w:val="000000"/>
              </w:rPr>
              <w:t>/</w:t>
            </w:r>
            <w:r w:rsidRPr="000246B4">
              <w:rPr>
                <w:rFonts w:cs="Calibri"/>
                <w:color w:val="000000"/>
              </w:rPr>
              <w:t xml:space="preserve">industry co-creation hub exploring the future of technology in education. </w:t>
            </w:r>
            <w:r>
              <w:rPr>
                <w:rFonts w:cs="Calibri"/>
                <w:color w:val="000000"/>
              </w:rPr>
              <w:t>D</w:t>
            </w:r>
            <w:r w:rsidRPr="000246B4">
              <w:rPr>
                <w:rFonts w:cs="Calibri"/>
                <w:color w:val="000000"/>
              </w:rPr>
              <w:t xml:space="preserve">eveloped with Cisco, </w:t>
            </w:r>
            <w:r>
              <w:rPr>
                <w:rFonts w:cs="Calibri"/>
                <w:color w:val="000000"/>
              </w:rPr>
              <w:t xml:space="preserve">it </w:t>
            </w:r>
            <w:r w:rsidRPr="000246B4">
              <w:rPr>
                <w:rFonts w:cs="Calibri"/>
                <w:color w:val="000000"/>
              </w:rPr>
              <w:t>has since been replicated in five other Australian cities.</w:t>
            </w:r>
          </w:p>
          <w:p w14:paraId="40E0ACB7" w14:textId="41D1FC06" w:rsidR="002160BF" w:rsidRPr="000246B4" w:rsidRDefault="002160BF" w:rsidP="003D68E3">
            <w:pPr>
              <w:pStyle w:val="NormalIndent"/>
              <w:numPr>
                <w:ilvl w:val="0"/>
                <w:numId w:val="21"/>
              </w:numPr>
              <w:spacing w:before="0" w:after="0"/>
              <w:ind w:left="317" w:hanging="284"/>
              <w:rPr>
                <w:rFonts w:cs="Calibri"/>
                <w:color w:val="000000"/>
              </w:rPr>
            </w:pPr>
            <w:r w:rsidRPr="00A816C0">
              <w:rPr>
                <w:rFonts w:cs="Calibri"/>
                <w:color w:val="000000"/>
              </w:rPr>
              <w:t xml:space="preserve">The </w:t>
            </w:r>
            <w:hyperlink r:id="rId47" w:history="1">
              <w:r w:rsidRPr="006828E8">
                <w:rPr>
                  <w:rStyle w:val="Hyperlink"/>
                  <w:rFonts w:cs="Calibri"/>
                </w:rPr>
                <w:t>GreenTech Hub</w:t>
              </w:r>
            </w:hyperlink>
            <w:r w:rsidRPr="000246B4">
              <w:rPr>
                <w:rFonts w:cs="Calibri"/>
                <w:color w:val="000000"/>
              </w:rPr>
              <w:t>, a collaboration with 25 organisations</w:t>
            </w:r>
            <w:r>
              <w:rPr>
                <w:rFonts w:cs="Calibri"/>
                <w:color w:val="000000"/>
              </w:rPr>
              <w:t>,</w:t>
            </w:r>
            <w:r w:rsidRPr="000246B4">
              <w:rPr>
                <w:rFonts w:cs="Calibri"/>
                <w:color w:val="000000"/>
              </w:rPr>
              <w:t xml:space="preserve"> accelerates green technologies through research</w:t>
            </w:r>
            <w:r>
              <w:rPr>
                <w:rFonts w:cs="Calibri"/>
                <w:color w:val="000000"/>
              </w:rPr>
              <w:t>/i</w:t>
            </w:r>
            <w:r w:rsidRPr="000246B4">
              <w:rPr>
                <w:rFonts w:cs="Calibri"/>
                <w:color w:val="000000"/>
              </w:rPr>
              <w:t>ndustry</w:t>
            </w:r>
            <w:r>
              <w:rPr>
                <w:rFonts w:cs="Calibri"/>
                <w:color w:val="000000"/>
              </w:rPr>
              <w:t>/</w:t>
            </w:r>
            <w:r w:rsidRPr="000246B4">
              <w:rPr>
                <w:rFonts w:cs="Calibri"/>
                <w:color w:val="000000"/>
              </w:rPr>
              <w:t>government partnerships focused on decarbonisation and sustainability.</w:t>
            </w:r>
          </w:p>
          <w:p w14:paraId="064EC9F8" w14:textId="6AA39C02" w:rsidR="002160BF" w:rsidRPr="000246B4" w:rsidRDefault="002160BF" w:rsidP="003D68E3">
            <w:pPr>
              <w:pStyle w:val="NormalIndent"/>
              <w:numPr>
                <w:ilvl w:val="0"/>
                <w:numId w:val="21"/>
              </w:numPr>
              <w:spacing w:before="0" w:after="0"/>
              <w:ind w:left="317" w:hanging="284"/>
              <w:rPr>
                <w:rFonts w:cs="Calibri"/>
                <w:color w:val="000000"/>
              </w:rPr>
            </w:pPr>
            <w:r w:rsidRPr="00A816C0">
              <w:rPr>
                <w:rFonts w:cs="Calibri"/>
                <w:color w:val="000000"/>
              </w:rPr>
              <w:t xml:space="preserve">The </w:t>
            </w:r>
            <w:hyperlink r:id="rId48" w:history="1">
              <w:r w:rsidRPr="00A43893">
                <w:rPr>
                  <w:rStyle w:val="Hyperlink"/>
                  <w:rFonts w:cs="Calibri"/>
                </w:rPr>
                <w:t>Woodside FutureLabs Alliance</w:t>
              </w:r>
            </w:hyperlink>
            <w:r w:rsidRPr="000246B4">
              <w:rPr>
                <w:rFonts w:cs="Calibri"/>
                <w:color w:val="000000"/>
              </w:rPr>
              <w:t xml:space="preserve"> enables agile, cross-divisional collaboration, linking Woodside operations with Curtin’s research and education expertise.</w:t>
            </w:r>
          </w:p>
          <w:p w14:paraId="17A6DF47" w14:textId="77777777" w:rsidR="002160BF" w:rsidRPr="000246B4" w:rsidRDefault="002160BF" w:rsidP="003D68E3">
            <w:pPr>
              <w:pStyle w:val="NormalIndent"/>
              <w:numPr>
                <w:ilvl w:val="0"/>
                <w:numId w:val="21"/>
              </w:numPr>
              <w:spacing w:before="0" w:after="0"/>
              <w:ind w:left="317" w:hanging="284"/>
              <w:rPr>
                <w:rFonts w:cs="Calibri"/>
                <w:color w:val="000000"/>
              </w:rPr>
            </w:pPr>
            <w:r w:rsidRPr="00A816C0">
              <w:rPr>
                <w:rFonts w:cs="Calibri"/>
                <w:color w:val="000000"/>
              </w:rPr>
              <w:lastRenderedPageBreak/>
              <w:t>The Optus</w:t>
            </w:r>
            <w:r>
              <w:rPr>
                <w:rFonts w:cs="Calibri"/>
                <w:color w:val="000000"/>
              </w:rPr>
              <w:t>-</w:t>
            </w:r>
            <w:r w:rsidRPr="00A816C0">
              <w:rPr>
                <w:rFonts w:cs="Calibri"/>
                <w:color w:val="000000"/>
              </w:rPr>
              <w:t>Curtin Alliance</w:t>
            </w:r>
            <w:r w:rsidRPr="000246B4">
              <w:rPr>
                <w:rFonts w:cs="Calibri"/>
                <w:color w:val="000000"/>
              </w:rPr>
              <w:t xml:space="preserve"> provides a framework for responsive collaboration across technology, research and teaching.</w:t>
            </w:r>
          </w:p>
          <w:p w14:paraId="77D05266" w14:textId="656008A1" w:rsidR="002160BF" w:rsidRPr="000246B4" w:rsidRDefault="002160BF" w:rsidP="003D68E3">
            <w:pPr>
              <w:pStyle w:val="NormalIndent"/>
              <w:numPr>
                <w:ilvl w:val="0"/>
                <w:numId w:val="21"/>
              </w:numPr>
              <w:spacing w:before="0" w:after="0"/>
              <w:ind w:left="317" w:hanging="284"/>
              <w:rPr>
                <w:rFonts w:cs="Calibri"/>
                <w:color w:val="000000"/>
              </w:rPr>
            </w:pPr>
            <w:r w:rsidRPr="00A816C0">
              <w:rPr>
                <w:rFonts w:cs="Calibri"/>
                <w:color w:val="000000"/>
              </w:rPr>
              <w:t xml:space="preserve">The </w:t>
            </w:r>
            <w:hyperlink r:id="rId49" w:history="1">
              <w:r w:rsidRPr="00A43893">
                <w:rPr>
                  <w:rStyle w:val="Hyperlink"/>
                  <w:rFonts w:cs="Calibri"/>
                </w:rPr>
                <w:t>MinRes-Curtin partnership</w:t>
              </w:r>
            </w:hyperlink>
            <w:r w:rsidRPr="000246B4">
              <w:rPr>
                <w:rFonts w:cs="Calibri"/>
                <w:color w:val="000000"/>
              </w:rPr>
              <w:t xml:space="preserve"> brings together Curtin’s research capabilities with Mineral Resources’ expertise across lithium, iron ore, energy and mining services.</w:t>
            </w:r>
          </w:p>
          <w:p w14:paraId="0DF60852" w14:textId="00429F9A" w:rsidR="002160BF" w:rsidRPr="000246B4" w:rsidRDefault="002160BF" w:rsidP="003D68E3">
            <w:pPr>
              <w:pStyle w:val="NormalIndent"/>
              <w:numPr>
                <w:ilvl w:val="0"/>
                <w:numId w:val="21"/>
              </w:numPr>
              <w:spacing w:before="0" w:after="0"/>
              <w:ind w:left="317" w:hanging="284"/>
              <w:rPr>
                <w:rFonts w:cs="Calibri"/>
                <w:color w:val="000000"/>
              </w:rPr>
            </w:pPr>
            <w:r w:rsidRPr="00A816C0">
              <w:rPr>
                <w:rFonts w:cs="Calibri"/>
                <w:color w:val="000000"/>
              </w:rPr>
              <w:t xml:space="preserve">A </w:t>
            </w:r>
            <w:hyperlink r:id="rId50" w:history="1">
              <w:r w:rsidRPr="00A43893">
                <w:rPr>
                  <w:rStyle w:val="Hyperlink"/>
                  <w:rFonts w:cs="Calibri"/>
                </w:rPr>
                <w:t>$3 million partnership with Draslovka</w:t>
              </w:r>
            </w:hyperlink>
            <w:r w:rsidRPr="000246B4">
              <w:rPr>
                <w:rFonts w:cs="Calibri"/>
                <w:color w:val="000000"/>
              </w:rPr>
              <w:t xml:space="preserve"> embeds Curtin postdocs and PhD students in </w:t>
            </w:r>
            <w:r>
              <w:rPr>
                <w:rFonts w:cs="Calibri"/>
                <w:color w:val="000000"/>
              </w:rPr>
              <w:t>industry</w:t>
            </w:r>
            <w:r w:rsidRPr="000246B4">
              <w:rPr>
                <w:rFonts w:cs="Calibri"/>
                <w:color w:val="000000"/>
              </w:rPr>
              <w:t xml:space="preserve"> to commercialise safer mineral extraction processes using glycine in place of cyanide.</w:t>
            </w:r>
          </w:p>
          <w:p w14:paraId="32A9EF9B" w14:textId="59166819" w:rsidR="002160BF" w:rsidRDefault="002160BF" w:rsidP="003D68E3">
            <w:pPr>
              <w:pStyle w:val="NormalIndent"/>
              <w:numPr>
                <w:ilvl w:val="0"/>
                <w:numId w:val="21"/>
              </w:numPr>
              <w:spacing w:before="0" w:after="0"/>
              <w:ind w:left="317" w:hanging="284"/>
              <w:rPr>
                <w:rFonts w:cs="Calibri"/>
                <w:color w:val="000000"/>
              </w:rPr>
            </w:pPr>
            <w:r>
              <w:rPr>
                <w:rFonts w:cs="Calibri"/>
                <w:color w:val="000000"/>
              </w:rPr>
              <w:t>E</w:t>
            </w:r>
            <w:r w:rsidRPr="000246B4">
              <w:rPr>
                <w:rFonts w:cs="Calibri"/>
                <w:color w:val="000000"/>
              </w:rPr>
              <w:t xml:space="preserve">xtended to </w:t>
            </w:r>
            <w:r w:rsidRPr="00A816C0">
              <w:rPr>
                <w:rFonts w:cs="Calibri"/>
                <w:color w:val="000000"/>
              </w:rPr>
              <w:t>December 2028</w:t>
            </w:r>
            <w:r w:rsidRPr="000246B4">
              <w:rPr>
                <w:rFonts w:cs="Calibri"/>
                <w:color w:val="000000"/>
              </w:rPr>
              <w:t>, the</w:t>
            </w:r>
            <w:r>
              <w:rPr>
                <w:rFonts w:cs="Calibri"/>
                <w:color w:val="000000"/>
              </w:rPr>
              <w:t xml:space="preserve"> Curtin-led </w:t>
            </w:r>
            <w:hyperlink r:id="rId51" w:history="1">
              <w:r w:rsidRPr="00A43893">
                <w:rPr>
                  <w:rStyle w:val="Hyperlink"/>
                  <w:rFonts w:cs="Calibri"/>
                </w:rPr>
                <w:t>Resources Technology and Critical Minerals Trailblazer program</w:t>
              </w:r>
            </w:hyperlink>
            <w:r w:rsidRPr="000246B4">
              <w:rPr>
                <w:rFonts w:cs="Calibri"/>
                <w:color w:val="000000"/>
              </w:rPr>
              <w:t xml:space="preserve"> has </w:t>
            </w:r>
            <w:r>
              <w:rPr>
                <w:rFonts w:cs="Calibri"/>
                <w:color w:val="000000"/>
              </w:rPr>
              <w:t>achieved</w:t>
            </w:r>
            <w:r w:rsidRPr="000246B4">
              <w:rPr>
                <w:rFonts w:cs="Calibri"/>
                <w:color w:val="000000"/>
              </w:rPr>
              <w:t>:</w:t>
            </w:r>
          </w:p>
          <w:p w14:paraId="147451F1" w14:textId="4964BD89" w:rsidR="003E7940" w:rsidRPr="003D68E3" w:rsidRDefault="003E7940" w:rsidP="003D68E3">
            <w:pPr>
              <w:pStyle w:val="NormalIndent"/>
              <w:spacing w:before="0" w:after="0" w:line="240" w:lineRule="auto"/>
              <w:ind w:left="0"/>
              <w:rPr>
                <w:rFonts w:cs="Calibri"/>
                <w:sz w:val="2"/>
                <w:szCs w:val="2"/>
              </w:rPr>
            </w:pPr>
          </w:p>
          <w:p w14:paraId="5879AC10" w14:textId="3486F393" w:rsidR="003E7940" w:rsidRDefault="003E7940" w:rsidP="003E7940">
            <w:pPr>
              <w:pStyle w:val="NormalIndent"/>
              <w:numPr>
                <w:ilvl w:val="1"/>
                <w:numId w:val="21"/>
              </w:numPr>
              <w:spacing w:before="0" w:after="0"/>
              <w:rPr>
                <w:rFonts w:cs="Calibri"/>
              </w:rPr>
            </w:pPr>
            <w:r>
              <w:rPr>
                <w:rFonts w:cs="Calibri"/>
                <w:color w:val="000000"/>
              </w:rPr>
              <w:t xml:space="preserve">$143 </w:t>
            </w:r>
            <w:r w:rsidRPr="006E0D41">
              <w:rPr>
                <w:rFonts w:cs="Calibri"/>
              </w:rPr>
              <w:t>million invested from 65 industry partners</w:t>
            </w:r>
          </w:p>
          <w:p w14:paraId="66137D8D" w14:textId="5505BEE8" w:rsidR="003E7940" w:rsidRDefault="003E7940" w:rsidP="003E7940">
            <w:pPr>
              <w:pStyle w:val="NormalIndent"/>
              <w:numPr>
                <w:ilvl w:val="1"/>
                <w:numId w:val="21"/>
              </w:numPr>
              <w:spacing w:before="0" w:after="0"/>
              <w:rPr>
                <w:rFonts w:cs="Calibri"/>
              </w:rPr>
            </w:pPr>
            <w:r w:rsidRPr="003E7940">
              <w:rPr>
                <w:rFonts w:cs="Calibri"/>
              </w:rPr>
              <w:t>56 technology derisking projects</w:t>
            </w:r>
          </w:p>
          <w:p w14:paraId="18C61C8D" w14:textId="38C818B2" w:rsidR="003E7940" w:rsidRPr="003D68E3" w:rsidRDefault="003E7940" w:rsidP="003D68E3">
            <w:pPr>
              <w:pStyle w:val="NormalIndent"/>
              <w:numPr>
                <w:ilvl w:val="1"/>
                <w:numId w:val="21"/>
              </w:numPr>
              <w:spacing w:before="0" w:after="0"/>
              <w:rPr>
                <w:rFonts w:cs="Calibri"/>
              </w:rPr>
            </w:pPr>
            <w:r w:rsidRPr="006E0D41">
              <w:t>5 protoventures via Curtin Venture Studio</w:t>
            </w:r>
          </w:p>
          <w:p w14:paraId="6465FC91" w14:textId="77777777" w:rsidR="001B109C" w:rsidRPr="0005591C" w:rsidRDefault="001B109C" w:rsidP="0005591C">
            <w:pPr>
              <w:pStyle w:val="NormalIndent"/>
              <w:spacing w:before="0" w:line="240" w:lineRule="auto"/>
              <w:ind w:left="0"/>
              <w:rPr>
                <w:rFonts w:cstheme="minorHAnsi"/>
                <w:i/>
                <w:color w:val="FF0000"/>
                <w:sz w:val="2"/>
                <w:szCs w:val="2"/>
              </w:rPr>
            </w:pPr>
          </w:p>
        </w:tc>
      </w:tr>
    </w:tbl>
    <w:p w14:paraId="4275572F" w14:textId="77777777" w:rsidR="001B109C" w:rsidRPr="008F21A0" w:rsidRDefault="001B109C" w:rsidP="001B109C">
      <w:pPr>
        <w:spacing w:after="160"/>
        <w:rPr>
          <w:rFonts w:ascii="Times New Roman" w:hAnsi="Times New Roman" w:cs="Times New Roman"/>
          <w:b/>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142926E4" w:rsidR="001B109C" w:rsidRPr="00E114B4" w:rsidRDefault="00A13232"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0CAC92AE" w:rsidR="001B109C" w:rsidRPr="00E114B4" w:rsidRDefault="0070076A"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02A32966" w:rsidR="001B109C" w:rsidRPr="00E114B4" w:rsidRDefault="002C162D"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5BC9A181" w:rsidR="001B109C" w:rsidRPr="00E114B4" w:rsidRDefault="00DE721C"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063C6B" w:rsidRDefault="001B109C" w:rsidP="00962F05">
            <w:pPr>
              <w:pBdr>
                <w:bottom w:val="single" w:sz="12" w:space="1" w:color="auto"/>
              </w:pBdr>
              <w:rPr>
                <w:rFonts w:cstheme="minorHAnsi"/>
              </w:rPr>
            </w:pPr>
          </w:p>
          <w:p w14:paraId="415B9216" w14:textId="77777777" w:rsidR="001B109C" w:rsidRPr="00063C6B" w:rsidRDefault="001B109C" w:rsidP="00962F05">
            <w:pPr>
              <w:rPr>
                <w:rFonts w:cstheme="minorHAnsi"/>
              </w:rPr>
            </w:pPr>
            <w:r w:rsidRPr="00063C6B">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6C1DDA" w:rsidRPr="00E169EE" w14:paraId="18A5426E" w14:textId="77777777" w:rsidTr="00815CE4">
        <w:tc>
          <w:tcPr>
            <w:tcW w:w="4508" w:type="dxa"/>
          </w:tcPr>
          <w:p w14:paraId="3A592227" w14:textId="51BC8915" w:rsidR="006C1DDA" w:rsidRPr="00063C6B" w:rsidRDefault="00063C6B" w:rsidP="00815CE4">
            <w:pPr>
              <w:pBdr>
                <w:bottom w:val="single" w:sz="12" w:space="1" w:color="auto"/>
              </w:pBdr>
              <w:rPr>
                <w:rFonts w:cstheme="minorHAnsi"/>
              </w:rPr>
            </w:pPr>
            <w:r w:rsidRPr="00063C6B">
              <w:rPr>
                <w:rFonts w:cstheme="minorHAnsi"/>
              </w:rPr>
              <w:t>01/12/2025</w:t>
            </w:r>
          </w:p>
          <w:p w14:paraId="0880068A" w14:textId="5192EBEA" w:rsidR="006C1DDA" w:rsidRPr="00063C6B" w:rsidRDefault="006C1DDA" w:rsidP="00815CE4">
            <w:pPr>
              <w:rPr>
                <w:rFonts w:cstheme="minorHAnsi"/>
              </w:rPr>
            </w:pPr>
            <w:r w:rsidRPr="00063C6B">
              <w:rPr>
                <w:rFonts w:cstheme="minorHAnsi"/>
              </w:rPr>
              <w:t>Date</w:t>
            </w:r>
            <w:r w:rsidR="00B27951" w:rsidRPr="00063C6B">
              <w:rPr>
                <w:rFonts w:cstheme="minorHAnsi"/>
              </w:rPr>
              <w:t xml:space="preserve"> </w:t>
            </w:r>
          </w:p>
        </w:tc>
        <w:tc>
          <w:tcPr>
            <w:tcW w:w="4508" w:type="dxa"/>
          </w:tcPr>
          <w:p w14:paraId="3287A3D7" w14:textId="77777777" w:rsidR="006C1DDA" w:rsidRPr="00F60B66" w:rsidRDefault="006C1DDA" w:rsidP="00815CE4">
            <w:pPr>
              <w:rPr>
                <w:rFonts w:cstheme="minorHAnsi"/>
                <w:b/>
                <w:bCs/>
                <w:highlight w:val="yellow"/>
              </w:rPr>
            </w:pPr>
          </w:p>
        </w:tc>
      </w:tr>
      <w:tr w:rsidR="008F21A0" w:rsidRPr="00E169EE" w14:paraId="41EAAB74" w14:textId="77777777" w:rsidTr="00161951">
        <w:tc>
          <w:tcPr>
            <w:tcW w:w="4508" w:type="dxa"/>
          </w:tcPr>
          <w:p w14:paraId="543F5A86" w14:textId="77777777" w:rsidR="008F21A0" w:rsidRDefault="008F21A0" w:rsidP="00161951">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D809C8D" w14:textId="77777777" w:rsidR="008F21A0" w:rsidRPr="00E169EE" w:rsidRDefault="008F21A0" w:rsidP="00161951">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Curtin University</w:t>
            </w:r>
          </w:p>
          <w:p w14:paraId="6A0286D7" w14:textId="77777777" w:rsidR="008F21A0" w:rsidRPr="00E169EE" w:rsidRDefault="008F21A0" w:rsidP="00161951">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7DFBDA17" w14:textId="77777777" w:rsidR="008F21A0" w:rsidRPr="00E169EE" w:rsidRDefault="008F21A0" w:rsidP="00161951">
            <w:pPr>
              <w:rPr>
                <w:rFonts w:cstheme="minorHAnsi"/>
              </w:rPr>
            </w:pPr>
            <w:r w:rsidRPr="00E169EE">
              <w:rPr>
                <w:rFonts w:cstheme="minorHAnsi"/>
                <w:sz w:val="24"/>
                <w:szCs w:val="24"/>
              </w:rPr>
              <w:t>In the presence of:</w:t>
            </w:r>
          </w:p>
        </w:tc>
      </w:tr>
      <w:tr w:rsidR="008F21A0" w:rsidRPr="00E169EE" w14:paraId="68023427" w14:textId="77777777" w:rsidTr="00161951">
        <w:tc>
          <w:tcPr>
            <w:tcW w:w="4508" w:type="dxa"/>
          </w:tcPr>
          <w:p w14:paraId="62C047CC" w14:textId="77777777" w:rsidR="008F21A0" w:rsidRPr="00E169EE" w:rsidRDefault="008F21A0" w:rsidP="00161951">
            <w:pPr>
              <w:pBdr>
                <w:bottom w:val="single" w:sz="12" w:space="1" w:color="auto"/>
              </w:pBdr>
              <w:rPr>
                <w:rFonts w:cstheme="minorHAnsi"/>
                <w:b/>
                <w:bCs/>
              </w:rPr>
            </w:pPr>
            <w:r>
              <w:rPr>
                <w:rFonts w:cstheme="minorHAnsi"/>
                <w:b/>
                <w:bCs/>
              </w:rPr>
              <w:t>Harlene Hayne</w:t>
            </w:r>
          </w:p>
          <w:p w14:paraId="058F41F7" w14:textId="77777777" w:rsidR="008F21A0" w:rsidRPr="00E169EE" w:rsidRDefault="008F21A0" w:rsidP="00161951">
            <w:pPr>
              <w:rPr>
                <w:rFonts w:cstheme="minorHAnsi"/>
              </w:rPr>
            </w:pPr>
            <w:r w:rsidRPr="00E169EE">
              <w:rPr>
                <w:rFonts w:cstheme="minorHAnsi"/>
              </w:rPr>
              <w:t>Full name (please print)</w:t>
            </w:r>
          </w:p>
        </w:tc>
        <w:tc>
          <w:tcPr>
            <w:tcW w:w="4508" w:type="dxa"/>
          </w:tcPr>
          <w:p w14:paraId="63E266F0" w14:textId="77777777" w:rsidR="008F21A0" w:rsidRPr="00E169EE" w:rsidRDefault="008F21A0" w:rsidP="00161951">
            <w:pPr>
              <w:pBdr>
                <w:bottom w:val="single" w:sz="12" w:space="1" w:color="auto"/>
              </w:pBdr>
              <w:rPr>
                <w:rFonts w:cstheme="minorHAnsi"/>
                <w:b/>
                <w:bCs/>
              </w:rPr>
            </w:pPr>
            <w:r>
              <w:rPr>
                <w:rFonts w:cstheme="minorHAnsi"/>
                <w:b/>
                <w:bCs/>
              </w:rPr>
              <w:t>Rachael Clark</w:t>
            </w:r>
          </w:p>
          <w:p w14:paraId="7F93E697" w14:textId="77777777" w:rsidR="008F21A0" w:rsidRPr="00E169EE" w:rsidRDefault="008F21A0" w:rsidP="00161951">
            <w:pPr>
              <w:rPr>
                <w:rFonts w:cstheme="minorHAnsi"/>
              </w:rPr>
            </w:pPr>
            <w:r>
              <w:rPr>
                <w:rFonts w:cstheme="minorHAnsi"/>
              </w:rPr>
              <w:t>W</w:t>
            </w:r>
            <w:r w:rsidRPr="00E169EE">
              <w:rPr>
                <w:rFonts w:cstheme="minorHAnsi"/>
              </w:rPr>
              <w:t>itness (please print)</w:t>
            </w:r>
          </w:p>
        </w:tc>
      </w:tr>
      <w:tr w:rsidR="008F21A0" w:rsidRPr="00E169EE" w14:paraId="7AFA1E1E" w14:textId="77777777" w:rsidTr="00161951">
        <w:tc>
          <w:tcPr>
            <w:tcW w:w="4508" w:type="dxa"/>
          </w:tcPr>
          <w:p w14:paraId="37979B67" w14:textId="77777777" w:rsidR="008F21A0" w:rsidRPr="00E169EE" w:rsidRDefault="008F21A0" w:rsidP="00161951">
            <w:pPr>
              <w:pBdr>
                <w:bottom w:val="single" w:sz="12" w:space="1" w:color="auto"/>
              </w:pBdr>
              <w:spacing w:after="0"/>
              <w:rPr>
                <w:rFonts w:cstheme="minorHAnsi"/>
                <w:b/>
                <w:bCs/>
              </w:rPr>
            </w:pPr>
            <w:r>
              <w:rPr>
                <w:rFonts w:cstheme="minorHAnsi"/>
                <w:b/>
                <w:bCs/>
              </w:rPr>
              <w:t>Vice-Chancellor</w:t>
            </w:r>
          </w:p>
          <w:p w14:paraId="4E319316" w14:textId="77777777" w:rsidR="008F21A0" w:rsidRPr="00E169EE" w:rsidRDefault="008F21A0" w:rsidP="00161951">
            <w:pPr>
              <w:spacing w:after="0"/>
              <w:rPr>
                <w:rFonts w:cstheme="minorHAnsi"/>
              </w:rPr>
            </w:pPr>
            <w:r w:rsidRPr="00E169EE">
              <w:rPr>
                <w:rFonts w:cstheme="minorHAnsi"/>
              </w:rPr>
              <w:t>Position</w:t>
            </w:r>
          </w:p>
          <w:p w14:paraId="5EE49692" w14:textId="77777777" w:rsidR="008F21A0" w:rsidRPr="00E169EE" w:rsidRDefault="008F21A0" w:rsidP="00161951">
            <w:pPr>
              <w:spacing w:after="0"/>
              <w:rPr>
                <w:rFonts w:cstheme="minorHAnsi"/>
              </w:rPr>
            </w:pPr>
          </w:p>
        </w:tc>
        <w:tc>
          <w:tcPr>
            <w:tcW w:w="4508" w:type="dxa"/>
          </w:tcPr>
          <w:p w14:paraId="0271483E" w14:textId="77777777" w:rsidR="008F21A0" w:rsidRPr="00E169EE" w:rsidRDefault="008F21A0" w:rsidP="00161951">
            <w:pPr>
              <w:pBdr>
                <w:bottom w:val="single" w:sz="12" w:space="1" w:color="auto"/>
              </w:pBdr>
              <w:spacing w:after="0"/>
              <w:rPr>
                <w:rFonts w:cstheme="minorHAnsi"/>
                <w:b/>
                <w:bCs/>
              </w:rPr>
            </w:pPr>
            <w:r>
              <w:rPr>
                <w:rFonts w:cstheme="minorHAnsi"/>
                <w:b/>
                <w:bCs/>
              </w:rPr>
              <w:t>Executive Assistant</w:t>
            </w:r>
          </w:p>
          <w:p w14:paraId="4EED26E6" w14:textId="77777777" w:rsidR="008F21A0" w:rsidRPr="00E169EE" w:rsidRDefault="008F21A0" w:rsidP="00161951">
            <w:pPr>
              <w:spacing w:after="0"/>
              <w:rPr>
                <w:rFonts w:cstheme="minorHAnsi"/>
              </w:rPr>
            </w:pPr>
            <w:r w:rsidRPr="00E169EE">
              <w:rPr>
                <w:rFonts w:cstheme="minorHAnsi"/>
              </w:rPr>
              <w:t>Position</w:t>
            </w:r>
            <w:r>
              <w:rPr>
                <w:rFonts w:cstheme="minorHAnsi"/>
              </w:rPr>
              <w:t xml:space="preserve"> or profession of witness (please print)</w:t>
            </w:r>
          </w:p>
        </w:tc>
      </w:tr>
      <w:tr w:rsidR="008F21A0" w:rsidRPr="00E169EE" w14:paraId="05B70662" w14:textId="77777777" w:rsidTr="00161951">
        <w:trPr>
          <w:trHeight w:val="80"/>
        </w:trPr>
        <w:tc>
          <w:tcPr>
            <w:tcW w:w="4508" w:type="dxa"/>
          </w:tcPr>
          <w:p w14:paraId="68627090" w14:textId="64D127B4" w:rsidR="008F21A0" w:rsidRPr="00E169EE" w:rsidRDefault="008F21A0" w:rsidP="00161951">
            <w:pPr>
              <w:pBdr>
                <w:bottom w:val="single" w:sz="12" w:space="1" w:color="auto"/>
              </w:pBdr>
              <w:spacing w:after="0"/>
              <w:rPr>
                <w:rFonts w:cstheme="minorHAnsi"/>
                <w:b/>
                <w:bCs/>
              </w:rPr>
            </w:pPr>
          </w:p>
          <w:p w14:paraId="73BE3D9C" w14:textId="77777777" w:rsidR="008F21A0" w:rsidRDefault="008F21A0" w:rsidP="00161951">
            <w:pPr>
              <w:spacing w:after="0"/>
              <w:rPr>
                <w:rFonts w:cstheme="minorHAnsi"/>
              </w:rPr>
            </w:pPr>
            <w:r w:rsidRPr="00E169EE">
              <w:rPr>
                <w:rFonts w:cstheme="minorHAnsi"/>
              </w:rPr>
              <w:t>Signature</w:t>
            </w:r>
          </w:p>
          <w:p w14:paraId="34EC5E09" w14:textId="77777777" w:rsidR="00063C6B" w:rsidRDefault="00063C6B" w:rsidP="00161951">
            <w:pPr>
              <w:spacing w:after="0"/>
              <w:rPr>
                <w:rFonts w:cstheme="minorHAnsi"/>
              </w:rPr>
            </w:pPr>
          </w:p>
          <w:p w14:paraId="23853455" w14:textId="6AE05117" w:rsidR="00063C6B" w:rsidRPr="00063C6B" w:rsidRDefault="00063C6B" w:rsidP="00161951">
            <w:pPr>
              <w:spacing w:after="0"/>
              <w:rPr>
                <w:rFonts w:cstheme="minorHAnsi"/>
                <w:b/>
                <w:bCs/>
              </w:rPr>
            </w:pPr>
            <w:r w:rsidRPr="00E169EE">
              <w:rPr>
                <w:rFonts w:cstheme="minorHAnsi"/>
              </w:rPr>
              <w:t>Date</w:t>
            </w:r>
            <w:r>
              <w:rPr>
                <w:rFonts w:cstheme="minorHAnsi"/>
              </w:rPr>
              <w:t xml:space="preserve"> </w:t>
            </w:r>
            <w:r w:rsidRPr="00B27951">
              <w:rPr>
                <w:rFonts w:cstheme="minorHAnsi"/>
                <w:b/>
                <w:bCs/>
              </w:rPr>
              <w:t>13 November 2025</w:t>
            </w:r>
          </w:p>
        </w:tc>
        <w:tc>
          <w:tcPr>
            <w:tcW w:w="4508" w:type="dxa"/>
          </w:tcPr>
          <w:p w14:paraId="4835698F" w14:textId="46ED0293" w:rsidR="008F21A0" w:rsidRPr="00E169EE" w:rsidRDefault="008F21A0" w:rsidP="00161951">
            <w:pPr>
              <w:pBdr>
                <w:bottom w:val="single" w:sz="12" w:space="1" w:color="auto"/>
              </w:pBdr>
              <w:spacing w:after="0"/>
              <w:rPr>
                <w:rFonts w:cstheme="minorHAnsi"/>
                <w:b/>
                <w:bCs/>
              </w:rPr>
            </w:pPr>
          </w:p>
          <w:p w14:paraId="441F7422" w14:textId="77777777" w:rsidR="008F21A0" w:rsidRPr="00E169EE" w:rsidRDefault="008F21A0" w:rsidP="00161951">
            <w:pPr>
              <w:spacing w:after="0"/>
              <w:rPr>
                <w:rFonts w:cstheme="minorHAnsi"/>
              </w:rPr>
            </w:pPr>
            <w:r w:rsidRPr="00E169EE">
              <w:rPr>
                <w:rFonts w:cstheme="minorHAnsi"/>
              </w:rPr>
              <w:t>Signature</w:t>
            </w:r>
          </w:p>
        </w:tc>
      </w:tr>
    </w:tbl>
    <w:p w14:paraId="3F9754A4" w14:textId="77777777" w:rsidR="006C1DDA" w:rsidRPr="00063C6B" w:rsidRDefault="006C1DDA" w:rsidP="006C1DDA">
      <w:pPr>
        <w:rPr>
          <w:b/>
          <w:bCs/>
          <w:sz w:val="2"/>
          <w:szCs w:val="2"/>
        </w:rPr>
      </w:pPr>
    </w:p>
    <w:sectPr w:rsidR="006C1DDA" w:rsidRPr="00063C6B" w:rsidSect="00404B89">
      <w:footerReference w:type="default" r:id="rId52"/>
      <w:footerReference w:type="first" r:id="rId53"/>
      <w:pgSz w:w="11906" w:h="16838"/>
      <w:pgMar w:top="1068" w:right="1440" w:bottom="1440" w:left="1440"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690A" w14:textId="77777777" w:rsidR="00D510C4" w:rsidRDefault="00D510C4" w:rsidP="000A6228">
      <w:pPr>
        <w:spacing w:after="0" w:line="240" w:lineRule="auto"/>
      </w:pPr>
      <w:r>
        <w:separator/>
      </w:r>
    </w:p>
  </w:endnote>
  <w:endnote w:type="continuationSeparator" w:id="0">
    <w:p w14:paraId="326D7FC4" w14:textId="77777777" w:rsidR="00D510C4" w:rsidRDefault="00D510C4" w:rsidP="000A6228">
      <w:pPr>
        <w:spacing w:after="0" w:line="240" w:lineRule="auto"/>
      </w:pPr>
      <w:r>
        <w:continuationSeparator/>
      </w:r>
    </w:p>
  </w:endnote>
  <w:endnote w:type="continuationNotice" w:id="1">
    <w:p w14:paraId="6DD900B1" w14:textId="77777777" w:rsidR="00D510C4" w:rsidRDefault="00D51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53B95D11" w14:textId="5C6D2CCA" w:rsidR="006C1BBB" w:rsidRDefault="0029618B" w:rsidP="003D68E3">
        <w:pPr>
          <w:pStyle w:val="Footer"/>
          <w:pBdr>
            <w:top w:val="single" w:sz="4" w:space="1" w:color="D9D9D9" w:themeColor="background1" w:themeShade="D9"/>
          </w:pBd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F096" w14:textId="77777777" w:rsidR="00D510C4" w:rsidRDefault="00D510C4" w:rsidP="000A6228">
      <w:pPr>
        <w:spacing w:after="0" w:line="240" w:lineRule="auto"/>
      </w:pPr>
      <w:r>
        <w:separator/>
      </w:r>
    </w:p>
  </w:footnote>
  <w:footnote w:type="continuationSeparator" w:id="0">
    <w:p w14:paraId="10872B89" w14:textId="77777777" w:rsidR="00D510C4" w:rsidRDefault="00D510C4" w:rsidP="000A6228">
      <w:pPr>
        <w:spacing w:after="0" w:line="240" w:lineRule="auto"/>
      </w:pPr>
      <w:r>
        <w:continuationSeparator/>
      </w:r>
    </w:p>
  </w:footnote>
  <w:footnote w:type="continuationNotice" w:id="1">
    <w:p w14:paraId="3E06FD5A" w14:textId="77777777" w:rsidR="00D510C4" w:rsidRDefault="00D510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A31D05"/>
    <w:multiLevelType w:val="hybridMultilevel"/>
    <w:tmpl w:val="366402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DD2EB3"/>
    <w:multiLevelType w:val="hybridMultilevel"/>
    <w:tmpl w:val="E7BCC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14340E"/>
    <w:multiLevelType w:val="hybridMultilevel"/>
    <w:tmpl w:val="366402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D2D7985"/>
    <w:multiLevelType w:val="hybridMultilevel"/>
    <w:tmpl w:val="5CFC90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9"/>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0"/>
  </w:num>
  <w:num w:numId="17" w16cid:durableId="1022434231">
    <w:abstractNumId w:val="14"/>
  </w:num>
  <w:num w:numId="18" w16cid:durableId="618417265">
    <w:abstractNumId w:val="8"/>
  </w:num>
  <w:num w:numId="19" w16cid:durableId="271010807">
    <w:abstractNumId w:val="16"/>
  </w:num>
  <w:num w:numId="20" w16cid:durableId="2083794743">
    <w:abstractNumId w:val="18"/>
  </w:num>
  <w:num w:numId="21" w16cid:durableId="792480264">
    <w:abstractNumId w:val="17"/>
  </w:num>
  <w:num w:numId="22" w16cid:durableId="2034646949">
    <w:abstractNumId w:val="15"/>
  </w:num>
  <w:num w:numId="23" w16cid:durableId="12077900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3CB9"/>
    <w:rsid w:val="00021FBE"/>
    <w:rsid w:val="00045E1D"/>
    <w:rsid w:val="000521D7"/>
    <w:rsid w:val="0005591C"/>
    <w:rsid w:val="00063C6B"/>
    <w:rsid w:val="00082C68"/>
    <w:rsid w:val="00090A62"/>
    <w:rsid w:val="000960CF"/>
    <w:rsid w:val="000A0B58"/>
    <w:rsid w:val="000A3A19"/>
    <w:rsid w:val="000A6228"/>
    <w:rsid w:val="000B5D40"/>
    <w:rsid w:val="000B7EC6"/>
    <w:rsid w:val="000D1329"/>
    <w:rsid w:val="000F7EF4"/>
    <w:rsid w:val="00107D87"/>
    <w:rsid w:val="00107DD5"/>
    <w:rsid w:val="0012343A"/>
    <w:rsid w:val="00133B8D"/>
    <w:rsid w:val="0013611E"/>
    <w:rsid w:val="001515BF"/>
    <w:rsid w:val="0015549C"/>
    <w:rsid w:val="0017134D"/>
    <w:rsid w:val="00196CDA"/>
    <w:rsid w:val="001B109C"/>
    <w:rsid w:val="001B71BC"/>
    <w:rsid w:val="001C1523"/>
    <w:rsid w:val="001E3BF1"/>
    <w:rsid w:val="001E6DBC"/>
    <w:rsid w:val="001F232F"/>
    <w:rsid w:val="001F32F6"/>
    <w:rsid w:val="002160BF"/>
    <w:rsid w:val="00217414"/>
    <w:rsid w:val="00221D8F"/>
    <w:rsid w:val="002272DB"/>
    <w:rsid w:val="00235752"/>
    <w:rsid w:val="0023758A"/>
    <w:rsid w:val="00241CF3"/>
    <w:rsid w:val="00242DA6"/>
    <w:rsid w:val="00243C86"/>
    <w:rsid w:val="002447D2"/>
    <w:rsid w:val="00262B02"/>
    <w:rsid w:val="00276047"/>
    <w:rsid w:val="002775F3"/>
    <w:rsid w:val="002952AB"/>
    <w:rsid w:val="0029618B"/>
    <w:rsid w:val="002A4458"/>
    <w:rsid w:val="002C162D"/>
    <w:rsid w:val="002C1F0F"/>
    <w:rsid w:val="002D3EFA"/>
    <w:rsid w:val="002D589A"/>
    <w:rsid w:val="002E491A"/>
    <w:rsid w:val="002F4604"/>
    <w:rsid w:val="002F7F19"/>
    <w:rsid w:val="003039E5"/>
    <w:rsid w:val="00304890"/>
    <w:rsid w:val="00396384"/>
    <w:rsid w:val="003D68E3"/>
    <w:rsid w:val="003E7940"/>
    <w:rsid w:val="0040155D"/>
    <w:rsid w:val="00404B89"/>
    <w:rsid w:val="0041713E"/>
    <w:rsid w:val="00421D3F"/>
    <w:rsid w:val="00423785"/>
    <w:rsid w:val="0042692C"/>
    <w:rsid w:val="00437A23"/>
    <w:rsid w:val="00452D26"/>
    <w:rsid w:val="00462848"/>
    <w:rsid w:val="00463568"/>
    <w:rsid w:val="0049333E"/>
    <w:rsid w:val="004951C1"/>
    <w:rsid w:val="004A06CD"/>
    <w:rsid w:val="004A409C"/>
    <w:rsid w:val="004A4B6F"/>
    <w:rsid w:val="004A4CF9"/>
    <w:rsid w:val="004B4F47"/>
    <w:rsid w:val="004D2965"/>
    <w:rsid w:val="004D2D9D"/>
    <w:rsid w:val="004E6C1C"/>
    <w:rsid w:val="00520BA6"/>
    <w:rsid w:val="00541139"/>
    <w:rsid w:val="00547FB7"/>
    <w:rsid w:val="005506C2"/>
    <w:rsid w:val="0057028F"/>
    <w:rsid w:val="00571D9E"/>
    <w:rsid w:val="00591F57"/>
    <w:rsid w:val="00592ED0"/>
    <w:rsid w:val="0059678F"/>
    <w:rsid w:val="005A75C9"/>
    <w:rsid w:val="005B187D"/>
    <w:rsid w:val="005B2C06"/>
    <w:rsid w:val="005C60D5"/>
    <w:rsid w:val="005F015E"/>
    <w:rsid w:val="005F35D6"/>
    <w:rsid w:val="006232DC"/>
    <w:rsid w:val="0063094F"/>
    <w:rsid w:val="0065673C"/>
    <w:rsid w:val="006828E8"/>
    <w:rsid w:val="006B2B77"/>
    <w:rsid w:val="006C1BBB"/>
    <w:rsid w:val="006C1DDA"/>
    <w:rsid w:val="006D67F3"/>
    <w:rsid w:val="006E6078"/>
    <w:rsid w:val="006F1FFF"/>
    <w:rsid w:val="006F2406"/>
    <w:rsid w:val="006F6D10"/>
    <w:rsid w:val="0070076A"/>
    <w:rsid w:val="00712B94"/>
    <w:rsid w:val="00717352"/>
    <w:rsid w:val="00733BFF"/>
    <w:rsid w:val="007517BA"/>
    <w:rsid w:val="0077782B"/>
    <w:rsid w:val="00791EAF"/>
    <w:rsid w:val="007B2CA1"/>
    <w:rsid w:val="007D0ABC"/>
    <w:rsid w:val="007E1D68"/>
    <w:rsid w:val="007F422B"/>
    <w:rsid w:val="008034C4"/>
    <w:rsid w:val="008042F5"/>
    <w:rsid w:val="0086428D"/>
    <w:rsid w:val="00873972"/>
    <w:rsid w:val="00886959"/>
    <w:rsid w:val="00893A34"/>
    <w:rsid w:val="008A36E1"/>
    <w:rsid w:val="008A37A7"/>
    <w:rsid w:val="008A7AB4"/>
    <w:rsid w:val="008B0736"/>
    <w:rsid w:val="008B5C9D"/>
    <w:rsid w:val="008C1F5A"/>
    <w:rsid w:val="008D4FA9"/>
    <w:rsid w:val="008F1BD0"/>
    <w:rsid w:val="008F21A0"/>
    <w:rsid w:val="00907EBF"/>
    <w:rsid w:val="00913D0F"/>
    <w:rsid w:val="00924CAF"/>
    <w:rsid w:val="009354D0"/>
    <w:rsid w:val="00945925"/>
    <w:rsid w:val="00950B06"/>
    <w:rsid w:val="009676F7"/>
    <w:rsid w:val="00967774"/>
    <w:rsid w:val="00970069"/>
    <w:rsid w:val="009721EB"/>
    <w:rsid w:val="009741FE"/>
    <w:rsid w:val="009769D1"/>
    <w:rsid w:val="00980B05"/>
    <w:rsid w:val="00994D60"/>
    <w:rsid w:val="009A08CE"/>
    <w:rsid w:val="009B706E"/>
    <w:rsid w:val="009C1E72"/>
    <w:rsid w:val="009C423A"/>
    <w:rsid w:val="009E79ED"/>
    <w:rsid w:val="009F1904"/>
    <w:rsid w:val="00A07596"/>
    <w:rsid w:val="00A13232"/>
    <w:rsid w:val="00A17A08"/>
    <w:rsid w:val="00A2072C"/>
    <w:rsid w:val="00A22F8E"/>
    <w:rsid w:val="00A242D5"/>
    <w:rsid w:val="00A314D3"/>
    <w:rsid w:val="00A43893"/>
    <w:rsid w:val="00A60673"/>
    <w:rsid w:val="00A818DE"/>
    <w:rsid w:val="00AB2A61"/>
    <w:rsid w:val="00AC1872"/>
    <w:rsid w:val="00AC21EE"/>
    <w:rsid w:val="00AD13D0"/>
    <w:rsid w:val="00AD631F"/>
    <w:rsid w:val="00AE21FF"/>
    <w:rsid w:val="00AF1F18"/>
    <w:rsid w:val="00B04FA8"/>
    <w:rsid w:val="00B0726E"/>
    <w:rsid w:val="00B13225"/>
    <w:rsid w:val="00B162E3"/>
    <w:rsid w:val="00B219D1"/>
    <w:rsid w:val="00B27951"/>
    <w:rsid w:val="00B37F99"/>
    <w:rsid w:val="00B64B3D"/>
    <w:rsid w:val="00B6684B"/>
    <w:rsid w:val="00B72125"/>
    <w:rsid w:val="00B81FA4"/>
    <w:rsid w:val="00B8794C"/>
    <w:rsid w:val="00B95EF4"/>
    <w:rsid w:val="00BB6509"/>
    <w:rsid w:val="00BC248C"/>
    <w:rsid w:val="00BE1567"/>
    <w:rsid w:val="00C00061"/>
    <w:rsid w:val="00C01EC0"/>
    <w:rsid w:val="00C03A0E"/>
    <w:rsid w:val="00C212D2"/>
    <w:rsid w:val="00C2270F"/>
    <w:rsid w:val="00C244EE"/>
    <w:rsid w:val="00C319A4"/>
    <w:rsid w:val="00C32AE5"/>
    <w:rsid w:val="00C72224"/>
    <w:rsid w:val="00C75706"/>
    <w:rsid w:val="00CA4815"/>
    <w:rsid w:val="00CA64C5"/>
    <w:rsid w:val="00CC1725"/>
    <w:rsid w:val="00CF6562"/>
    <w:rsid w:val="00D03CC3"/>
    <w:rsid w:val="00D22F93"/>
    <w:rsid w:val="00D23ABC"/>
    <w:rsid w:val="00D2540F"/>
    <w:rsid w:val="00D510C4"/>
    <w:rsid w:val="00D5688A"/>
    <w:rsid w:val="00D65E8B"/>
    <w:rsid w:val="00D7558A"/>
    <w:rsid w:val="00D82BFE"/>
    <w:rsid w:val="00D86284"/>
    <w:rsid w:val="00DA24B4"/>
    <w:rsid w:val="00DB1D51"/>
    <w:rsid w:val="00DB2992"/>
    <w:rsid w:val="00DC1178"/>
    <w:rsid w:val="00DC5980"/>
    <w:rsid w:val="00DD2B46"/>
    <w:rsid w:val="00DD3400"/>
    <w:rsid w:val="00DD3642"/>
    <w:rsid w:val="00DE721C"/>
    <w:rsid w:val="00DF3F63"/>
    <w:rsid w:val="00E06ED6"/>
    <w:rsid w:val="00E0752E"/>
    <w:rsid w:val="00E114B4"/>
    <w:rsid w:val="00E23099"/>
    <w:rsid w:val="00E259B0"/>
    <w:rsid w:val="00E30B4D"/>
    <w:rsid w:val="00E4619F"/>
    <w:rsid w:val="00E529E5"/>
    <w:rsid w:val="00E55C8C"/>
    <w:rsid w:val="00EB4C2F"/>
    <w:rsid w:val="00EC159D"/>
    <w:rsid w:val="00EC1AF9"/>
    <w:rsid w:val="00ED0DDF"/>
    <w:rsid w:val="00ED2F15"/>
    <w:rsid w:val="00EE2E52"/>
    <w:rsid w:val="00EE40DA"/>
    <w:rsid w:val="00EF5C61"/>
    <w:rsid w:val="00F07246"/>
    <w:rsid w:val="00F1000D"/>
    <w:rsid w:val="00F11041"/>
    <w:rsid w:val="00F30BFA"/>
    <w:rsid w:val="00F311A4"/>
    <w:rsid w:val="00F53386"/>
    <w:rsid w:val="00F60B66"/>
    <w:rsid w:val="00F82C2C"/>
    <w:rsid w:val="00F85913"/>
    <w:rsid w:val="00F910C0"/>
    <w:rsid w:val="00F93583"/>
    <w:rsid w:val="00FA7392"/>
    <w:rsid w:val="00FC2B31"/>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NormalWeb">
    <w:name w:val="Normal (Web)"/>
    <w:basedOn w:val="Normal"/>
    <w:uiPriority w:val="99"/>
    <w:unhideWhenUsed/>
    <w:rsid w:val="005967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967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59678F"/>
  </w:style>
  <w:style w:type="paragraph" w:styleId="ListParagraph">
    <w:name w:val="List Paragraph"/>
    <w:basedOn w:val="Normal"/>
    <w:uiPriority w:val="34"/>
    <w:qFormat/>
    <w:rsid w:val="0059678F"/>
    <w:pPr>
      <w:spacing w:before="120" w:after="120" w:line="240" w:lineRule="auto"/>
      <w:ind w:left="720"/>
      <w:contextualSpacing/>
    </w:pPr>
    <w:rPr>
      <w:rFonts w:ascii="Calibri" w:hAnsi="Calibri"/>
      <w:kern w:val="2"/>
      <w:szCs w:val="24"/>
      <w14:ligatures w14:val="standardContextual"/>
    </w:rPr>
  </w:style>
  <w:style w:type="character" w:customStyle="1" w:styleId="apple-converted-space">
    <w:name w:val="apple-converted-space"/>
    <w:basedOn w:val="DefaultParagraphFont"/>
    <w:rsid w:val="0059678F"/>
  </w:style>
  <w:style w:type="character" w:customStyle="1" w:styleId="outlook-search-highlight">
    <w:name w:val="outlook-search-highlight"/>
    <w:basedOn w:val="DefaultParagraphFont"/>
    <w:rsid w:val="0059678F"/>
  </w:style>
  <w:style w:type="character" w:styleId="FollowedHyperlink">
    <w:name w:val="FollowedHyperlink"/>
    <w:basedOn w:val="DefaultParagraphFont"/>
    <w:uiPriority w:val="99"/>
    <w:semiHidden/>
    <w:unhideWhenUsed/>
    <w:rsid w:val="005506C2"/>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properties.curtin.edu.au/campus-safety/safezone/" TargetMode="External"/><Relationship Id="rId26" Type="http://schemas.openxmlformats.org/officeDocument/2006/relationships/hyperlink" Target="https://www.curtin.edu.au/about/values-vision-strategy/diversity-equity/disability-accessibility-inclusion-plan/" TargetMode="External"/><Relationship Id="rId39" Type="http://schemas.openxmlformats.org/officeDocument/2006/relationships/hyperlink" Target="https://www.curtin.edu.au/engage/entrepreneurs/accelerate/" TargetMode="External"/><Relationship Id="rId21" Type="http://schemas.openxmlformats.org/officeDocument/2006/relationships/hyperlink" Target="https://s30991.pcdn.co/about/wp-content/uploads/sites/5/2024/12/Academic_Freedom_and_Freedom_of_Speech_Policy.pdf" TargetMode="External"/><Relationship Id="rId34" Type="http://schemas.openxmlformats.org/officeDocument/2006/relationships/hyperlink" Target="https://www.curtin.edu.au/students/experience/curtin-extra/" TargetMode="External"/><Relationship Id="rId42" Type="http://schemas.openxmlformats.org/officeDocument/2006/relationships/hyperlink" Target="https://westtechfest.com.au/category-event/whats-on/" TargetMode="External"/><Relationship Id="rId47" Type="http://schemas.openxmlformats.org/officeDocument/2006/relationships/hyperlink" Target="https://research.curtin.edu.au/ciet/research/greentech-hub/" TargetMode="External"/><Relationship Id="rId50" Type="http://schemas.openxmlformats.org/officeDocument/2006/relationships/hyperlink" Target="https://www.curtin.edu.au/news/media-release/new-3m-partnership-to-drive-innovation-in-critical-minerals-sector/"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obsandskills.gov.au/data/skills-priority-list" TargetMode="External"/><Relationship Id="rId29" Type="http://schemas.openxmlformats.org/officeDocument/2006/relationships/hyperlink" Target="https://www.curtin.edu.au/students/personal-support/disability/register/" TargetMode="External"/><Relationship Id="rId11" Type="http://schemas.openxmlformats.org/officeDocument/2006/relationships/image" Target="media/image1.jpeg"/><Relationship Id="rId24" Type="http://schemas.openxmlformats.org/officeDocument/2006/relationships/hyperlink" Target="https://www.curtin.edu.au/study/campus-life/regional-study/" TargetMode="External"/><Relationship Id="rId32" Type="http://schemas.openxmlformats.org/officeDocument/2006/relationships/hyperlink" Target="https://s30991.pcdn.co/about/wp-content/uploads/sites/5/2022/11/Admission_and_Enrolment_Manual.pdf" TargetMode="External"/><Relationship Id="rId37" Type="http://schemas.openxmlformats.org/officeDocument/2006/relationships/hyperlink" Target="https://research.curtin.edu.au/wp-content/uploads/sites/2/2025/10/20250428-Research-Enabling-Plan-2025-v2.pdf" TargetMode="External"/><Relationship Id="rId40" Type="http://schemas.openxmlformats.org/officeDocument/2006/relationships/hyperlink" Target="https://www.curtin.edu.au/engage/entrepreneurs/kickstart-funding/" TargetMode="External"/><Relationship Id="rId45" Type="http://schemas.openxmlformats.org/officeDocument/2006/relationships/hyperlink" Target="https://www.curtin.edu.au/engage/entrepreneurs/accelerate/"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urtin.edu.au/about/governance/foreign-interference/" TargetMode="External"/><Relationship Id="rId31" Type="http://schemas.openxmlformats.org/officeDocument/2006/relationships/hyperlink" Target="https://www.curtin.edu.au/study/" TargetMode="External"/><Relationship Id="rId44" Type="http://schemas.openxmlformats.org/officeDocument/2006/relationships/hyperlink" Target="https://www.curtin.edu.au/study/professional-development/executive-education/ignition/"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rtin.edu.au/about/values-vision-strategy/curtin-2030-strategic-plan/" TargetMode="External"/><Relationship Id="rId22" Type="http://schemas.openxmlformats.org/officeDocument/2006/relationships/hyperlink" Target="https://s30991.pcdn.co/about/wp-content/uploads/sites/5/2022/11/Student-equity-inclusion-framework-Nov2022.pdf" TargetMode="External"/><Relationship Id="rId27" Type="http://schemas.openxmlformats.org/officeDocument/2006/relationships/hyperlink" Target="https://www.curtin.edu.au/students/" TargetMode="External"/><Relationship Id="rId30" Type="http://schemas.openxmlformats.org/officeDocument/2006/relationships/hyperlink" Target="https://karda.curtin.edu.au/" TargetMode="External"/><Relationship Id="rId35" Type="http://schemas.openxmlformats.org/officeDocument/2006/relationships/hyperlink" Target="https://s30991.pcdn.co/about/wp-content/uploads/sites/5/2023/10/Course_Quality_Assurance_Manual-2.pdf" TargetMode="External"/><Relationship Id="rId43" Type="http://schemas.openxmlformats.org/officeDocument/2006/relationships/hyperlink" Target="https://www.curtin.edu.au/about/governance/annual-reports/" TargetMode="External"/><Relationship Id="rId48" Type="http://schemas.openxmlformats.org/officeDocument/2006/relationships/hyperlink" Target="https://www.woodside.com/what-we-do/innovation/futurelab" TargetMode="External"/><Relationship Id="rId8" Type="http://schemas.openxmlformats.org/officeDocument/2006/relationships/webSettings" Target="webSettings.xml"/><Relationship Id="rId51" Type="http://schemas.openxmlformats.org/officeDocument/2006/relationships/hyperlink" Target="https://rtcm-trailblazer.au/about-u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urtin.edu.au/students/campus/safety-security/" TargetMode="External"/><Relationship Id="rId25" Type="http://schemas.openxmlformats.org/officeDocument/2006/relationships/hyperlink" Target="https://s30991.pcdn.co/about/wp-content/uploads/sites/5/2023/12/Support-For-Students-Policy.pdf" TargetMode="External"/><Relationship Id="rId33" Type="http://schemas.openxmlformats.org/officeDocument/2006/relationships/hyperlink" Target="https://www.curtin.edu.au/students/experience/volunteering/" TargetMode="External"/><Relationship Id="rId38" Type="http://schemas.openxmlformats.org/officeDocument/2006/relationships/hyperlink" Target="https://www.curtin.edu.au/study/professional-development/executive-education/ignition/" TargetMode="External"/><Relationship Id="rId46" Type="http://schemas.openxmlformats.org/officeDocument/2006/relationships/hyperlink" Target="https://research.curtin.edu.au/work-with-us/innovation-central-perth/" TargetMode="External"/><Relationship Id="rId20" Type="http://schemas.openxmlformats.org/officeDocument/2006/relationships/hyperlink" Target="https://www.wa.gov.au/government/privacy-and-responsible-information-sharing" TargetMode="External"/><Relationship Id="rId41" Type="http://schemas.openxmlformats.org/officeDocument/2006/relationships/hyperlink" Target="https://www.curtin.edu.au/engage/entrepreneurs/curtinnovation-award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urtin.edu.au/about/governance/annual-reports/" TargetMode="External"/><Relationship Id="rId23" Type="http://schemas.openxmlformats.org/officeDocument/2006/relationships/hyperlink" Target="https://www.curtin.edu.au/about/governance/annual-reports/" TargetMode="External"/><Relationship Id="rId28" Type="http://schemas.openxmlformats.org/officeDocument/2006/relationships/hyperlink" Target="https://www.curtin.edu.au/students/experience/students-as-partners/" TargetMode="External"/><Relationship Id="rId36" Type="http://schemas.openxmlformats.org/officeDocument/2006/relationships/hyperlink" Target="https://www.curtin.edu.au/about/governance/annual-reports/" TargetMode="External"/><Relationship Id="rId49" Type="http://schemas.openxmlformats.org/officeDocument/2006/relationships/hyperlink" Target="https://www.curtin.edu.au/news/media-release/minres-and-curtin-university-join-forces/"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C41419F5-EB12-4D42-A76E-2213E50CD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3112</Words>
  <Characters>19516</Characters>
  <Application>Microsoft Office Word</Application>
  <DocSecurity>0</DocSecurity>
  <Lines>330</Lines>
  <Paragraphs>149</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2025-12-01T05:06:00Z</cp:lastPrinted>
  <dcterms:created xsi:type="dcterms:W3CDTF">2025-11-23T22:17:00Z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