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11B235B"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2D7E8C51">
        <w:trPr>
          <w:cantSplit/>
        </w:trPr>
        <w:tc>
          <w:tcPr>
            <w:tcW w:w="5000" w:type="pct"/>
            <w:tcBorders>
              <w:bottom w:val="single" w:sz="4" w:space="0" w:color="auto"/>
            </w:tcBorders>
          </w:tcPr>
          <w:p w14:paraId="26FC6577" w14:textId="35FB0F0D" w:rsidR="001B109C" w:rsidRPr="005317CF" w:rsidRDefault="001B109C" w:rsidP="00426B7A">
            <w:pPr>
              <w:pStyle w:val="Heading4"/>
              <w:spacing w:before="0"/>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C24E6C">
              <w:t>CQUniversity Australia</w:t>
            </w:r>
          </w:p>
        </w:tc>
      </w:tr>
      <w:tr w:rsidR="001B109C" w:rsidRPr="00E41388" w14:paraId="2126955C" w14:textId="77777777" w:rsidTr="2D7E8C51">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2D7E8C51">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A607AA">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2D7E8C51">
        <w:tc>
          <w:tcPr>
            <w:tcW w:w="5000" w:type="pct"/>
          </w:tcPr>
          <w:p w14:paraId="43C124C8" w14:textId="11A8892F"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r w:rsidR="005B6C97">
              <w:t xml:space="preserve"> </w:t>
            </w:r>
          </w:p>
        </w:tc>
      </w:tr>
      <w:tr w:rsidR="001B109C" w:rsidRPr="00E41388" w14:paraId="6AF93BFD" w14:textId="77777777" w:rsidTr="2D7E8C51">
        <w:trPr>
          <w:trHeight w:val="1123"/>
        </w:trPr>
        <w:tc>
          <w:tcPr>
            <w:tcW w:w="5000" w:type="pct"/>
            <w:tcBorders>
              <w:bottom w:val="single" w:sz="4" w:space="0" w:color="auto"/>
            </w:tcBorders>
          </w:tcPr>
          <w:p w14:paraId="3C59113A" w14:textId="4AA2925B" w:rsidR="00177815" w:rsidRDefault="00177815" w:rsidP="2D7E8C51">
            <w:pPr>
              <w:pStyle w:val="NormalIndent"/>
              <w:spacing w:before="0" w:after="0" w:line="240" w:lineRule="auto"/>
              <w:ind w:left="0"/>
              <w:rPr>
                <w:rFonts w:asciiTheme="minorHAnsi" w:hAnsiTheme="minorHAnsi" w:cstheme="minorBidi"/>
              </w:rPr>
            </w:pPr>
            <w:r w:rsidRPr="2D7E8C51">
              <w:rPr>
                <w:rFonts w:asciiTheme="minorHAnsi" w:hAnsiTheme="minorHAnsi" w:cstheme="minorBidi"/>
              </w:rPr>
              <w:t>In 2024, CQUniversity commence</w:t>
            </w:r>
            <w:r w:rsidR="00B54FC6" w:rsidRPr="2D7E8C51">
              <w:rPr>
                <w:rFonts w:asciiTheme="minorHAnsi" w:hAnsiTheme="minorHAnsi" w:cstheme="minorBidi"/>
              </w:rPr>
              <w:t>d</w:t>
            </w:r>
            <w:r w:rsidRPr="2D7E8C51">
              <w:rPr>
                <w:rFonts w:asciiTheme="minorHAnsi" w:hAnsiTheme="minorHAnsi" w:cstheme="minorBidi"/>
              </w:rPr>
              <w:t xml:space="preserve"> its </w:t>
            </w:r>
            <w:hyperlink r:id="rId14">
              <w:r w:rsidRPr="2D7E8C51">
                <w:rPr>
                  <w:rStyle w:val="Hyperlink"/>
                  <w:rFonts w:asciiTheme="minorHAnsi" w:hAnsiTheme="minorHAnsi" w:cstheme="minorBidi"/>
                </w:rPr>
                <w:t>Strategic Plan 2024-2028</w:t>
              </w:r>
            </w:hyperlink>
            <w:r w:rsidRPr="2D7E8C51">
              <w:rPr>
                <w:rFonts w:asciiTheme="minorHAnsi" w:hAnsiTheme="minorHAnsi" w:cstheme="minorBidi"/>
              </w:rPr>
              <w:t xml:space="preserve">, </w:t>
            </w:r>
            <w:r w:rsidRPr="2D7E8C51">
              <w:rPr>
                <w:rFonts w:asciiTheme="minorHAnsi" w:hAnsiTheme="minorHAnsi" w:cstheme="minorBidi"/>
                <w:i/>
                <w:iCs/>
              </w:rPr>
              <w:t>We Change Lives</w:t>
            </w:r>
            <w:r w:rsidRPr="2D7E8C51">
              <w:rPr>
                <w:rFonts w:asciiTheme="minorHAnsi" w:hAnsiTheme="minorHAnsi" w:cstheme="minorBidi"/>
              </w:rPr>
              <w:t>, which reinforces the University’s vision to be Australia’s most accessible and supportive university, connecting our regions to the world through innovative education, training and research excellence. The Strategic Plan and its goals and priorities</w:t>
            </w:r>
            <w:r w:rsidR="0E7CED87" w:rsidRPr="2D7E8C51">
              <w:rPr>
                <w:rFonts w:asciiTheme="minorHAnsi" w:hAnsiTheme="minorHAnsi" w:cstheme="minorBidi"/>
              </w:rPr>
              <w:t xml:space="preserve"> </w:t>
            </w:r>
            <w:r w:rsidRPr="2D7E8C51">
              <w:rPr>
                <w:rFonts w:asciiTheme="minorHAnsi" w:hAnsiTheme="minorHAnsi" w:cstheme="minorBidi"/>
              </w:rPr>
              <w:t>is framed around the following three pillars:</w:t>
            </w:r>
          </w:p>
          <w:p w14:paraId="3FF6B6B6" w14:textId="77777777" w:rsidR="00177815" w:rsidRDefault="00177815" w:rsidP="001A4FC8">
            <w:pPr>
              <w:pStyle w:val="NormalIndent"/>
              <w:spacing w:before="0" w:after="0" w:line="240" w:lineRule="auto"/>
              <w:ind w:left="0"/>
              <w:rPr>
                <w:rFonts w:asciiTheme="minorHAnsi" w:hAnsiTheme="minorHAnsi" w:cstheme="minorHAnsi"/>
                <w:szCs w:val="22"/>
              </w:rPr>
            </w:pPr>
          </w:p>
          <w:p w14:paraId="76CC3962" w14:textId="77777777" w:rsidR="00177815" w:rsidRPr="0045232B" w:rsidRDefault="00177815" w:rsidP="001A4FC8">
            <w:pPr>
              <w:pStyle w:val="NormalIndent"/>
              <w:spacing w:before="0" w:after="0" w:line="240" w:lineRule="auto"/>
              <w:ind w:left="0"/>
              <w:rPr>
                <w:rFonts w:asciiTheme="minorHAnsi" w:hAnsiTheme="minorHAnsi" w:cstheme="minorHAnsi"/>
                <w:szCs w:val="22"/>
              </w:rPr>
            </w:pPr>
            <w:r w:rsidRPr="00737DAD">
              <w:rPr>
                <w:rFonts w:asciiTheme="minorHAnsi" w:hAnsiTheme="minorHAnsi" w:cstheme="minorHAnsi"/>
                <w:b/>
                <w:bCs/>
                <w:szCs w:val="22"/>
              </w:rPr>
              <w:t>People</w:t>
            </w:r>
            <w:r>
              <w:rPr>
                <w:rFonts w:asciiTheme="minorHAnsi" w:hAnsiTheme="minorHAnsi" w:cstheme="minorHAnsi"/>
                <w:szCs w:val="22"/>
              </w:rPr>
              <w:t xml:space="preserve">: CQUniversity is </w:t>
            </w:r>
            <w:r w:rsidRPr="006C3C17">
              <w:rPr>
                <w:rFonts w:asciiTheme="minorHAnsi" w:hAnsiTheme="minorHAnsi" w:cstheme="minorHAnsi"/>
                <w:szCs w:val="22"/>
              </w:rPr>
              <w:t xml:space="preserve">committed to creating an environment of lifelong learning where people feel empowered and proud to learn, work and grow with CQUniversity. </w:t>
            </w:r>
            <w:r>
              <w:rPr>
                <w:rFonts w:asciiTheme="minorHAnsi" w:hAnsiTheme="minorHAnsi" w:cstheme="minorHAnsi"/>
                <w:szCs w:val="22"/>
              </w:rPr>
              <w:t>CQUniversity</w:t>
            </w:r>
            <w:r w:rsidRPr="006C3C17">
              <w:rPr>
                <w:rFonts w:asciiTheme="minorHAnsi" w:hAnsiTheme="minorHAnsi" w:cstheme="minorHAnsi"/>
                <w:szCs w:val="22"/>
              </w:rPr>
              <w:t xml:space="preserve"> will be leaders in providing innovative, accessible, supportive and flexible learning, engaged workplaces and enriched societies.</w:t>
            </w:r>
          </w:p>
          <w:p w14:paraId="13C25991" w14:textId="77777777" w:rsidR="00177815" w:rsidRPr="0045232B" w:rsidRDefault="00177815" w:rsidP="001A4FC8">
            <w:pPr>
              <w:pStyle w:val="NormalIndent"/>
              <w:spacing w:before="0" w:after="0" w:line="240" w:lineRule="auto"/>
              <w:ind w:left="0"/>
              <w:rPr>
                <w:rFonts w:asciiTheme="minorHAnsi" w:hAnsiTheme="minorHAnsi" w:cstheme="minorHAnsi"/>
                <w:szCs w:val="22"/>
              </w:rPr>
            </w:pPr>
          </w:p>
          <w:p w14:paraId="21F2D7FC" w14:textId="77777777" w:rsidR="00177815" w:rsidRDefault="00177815" w:rsidP="001A4FC8">
            <w:pPr>
              <w:pStyle w:val="NormalIndent"/>
              <w:spacing w:before="0" w:after="0" w:line="240" w:lineRule="auto"/>
              <w:ind w:left="0"/>
              <w:rPr>
                <w:rFonts w:asciiTheme="minorHAnsi" w:hAnsiTheme="minorHAnsi" w:cstheme="minorHAnsi"/>
                <w:szCs w:val="22"/>
              </w:rPr>
            </w:pPr>
            <w:r w:rsidRPr="00EC2E74">
              <w:rPr>
                <w:rFonts w:asciiTheme="minorHAnsi" w:hAnsiTheme="minorHAnsi" w:cstheme="minorHAnsi"/>
                <w:b/>
                <w:bCs/>
                <w:szCs w:val="22"/>
              </w:rPr>
              <w:t>Planet</w:t>
            </w:r>
            <w:r>
              <w:rPr>
                <w:rFonts w:asciiTheme="minorHAnsi" w:hAnsiTheme="minorHAnsi" w:cstheme="minorHAnsi"/>
                <w:szCs w:val="22"/>
              </w:rPr>
              <w:t xml:space="preserve">: CQUniversity is committed to </w:t>
            </w:r>
            <w:r w:rsidRPr="006C3C17">
              <w:rPr>
                <w:rFonts w:asciiTheme="minorHAnsi" w:hAnsiTheme="minorHAnsi" w:cstheme="minorHAnsi"/>
                <w:szCs w:val="22"/>
              </w:rPr>
              <w:t xml:space="preserve">advancing our stewardship to ensure a sustainable future for the University and, in turn, build sustainable regions through our presence and research that aligns with societal needs. </w:t>
            </w:r>
            <w:r>
              <w:rPr>
                <w:rFonts w:asciiTheme="minorHAnsi" w:hAnsiTheme="minorHAnsi" w:cstheme="minorHAnsi"/>
                <w:szCs w:val="22"/>
              </w:rPr>
              <w:t>CQUniversity is</w:t>
            </w:r>
            <w:r w:rsidRPr="006C3C17">
              <w:rPr>
                <w:rFonts w:asciiTheme="minorHAnsi" w:hAnsiTheme="minorHAnsi" w:cstheme="minorHAnsi"/>
                <w:szCs w:val="22"/>
              </w:rPr>
              <w:t xml:space="preserve"> focused on striking the right balance with our investment decisions to ensure a positive impact on the planet.</w:t>
            </w:r>
          </w:p>
          <w:p w14:paraId="7C549CE2" w14:textId="77777777" w:rsidR="00177815" w:rsidRPr="0045232B" w:rsidRDefault="00177815" w:rsidP="001A4FC8">
            <w:pPr>
              <w:pStyle w:val="NormalIndent"/>
              <w:spacing w:before="0" w:after="0" w:line="240" w:lineRule="auto"/>
              <w:ind w:left="0"/>
              <w:rPr>
                <w:rFonts w:asciiTheme="minorHAnsi" w:hAnsiTheme="minorHAnsi" w:cstheme="minorHAnsi"/>
                <w:szCs w:val="22"/>
              </w:rPr>
            </w:pPr>
          </w:p>
          <w:p w14:paraId="55138F19" w14:textId="77777777" w:rsidR="00177815" w:rsidRDefault="00177815" w:rsidP="001A4FC8">
            <w:pPr>
              <w:pStyle w:val="NormalIndent"/>
              <w:spacing w:before="0" w:after="0" w:line="240" w:lineRule="auto"/>
              <w:ind w:left="0"/>
              <w:rPr>
                <w:rFonts w:asciiTheme="minorHAnsi" w:hAnsiTheme="minorHAnsi" w:cstheme="minorHAnsi"/>
                <w:szCs w:val="22"/>
              </w:rPr>
            </w:pPr>
            <w:r w:rsidRPr="00741352">
              <w:rPr>
                <w:rFonts w:asciiTheme="minorHAnsi" w:hAnsiTheme="minorHAnsi" w:cstheme="minorHAnsi"/>
                <w:b/>
                <w:bCs/>
                <w:szCs w:val="22"/>
              </w:rPr>
              <w:t>Partnerships</w:t>
            </w:r>
            <w:r>
              <w:rPr>
                <w:rFonts w:asciiTheme="minorHAnsi" w:hAnsiTheme="minorHAnsi" w:cstheme="minorHAnsi"/>
                <w:szCs w:val="22"/>
              </w:rPr>
              <w:t xml:space="preserve">: CQUniversity is committed to making a </w:t>
            </w:r>
            <w:r w:rsidRPr="006C3C17">
              <w:rPr>
                <w:rFonts w:asciiTheme="minorHAnsi" w:hAnsiTheme="minorHAnsi" w:cstheme="minorHAnsi"/>
                <w:szCs w:val="22"/>
              </w:rPr>
              <w:t xml:space="preserve">brighter future through drive and imagination in close partnership with our communities and stakeholders. </w:t>
            </w:r>
            <w:r>
              <w:rPr>
                <w:rFonts w:asciiTheme="minorHAnsi" w:hAnsiTheme="minorHAnsi" w:cstheme="minorHAnsi"/>
                <w:szCs w:val="22"/>
              </w:rPr>
              <w:t>CQUniversity</w:t>
            </w:r>
            <w:r w:rsidRPr="006C3C17">
              <w:rPr>
                <w:rFonts w:asciiTheme="minorHAnsi" w:hAnsiTheme="minorHAnsi" w:cstheme="minorHAnsi"/>
                <w:szCs w:val="22"/>
              </w:rPr>
              <w:t xml:space="preserve"> recognise</w:t>
            </w:r>
            <w:r>
              <w:rPr>
                <w:rFonts w:asciiTheme="minorHAnsi" w:hAnsiTheme="minorHAnsi" w:cstheme="minorHAnsi"/>
                <w:szCs w:val="22"/>
              </w:rPr>
              <w:t>s</w:t>
            </w:r>
            <w:r w:rsidRPr="006C3C17">
              <w:rPr>
                <w:rFonts w:asciiTheme="minorHAnsi" w:hAnsiTheme="minorHAnsi" w:cstheme="minorHAnsi"/>
                <w:szCs w:val="22"/>
              </w:rPr>
              <w:t xml:space="preserve"> and value</w:t>
            </w:r>
            <w:r>
              <w:rPr>
                <w:rFonts w:asciiTheme="minorHAnsi" w:hAnsiTheme="minorHAnsi" w:cstheme="minorHAnsi"/>
                <w:szCs w:val="22"/>
              </w:rPr>
              <w:t>s</w:t>
            </w:r>
            <w:r w:rsidRPr="006C3C17">
              <w:rPr>
                <w:rFonts w:asciiTheme="minorHAnsi" w:hAnsiTheme="minorHAnsi" w:cstheme="minorHAnsi"/>
                <w:szCs w:val="22"/>
              </w:rPr>
              <w:t xml:space="preserve"> our partners and actively develop</w:t>
            </w:r>
            <w:r>
              <w:rPr>
                <w:rFonts w:asciiTheme="minorHAnsi" w:hAnsiTheme="minorHAnsi" w:cstheme="minorHAnsi"/>
                <w:szCs w:val="22"/>
              </w:rPr>
              <w:t>s</w:t>
            </w:r>
            <w:r w:rsidRPr="006C3C17">
              <w:rPr>
                <w:rFonts w:asciiTheme="minorHAnsi" w:hAnsiTheme="minorHAnsi" w:cstheme="minorHAnsi"/>
                <w:szCs w:val="22"/>
              </w:rPr>
              <w:t xml:space="preserve"> our partnerships for the benefit of all.</w:t>
            </w:r>
          </w:p>
          <w:p w14:paraId="6A659BCE" w14:textId="77777777" w:rsidR="00177815" w:rsidRPr="0045232B" w:rsidRDefault="00177815" w:rsidP="001A4FC8">
            <w:pPr>
              <w:pStyle w:val="NormalIndent"/>
              <w:spacing w:before="0" w:after="0" w:line="240" w:lineRule="auto"/>
              <w:ind w:left="0"/>
              <w:rPr>
                <w:rFonts w:asciiTheme="minorHAnsi" w:hAnsiTheme="minorHAnsi" w:cstheme="minorHAnsi"/>
                <w:szCs w:val="22"/>
              </w:rPr>
            </w:pPr>
          </w:p>
          <w:p w14:paraId="571712FD" w14:textId="77777777" w:rsidR="00177815" w:rsidRDefault="00177815" w:rsidP="001A4FC8">
            <w:pPr>
              <w:pStyle w:val="NormalIndent"/>
              <w:spacing w:before="0" w:after="0" w:line="240" w:lineRule="auto"/>
              <w:ind w:left="0"/>
              <w:rPr>
                <w:rFonts w:asciiTheme="minorHAnsi" w:hAnsiTheme="minorHAnsi" w:cstheme="minorHAnsi"/>
                <w:szCs w:val="22"/>
              </w:rPr>
            </w:pPr>
            <w:r>
              <w:rPr>
                <w:rFonts w:asciiTheme="minorHAnsi" w:hAnsiTheme="minorHAnsi" w:cstheme="minorHAnsi"/>
                <w:szCs w:val="22"/>
              </w:rPr>
              <w:t>The success of CQUniversity’s Strategic Plan will be measured by:</w:t>
            </w:r>
          </w:p>
          <w:p w14:paraId="2B4055FE" w14:textId="77777777" w:rsidR="00177815" w:rsidRDefault="00177815" w:rsidP="001A4FC8">
            <w:pPr>
              <w:pStyle w:val="NormalIndent"/>
              <w:numPr>
                <w:ilvl w:val="0"/>
                <w:numId w:val="22"/>
              </w:numPr>
              <w:spacing w:before="0" w:after="0" w:line="240" w:lineRule="auto"/>
              <w:rPr>
                <w:rFonts w:asciiTheme="minorHAnsi" w:hAnsiTheme="minorHAnsi" w:cstheme="minorHAnsi"/>
                <w:szCs w:val="22"/>
              </w:rPr>
            </w:pPr>
            <w:r>
              <w:rPr>
                <w:rFonts w:asciiTheme="minorHAnsi" w:hAnsiTheme="minorHAnsi" w:cstheme="minorHAnsi"/>
                <w:szCs w:val="22"/>
              </w:rPr>
              <w:t>Student retention and satisfaction.</w:t>
            </w:r>
          </w:p>
          <w:p w14:paraId="5E2FC232" w14:textId="77777777" w:rsidR="00177815" w:rsidRDefault="00177815" w:rsidP="001A4FC8">
            <w:pPr>
              <w:pStyle w:val="NormalIndent"/>
              <w:numPr>
                <w:ilvl w:val="0"/>
                <w:numId w:val="22"/>
              </w:numPr>
              <w:spacing w:before="0" w:after="0" w:line="240" w:lineRule="auto"/>
              <w:rPr>
                <w:rFonts w:asciiTheme="minorHAnsi" w:hAnsiTheme="minorHAnsi" w:cstheme="minorHAnsi"/>
                <w:szCs w:val="22"/>
              </w:rPr>
            </w:pPr>
            <w:r>
              <w:rPr>
                <w:rFonts w:asciiTheme="minorHAnsi" w:hAnsiTheme="minorHAnsi" w:cstheme="minorHAnsi"/>
                <w:szCs w:val="22"/>
              </w:rPr>
              <w:t>Staff retention and satisfaction.</w:t>
            </w:r>
          </w:p>
          <w:p w14:paraId="6939D898" w14:textId="77777777" w:rsidR="00177815" w:rsidRDefault="00177815" w:rsidP="001A4FC8">
            <w:pPr>
              <w:pStyle w:val="NormalIndent"/>
              <w:numPr>
                <w:ilvl w:val="0"/>
                <w:numId w:val="22"/>
              </w:numPr>
              <w:spacing w:before="0" w:after="0" w:line="240" w:lineRule="auto"/>
              <w:rPr>
                <w:rFonts w:asciiTheme="minorHAnsi" w:hAnsiTheme="minorHAnsi" w:cstheme="minorHAnsi"/>
                <w:szCs w:val="22"/>
              </w:rPr>
            </w:pPr>
            <w:r>
              <w:rPr>
                <w:rFonts w:asciiTheme="minorHAnsi" w:hAnsiTheme="minorHAnsi" w:cstheme="minorHAnsi"/>
                <w:szCs w:val="22"/>
              </w:rPr>
              <w:t>Reduction in carbon emissions.</w:t>
            </w:r>
          </w:p>
          <w:p w14:paraId="6B3736A7" w14:textId="77777777" w:rsidR="00177815" w:rsidRDefault="00177815" w:rsidP="001A4FC8">
            <w:pPr>
              <w:pStyle w:val="NormalIndent"/>
              <w:numPr>
                <w:ilvl w:val="0"/>
                <w:numId w:val="22"/>
              </w:numPr>
              <w:spacing w:before="0" w:after="0" w:line="240" w:lineRule="auto"/>
              <w:rPr>
                <w:rFonts w:asciiTheme="minorHAnsi" w:hAnsiTheme="minorHAnsi" w:cstheme="minorHAnsi"/>
                <w:szCs w:val="22"/>
              </w:rPr>
            </w:pPr>
            <w:r>
              <w:rPr>
                <w:rFonts w:asciiTheme="minorHAnsi" w:hAnsiTheme="minorHAnsi" w:cstheme="minorHAnsi"/>
                <w:szCs w:val="22"/>
              </w:rPr>
              <w:t>Underlying operating surplus.</w:t>
            </w:r>
          </w:p>
          <w:p w14:paraId="4038930A" w14:textId="77777777" w:rsidR="00177815" w:rsidRDefault="00177815" w:rsidP="001A4FC8">
            <w:pPr>
              <w:pStyle w:val="NormalIndent"/>
              <w:numPr>
                <w:ilvl w:val="0"/>
                <w:numId w:val="22"/>
              </w:numPr>
              <w:spacing w:before="0" w:after="0" w:line="240" w:lineRule="auto"/>
              <w:rPr>
                <w:rFonts w:asciiTheme="minorHAnsi" w:hAnsiTheme="minorHAnsi" w:cstheme="minorHAnsi"/>
                <w:szCs w:val="22"/>
              </w:rPr>
            </w:pPr>
            <w:r>
              <w:rPr>
                <w:rFonts w:asciiTheme="minorHAnsi" w:hAnsiTheme="minorHAnsi" w:cstheme="minorHAnsi"/>
                <w:szCs w:val="22"/>
              </w:rPr>
              <w:t>Reconciliation Action Plan.</w:t>
            </w:r>
          </w:p>
          <w:p w14:paraId="556DAF89" w14:textId="77777777" w:rsidR="00177815" w:rsidRDefault="00177815" w:rsidP="001A4FC8">
            <w:pPr>
              <w:pStyle w:val="NormalIndent"/>
              <w:numPr>
                <w:ilvl w:val="0"/>
                <w:numId w:val="22"/>
              </w:numPr>
              <w:spacing w:before="0" w:after="0" w:line="240" w:lineRule="auto"/>
              <w:rPr>
                <w:rFonts w:asciiTheme="minorHAnsi" w:hAnsiTheme="minorHAnsi" w:cstheme="minorHAnsi"/>
                <w:szCs w:val="22"/>
              </w:rPr>
            </w:pPr>
            <w:r>
              <w:rPr>
                <w:rFonts w:asciiTheme="minorHAnsi" w:hAnsiTheme="minorHAnsi" w:cstheme="minorHAnsi"/>
                <w:szCs w:val="22"/>
              </w:rPr>
              <w:t>Local and global research and strategic partnerships.</w:t>
            </w:r>
          </w:p>
          <w:p w14:paraId="53F5BC5E" w14:textId="77777777" w:rsidR="00426B7A" w:rsidRPr="0045232B" w:rsidRDefault="00426B7A" w:rsidP="00426B7A">
            <w:pPr>
              <w:pStyle w:val="NormalIndent"/>
              <w:spacing w:before="0" w:after="0" w:line="240" w:lineRule="auto"/>
              <w:ind w:left="360"/>
              <w:rPr>
                <w:rFonts w:asciiTheme="minorHAnsi" w:hAnsiTheme="minorHAnsi" w:cstheme="minorHAnsi"/>
                <w:szCs w:val="22"/>
              </w:rPr>
            </w:pPr>
          </w:p>
          <w:p w14:paraId="0D378597" w14:textId="711C432A" w:rsidR="00177815" w:rsidRDefault="00177815" w:rsidP="2D7E8C51">
            <w:pPr>
              <w:pStyle w:val="NormalIndent"/>
              <w:spacing w:before="0" w:after="0" w:line="240" w:lineRule="auto"/>
              <w:ind w:left="0"/>
              <w:rPr>
                <w:rFonts w:asciiTheme="minorHAnsi" w:hAnsiTheme="minorHAnsi" w:cstheme="minorBidi"/>
              </w:rPr>
            </w:pPr>
            <w:r w:rsidRPr="2D7E8C51">
              <w:rPr>
                <w:rFonts w:asciiTheme="minorHAnsi" w:hAnsiTheme="minorHAnsi" w:cstheme="minorBidi"/>
                <w:b/>
                <w:bCs/>
              </w:rPr>
              <w:lastRenderedPageBreak/>
              <w:t>Workforce and skill needs</w:t>
            </w:r>
            <w:r w:rsidRPr="2D7E8C51">
              <w:rPr>
                <w:rFonts w:asciiTheme="minorHAnsi" w:hAnsiTheme="minorHAnsi" w:cstheme="minorBidi"/>
              </w:rPr>
              <w:t xml:space="preserve">: To inform the Strategic Plan, the </w:t>
            </w:r>
            <w:hyperlink r:id="rId15">
              <w:r w:rsidRPr="2D7E8C51">
                <w:rPr>
                  <w:rStyle w:val="Hyperlink"/>
                  <w:rFonts w:asciiTheme="minorHAnsi" w:hAnsiTheme="minorHAnsi" w:cstheme="minorBidi"/>
                </w:rPr>
                <w:t>Education Futures</w:t>
              </w:r>
            </w:hyperlink>
            <w:r w:rsidRPr="2D7E8C51">
              <w:rPr>
                <w:rFonts w:asciiTheme="minorHAnsi" w:hAnsiTheme="minorHAnsi" w:cstheme="minorBidi"/>
              </w:rPr>
              <w:t xml:space="preserve"> project </w:t>
            </w:r>
            <w:r w:rsidR="00E656CC" w:rsidRPr="2D7E8C51">
              <w:rPr>
                <w:rFonts w:asciiTheme="minorHAnsi" w:hAnsiTheme="minorHAnsi" w:cstheme="minorBidi"/>
              </w:rPr>
              <w:t>was undertaken to assess the external landscape and analyse emerging opportunities in light of the education, training and research demands expressed by CQUniversity’s students and industry partners. Each year, Regional Profiles are refreshed using the Education Futures framework to guide the annual planning cycle.</w:t>
            </w:r>
          </w:p>
          <w:p w14:paraId="260CB837" w14:textId="77777777" w:rsidR="00177815" w:rsidRDefault="00177815" w:rsidP="001A4FC8">
            <w:pPr>
              <w:pStyle w:val="NormalIndent"/>
              <w:spacing w:before="0" w:after="0" w:line="240" w:lineRule="auto"/>
              <w:ind w:left="0"/>
              <w:rPr>
                <w:rFonts w:asciiTheme="minorHAnsi" w:hAnsiTheme="minorHAnsi" w:cstheme="minorHAnsi"/>
                <w:szCs w:val="22"/>
              </w:rPr>
            </w:pPr>
          </w:p>
          <w:p w14:paraId="5103DEF6" w14:textId="77777777" w:rsidR="00177815" w:rsidRDefault="00177815" w:rsidP="001A4FC8">
            <w:pPr>
              <w:pStyle w:val="NormalIndent"/>
              <w:spacing w:before="0" w:after="0" w:line="240" w:lineRule="auto"/>
              <w:ind w:left="0"/>
              <w:rPr>
                <w:rFonts w:asciiTheme="minorHAnsi" w:hAnsiTheme="minorHAnsi" w:cstheme="minorHAnsi"/>
                <w:szCs w:val="22"/>
              </w:rPr>
            </w:pPr>
            <w:r w:rsidRPr="006152BD">
              <w:rPr>
                <w:rFonts w:asciiTheme="minorHAnsi" w:hAnsiTheme="minorHAnsi" w:cstheme="minorHAnsi"/>
                <w:b/>
                <w:bCs/>
                <w:szCs w:val="22"/>
              </w:rPr>
              <w:t>Student and staff safety</w:t>
            </w:r>
            <w:r>
              <w:rPr>
                <w:rFonts w:asciiTheme="minorHAnsi" w:hAnsiTheme="minorHAnsi" w:cstheme="minorHAnsi"/>
                <w:szCs w:val="22"/>
              </w:rPr>
              <w:t>: CQUniversity is committed to developing and implementing strategies that promotes student and staff health, safety and wellbeing. Strategies include:</w:t>
            </w:r>
          </w:p>
          <w:p w14:paraId="1C8D5A10" w14:textId="4B1C3BF2" w:rsidR="00177815" w:rsidRDefault="00177815" w:rsidP="001A4FC8">
            <w:pPr>
              <w:pStyle w:val="NormalIndent"/>
              <w:numPr>
                <w:ilvl w:val="0"/>
                <w:numId w:val="23"/>
              </w:numPr>
              <w:spacing w:before="0" w:after="0" w:line="240" w:lineRule="auto"/>
              <w:rPr>
                <w:rFonts w:asciiTheme="minorHAnsi" w:hAnsiTheme="minorHAnsi" w:cstheme="minorHAnsi"/>
                <w:szCs w:val="22"/>
              </w:rPr>
            </w:pPr>
            <w:hyperlink r:id="rId16" w:history="1">
              <w:proofErr w:type="spellStart"/>
              <w:r w:rsidRPr="006152BD">
                <w:rPr>
                  <w:rStyle w:val="Hyperlink"/>
                  <w:rFonts w:asciiTheme="minorHAnsi" w:hAnsiTheme="minorHAnsi" w:cstheme="minorHAnsi"/>
                  <w:szCs w:val="22"/>
                </w:rPr>
                <w:t>MindWaves</w:t>
              </w:r>
              <w:proofErr w:type="spellEnd"/>
              <w:r w:rsidR="00CE0B86">
                <w:rPr>
                  <w:rStyle w:val="Hyperlink"/>
                  <w:rFonts w:asciiTheme="minorHAnsi" w:hAnsiTheme="minorHAnsi" w:cstheme="minorHAnsi"/>
                  <w:szCs w:val="22"/>
                </w:rPr>
                <w:t xml:space="preserve"> </w:t>
              </w:r>
              <w:r w:rsidR="00CE0B86">
                <w:rPr>
                  <w:rStyle w:val="Hyperlink"/>
                </w:rPr>
                <w:t>2.0</w:t>
              </w:r>
              <w:r w:rsidRPr="006152BD">
                <w:rPr>
                  <w:rStyle w:val="Hyperlink"/>
                  <w:rFonts w:asciiTheme="minorHAnsi" w:hAnsiTheme="minorHAnsi" w:cstheme="minorHAnsi"/>
                  <w:szCs w:val="22"/>
                </w:rPr>
                <w:t xml:space="preserve"> </w:t>
              </w:r>
            </w:hyperlink>
            <w:r w:rsidR="00C16CDB">
              <w:rPr>
                <w:rFonts w:asciiTheme="minorHAnsi" w:hAnsiTheme="minorHAnsi" w:cstheme="minorHAnsi"/>
                <w:szCs w:val="22"/>
              </w:rPr>
              <w:t>Mental Health and Wellbeing Plan 2024-2028</w:t>
            </w:r>
          </w:p>
          <w:p w14:paraId="75C4D15B" w14:textId="22D3DFF8" w:rsidR="00177815" w:rsidRDefault="00177815" w:rsidP="001A4FC8">
            <w:pPr>
              <w:pStyle w:val="NormalIndent"/>
              <w:numPr>
                <w:ilvl w:val="0"/>
                <w:numId w:val="23"/>
              </w:numPr>
              <w:spacing w:before="0" w:after="0" w:line="240" w:lineRule="auto"/>
              <w:rPr>
                <w:rFonts w:asciiTheme="minorHAnsi" w:hAnsiTheme="minorHAnsi" w:cstheme="minorHAnsi"/>
                <w:szCs w:val="22"/>
              </w:rPr>
            </w:pPr>
            <w:hyperlink r:id="rId17" w:history="1">
              <w:r>
                <w:rPr>
                  <w:rStyle w:val="Hyperlink"/>
                </w:rPr>
                <w:t>Safer Communities - CQUniversity</w:t>
              </w:r>
            </w:hyperlink>
            <w:r>
              <w:rPr>
                <w:rFonts w:asciiTheme="minorHAnsi" w:hAnsiTheme="minorHAnsi" w:cstheme="minorHAnsi"/>
                <w:szCs w:val="22"/>
              </w:rPr>
              <w:t xml:space="preserve"> initiatives</w:t>
            </w:r>
          </w:p>
          <w:p w14:paraId="19EB4D32" w14:textId="236513D2" w:rsidR="00177815" w:rsidRPr="00413E1F" w:rsidRDefault="00177815" w:rsidP="001A4FC8">
            <w:pPr>
              <w:pStyle w:val="NormalIndent"/>
              <w:numPr>
                <w:ilvl w:val="0"/>
                <w:numId w:val="23"/>
              </w:numPr>
              <w:spacing w:before="0" w:after="0" w:line="240" w:lineRule="auto"/>
              <w:rPr>
                <w:rFonts w:asciiTheme="minorHAnsi" w:hAnsiTheme="minorHAnsi" w:cstheme="minorHAnsi"/>
                <w:szCs w:val="22"/>
              </w:rPr>
            </w:pPr>
            <w:hyperlink r:id="rId18" w:history="1">
              <w:r w:rsidRPr="002D2D73">
                <w:rPr>
                  <w:rStyle w:val="Hyperlink"/>
                  <w:rFonts w:asciiTheme="minorHAnsi" w:hAnsiTheme="minorHAnsi" w:cstheme="minorHAnsi"/>
                  <w:szCs w:val="22"/>
                </w:rPr>
                <w:t>Occupational Health and Safety Policy</w:t>
              </w:r>
            </w:hyperlink>
          </w:p>
          <w:p w14:paraId="62015556" w14:textId="75568B37" w:rsidR="00413E1F" w:rsidRDefault="00413E1F" w:rsidP="001A4FC8">
            <w:pPr>
              <w:pStyle w:val="NormalIndent"/>
              <w:numPr>
                <w:ilvl w:val="0"/>
                <w:numId w:val="23"/>
              </w:numPr>
              <w:spacing w:before="0" w:after="0" w:line="240" w:lineRule="auto"/>
              <w:rPr>
                <w:rFonts w:asciiTheme="minorHAnsi" w:hAnsiTheme="minorHAnsi" w:cstheme="minorHAnsi"/>
                <w:szCs w:val="22"/>
              </w:rPr>
            </w:pPr>
            <w:r>
              <w:t>Project RESPECT (in development)</w:t>
            </w:r>
          </w:p>
          <w:p w14:paraId="72FD4456" w14:textId="77777777" w:rsidR="00177815" w:rsidRDefault="00177815" w:rsidP="001A4FC8">
            <w:pPr>
              <w:pStyle w:val="NormalIndent"/>
              <w:spacing w:before="0" w:after="0" w:line="240" w:lineRule="auto"/>
              <w:ind w:left="0"/>
              <w:rPr>
                <w:rFonts w:asciiTheme="minorHAnsi" w:hAnsiTheme="minorHAnsi" w:cstheme="minorHAnsi"/>
                <w:szCs w:val="22"/>
              </w:rPr>
            </w:pPr>
          </w:p>
          <w:p w14:paraId="79339AE3" w14:textId="77777777" w:rsidR="00177815" w:rsidRDefault="00177815" w:rsidP="001A4FC8">
            <w:pPr>
              <w:pStyle w:val="NormalIndent"/>
              <w:spacing w:before="0" w:after="0" w:line="240" w:lineRule="auto"/>
              <w:ind w:left="0"/>
              <w:rPr>
                <w:rFonts w:asciiTheme="minorHAnsi" w:hAnsiTheme="minorHAnsi" w:cstheme="minorHAnsi"/>
                <w:szCs w:val="22"/>
              </w:rPr>
            </w:pPr>
            <w:r w:rsidRPr="009F0A79">
              <w:rPr>
                <w:rFonts w:asciiTheme="minorHAnsi" w:hAnsiTheme="minorHAnsi" w:cstheme="minorHAnsi"/>
                <w:b/>
                <w:bCs/>
                <w:szCs w:val="22"/>
              </w:rPr>
              <w:t>Countering foreign interference</w:t>
            </w:r>
            <w:r>
              <w:rPr>
                <w:rFonts w:asciiTheme="minorHAnsi" w:hAnsiTheme="minorHAnsi" w:cstheme="minorHAnsi"/>
                <w:szCs w:val="22"/>
              </w:rPr>
              <w:t xml:space="preserve">: CQUniversity is committed to complying with the Australian Government’s national security legislation, </w:t>
            </w:r>
            <w:r w:rsidRPr="009F0A79">
              <w:rPr>
                <w:rFonts w:asciiTheme="minorHAnsi" w:hAnsiTheme="minorHAnsi" w:cstheme="minorHAnsi"/>
                <w:szCs w:val="22"/>
              </w:rPr>
              <w:t>and to give compliance obligations priority consideration before proceeding with any international engagement.</w:t>
            </w:r>
            <w:r>
              <w:rPr>
                <w:rFonts w:asciiTheme="minorHAnsi" w:hAnsiTheme="minorHAnsi" w:cstheme="minorHAnsi"/>
                <w:szCs w:val="22"/>
              </w:rPr>
              <w:t xml:space="preserve"> The University’s procedures are aligned to the </w:t>
            </w:r>
            <w:r w:rsidRPr="009F0A79">
              <w:rPr>
                <w:rFonts w:asciiTheme="minorHAnsi" w:hAnsiTheme="minorHAnsi" w:cstheme="minorHAnsi"/>
                <w:szCs w:val="22"/>
              </w:rPr>
              <w:t xml:space="preserve">University Foreign Interference Taskforce (UFIT) </w:t>
            </w:r>
            <w:r w:rsidRPr="009F0A79">
              <w:rPr>
                <w:rFonts w:asciiTheme="minorHAnsi" w:hAnsiTheme="minorHAnsi" w:cstheme="minorHAnsi"/>
                <w:i/>
                <w:iCs/>
                <w:szCs w:val="22"/>
              </w:rPr>
              <w:t>Guidelines on Countering Foreign Interference in the Australian University Sector.</w:t>
            </w:r>
          </w:p>
          <w:p w14:paraId="4BC9FC36" w14:textId="77777777" w:rsidR="00177815" w:rsidRDefault="00177815" w:rsidP="001A4FC8">
            <w:pPr>
              <w:pStyle w:val="NormalIndent"/>
              <w:spacing w:before="0" w:after="0" w:line="240" w:lineRule="auto"/>
              <w:ind w:left="0"/>
              <w:rPr>
                <w:rFonts w:asciiTheme="minorHAnsi" w:hAnsiTheme="minorHAnsi" w:cstheme="minorHAnsi"/>
                <w:szCs w:val="22"/>
              </w:rPr>
            </w:pPr>
          </w:p>
          <w:p w14:paraId="1EDD864D" w14:textId="7170354B" w:rsidR="00177815" w:rsidRDefault="00177815" w:rsidP="2D7E8C51">
            <w:pPr>
              <w:pStyle w:val="NormalIndent"/>
              <w:spacing w:before="0" w:after="0" w:line="240" w:lineRule="auto"/>
              <w:ind w:left="0"/>
              <w:rPr>
                <w:rFonts w:asciiTheme="minorHAnsi" w:hAnsiTheme="minorHAnsi" w:cstheme="minorBidi"/>
              </w:rPr>
            </w:pPr>
            <w:r w:rsidRPr="2D7E8C51">
              <w:rPr>
                <w:rFonts w:asciiTheme="minorHAnsi" w:hAnsiTheme="minorHAnsi" w:cstheme="minorBidi"/>
                <w:b/>
                <w:bCs/>
              </w:rPr>
              <w:t>Cyber and data security</w:t>
            </w:r>
            <w:r w:rsidRPr="2D7E8C51">
              <w:rPr>
                <w:rFonts w:asciiTheme="minorHAnsi" w:hAnsiTheme="minorHAnsi" w:cstheme="minorBidi"/>
              </w:rPr>
              <w:t xml:space="preserve">: </w:t>
            </w:r>
            <w:r w:rsidR="008350BC" w:rsidRPr="2D7E8C51">
              <w:rPr>
                <w:rFonts w:asciiTheme="minorHAnsi" w:hAnsiTheme="minorHAnsi" w:cstheme="minorBidi"/>
              </w:rPr>
              <w:t xml:space="preserve">CQUniversity is committed to managing cyber and data security in accordance with </w:t>
            </w:r>
            <w:r w:rsidR="07B237A5" w:rsidRPr="2D7E8C51">
              <w:rPr>
                <w:rFonts w:asciiTheme="minorHAnsi" w:hAnsiTheme="minorHAnsi" w:cstheme="minorBidi"/>
              </w:rPr>
              <w:t>u</w:t>
            </w:r>
            <w:r w:rsidR="008350BC" w:rsidRPr="2D7E8C51">
              <w:rPr>
                <w:rFonts w:asciiTheme="minorHAnsi" w:hAnsiTheme="minorHAnsi" w:cstheme="minorBidi"/>
              </w:rPr>
              <w:t>niversity policy and all relevant laws and regulations. The University’s Cybersecurity Plan and Roadmap 2025–2028 sets out how we will strengthen our cybersecurity posture across people, policy and process and technology and data. The following policy documents also apply</w:t>
            </w:r>
            <w:r w:rsidR="00472365" w:rsidRPr="2D7E8C51">
              <w:rPr>
                <w:rFonts w:asciiTheme="minorHAnsi" w:hAnsiTheme="minorHAnsi" w:cstheme="minorBidi"/>
              </w:rPr>
              <w:t>:</w:t>
            </w:r>
          </w:p>
          <w:p w14:paraId="3375F3EB" w14:textId="73A11B1A" w:rsidR="00177815" w:rsidRDefault="00177815" w:rsidP="001A4FC8">
            <w:pPr>
              <w:pStyle w:val="NormalIndent"/>
              <w:numPr>
                <w:ilvl w:val="0"/>
                <w:numId w:val="24"/>
              </w:numPr>
              <w:spacing w:before="0" w:after="0" w:line="240" w:lineRule="auto"/>
              <w:rPr>
                <w:rFonts w:asciiTheme="minorHAnsi" w:hAnsiTheme="minorHAnsi" w:cstheme="minorHAnsi"/>
                <w:szCs w:val="22"/>
              </w:rPr>
            </w:pPr>
            <w:hyperlink r:id="rId19" w:history="1">
              <w:r w:rsidRPr="00800B77">
                <w:rPr>
                  <w:rStyle w:val="Hyperlink"/>
                  <w:rFonts w:asciiTheme="minorHAnsi" w:hAnsiTheme="minorHAnsi" w:cstheme="minorHAnsi"/>
                  <w:szCs w:val="22"/>
                </w:rPr>
                <w:t>Business Continuity Planning and Incident Management Policy and Procedure</w:t>
              </w:r>
            </w:hyperlink>
          </w:p>
          <w:p w14:paraId="4F1B3DD6" w14:textId="6D0C6C74" w:rsidR="00177815" w:rsidRDefault="00177815" w:rsidP="001A4FC8">
            <w:pPr>
              <w:pStyle w:val="NormalIndent"/>
              <w:numPr>
                <w:ilvl w:val="0"/>
                <w:numId w:val="24"/>
              </w:numPr>
              <w:spacing w:before="0" w:after="0" w:line="240" w:lineRule="auto"/>
              <w:rPr>
                <w:rFonts w:asciiTheme="minorHAnsi" w:hAnsiTheme="minorHAnsi" w:cstheme="minorHAnsi"/>
                <w:szCs w:val="22"/>
              </w:rPr>
            </w:pPr>
            <w:hyperlink r:id="rId20" w:history="1">
              <w:r w:rsidRPr="00800B77">
                <w:rPr>
                  <w:rStyle w:val="Hyperlink"/>
                  <w:rFonts w:asciiTheme="minorHAnsi" w:hAnsiTheme="minorHAnsi" w:cstheme="minorHAnsi"/>
                  <w:szCs w:val="22"/>
                </w:rPr>
                <w:t>Cybersecurity Management Policy</w:t>
              </w:r>
            </w:hyperlink>
          </w:p>
          <w:p w14:paraId="63200ECF" w14:textId="112FC4D4" w:rsidR="00177815" w:rsidRDefault="00177815" w:rsidP="001A4FC8">
            <w:pPr>
              <w:pStyle w:val="NormalIndent"/>
              <w:numPr>
                <w:ilvl w:val="0"/>
                <w:numId w:val="24"/>
              </w:numPr>
              <w:spacing w:before="0" w:after="0" w:line="240" w:lineRule="auto"/>
              <w:rPr>
                <w:rFonts w:asciiTheme="minorHAnsi" w:hAnsiTheme="minorHAnsi" w:cstheme="minorHAnsi"/>
                <w:szCs w:val="22"/>
              </w:rPr>
            </w:pPr>
            <w:hyperlink r:id="rId21" w:history="1">
              <w:r w:rsidRPr="00800B77">
                <w:rPr>
                  <w:rStyle w:val="Hyperlink"/>
                  <w:rFonts w:asciiTheme="minorHAnsi" w:hAnsiTheme="minorHAnsi" w:cstheme="minorHAnsi"/>
                  <w:szCs w:val="22"/>
                </w:rPr>
                <w:t>Information and Communications Technology Passwords Procedure</w:t>
              </w:r>
            </w:hyperlink>
          </w:p>
          <w:p w14:paraId="5FE513C2" w14:textId="48390A00" w:rsidR="00177815" w:rsidRDefault="00177815" w:rsidP="001A4FC8">
            <w:pPr>
              <w:pStyle w:val="NormalIndent"/>
              <w:numPr>
                <w:ilvl w:val="0"/>
                <w:numId w:val="24"/>
              </w:numPr>
              <w:spacing w:before="0" w:after="0" w:line="240" w:lineRule="auto"/>
              <w:rPr>
                <w:rFonts w:asciiTheme="minorHAnsi" w:hAnsiTheme="minorHAnsi" w:cstheme="minorHAnsi"/>
                <w:szCs w:val="22"/>
              </w:rPr>
            </w:pPr>
            <w:hyperlink r:id="rId22" w:history="1">
              <w:r w:rsidRPr="00800B77">
                <w:rPr>
                  <w:rStyle w:val="Hyperlink"/>
                  <w:rFonts w:asciiTheme="minorHAnsi" w:hAnsiTheme="minorHAnsi" w:cstheme="minorHAnsi"/>
                  <w:szCs w:val="22"/>
                </w:rPr>
                <w:t>Information and Communications Technology Acceptable Use Policy and Procedure</w:t>
              </w:r>
            </w:hyperlink>
          </w:p>
          <w:p w14:paraId="7233DD47" w14:textId="150FB57F" w:rsidR="00177815" w:rsidRPr="00800B77" w:rsidRDefault="00177815" w:rsidP="001A4FC8">
            <w:pPr>
              <w:pStyle w:val="NormalIndent"/>
              <w:numPr>
                <w:ilvl w:val="0"/>
                <w:numId w:val="24"/>
              </w:numPr>
              <w:spacing w:before="0" w:after="0" w:line="240" w:lineRule="auto"/>
              <w:rPr>
                <w:rFonts w:asciiTheme="minorHAnsi" w:hAnsiTheme="minorHAnsi" w:cstheme="minorHAnsi"/>
                <w:szCs w:val="22"/>
              </w:rPr>
            </w:pPr>
            <w:hyperlink r:id="rId23" w:history="1">
              <w:r w:rsidRPr="00800B77">
                <w:rPr>
                  <w:rStyle w:val="Hyperlink"/>
                  <w:rFonts w:asciiTheme="minorHAnsi" w:hAnsiTheme="minorHAnsi" w:cstheme="minorHAnsi"/>
                  <w:szCs w:val="22"/>
                </w:rPr>
                <w:t>Research Data Management Policy and Procedure</w:t>
              </w:r>
            </w:hyperlink>
          </w:p>
          <w:p w14:paraId="4ABCEAE6" w14:textId="77777777" w:rsidR="00177815" w:rsidRDefault="00177815" w:rsidP="001A4FC8">
            <w:pPr>
              <w:pStyle w:val="NormalIndent"/>
              <w:spacing w:before="0" w:after="0" w:line="240" w:lineRule="auto"/>
              <w:ind w:left="0"/>
              <w:rPr>
                <w:rFonts w:asciiTheme="minorHAnsi" w:hAnsiTheme="minorHAnsi" w:cstheme="minorHAnsi"/>
                <w:szCs w:val="22"/>
              </w:rPr>
            </w:pPr>
          </w:p>
          <w:p w14:paraId="683104BD" w14:textId="77777777" w:rsidR="00177815" w:rsidRDefault="00177815" w:rsidP="001A4FC8">
            <w:pPr>
              <w:pStyle w:val="NormalIndent"/>
              <w:spacing w:before="0" w:after="0" w:line="240" w:lineRule="auto"/>
              <w:ind w:left="0"/>
              <w:rPr>
                <w:rFonts w:asciiTheme="minorHAnsi" w:hAnsiTheme="minorHAnsi" w:cstheme="minorHAnsi"/>
                <w:szCs w:val="22"/>
              </w:rPr>
            </w:pPr>
            <w:r w:rsidRPr="009F0A79">
              <w:rPr>
                <w:rFonts w:asciiTheme="minorHAnsi" w:hAnsiTheme="minorHAnsi" w:cstheme="minorHAnsi"/>
                <w:b/>
                <w:bCs/>
                <w:szCs w:val="22"/>
              </w:rPr>
              <w:t>Freedom of speech and academic freedom</w:t>
            </w:r>
            <w:r>
              <w:rPr>
                <w:rFonts w:asciiTheme="minorHAnsi" w:hAnsiTheme="minorHAnsi" w:cstheme="minorHAnsi"/>
                <w:szCs w:val="22"/>
              </w:rPr>
              <w:t xml:space="preserve">: At its May 2019 meeting, Academic Board approved its </w:t>
            </w:r>
            <w:hyperlink r:id="rId24" w:history="1">
              <w:r w:rsidRPr="00357EB5">
                <w:rPr>
                  <w:rStyle w:val="Hyperlink"/>
                  <w:rFonts w:asciiTheme="minorHAnsi" w:hAnsiTheme="minorHAnsi" w:cstheme="minorHAnsi"/>
                  <w:szCs w:val="22"/>
                </w:rPr>
                <w:t>position statement on Academic Freedom</w:t>
              </w:r>
            </w:hyperlink>
            <w:r>
              <w:rPr>
                <w:rFonts w:asciiTheme="minorHAnsi" w:hAnsiTheme="minorHAnsi" w:cstheme="minorHAnsi"/>
                <w:szCs w:val="22"/>
              </w:rPr>
              <w:t xml:space="preserve">, which is consistent with the principles of the Independent Review of </w:t>
            </w:r>
            <w:r w:rsidRPr="00357EB5">
              <w:rPr>
                <w:rFonts w:asciiTheme="minorHAnsi" w:hAnsiTheme="minorHAnsi" w:cstheme="minorHAnsi"/>
                <w:szCs w:val="22"/>
              </w:rPr>
              <w:t xml:space="preserve">Freedom of Speech in Australian Higher Education Providers. </w:t>
            </w:r>
            <w:r>
              <w:rPr>
                <w:rFonts w:asciiTheme="minorHAnsi" w:hAnsiTheme="minorHAnsi" w:cstheme="minorHAnsi"/>
                <w:szCs w:val="22"/>
              </w:rPr>
              <w:t>Subsequently, the University Council approved the</w:t>
            </w:r>
            <w:hyperlink r:id="rId25" w:history="1">
              <w:r w:rsidRPr="00357EB5">
                <w:rPr>
                  <w:rStyle w:val="Hyperlink"/>
                  <w:rFonts w:asciiTheme="minorHAnsi" w:hAnsiTheme="minorHAnsi" w:cstheme="minorHAnsi"/>
                  <w:szCs w:val="22"/>
                </w:rPr>
                <w:t xml:space="preserve"> Freedom of Speech and Academic Freedom Policy</w:t>
              </w:r>
            </w:hyperlink>
            <w:r>
              <w:rPr>
                <w:rFonts w:asciiTheme="minorHAnsi" w:hAnsiTheme="minorHAnsi" w:cstheme="minorHAnsi"/>
                <w:szCs w:val="22"/>
              </w:rPr>
              <w:t xml:space="preserve"> at its June 2021 meeting. Both policy documents outline CQUniversity’s commitment and protection of freedom of lawful speech and academic freedom.</w:t>
            </w:r>
          </w:p>
          <w:p w14:paraId="2C91A87B" w14:textId="0C4F85C8" w:rsidR="00D518A1" w:rsidRPr="00177815" w:rsidRDefault="00D518A1" w:rsidP="001A4FC8">
            <w:pPr>
              <w:pStyle w:val="NormalIndent"/>
              <w:spacing w:before="0" w:after="0" w:line="240" w:lineRule="auto"/>
              <w:ind w:left="0"/>
              <w:rPr>
                <w:rFonts w:asciiTheme="minorHAnsi" w:hAnsiTheme="minorHAnsi" w:cstheme="minorHAnsi"/>
                <w:szCs w:val="22"/>
              </w:rPr>
            </w:pPr>
          </w:p>
        </w:tc>
      </w:tr>
      <w:tr w:rsidR="001B109C" w:rsidRPr="00E41388" w14:paraId="0EA45E0C" w14:textId="77777777" w:rsidTr="2D7E8C51">
        <w:tc>
          <w:tcPr>
            <w:tcW w:w="5000" w:type="pct"/>
          </w:tcPr>
          <w:p w14:paraId="767F59C9" w14:textId="55B06224" w:rsidR="001B109C" w:rsidRDefault="00462848" w:rsidP="00426B7A">
            <w:pPr>
              <w:pStyle w:val="Heading4"/>
              <w:keepLines w:val="0"/>
              <w:spacing w:before="0" w:after="60"/>
              <w:rPr>
                <w:highlight w:val="yellow"/>
              </w:rPr>
            </w:pPr>
            <w:r>
              <w:lastRenderedPageBreak/>
              <w:t>S</w:t>
            </w:r>
            <w:r w:rsidR="001B109C">
              <w:t xml:space="preserve">trategies for Improving </w:t>
            </w:r>
            <w:r w:rsidR="00F30BFA">
              <w:t>E</w:t>
            </w:r>
            <w:r w:rsidR="001B109C">
              <w:t xml:space="preserve">quality of </w:t>
            </w:r>
            <w:r w:rsidR="00F30BFA">
              <w:t>O</w:t>
            </w:r>
            <w:r w:rsidR="001B109C">
              <w:t xml:space="preserve">pportunity in </w:t>
            </w:r>
            <w:r w:rsidR="00F30BFA">
              <w:t>H</w:t>
            </w:r>
            <w:r w:rsidR="001B109C">
              <w:t xml:space="preserve">igher </w:t>
            </w:r>
            <w:r w:rsidR="00F30BFA">
              <w:t>E</w:t>
            </w:r>
            <w:r w:rsidR="001B109C">
              <w:t>ducation</w:t>
            </w:r>
            <w:r w:rsidR="005B6C97">
              <w:t xml:space="preserve"> </w:t>
            </w:r>
          </w:p>
        </w:tc>
      </w:tr>
      <w:tr w:rsidR="001B109C" w:rsidRPr="00E41388" w14:paraId="1A37823C" w14:textId="77777777" w:rsidTr="2D7E8C51">
        <w:tc>
          <w:tcPr>
            <w:tcW w:w="5000" w:type="pct"/>
          </w:tcPr>
          <w:p w14:paraId="48DEC435" w14:textId="15A7528A" w:rsidR="00FB19EB" w:rsidRDefault="00CD0466" w:rsidP="2D7E8C51">
            <w:pPr>
              <w:pStyle w:val="NormalIndent"/>
              <w:spacing w:before="0" w:after="0" w:line="240" w:lineRule="auto"/>
              <w:ind w:left="0"/>
              <w:rPr>
                <w:rFonts w:cstheme="minorBidi"/>
              </w:rPr>
            </w:pPr>
            <w:bookmarkStart w:id="0" w:name="_Hlk150338733"/>
            <w:bookmarkStart w:id="1" w:name="_Hlk150338471"/>
            <w:r w:rsidRPr="2D7E8C51">
              <w:rPr>
                <w:rFonts w:cstheme="minorBidi"/>
              </w:rPr>
              <w:t xml:space="preserve">CQUniversity is committed to improving equity in higher education through targeted strategies that support access, participation, retention and completion for students from under-represented and educationally disadvantaged backgrounds. Our approach is informed by our </w:t>
            </w:r>
            <w:hyperlink r:id="rId26">
              <w:r w:rsidRPr="2D7E8C51">
                <w:rPr>
                  <w:rStyle w:val="Hyperlink"/>
                  <w:rFonts w:cstheme="minorBidi"/>
                </w:rPr>
                <w:t>Strategic Plan</w:t>
              </w:r>
            </w:hyperlink>
            <w:r w:rsidRPr="2D7E8C51">
              <w:rPr>
                <w:rFonts w:cstheme="minorBidi"/>
              </w:rPr>
              <w:t>, HECG Equity Plan, and a suite of inclusive education strategies, including those focused on First Nations students, students with disability and regional and low SES cohorts.</w:t>
            </w:r>
          </w:p>
          <w:p w14:paraId="3501C151" w14:textId="77777777" w:rsidR="00CD0466" w:rsidRPr="00FB19EB" w:rsidRDefault="00CD0466" w:rsidP="001A4FC8">
            <w:pPr>
              <w:pStyle w:val="NormalIndent"/>
              <w:spacing w:before="0" w:after="0" w:line="240" w:lineRule="auto"/>
              <w:ind w:left="0"/>
              <w:rPr>
                <w:rFonts w:cstheme="minorBidi"/>
                <w:i/>
              </w:rPr>
            </w:pPr>
          </w:p>
          <w:p w14:paraId="064296CF" w14:textId="72BCA68A" w:rsidR="00FB19EB" w:rsidRPr="00FB19EB" w:rsidRDefault="00FB19EB" w:rsidP="001A4FC8">
            <w:pPr>
              <w:pStyle w:val="NormalIndent"/>
              <w:spacing w:before="0" w:after="0" w:line="240" w:lineRule="auto"/>
              <w:ind w:left="0"/>
              <w:rPr>
                <w:rFonts w:cstheme="minorBidi"/>
                <w:iCs/>
                <w:u w:val="single"/>
              </w:rPr>
            </w:pPr>
            <w:r w:rsidRPr="00FB19EB">
              <w:rPr>
                <w:rFonts w:cstheme="minorBidi"/>
                <w:b/>
                <w:iCs/>
                <w:u w:val="single"/>
              </w:rPr>
              <w:t>Key Priorities and Targets:</w:t>
            </w:r>
          </w:p>
          <w:p w14:paraId="6777AC94" w14:textId="67D5FAB1" w:rsidR="005A04A7" w:rsidRDefault="00FB19EB" w:rsidP="2D7E8C51">
            <w:pPr>
              <w:pStyle w:val="NormalIndent"/>
              <w:spacing w:line="240" w:lineRule="auto"/>
              <w:ind w:left="0"/>
              <w:rPr>
                <w:rFonts w:cstheme="minorBidi"/>
              </w:rPr>
            </w:pPr>
            <w:r w:rsidRPr="2D7E8C51">
              <w:rPr>
                <w:rFonts w:cstheme="minorBidi"/>
                <w:b/>
                <w:bCs/>
              </w:rPr>
              <w:t>First Nations Student Success</w:t>
            </w:r>
            <w:r>
              <w:br/>
            </w:r>
            <w:r w:rsidR="000A1A12" w:rsidRPr="2D7E8C51">
              <w:rPr>
                <w:rFonts w:cstheme="minorBidi"/>
              </w:rPr>
              <w:t xml:space="preserve">CQUniversity’s commitment to First Nations student success is guided by our </w:t>
            </w:r>
            <w:hyperlink r:id="rId27">
              <w:r w:rsidR="005C0479" w:rsidRPr="2D7E8C51">
                <w:rPr>
                  <w:rStyle w:val="Hyperlink"/>
                  <w:rFonts w:cstheme="minorBidi"/>
                </w:rPr>
                <w:t>Stretch Reconciliation Action Plan (RAP)</w:t>
              </w:r>
            </w:hyperlink>
            <w:r w:rsidR="000A1A12" w:rsidRPr="2D7E8C51">
              <w:rPr>
                <w:rFonts w:cstheme="minorBidi"/>
              </w:rPr>
              <w:t xml:space="preserve"> and the key actions outlined in our First Nations student performance framework. These actions - strengthening data, pathways, curriculum, teaching, </w:t>
            </w:r>
            <w:r w:rsidR="000A1A12" w:rsidRPr="2D7E8C51">
              <w:rPr>
                <w:rFonts w:cstheme="minorBidi"/>
              </w:rPr>
              <w:lastRenderedPageBreak/>
              <w:t>governance</w:t>
            </w:r>
            <w:r w:rsidR="2793EBC5" w:rsidRPr="2D7E8C51">
              <w:rPr>
                <w:rFonts w:cstheme="minorBidi"/>
              </w:rPr>
              <w:t xml:space="preserve"> </w:t>
            </w:r>
            <w:r w:rsidR="000A1A12" w:rsidRPr="2D7E8C51">
              <w:rPr>
                <w:rFonts w:cstheme="minorBidi"/>
              </w:rPr>
              <w:t xml:space="preserve">and performance targets - </w:t>
            </w:r>
            <w:r w:rsidR="005C0479" w:rsidRPr="2D7E8C51">
              <w:rPr>
                <w:rFonts w:cstheme="minorBidi"/>
              </w:rPr>
              <w:t>aim</w:t>
            </w:r>
            <w:r w:rsidR="000A1A12" w:rsidRPr="2D7E8C51">
              <w:rPr>
                <w:rFonts w:cstheme="minorBidi"/>
              </w:rPr>
              <w:t xml:space="preserve"> to increase First Nations student participation, retention and completion</w:t>
            </w:r>
            <w:r w:rsidR="68DAFBBA" w:rsidRPr="2D7E8C51">
              <w:rPr>
                <w:rFonts w:cstheme="minorBidi"/>
              </w:rPr>
              <w:t>.</w:t>
            </w:r>
          </w:p>
          <w:p w14:paraId="1ACD8F6D" w14:textId="3F98E435" w:rsidR="000A1A12" w:rsidRDefault="000A1A12" w:rsidP="001A4FC8">
            <w:pPr>
              <w:pStyle w:val="NormalIndent"/>
              <w:spacing w:line="240" w:lineRule="auto"/>
              <w:ind w:left="0"/>
              <w:rPr>
                <w:rFonts w:cstheme="minorBidi"/>
                <w:iCs/>
              </w:rPr>
            </w:pPr>
            <w:r w:rsidRPr="000A1A12">
              <w:rPr>
                <w:rFonts w:cstheme="minorBidi"/>
                <w:iCs/>
              </w:rPr>
              <w:t>Targets include a 5% increase in retention and a 3% increase in completion by end-2026.</w:t>
            </w:r>
          </w:p>
          <w:p w14:paraId="72A71616" w14:textId="77777777" w:rsidR="00F2785D" w:rsidRDefault="00FB19EB" w:rsidP="001A4FC8">
            <w:pPr>
              <w:pStyle w:val="NormalIndent"/>
              <w:spacing w:line="240" w:lineRule="auto"/>
              <w:ind w:left="0"/>
              <w:rPr>
                <w:rFonts w:cstheme="minorBidi"/>
                <w:iCs/>
              </w:rPr>
            </w:pPr>
            <w:r w:rsidRPr="00FB19EB">
              <w:rPr>
                <w:rFonts w:cstheme="minorBidi"/>
                <w:b/>
                <w:iCs/>
              </w:rPr>
              <w:t>Low SES, Regional, and Remote Students</w:t>
            </w:r>
            <w:r w:rsidRPr="00FB19EB">
              <w:rPr>
                <w:iCs/>
              </w:rPr>
              <w:br/>
            </w:r>
            <w:r w:rsidR="003B41C5" w:rsidRPr="003D2A3B">
              <w:rPr>
                <w:rFonts w:cstheme="minorBidi"/>
                <w:iCs/>
              </w:rPr>
              <w:t xml:space="preserve">Leveraging our regional footprint, we will enhance onboarding and transition support for students from low SES and geographically isolated communities. </w:t>
            </w:r>
          </w:p>
          <w:p w14:paraId="765E057F" w14:textId="7A2EDB7C" w:rsidR="001A4FC8" w:rsidRDefault="003B41C5" w:rsidP="001A4FC8">
            <w:pPr>
              <w:pStyle w:val="NormalIndent"/>
              <w:spacing w:line="240" w:lineRule="auto"/>
              <w:ind w:left="0"/>
              <w:rPr>
                <w:rFonts w:cstheme="minorBidi"/>
                <w:iCs/>
              </w:rPr>
            </w:pPr>
            <w:r w:rsidRPr="003D2A3B">
              <w:rPr>
                <w:rFonts w:cstheme="minorBidi"/>
                <w:iCs/>
              </w:rPr>
              <w:t xml:space="preserve">Initiatives include peer-led support and tailored advising, with a goal to reduce attrition by </w:t>
            </w:r>
            <w:r w:rsidR="00A054EE">
              <w:rPr>
                <w:rFonts w:cstheme="minorBidi"/>
                <w:iCs/>
              </w:rPr>
              <w:t>8</w:t>
            </w:r>
            <w:r w:rsidRPr="003D2A3B">
              <w:rPr>
                <w:rFonts w:cstheme="minorBidi"/>
                <w:iCs/>
              </w:rPr>
              <w:t>% across these cohorts</w:t>
            </w:r>
            <w:r w:rsidR="00E4556E">
              <w:rPr>
                <w:rFonts w:cstheme="minorBidi"/>
                <w:iCs/>
              </w:rPr>
              <w:t xml:space="preserve"> by 2028</w:t>
            </w:r>
            <w:r w:rsidRPr="003D2A3B">
              <w:rPr>
                <w:rFonts w:cstheme="minorBidi"/>
                <w:iCs/>
              </w:rPr>
              <w:t>.</w:t>
            </w:r>
          </w:p>
          <w:p w14:paraId="64ED69A1" w14:textId="129ADD57" w:rsidR="00CC0B8B" w:rsidRDefault="00FB19EB" w:rsidP="2D7E8C51">
            <w:pPr>
              <w:pStyle w:val="NormalIndent"/>
              <w:spacing w:line="240" w:lineRule="auto"/>
              <w:ind w:left="0"/>
              <w:rPr>
                <w:rFonts w:cstheme="minorBidi"/>
              </w:rPr>
            </w:pPr>
            <w:r w:rsidRPr="2D7E8C51">
              <w:rPr>
                <w:rFonts w:cstheme="minorBidi"/>
                <w:b/>
                <w:bCs/>
              </w:rPr>
              <w:t>Students with Disability</w:t>
            </w:r>
            <w:r>
              <w:br/>
            </w:r>
            <w:r w:rsidR="00330683" w:rsidRPr="2D7E8C51">
              <w:rPr>
                <w:rFonts w:cstheme="minorBidi"/>
              </w:rPr>
              <w:t xml:space="preserve">CQUniversity’s Disability Inclusion Action Plan (DIAP) </w:t>
            </w:r>
            <w:r w:rsidR="00CC0B8B" w:rsidRPr="2D7E8C51">
              <w:rPr>
                <w:rFonts w:cstheme="minorBidi"/>
              </w:rPr>
              <w:t>is due to be formally</w:t>
            </w:r>
            <w:r w:rsidR="00330683" w:rsidRPr="2D7E8C51">
              <w:rPr>
                <w:rFonts w:cstheme="minorBidi"/>
              </w:rPr>
              <w:t xml:space="preserve"> launch</w:t>
            </w:r>
            <w:r w:rsidR="00CC0B8B" w:rsidRPr="2D7E8C51">
              <w:rPr>
                <w:rFonts w:cstheme="minorBidi"/>
              </w:rPr>
              <w:t>ed</w:t>
            </w:r>
            <w:r w:rsidR="00330683" w:rsidRPr="2D7E8C51">
              <w:rPr>
                <w:rFonts w:cstheme="minorBidi"/>
              </w:rPr>
              <w:t xml:space="preserve"> </w:t>
            </w:r>
            <w:r w:rsidR="00CC0B8B" w:rsidRPr="2D7E8C51">
              <w:rPr>
                <w:rFonts w:cstheme="minorBidi"/>
              </w:rPr>
              <w:t>on</w:t>
            </w:r>
            <w:r w:rsidR="49290F7E" w:rsidRPr="2D7E8C51">
              <w:rPr>
                <w:rFonts w:cstheme="minorBidi"/>
              </w:rPr>
              <w:t xml:space="preserve"> </w:t>
            </w:r>
            <w:r w:rsidR="00330683" w:rsidRPr="2D7E8C51">
              <w:rPr>
                <w:rFonts w:cstheme="minorBidi"/>
              </w:rPr>
              <w:t xml:space="preserve">3 December 2025. The plan outlines strategies to improve accessibility and inclusive teaching practices. </w:t>
            </w:r>
          </w:p>
          <w:p w14:paraId="1005D43F" w14:textId="1C3098D6" w:rsidR="00FB19EB" w:rsidRPr="00FB19EB" w:rsidRDefault="00330683" w:rsidP="2D7E8C51">
            <w:pPr>
              <w:pStyle w:val="NormalIndent"/>
              <w:spacing w:line="240" w:lineRule="auto"/>
              <w:ind w:left="0"/>
              <w:rPr>
                <w:rFonts w:cstheme="minorBidi"/>
              </w:rPr>
            </w:pPr>
            <w:r w:rsidRPr="2D7E8C51">
              <w:rPr>
                <w:rFonts w:cstheme="minorBidi"/>
              </w:rPr>
              <w:t>Progress will be measured via student engagement and satisfaction metrics, with a target of a 15% increase in positive feedback</w:t>
            </w:r>
            <w:r w:rsidR="00E30D30" w:rsidRPr="2D7E8C51">
              <w:rPr>
                <w:rFonts w:cstheme="minorBidi"/>
              </w:rPr>
              <w:t xml:space="preserve">, as well as a 3% </w:t>
            </w:r>
            <w:r w:rsidR="0053021F" w:rsidRPr="2D7E8C51">
              <w:rPr>
                <w:rFonts w:cstheme="minorBidi"/>
              </w:rPr>
              <w:t xml:space="preserve">increased success rate for </w:t>
            </w:r>
            <w:r w:rsidRPr="2D7E8C51">
              <w:rPr>
                <w:rFonts w:cstheme="minorBidi"/>
              </w:rPr>
              <w:t>students with</w:t>
            </w:r>
            <w:r w:rsidR="2F04D7EA" w:rsidRPr="2D7E8C51">
              <w:rPr>
                <w:rFonts w:cstheme="minorBidi"/>
              </w:rPr>
              <w:t xml:space="preserve"> a</w:t>
            </w:r>
            <w:r w:rsidRPr="2D7E8C51">
              <w:rPr>
                <w:rFonts w:cstheme="minorBidi"/>
              </w:rPr>
              <w:t xml:space="preserve"> disability.</w:t>
            </w:r>
            <w:r w:rsidR="00DF2E0E" w:rsidRPr="2D7E8C51">
              <w:rPr>
                <w:rFonts w:cstheme="minorBidi"/>
              </w:rPr>
              <w:t xml:space="preserve">  </w:t>
            </w:r>
          </w:p>
          <w:p w14:paraId="4AAC3925" w14:textId="2ED9BF83" w:rsidR="00FB19EB" w:rsidRPr="003D2A3B" w:rsidRDefault="00FB19EB" w:rsidP="001A4FC8">
            <w:pPr>
              <w:pStyle w:val="NormalIndent"/>
              <w:spacing w:after="0" w:line="240" w:lineRule="auto"/>
              <w:ind w:left="0"/>
              <w:rPr>
                <w:rFonts w:cstheme="minorBidi"/>
                <w:iCs/>
              </w:rPr>
            </w:pPr>
            <w:r w:rsidRPr="00FB19EB">
              <w:rPr>
                <w:rFonts w:cstheme="minorBidi"/>
                <w:b/>
                <w:iCs/>
              </w:rPr>
              <w:t>Community and School Outreach</w:t>
            </w:r>
            <w:r w:rsidRPr="00FB19EB">
              <w:rPr>
                <w:iCs/>
              </w:rPr>
              <w:br/>
            </w:r>
            <w:r w:rsidR="00A5391A" w:rsidRPr="003D2A3B">
              <w:rPr>
                <w:rFonts w:cstheme="minorBidi"/>
                <w:iCs/>
              </w:rPr>
              <w:t>Programs such as Start Uni Now and Connect2Uni will be expanded to reach equity groups in regional and remote schools. Success will be tracked through participation rates and conversion to enrolment.</w:t>
            </w:r>
          </w:p>
          <w:p w14:paraId="6F9B4DE8" w14:textId="77777777" w:rsidR="00A5391A" w:rsidRPr="003D2A3B" w:rsidRDefault="00A5391A" w:rsidP="001A4FC8">
            <w:pPr>
              <w:pStyle w:val="NormalIndent"/>
              <w:spacing w:before="0" w:after="0" w:line="240" w:lineRule="auto"/>
              <w:ind w:left="0"/>
              <w:rPr>
                <w:rFonts w:cstheme="minorBidi"/>
                <w:b/>
                <w:iCs/>
              </w:rPr>
            </w:pPr>
          </w:p>
          <w:p w14:paraId="4C192C7D" w14:textId="694DFACC" w:rsidR="00FB19EB" w:rsidRPr="00FB19EB" w:rsidRDefault="00FB19EB" w:rsidP="001A4FC8">
            <w:pPr>
              <w:pStyle w:val="NormalIndent"/>
              <w:spacing w:before="0" w:after="0" w:line="240" w:lineRule="auto"/>
              <w:ind w:left="0"/>
              <w:rPr>
                <w:rFonts w:cstheme="minorBidi"/>
                <w:iCs/>
                <w:u w:val="single"/>
              </w:rPr>
            </w:pPr>
            <w:r w:rsidRPr="00FB19EB">
              <w:rPr>
                <w:rFonts w:cstheme="minorBidi"/>
                <w:b/>
                <w:iCs/>
                <w:u w:val="single"/>
              </w:rPr>
              <w:t>HECG-Funded Initiatives:</w:t>
            </w:r>
          </w:p>
          <w:p w14:paraId="7BCB2CCE" w14:textId="04AF6479" w:rsidR="00006CFA" w:rsidRPr="003D2A3B" w:rsidRDefault="0091326A" w:rsidP="001A4FC8">
            <w:pPr>
              <w:pStyle w:val="NormalIndent"/>
              <w:spacing w:after="0" w:line="240" w:lineRule="auto"/>
              <w:ind w:left="0"/>
              <w:rPr>
                <w:rFonts w:cstheme="minorBidi"/>
                <w:iCs/>
              </w:rPr>
            </w:pPr>
            <w:r>
              <w:rPr>
                <w:rFonts w:cstheme="minorBidi"/>
                <w:iCs/>
              </w:rPr>
              <w:t>Within the provisions of the</w:t>
            </w:r>
            <w:r w:rsidR="00006CFA" w:rsidRPr="003D2A3B">
              <w:rPr>
                <w:rFonts w:cstheme="minorBidi"/>
                <w:iCs/>
              </w:rPr>
              <w:t xml:space="preserve"> Higher Education Continuity </w:t>
            </w:r>
            <w:r w:rsidRPr="003D2A3B">
              <w:rPr>
                <w:rFonts w:cstheme="minorBidi"/>
                <w:iCs/>
              </w:rPr>
              <w:t>G</w:t>
            </w:r>
            <w:r>
              <w:rPr>
                <w:rFonts w:cstheme="minorBidi"/>
                <w:iCs/>
              </w:rPr>
              <w:t>uaran</w:t>
            </w:r>
            <w:r w:rsidRPr="003D2A3B">
              <w:rPr>
                <w:rFonts w:cstheme="minorBidi"/>
                <w:iCs/>
              </w:rPr>
              <w:t>t</w:t>
            </w:r>
            <w:r>
              <w:rPr>
                <w:rFonts w:cstheme="minorBidi"/>
                <w:iCs/>
              </w:rPr>
              <w:t>ee</w:t>
            </w:r>
            <w:r w:rsidR="00006CFA" w:rsidRPr="003D2A3B">
              <w:rPr>
                <w:rFonts w:cstheme="minorBidi"/>
                <w:iCs/>
              </w:rPr>
              <w:t xml:space="preserve"> </w:t>
            </w:r>
            <w:r>
              <w:rPr>
                <w:rFonts w:cstheme="minorBidi"/>
                <w:iCs/>
              </w:rPr>
              <w:t>funding, C</w:t>
            </w:r>
            <w:r w:rsidR="00006CFA" w:rsidRPr="003D2A3B">
              <w:rPr>
                <w:rFonts w:cstheme="minorBidi"/>
                <w:iCs/>
              </w:rPr>
              <w:t>QUniversity will invest in initiatives that directly address barriers to equity</w:t>
            </w:r>
            <w:r>
              <w:rPr>
                <w:rFonts w:cstheme="minorBidi"/>
                <w:iCs/>
              </w:rPr>
              <w:t>. These include:</w:t>
            </w:r>
          </w:p>
          <w:p w14:paraId="4E7FDAD6" w14:textId="1CF65290" w:rsidR="00FB19EB" w:rsidRPr="00FB19EB" w:rsidRDefault="00FB19EB" w:rsidP="2D7E8C51">
            <w:pPr>
              <w:pStyle w:val="NormalIndent"/>
              <w:spacing w:line="240" w:lineRule="auto"/>
              <w:ind w:left="0"/>
              <w:rPr>
                <w:rFonts w:cstheme="minorBidi"/>
              </w:rPr>
            </w:pPr>
            <w:r w:rsidRPr="2D7E8C51">
              <w:rPr>
                <w:rFonts w:cstheme="minorBidi"/>
                <w:b/>
                <w:bCs/>
              </w:rPr>
              <w:t>Retention Equity Program (REP):</w:t>
            </w:r>
            <w:r>
              <w:br/>
            </w:r>
            <w:r w:rsidRPr="2D7E8C51">
              <w:rPr>
                <w:rFonts w:cstheme="minorBidi"/>
              </w:rPr>
              <w:t>REP consolidates multi-stream equity work into a unified program focused on student support, academic design, onboarding, and pathways. In 2025</w:t>
            </w:r>
            <w:r w:rsidR="0091326A" w:rsidRPr="2D7E8C51">
              <w:rPr>
                <w:rFonts w:cstheme="minorBidi"/>
              </w:rPr>
              <w:t xml:space="preserve"> and 2</w:t>
            </w:r>
            <w:r w:rsidRPr="2D7E8C51">
              <w:rPr>
                <w:rFonts w:cstheme="minorBidi"/>
              </w:rPr>
              <w:t>026, REP will expand tailored advising, renew WIL access for equity students and strengthen VET-to-higher education transitions.</w:t>
            </w:r>
          </w:p>
          <w:p w14:paraId="19FB2048" w14:textId="181D6B13" w:rsidR="00FB19EB" w:rsidRPr="00FB19EB" w:rsidRDefault="00FB19EB" w:rsidP="001A4FC8">
            <w:pPr>
              <w:pStyle w:val="NormalIndent"/>
              <w:spacing w:line="240" w:lineRule="auto"/>
              <w:ind w:left="0"/>
              <w:rPr>
                <w:rFonts w:cstheme="minorBidi"/>
                <w:iCs/>
              </w:rPr>
            </w:pPr>
            <w:r w:rsidRPr="00FB19EB">
              <w:rPr>
                <w:rFonts w:cstheme="minorBidi"/>
                <w:b/>
                <w:iCs/>
              </w:rPr>
              <w:t>Student Empowerment:</w:t>
            </w:r>
            <w:r w:rsidRPr="00FB19EB">
              <w:rPr>
                <w:iCs/>
              </w:rPr>
              <w:br/>
            </w:r>
            <w:r w:rsidRPr="00FB19EB">
              <w:rPr>
                <w:rFonts w:cstheme="minorBidi"/>
                <w:iCs/>
              </w:rPr>
              <w:t>Th</w:t>
            </w:r>
            <w:r w:rsidR="00075E1F">
              <w:rPr>
                <w:rFonts w:cstheme="minorBidi"/>
                <w:iCs/>
              </w:rPr>
              <w:t xml:space="preserve">is initiative </w:t>
            </w:r>
            <w:r w:rsidR="00AA005D">
              <w:rPr>
                <w:rFonts w:cstheme="minorBidi"/>
                <w:iCs/>
              </w:rPr>
              <w:t xml:space="preserve">provides new </w:t>
            </w:r>
            <w:r w:rsidR="00165816">
              <w:rPr>
                <w:rFonts w:cstheme="minorBidi"/>
                <w:iCs/>
              </w:rPr>
              <w:t xml:space="preserve">opportunities for the student voice to be heard in university decision-making, </w:t>
            </w:r>
            <w:r w:rsidR="00372511">
              <w:rPr>
                <w:rFonts w:cstheme="minorBidi"/>
                <w:iCs/>
              </w:rPr>
              <w:t xml:space="preserve">new services for advocacy and student ombudsman services, </w:t>
            </w:r>
            <w:r w:rsidR="003D6A53">
              <w:rPr>
                <w:rFonts w:cstheme="minorBidi"/>
                <w:iCs/>
              </w:rPr>
              <w:t xml:space="preserve">oversight of the allocation of funding for </w:t>
            </w:r>
            <w:r w:rsidR="0084234B">
              <w:rPr>
                <w:rFonts w:cstheme="minorBidi"/>
                <w:iCs/>
              </w:rPr>
              <w:t xml:space="preserve">services and amenities for students from equity backgrounds. </w:t>
            </w:r>
          </w:p>
          <w:p w14:paraId="52122A25" w14:textId="74545FFD" w:rsidR="00FB19EB" w:rsidRPr="00FB19EB" w:rsidRDefault="00FB19EB" w:rsidP="2D7E8C51">
            <w:pPr>
              <w:pStyle w:val="NormalIndent"/>
              <w:spacing w:after="0" w:line="240" w:lineRule="auto"/>
              <w:ind w:left="0"/>
              <w:rPr>
                <w:rFonts w:cstheme="minorBidi"/>
              </w:rPr>
            </w:pPr>
            <w:hyperlink r:id="rId28" w:history="1">
              <w:r w:rsidRPr="00F525DE">
                <w:rPr>
                  <w:rStyle w:val="Hyperlink"/>
                  <w:rFonts w:cstheme="minorBidi"/>
                  <w:b/>
                  <w:bCs/>
                </w:rPr>
                <w:t>S</w:t>
              </w:r>
              <w:r w:rsidR="00475F1E" w:rsidRPr="00F525DE">
                <w:rPr>
                  <w:rStyle w:val="Hyperlink"/>
                  <w:rFonts w:cstheme="minorBidi"/>
                  <w:b/>
                  <w:bCs/>
                </w:rPr>
                <w:t>afer Communities</w:t>
              </w:r>
              <w:r w:rsidRPr="00F525DE">
                <w:rPr>
                  <w:rStyle w:val="Hyperlink"/>
                  <w:rFonts w:cstheme="minorBidi"/>
                  <w:b/>
                  <w:bCs/>
                </w:rPr>
                <w:t xml:space="preserve"> and </w:t>
              </w:r>
              <w:proofErr w:type="spellStart"/>
              <w:r w:rsidRPr="00F525DE">
                <w:rPr>
                  <w:rStyle w:val="Hyperlink"/>
                  <w:rFonts w:cstheme="minorBidi"/>
                  <w:b/>
                  <w:bCs/>
                </w:rPr>
                <w:t>Mindwaves</w:t>
              </w:r>
              <w:proofErr w:type="spellEnd"/>
              <w:r w:rsidRPr="00F525DE">
                <w:rPr>
                  <w:rStyle w:val="Hyperlink"/>
                  <w:rFonts w:cstheme="minorBidi"/>
                  <w:b/>
                  <w:bCs/>
                </w:rPr>
                <w:t xml:space="preserve"> 2.0:</w:t>
              </w:r>
            </w:hyperlink>
            <w:r>
              <w:br/>
            </w:r>
            <w:r w:rsidRPr="2D7E8C51">
              <w:rPr>
                <w:rFonts w:cstheme="minorBidi"/>
              </w:rPr>
              <w:t xml:space="preserve">These </w:t>
            </w:r>
            <w:r w:rsidR="00475F1E" w:rsidRPr="2D7E8C51">
              <w:rPr>
                <w:rFonts w:cstheme="minorBidi"/>
              </w:rPr>
              <w:t xml:space="preserve">services provide </w:t>
            </w:r>
            <w:r w:rsidR="23BC890A" w:rsidRPr="2D7E8C51">
              <w:rPr>
                <w:rFonts w:cstheme="minorBidi"/>
              </w:rPr>
              <w:t xml:space="preserve">gender-based violence </w:t>
            </w:r>
            <w:r w:rsidR="00665D1E" w:rsidRPr="2D7E8C51">
              <w:rPr>
                <w:rFonts w:cstheme="minorBidi"/>
              </w:rPr>
              <w:t xml:space="preserve">and </w:t>
            </w:r>
            <w:r w:rsidRPr="2D7E8C51">
              <w:rPr>
                <w:rFonts w:cstheme="minorBidi"/>
              </w:rPr>
              <w:t xml:space="preserve">mental wellbeing support. HECG funding </w:t>
            </w:r>
            <w:r w:rsidR="00882028" w:rsidRPr="2D7E8C51">
              <w:rPr>
                <w:rFonts w:cstheme="minorBidi"/>
              </w:rPr>
              <w:t>will</w:t>
            </w:r>
            <w:r w:rsidRPr="2D7E8C51">
              <w:rPr>
                <w:rFonts w:cstheme="minorBidi"/>
              </w:rPr>
              <w:t xml:space="preserve"> enhance data-driven interventions</w:t>
            </w:r>
            <w:r w:rsidR="00665D1E" w:rsidRPr="2D7E8C51">
              <w:rPr>
                <w:rFonts w:cstheme="minorBidi"/>
              </w:rPr>
              <w:t xml:space="preserve">, </w:t>
            </w:r>
            <w:r w:rsidR="00B250CB" w:rsidRPr="2D7E8C51">
              <w:rPr>
                <w:rFonts w:cstheme="minorBidi"/>
              </w:rPr>
              <w:t xml:space="preserve">conduct </w:t>
            </w:r>
            <w:r w:rsidR="00F733DD" w:rsidRPr="2D7E8C51">
              <w:rPr>
                <w:rFonts w:cstheme="minorBidi"/>
              </w:rPr>
              <w:t>management</w:t>
            </w:r>
            <w:r w:rsidR="2522D52A" w:rsidRPr="2D7E8C51">
              <w:rPr>
                <w:rFonts w:cstheme="minorBidi"/>
              </w:rPr>
              <w:t xml:space="preserve"> </w:t>
            </w:r>
            <w:r w:rsidRPr="2D7E8C51">
              <w:rPr>
                <w:rFonts w:cstheme="minorBidi"/>
              </w:rPr>
              <w:t>and expand access to wellbeing resources.</w:t>
            </w:r>
          </w:p>
          <w:p w14:paraId="6774A58C" w14:textId="77777777" w:rsidR="003D2A3B" w:rsidRDefault="003D2A3B" w:rsidP="001A4FC8">
            <w:pPr>
              <w:pStyle w:val="NormalIndent"/>
              <w:spacing w:before="0" w:after="0" w:line="240" w:lineRule="auto"/>
              <w:ind w:left="0"/>
              <w:rPr>
                <w:rFonts w:cstheme="minorBidi"/>
                <w:b/>
                <w:iCs/>
              </w:rPr>
            </w:pPr>
          </w:p>
          <w:p w14:paraId="1DE7ABEE" w14:textId="289DFBC1" w:rsidR="00FB19EB" w:rsidRPr="00FB19EB" w:rsidRDefault="00FB19EB" w:rsidP="001A4FC8">
            <w:pPr>
              <w:pStyle w:val="NormalIndent"/>
              <w:spacing w:before="0" w:after="0" w:line="240" w:lineRule="auto"/>
              <w:ind w:left="0"/>
              <w:rPr>
                <w:rFonts w:cstheme="minorBidi"/>
                <w:iCs/>
                <w:u w:val="single"/>
              </w:rPr>
            </w:pPr>
            <w:r w:rsidRPr="00FB19EB">
              <w:rPr>
                <w:rFonts w:cstheme="minorBidi"/>
                <w:b/>
                <w:iCs/>
                <w:u w:val="single"/>
              </w:rPr>
              <w:t>Monitoring and Evaluation:</w:t>
            </w:r>
          </w:p>
          <w:p w14:paraId="4CB0E201" w14:textId="5B87AB69" w:rsidR="001B109C" w:rsidRDefault="0034104B" w:rsidP="001A4FC8">
            <w:pPr>
              <w:pStyle w:val="NormalIndent"/>
              <w:spacing w:before="0" w:after="0" w:line="240" w:lineRule="auto"/>
              <w:ind w:left="0"/>
              <w:rPr>
                <w:rFonts w:cstheme="minorBidi"/>
                <w:iCs/>
              </w:rPr>
            </w:pPr>
            <w:r w:rsidRPr="0034104B">
              <w:rPr>
                <w:rFonts w:cstheme="minorBidi"/>
                <w:iCs/>
              </w:rPr>
              <w:t xml:space="preserve">CQUniversity is developing a comprehensive Student Success and Engagement Framework to guide and evaluate equity initiatives. </w:t>
            </w:r>
            <w:r w:rsidR="00BB7485">
              <w:rPr>
                <w:rFonts w:cstheme="minorBidi"/>
                <w:iCs/>
              </w:rPr>
              <w:t>P</w:t>
            </w:r>
            <w:r w:rsidRPr="0034104B">
              <w:rPr>
                <w:rFonts w:cstheme="minorBidi"/>
                <w:iCs/>
              </w:rPr>
              <w:t>rogress will be tracked through our Student Success Data Evaluation Framework, with disaggregated data analysis across equity groups and annual reporting to inform continuous improvement.</w:t>
            </w:r>
            <w:bookmarkEnd w:id="0"/>
            <w:bookmarkEnd w:id="1"/>
          </w:p>
          <w:p w14:paraId="6F3BC24F" w14:textId="77777777" w:rsidR="003117B5" w:rsidRDefault="003117B5" w:rsidP="001A4FC8">
            <w:pPr>
              <w:pStyle w:val="NormalIndent"/>
              <w:spacing w:before="0" w:after="0" w:line="240" w:lineRule="auto"/>
              <w:ind w:left="0"/>
              <w:rPr>
                <w:rFonts w:cstheme="minorBidi"/>
                <w:iCs/>
              </w:rPr>
            </w:pPr>
          </w:p>
          <w:p w14:paraId="22B87A46" w14:textId="0830DC9C" w:rsidR="000C4121" w:rsidRPr="00FB19EB" w:rsidRDefault="003117B5" w:rsidP="00E55A0A">
            <w:pPr>
              <w:pStyle w:val="NormalIndent"/>
              <w:spacing w:before="0" w:after="0" w:line="240" w:lineRule="auto"/>
              <w:ind w:left="0"/>
            </w:pPr>
            <w:r w:rsidRPr="003117B5">
              <w:rPr>
                <w:rFonts w:cstheme="minorBidi"/>
                <w:iCs/>
              </w:rPr>
              <w:t xml:space="preserve">CQUniversity’s equity strategies reflect our deep commitment to inclusive education and our role as a national leader in supporting diverse student cohorts, particularly in regional and remote contexts. Through evidence-based initiatives, strong community partnerships, and continuous </w:t>
            </w:r>
            <w:r w:rsidRPr="003117B5">
              <w:rPr>
                <w:rFonts w:cstheme="minorBidi"/>
                <w:iCs/>
              </w:rPr>
              <w:lastRenderedPageBreak/>
              <w:t xml:space="preserve">improvement, we are working to ensure every student </w:t>
            </w:r>
            <w:proofErr w:type="gramStart"/>
            <w:r w:rsidRPr="003117B5">
              <w:rPr>
                <w:rFonts w:cstheme="minorBidi"/>
                <w:iCs/>
              </w:rPr>
              <w:t>has the opportunity to</w:t>
            </w:r>
            <w:proofErr w:type="gramEnd"/>
            <w:r w:rsidRPr="003117B5">
              <w:rPr>
                <w:rFonts w:cstheme="minorBidi"/>
                <w:iCs/>
              </w:rPr>
              <w:t xml:space="preserve"> succeed and thrive in higher education.</w:t>
            </w:r>
          </w:p>
        </w:tc>
      </w:tr>
      <w:tr w:rsidR="001B109C" w:rsidRPr="00E41388" w14:paraId="39ADE404" w14:textId="77777777" w:rsidTr="2D7E8C51">
        <w:tc>
          <w:tcPr>
            <w:tcW w:w="5000" w:type="pct"/>
          </w:tcPr>
          <w:p w14:paraId="5E8BF11E" w14:textId="70F42990" w:rsidR="001B109C" w:rsidRPr="002A58A5" w:rsidRDefault="001B109C" w:rsidP="00426B7A">
            <w:pPr>
              <w:pStyle w:val="Heading4"/>
              <w:keepLines w:val="0"/>
              <w:spacing w:before="0" w:after="60"/>
              <w:rPr>
                <w:iCs w:val="0"/>
              </w:rPr>
            </w:pPr>
            <w:r>
              <w:lastRenderedPageBreak/>
              <w:t xml:space="preserve">Strategies for </w:t>
            </w:r>
            <w:r w:rsidR="00F30BFA">
              <w:t>Improving T</w:t>
            </w:r>
            <w:r w:rsidRPr="00E169EE">
              <w:t xml:space="preserve">eaching and </w:t>
            </w:r>
            <w:r w:rsidR="00F30BFA">
              <w:t>L</w:t>
            </w:r>
            <w:r w:rsidRPr="00E169EE">
              <w:t>earning</w:t>
            </w:r>
            <w:r w:rsidR="005B6C97">
              <w:t xml:space="preserve"> </w:t>
            </w:r>
          </w:p>
        </w:tc>
      </w:tr>
      <w:tr w:rsidR="001B109C" w:rsidRPr="00E41388" w14:paraId="3701A312" w14:textId="77777777" w:rsidTr="2D7E8C51">
        <w:trPr>
          <w:trHeight w:val="977"/>
        </w:trPr>
        <w:tc>
          <w:tcPr>
            <w:tcW w:w="5000" w:type="pct"/>
            <w:tcBorders>
              <w:bottom w:val="single" w:sz="4" w:space="0" w:color="auto"/>
            </w:tcBorders>
          </w:tcPr>
          <w:p w14:paraId="06F6413B" w14:textId="3881328D" w:rsidR="00BF1557" w:rsidRPr="00BF1557" w:rsidRDefault="00BF1557" w:rsidP="001A4FC8">
            <w:r w:rsidRPr="00BF1557">
              <w:t xml:space="preserve">CQUniversity is redefining teaching and learning through a learner-centred approach that integrates human-centred design with emerging technologies. Our </w:t>
            </w:r>
            <w:r w:rsidRPr="00EC3B82">
              <w:t xml:space="preserve">Learning and Teaching Strategy, </w:t>
            </w:r>
            <w:r w:rsidRPr="00BF1557">
              <w:t>underpinned by Education 5.0 and Industry 5.0 principles, outlines initiatives to enhance teaching quality and student outcomes.</w:t>
            </w:r>
            <w:r w:rsidR="0041287D">
              <w:t xml:space="preserve"> These k</w:t>
            </w:r>
            <w:r w:rsidRPr="00BF1557">
              <w:t>ey initiatives include:</w:t>
            </w:r>
          </w:p>
          <w:p w14:paraId="3FA96992" w14:textId="3DECD64E" w:rsidR="0073744F" w:rsidRDefault="00AA2B9B" w:rsidP="001A4FC8">
            <w:r w:rsidRPr="2D7E8C51">
              <w:rPr>
                <w:b/>
                <w:bCs/>
              </w:rPr>
              <w:t>Strengthening transition and retention</w:t>
            </w:r>
            <w:r w:rsidR="009D47A0" w:rsidRPr="2D7E8C51">
              <w:rPr>
                <w:b/>
                <w:bCs/>
              </w:rPr>
              <w:t>:</w:t>
            </w:r>
            <w:r>
              <w:br/>
              <w:t xml:space="preserve">As Queensland’s only dual-sector university, CQUniversity offers a unique pathway from secondary school through to </w:t>
            </w:r>
            <w:r w:rsidR="001F45B5">
              <w:t>Vocational Education and Training (VET)</w:t>
            </w:r>
            <w:r>
              <w:t>, undergraduate, postgraduate and research degrees. The University supports student transition through integrated pre-arrival, orientation and induction programs tailored to diverse cohorts, including First Nations, international, VET, HE and mature-age students. First-year units embed early formative assessments, language, literacy and numeracy diagnostics</w:t>
            </w:r>
            <w:r w:rsidR="2701DA04">
              <w:t xml:space="preserve"> </w:t>
            </w:r>
            <w:r>
              <w:t>and transition pedagogies to build academic confidence and a sense of belonging.</w:t>
            </w:r>
          </w:p>
          <w:p w14:paraId="6B96BE57" w14:textId="786F2D1E" w:rsidR="009D68AA" w:rsidRDefault="00AA2B9B" w:rsidP="001A4FC8">
            <w:r w:rsidRPr="0062153C">
              <w:t xml:space="preserve">Success is measured through increased engagement with support services and improved satisfaction with </w:t>
            </w:r>
            <w:r w:rsidR="009D68AA">
              <w:t xml:space="preserve">the following </w:t>
            </w:r>
            <w:r w:rsidR="003A1CCD" w:rsidRPr="003A1CCD">
              <w:t xml:space="preserve">Quality Indicators for Learning and Teaching </w:t>
            </w:r>
            <w:r w:rsidR="003A1CCD">
              <w:t>(</w:t>
            </w:r>
            <w:r w:rsidR="00771259">
              <w:t>QILT</w:t>
            </w:r>
            <w:r w:rsidR="003A1CCD">
              <w:t>)</w:t>
            </w:r>
            <w:r w:rsidR="00771259">
              <w:t xml:space="preserve"> Student Experience Survey</w:t>
            </w:r>
            <w:r w:rsidR="003A1CCD">
              <w:t xml:space="preserve"> (SES)</w:t>
            </w:r>
            <w:r w:rsidR="00771259">
              <w:t xml:space="preserve"> </w:t>
            </w:r>
            <w:r w:rsidR="009D68AA">
              <w:t>targets in place:</w:t>
            </w:r>
          </w:p>
          <w:p w14:paraId="6F1D1F2A" w14:textId="77777777" w:rsidR="00771259" w:rsidRDefault="00771259" w:rsidP="001A4FC8">
            <w:pPr>
              <w:pStyle w:val="ListParagraph"/>
              <w:numPr>
                <w:ilvl w:val="0"/>
                <w:numId w:val="26"/>
              </w:numPr>
              <w:ind w:left="589"/>
            </w:pPr>
            <w:r>
              <w:t xml:space="preserve">Satisfaction with </w:t>
            </w:r>
            <w:r w:rsidR="00937B4E">
              <w:t>L</w:t>
            </w:r>
            <w:r w:rsidR="00AA2B9B" w:rsidRPr="0062153C">
              <w:t>earning support ≥71</w:t>
            </w:r>
            <w:r w:rsidR="00211B51">
              <w:t xml:space="preserve"> </w:t>
            </w:r>
            <w:r w:rsidR="002F1BDC">
              <w:t>%</w:t>
            </w:r>
            <w:r w:rsidR="00AA2B9B" w:rsidRPr="0062153C">
              <w:t xml:space="preserve"> </w:t>
            </w:r>
          </w:p>
          <w:p w14:paraId="55A211DA" w14:textId="77777777" w:rsidR="00771259" w:rsidRDefault="00771259" w:rsidP="001A4FC8">
            <w:pPr>
              <w:pStyle w:val="ListParagraph"/>
              <w:numPr>
                <w:ilvl w:val="0"/>
                <w:numId w:val="26"/>
              </w:numPr>
              <w:ind w:left="589"/>
            </w:pPr>
            <w:r>
              <w:t xml:space="preserve">Satisfaction with </w:t>
            </w:r>
            <w:r w:rsidR="00AA2B9B" w:rsidRPr="0062153C">
              <w:t>enrolment processes ≥74</w:t>
            </w:r>
            <w:r w:rsidR="002F1BDC">
              <w:t>%</w:t>
            </w:r>
            <w:r>
              <w:t xml:space="preserve"> </w:t>
            </w:r>
          </w:p>
          <w:p w14:paraId="439C2BFA" w14:textId="50CB164A" w:rsidR="00AA2B9B" w:rsidRDefault="00771259" w:rsidP="001A4FC8">
            <w:pPr>
              <w:pStyle w:val="ListParagraph"/>
              <w:numPr>
                <w:ilvl w:val="0"/>
                <w:numId w:val="26"/>
              </w:numPr>
              <w:ind w:left="589"/>
            </w:pPr>
            <w:r>
              <w:t>Satisfaction with</w:t>
            </w:r>
            <w:r w:rsidR="00AA2B9B" w:rsidRPr="0062153C">
              <w:t xml:space="preserve"> orientation activities ≥66</w:t>
            </w:r>
            <w:r w:rsidR="002F1BDC">
              <w:t>%</w:t>
            </w:r>
            <w:r w:rsidR="00AA2B9B" w:rsidRPr="0062153C">
              <w:t>.</w:t>
            </w:r>
          </w:p>
          <w:p w14:paraId="33DDBDCE" w14:textId="34B79051" w:rsidR="000B3949" w:rsidRDefault="00AA2B9B" w:rsidP="001A4FC8">
            <w:r w:rsidRPr="2D7E8C51">
              <w:rPr>
                <w:b/>
                <w:bCs/>
              </w:rPr>
              <w:t>Personalised adaptive learning</w:t>
            </w:r>
            <w:r w:rsidR="002115D0" w:rsidRPr="2D7E8C51">
              <w:rPr>
                <w:b/>
                <w:bCs/>
              </w:rPr>
              <w:t>:</w:t>
            </w:r>
            <w:r>
              <w:br/>
              <w:t>CQUniversity is moving toward adaptive learning environments that respond to individual learner needs. AI-powered analytics are used to tailor content, pace</w:t>
            </w:r>
            <w:r w:rsidR="2A15A6B4">
              <w:t xml:space="preserve"> </w:t>
            </w:r>
            <w:r>
              <w:t>and support, while educators are supported to design multimodal content using Universal Design for Learning (UDL) principles.</w:t>
            </w:r>
          </w:p>
          <w:p w14:paraId="5DF7E2C8" w14:textId="598C148E" w:rsidR="00DF5051" w:rsidRDefault="00AA2B9B" w:rsidP="001A4FC8">
            <w:r w:rsidRPr="0062153C">
              <w:t xml:space="preserve">Success is tracked through </w:t>
            </w:r>
            <w:r w:rsidR="00EC695A" w:rsidRPr="00EC695A">
              <w:t>Student Unit and Teaching Evaluations</w:t>
            </w:r>
            <w:r w:rsidR="00EC695A">
              <w:t xml:space="preserve"> (</w:t>
            </w:r>
            <w:r w:rsidRPr="0062153C">
              <w:t>SUTE</w:t>
            </w:r>
            <w:r w:rsidR="00EC695A">
              <w:t>)</w:t>
            </w:r>
            <w:r w:rsidRPr="0062153C">
              <w:t xml:space="preserve"> and QILT indicators, with </w:t>
            </w:r>
            <w:r w:rsidR="00DF5051">
              <w:t xml:space="preserve">the following </w:t>
            </w:r>
            <w:r w:rsidRPr="0062153C">
              <w:t xml:space="preserve">targets </w:t>
            </w:r>
            <w:r w:rsidR="00DF5051">
              <w:t>in place</w:t>
            </w:r>
          </w:p>
          <w:p w14:paraId="5C231192" w14:textId="18EF3693" w:rsidR="00DF5051" w:rsidRDefault="00AA2B9B" w:rsidP="001A4FC8">
            <w:pPr>
              <w:pStyle w:val="ListParagraph"/>
              <w:numPr>
                <w:ilvl w:val="0"/>
                <w:numId w:val="27"/>
              </w:numPr>
              <w:ind w:left="731"/>
            </w:pPr>
            <w:r w:rsidRPr="0062153C">
              <w:t>≥77</w:t>
            </w:r>
            <w:r w:rsidR="00DF5051">
              <w:t xml:space="preserve">% </w:t>
            </w:r>
            <w:r w:rsidRPr="0062153C">
              <w:t>satisfaction for online units</w:t>
            </w:r>
          </w:p>
          <w:p w14:paraId="1775162D" w14:textId="1A8E9363" w:rsidR="00DF5051" w:rsidRDefault="00AA2B9B" w:rsidP="001A4FC8">
            <w:pPr>
              <w:pStyle w:val="ListParagraph"/>
              <w:numPr>
                <w:ilvl w:val="0"/>
                <w:numId w:val="27"/>
              </w:numPr>
              <w:ind w:left="731"/>
            </w:pPr>
            <w:r w:rsidRPr="0062153C">
              <w:t>≥81</w:t>
            </w:r>
            <w:r w:rsidR="00F525DE">
              <w:t xml:space="preserve">% </w:t>
            </w:r>
            <w:r w:rsidRPr="0062153C">
              <w:t>for on-campus units</w:t>
            </w:r>
          </w:p>
          <w:p w14:paraId="648D8892" w14:textId="227256B5" w:rsidR="00AA2B9B" w:rsidRDefault="00AA2B9B" w:rsidP="001A4FC8">
            <w:pPr>
              <w:pStyle w:val="ListParagraph"/>
              <w:numPr>
                <w:ilvl w:val="0"/>
                <w:numId w:val="27"/>
              </w:numPr>
              <w:ind w:left="731"/>
            </w:pPr>
            <w:r w:rsidRPr="0062153C">
              <w:t>≥79% satisfaction with digital platforms.</w:t>
            </w:r>
          </w:p>
          <w:p w14:paraId="603C71E9" w14:textId="77777777" w:rsidR="005E5936" w:rsidRDefault="00AA2B9B" w:rsidP="001A4FC8">
            <w:pPr>
              <w:rPr>
                <w:b/>
                <w:bCs/>
              </w:rPr>
            </w:pPr>
            <w:r w:rsidRPr="000B3949">
              <w:rPr>
                <w:b/>
                <w:bCs/>
              </w:rPr>
              <w:t>Early intervention for at-risk student</w:t>
            </w:r>
            <w:r w:rsidR="005E5936">
              <w:rPr>
                <w:b/>
                <w:bCs/>
              </w:rPr>
              <w:t>s</w:t>
            </w:r>
          </w:p>
          <w:p w14:paraId="7F1BBA48" w14:textId="5BF8ED76" w:rsidR="00766FA8" w:rsidRDefault="00766FA8" w:rsidP="001A4FC8">
            <w:r>
              <w:t xml:space="preserve">CQUniversity </w:t>
            </w:r>
            <w:r w:rsidR="694B390F">
              <w:t xml:space="preserve">is </w:t>
            </w:r>
            <w:r>
              <w:t>introduc</w:t>
            </w:r>
            <w:r w:rsidR="795AA002">
              <w:t>ing</w:t>
            </w:r>
            <w:r w:rsidR="694B390F">
              <w:t xml:space="preserve"> the </w:t>
            </w:r>
            <w:r w:rsidR="4C29AD3F">
              <w:t xml:space="preserve">Student Service </w:t>
            </w:r>
            <w:r>
              <w:t>SPOT, an integrated support model that brings together academic and professional services to deliver timely, targeted assistance across the student lifecycle. Using real-time learning analytics and continuous feedback loops, the SPOT Hub identifies students at risk of disengagement and provides proactive outreach and personalised support, including academic referrals, peer mentoring and tailored resources.</w:t>
            </w:r>
          </w:p>
          <w:p w14:paraId="7AF6F453" w14:textId="3C6CE45A" w:rsidR="00AA2B9B" w:rsidRDefault="00AA2B9B" w:rsidP="001A4FC8">
            <w:r>
              <w:t>Key indicators include student satisfaction with study or learning support services (QILT SES), increased engagement with referred services, improved retention and SPOT Hub utilisation data.</w:t>
            </w:r>
          </w:p>
          <w:p w14:paraId="4552CBB8" w14:textId="77777777" w:rsidR="0014226B" w:rsidRDefault="0014226B" w:rsidP="001A4FC8"/>
          <w:p w14:paraId="21895542" w14:textId="518F8980" w:rsidR="000B3949" w:rsidRDefault="00AA2B9B" w:rsidP="001A4FC8">
            <w:r w:rsidRPr="2D7E8C51">
              <w:rPr>
                <w:b/>
                <w:bCs/>
              </w:rPr>
              <w:lastRenderedPageBreak/>
              <w:t>Authentic and industry-connected learning</w:t>
            </w:r>
            <w:r>
              <w:br/>
              <w:t>Authentic learning is embedded across curriculum and training packages through project-based assessments, industry mentorships, placements, apprenticeship</w:t>
            </w:r>
            <w:r w:rsidR="096FB600">
              <w:t>s</w:t>
            </w:r>
            <w:r>
              <w:t xml:space="preserve"> and work-integrated learning. These approaches are designed to enhance career readiness by connecting learners with real-world professional challenges. Initiatives such as ‘Discipline Connect’ and capstone projects strengthen ties between students, industry and alumni.</w:t>
            </w:r>
          </w:p>
          <w:p w14:paraId="74F21687" w14:textId="55DA07B3" w:rsidR="00AA2B9B" w:rsidRPr="0062153C" w:rsidRDefault="00AA2B9B" w:rsidP="001A4FC8">
            <w:r w:rsidRPr="0062153C">
              <w:t xml:space="preserve">Employability is measured via QILT </w:t>
            </w:r>
            <w:r w:rsidR="00034AA9">
              <w:t xml:space="preserve">Graduate Outcome Survey results with a target of </w:t>
            </w:r>
            <w:r w:rsidRPr="0062153C">
              <w:t>≥70% of graduates feeling work-ready</w:t>
            </w:r>
            <w:r w:rsidR="000B3949">
              <w:t xml:space="preserve"> </w:t>
            </w:r>
            <w:r w:rsidRPr="0062153C">
              <w:t>and internal tracking of WIL placements and projects.</w:t>
            </w:r>
          </w:p>
          <w:p w14:paraId="0DF270EB" w14:textId="7DBE88F6" w:rsidR="000B3949" w:rsidRPr="001A4FC8" w:rsidRDefault="00AA2B9B" w:rsidP="2D7E8C51">
            <w:pPr>
              <w:rPr>
                <w:i/>
                <w:iCs/>
                <w:color w:val="FF0000"/>
              </w:rPr>
            </w:pPr>
            <w:r w:rsidRPr="2D7E8C51">
              <w:rPr>
                <w:b/>
                <w:bCs/>
              </w:rPr>
              <w:t>Educator development and praxis</w:t>
            </w:r>
            <w:r>
              <w:br/>
              <w:t>Educator capability is central to teaching quality and learner success at CQUniversity. Key initiatives include GenAI literacy training, Learning Lab Sandboxes, EdTech tools, hybrid learning environments, Communities of Practice, scholarly practice pathways and recognition through Advance HE/LIFT Fellowships.</w:t>
            </w:r>
          </w:p>
          <w:p w14:paraId="74D1FDC7" w14:textId="103A19CA" w:rsidR="001B109C" w:rsidRPr="001A4FC8" w:rsidRDefault="00AA2B9B" w:rsidP="2D7E8C51">
            <w:pPr>
              <w:rPr>
                <w:i/>
                <w:iCs/>
                <w:color w:val="FF0000"/>
              </w:rPr>
            </w:pPr>
            <w:r>
              <w:t>Success is measured through educator engagement and feedback, scholarly outputs, industry collaborations and fellowship applications.</w:t>
            </w:r>
          </w:p>
        </w:tc>
      </w:tr>
      <w:tr w:rsidR="001B109C" w:rsidRPr="00E41388" w14:paraId="3EB68E1B" w14:textId="77777777" w:rsidTr="2D7E8C51">
        <w:tc>
          <w:tcPr>
            <w:tcW w:w="5000" w:type="pct"/>
          </w:tcPr>
          <w:p w14:paraId="54D9B30B" w14:textId="2D74B298" w:rsidR="001B109C" w:rsidRPr="00E169EE" w:rsidRDefault="001B109C" w:rsidP="001A4FC8">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2D7E8C51">
        <w:tc>
          <w:tcPr>
            <w:tcW w:w="5000" w:type="pct"/>
          </w:tcPr>
          <w:p w14:paraId="6255DA46" w14:textId="02C9E982" w:rsidR="00FA2F47" w:rsidRPr="00FA2F47" w:rsidRDefault="00FA2F47" w:rsidP="2D7E8C51">
            <w:pPr>
              <w:pStyle w:val="NormalIndent"/>
              <w:spacing w:after="0" w:line="240" w:lineRule="auto"/>
              <w:ind w:left="0"/>
              <w:rPr>
                <w:rFonts w:asciiTheme="minorHAnsi" w:hAnsiTheme="minorHAnsi" w:cstheme="minorBidi"/>
              </w:rPr>
            </w:pPr>
            <w:r w:rsidRPr="2D7E8C51">
              <w:rPr>
                <w:rFonts w:asciiTheme="minorHAnsi" w:hAnsiTheme="minorHAnsi" w:cstheme="minorBidi"/>
              </w:rPr>
              <w:t>CQUniversity’s research strategy is focused on delivering regionally relevant, globally impactful research that addresses real-world challenges and drives innovation across Central Queensland and beyond. Our priorities for the 2025–2026 period are centred on expanding research capacity, strengthening research training, enhancing commercialisation pathways</w:t>
            </w:r>
            <w:r w:rsidR="1524B648" w:rsidRPr="2D7E8C51">
              <w:rPr>
                <w:rFonts w:asciiTheme="minorHAnsi" w:hAnsiTheme="minorHAnsi" w:cstheme="minorBidi"/>
              </w:rPr>
              <w:t xml:space="preserve"> </w:t>
            </w:r>
            <w:r w:rsidRPr="2D7E8C51">
              <w:rPr>
                <w:rFonts w:asciiTheme="minorHAnsi" w:hAnsiTheme="minorHAnsi" w:cstheme="minorBidi"/>
              </w:rPr>
              <w:t>and deepening collaboration with health, industry and community partners.</w:t>
            </w:r>
            <w:r w:rsidR="00A31FB8" w:rsidRPr="2D7E8C51">
              <w:rPr>
                <w:rFonts w:asciiTheme="minorHAnsi" w:hAnsiTheme="minorHAnsi" w:cstheme="minorBidi"/>
              </w:rPr>
              <w:t xml:space="preserve"> </w:t>
            </w:r>
            <w:r w:rsidRPr="2D7E8C51">
              <w:rPr>
                <w:rFonts w:asciiTheme="minorHAnsi" w:hAnsiTheme="minorHAnsi" w:cstheme="minorBidi"/>
              </w:rPr>
              <w:t xml:space="preserve">Key </w:t>
            </w:r>
            <w:r w:rsidR="00F026D8" w:rsidRPr="2D7E8C51">
              <w:rPr>
                <w:rFonts w:asciiTheme="minorHAnsi" w:hAnsiTheme="minorHAnsi" w:cstheme="minorBidi"/>
              </w:rPr>
              <w:t>p</w:t>
            </w:r>
            <w:r w:rsidRPr="2D7E8C51">
              <w:rPr>
                <w:rFonts w:asciiTheme="minorHAnsi" w:hAnsiTheme="minorHAnsi" w:cstheme="minorBidi"/>
              </w:rPr>
              <w:t xml:space="preserve">riorities and </w:t>
            </w:r>
            <w:r w:rsidR="00F026D8" w:rsidRPr="2D7E8C51">
              <w:rPr>
                <w:rFonts w:asciiTheme="minorHAnsi" w:hAnsiTheme="minorHAnsi" w:cstheme="minorBidi"/>
              </w:rPr>
              <w:t>s</w:t>
            </w:r>
            <w:r w:rsidRPr="2D7E8C51">
              <w:rPr>
                <w:rFonts w:asciiTheme="minorHAnsi" w:hAnsiTheme="minorHAnsi" w:cstheme="minorBidi"/>
              </w:rPr>
              <w:t>trategies</w:t>
            </w:r>
            <w:r w:rsidR="00F026D8" w:rsidRPr="2D7E8C51">
              <w:rPr>
                <w:rFonts w:asciiTheme="minorHAnsi" w:hAnsiTheme="minorHAnsi" w:cstheme="minorBidi"/>
              </w:rPr>
              <w:t xml:space="preserve"> include</w:t>
            </w:r>
            <w:r w:rsidRPr="2D7E8C51">
              <w:rPr>
                <w:rFonts w:asciiTheme="minorHAnsi" w:hAnsiTheme="minorHAnsi" w:cstheme="minorBidi"/>
              </w:rPr>
              <w:t>:</w:t>
            </w:r>
          </w:p>
          <w:p w14:paraId="5681FCE5" w14:textId="77777777" w:rsidR="00FA2F47" w:rsidRPr="009621B0" w:rsidRDefault="00FA2F47" w:rsidP="001A4FC8">
            <w:pPr>
              <w:pStyle w:val="NormalIndent"/>
              <w:spacing w:after="0" w:line="240" w:lineRule="auto"/>
              <w:ind w:left="0"/>
              <w:rPr>
                <w:rFonts w:asciiTheme="minorHAnsi" w:hAnsiTheme="minorHAnsi" w:cstheme="minorHAnsi"/>
                <w:b/>
                <w:bCs/>
                <w:iCs/>
              </w:rPr>
            </w:pPr>
            <w:r w:rsidRPr="009621B0">
              <w:rPr>
                <w:rFonts w:asciiTheme="minorHAnsi" w:hAnsiTheme="minorHAnsi" w:cstheme="minorHAnsi"/>
                <w:b/>
                <w:bCs/>
                <w:iCs/>
              </w:rPr>
              <w:t>Growing Regional Research Capacity</w:t>
            </w:r>
          </w:p>
          <w:p w14:paraId="53CFB9A7" w14:textId="0C75E22F" w:rsidR="00FA2F47" w:rsidRPr="00FA2F47" w:rsidRDefault="00FA2F47" w:rsidP="2D7E8C51">
            <w:pPr>
              <w:pStyle w:val="NormalIndent"/>
              <w:spacing w:after="0" w:line="240" w:lineRule="auto"/>
              <w:ind w:left="0"/>
              <w:rPr>
                <w:rFonts w:asciiTheme="minorHAnsi" w:hAnsiTheme="minorHAnsi" w:cstheme="minorBidi"/>
              </w:rPr>
            </w:pPr>
            <w:r w:rsidRPr="2D7E8C51">
              <w:rPr>
                <w:rFonts w:asciiTheme="minorHAnsi" w:hAnsiTheme="minorHAnsi" w:cstheme="minorBidi"/>
              </w:rPr>
              <w:t>CQUniversity is committed to building research capability in areas of strategic importance to regional Australia, including health, agriculture, renewable energy, education and social innovation. We will continue to invest in targeted recruitment of research-active staff, support emerging researchers through mentoring and development programs, and expand infrastructure to support high-quality research outputs.</w:t>
            </w:r>
          </w:p>
          <w:p w14:paraId="6F4105DA" w14:textId="77777777" w:rsidR="00FA2F47" w:rsidRPr="009621B0" w:rsidRDefault="00FA2F47" w:rsidP="001A4FC8">
            <w:pPr>
              <w:pStyle w:val="NormalIndent"/>
              <w:spacing w:after="0" w:line="240" w:lineRule="auto"/>
              <w:ind w:left="0"/>
              <w:rPr>
                <w:rFonts w:asciiTheme="minorHAnsi" w:hAnsiTheme="minorHAnsi" w:cstheme="minorHAnsi"/>
                <w:b/>
                <w:bCs/>
                <w:iCs/>
              </w:rPr>
            </w:pPr>
            <w:r w:rsidRPr="009621B0">
              <w:rPr>
                <w:rFonts w:asciiTheme="minorHAnsi" w:hAnsiTheme="minorHAnsi" w:cstheme="minorHAnsi"/>
                <w:b/>
                <w:bCs/>
                <w:iCs/>
              </w:rPr>
              <w:t>Strengthening Research Training</w:t>
            </w:r>
          </w:p>
          <w:p w14:paraId="2C8A6625" w14:textId="0673543E" w:rsidR="00FA2F47" w:rsidRPr="00FA2F47" w:rsidRDefault="00FA2F47" w:rsidP="001A4FC8">
            <w:pPr>
              <w:pStyle w:val="NormalIndent"/>
              <w:spacing w:after="0" w:line="240" w:lineRule="auto"/>
              <w:ind w:left="0"/>
              <w:rPr>
                <w:rFonts w:asciiTheme="minorHAnsi" w:hAnsiTheme="minorHAnsi" w:cstheme="minorHAnsi"/>
                <w:iCs/>
              </w:rPr>
            </w:pPr>
            <w:r w:rsidRPr="00FA2F47">
              <w:rPr>
                <w:rFonts w:asciiTheme="minorHAnsi" w:hAnsiTheme="minorHAnsi" w:cstheme="minorHAnsi"/>
                <w:iCs/>
              </w:rPr>
              <w:t>We aim to enhance the experience and outcomes of Higher Degree by Research (HDR) candidates through improved supervision quality, structured career development, and increased opportunities for industry and community engagement. CQUniversity will continue to offer embedded research internships</w:t>
            </w:r>
            <w:r w:rsidR="00304F7B">
              <w:rPr>
                <w:rFonts w:asciiTheme="minorHAnsi" w:hAnsiTheme="minorHAnsi" w:cstheme="minorHAnsi"/>
                <w:iCs/>
              </w:rPr>
              <w:t>, industry aligned thesis offerings</w:t>
            </w:r>
            <w:r w:rsidRPr="00FA2F47">
              <w:rPr>
                <w:rFonts w:asciiTheme="minorHAnsi" w:hAnsiTheme="minorHAnsi" w:cstheme="minorHAnsi"/>
                <w:iCs/>
              </w:rPr>
              <w:t xml:space="preserve"> and co-funded scholarships with external partners to ensure HDR training is aligned with workforce needs and innovation priorities.</w:t>
            </w:r>
          </w:p>
          <w:p w14:paraId="3F272127" w14:textId="77777777" w:rsidR="00FA2F47" w:rsidRPr="009621B0" w:rsidRDefault="00FA2F47" w:rsidP="001A4FC8">
            <w:pPr>
              <w:pStyle w:val="NormalIndent"/>
              <w:spacing w:after="0" w:line="240" w:lineRule="auto"/>
              <w:ind w:left="0"/>
              <w:rPr>
                <w:rFonts w:asciiTheme="minorHAnsi" w:hAnsiTheme="minorHAnsi" w:cstheme="minorHAnsi"/>
                <w:b/>
                <w:bCs/>
                <w:iCs/>
              </w:rPr>
            </w:pPr>
            <w:r w:rsidRPr="009621B0">
              <w:rPr>
                <w:rFonts w:asciiTheme="minorHAnsi" w:hAnsiTheme="minorHAnsi" w:cstheme="minorHAnsi"/>
                <w:b/>
                <w:bCs/>
                <w:iCs/>
              </w:rPr>
              <w:t>Enhancing Research Commercialisation</w:t>
            </w:r>
          </w:p>
          <w:p w14:paraId="5B2FABDC" w14:textId="3014F315" w:rsidR="00FA2F47" w:rsidRPr="00FA2F47" w:rsidRDefault="00FA2F47" w:rsidP="2D7E8C51">
            <w:pPr>
              <w:pStyle w:val="NormalIndent"/>
              <w:spacing w:after="0" w:line="240" w:lineRule="auto"/>
              <w:ind w:left="0"/>
              <w:rPr>
                <w:rFonts w:asciiTheme="minorHAnsi" w:hAnsiTheme="minorHAnsi" w:cstheme="minorBidi"/>
              </w:rPr>
            </w:pPr>
            <w:r w:rsidRPr="2D7E8C51">
              <w:rPr>
                <w:rFonts w:asciiTheme="minorHAnsi" w:hAnsiTheme="minorHAnsi" w:cstheme="minorBidi"/>
              </w:rPr>
              <w:t xml:space="preserve">CQUniversity is expanding its research commercialisation efforts through the development of translational pathways, </w:t>
            </w:r>
            <w:r w:rsidR="00FA373F" w:rsidRPr="2D7E8C51">
              <w:rPr>
                <w:rFonts w:asciiTheme="minorHAnsi" w:hAnsiTheme="minorHAnsi" w:cstheme="minorBidi"/>
              </w:rPr>
              <w:t xml:space="preserve">Intellectual </w:t>
            </w:r>
            <w:r w:rsidRPr="2D7E8C51">
              <w:rPr>
                <w:rFonts w:asciiTheme="minorHAnsi" w:hAnsiTheme="minorHAnsi" w:cstheme="minorBidi"/>
              </w:rPr>
              <w:t>P</w:t>
            </w:r>
            <w:r w:rsidR="00FA373F" w:rsidRPr="2D7E8C51">
              <w:rPr>
                <w:rFonts w:asciiTheme="minorHAnsi" w:hAnsiTheme="minorHAnsi" w:cstheme="minorBidi"/>
              </w:rPr>
              <w:t>roperty</w:t>
            </w:r>
            <w:r w:rsidRPr="2D7E8C51">
              <w:rPr>
                <w:rFonts w:asciiTheme="minorHAnsi" w:hAnsiTheme="minorHAnsi" w:cstheme="minorBidi"/>
              </w:rPr>
              <w:t xml:space="preserve"> management support and industry co-investment models. We are actively pursuing opportunities under the Australian Government’s University Research Commercialisation Action Plan, including participation in Trailblazer programs and regional innovation hubs. Our focus is on converting research into tangible products, services and policy outcomes that benefit regional communities.</w:t>
            </w:r>
          </w:p>
          <w:p w14:paraId="153717B3" w14:textId="3857F964" w:rsidR="2D7E8C51" w:rsidRDefault="2D7E8C51" w:rsidP="2D7E8C51">
            <w:pPr>
              <w:pStyle w:val="NormalIndent"/>
              <w:spacing w:after="0" w:line="240" w:lineRule="auto"/>
              <w:ind w:left="0"/>
              <w:rPr>
                <w:rFonts w:asciiTheme="minorHAnsi" w:hAnsiTheme="minorHAnsi" w:cstheme="minorBidi"/>
              </w:rPr>
            </w:pPr>
          </w:p>
          <w:p w14:paraId="2AF60E20" w14:textId="77777777" w:rsidR="00FA2F47" w:rsidRPr="009621B0" w:rsidRDefault="00FA2F47" w:rsidP="001A4FC8">
            <w:pPr>
              <w:pStyle w:val="NormalIndent"/>
              <w:spacing w:after="0" w:line="240" w:lineRule="auto"/>
              <w:ind w:left="0"/>
              <w:rPr>
                <w:rFonts w:asciiTheme="minorHAnsi" w:hAnsiTheme="minorHAnsi" w:cstheme="minorHAnsi"/>
                <w:b/>
                <w:bCs/>
                <w:iCs/>
              </w:rPr>
            </w:pPr>
            <w:r w:rsidRPr="009621B0">
              <w:rPr>
                <w:rFonts w:asciiTheme="minorHAnsi" w:hAnsiTheme="minorHAnsi" w:cstheme="minorHAnsi"/>
                <w:b/>
                <w:bCs/>
                <w:iCs/>
              </w:rPr>
              <w:lastRenderedPageBreak/>
              <w:t>Establishing Clinical Trials Capability</w:t>
            </w:r>
          </w:p>
          <w:p w14:paraId="3C88A7D5" w14:textId="10F7152C" w:rsidR="00FA2F47" w:rsidRPr="00FA2F47" w:rsidRDefault="00FA2F47" w:rsidP="2D7E8C51">
            <w:pPr>
              <w:pStyle w:val="NormalIndent"/>
              <w:spacing w:after="0" w:line="240" w:lineRule="auto"/>
              <w:ind w:left="0"/>
              <w:rPr>
                <w:rFonts w:asciiTheme="minorHAnsi" w:hAnsiTheme="minorHAnsi" w:cstheme="minorBidi"/>
              </w:rPr>
            </w:pPr>
            <w:r w:rsidRPr="2D7E8C51">
              <w:rPr>
                <w:rFonts w:asciiTheme="minorHAnsi" w:hAnsiTheme="minorHAnsi" w:cstheme="minorBidi"/>
              </w:rPr>
              <w:t xml:space="preserve">In partnership with </w:t>
            </w:r>
            <w:r w:rsidR="00660123" w:rsidRPr="2D7E8C51">
              <w:rPr>
                <w:rFonts w:asciiTheme="minorHAnsi" w:hAnsiTheme="minorHAnsi" w:cstheme="minorBidi"/>
              </w:rPr>
              <w:t>local health services</w:t>
            </w:r>
            <w:r w:rsidRPr="2D7E8C51">
              <w:rPr>
                <w:rFonts w:asciiTheme="minorHAnsi" w:hAnsiTheme="minorHAnsi" w:cstheme="minorBidi"/>
              </w:rPr>
              <w:t>, CQUniversity is working to establish a clinical trials unit that will enable pharmaceutical and investigator-led trials in regional Queensland. This initiative will leverage the University’s HERDC-eligible income streams to reinvest in medical research and support the development of</w:t>
            </w:r>
            <w:r w:rsidR="00660123" w:rsidRPr="2D7E8C51">
              <w:rPr>
                <w:rFonts w:asciiTheme="minorHAnsi" w:hAnsiTheme="minorHAnsi" w:cstheme="minorBidi"/>
              </w:rPr>
              <w:t xml:space="preserve"> sustainable</w:t>
            </w:r>
            <w:r w:rsidR="00930E72" w:rsidRPr="2D7E8C51">
              <w:rPr>
                <w:rFonts w:asciiTheme="minorHAnsi" w:hAnsiTheme="minorHAnsi" w:cstheme="minorBidi"/>
              </w:rPr>
              <w:t>, ongoing health research partnerships</w:t>
            </w:r>
            <w:r w:rsidR="4A775F07" w:rsidRPr="2D7E8C51">
              <w:rPr>
                <w:rFonts w:asciiTheme="minorHAnsi" w:hAnsiTheme="minorHAnsi" w:cstheme="minorBidi"/>
              </w:rPr>
              <w:t>, ultimately improving</w:t>
            </w:r>
            <w:r w:rsidR="00FB7564" w:rsidRPr="2D7E8C51">
              <w:rPr>
                <w:rFonts w:asciiTheme="minorHAnsi" w:hAnsiTheme="minorHAnsi" w:cstheme="minorBidi"/>
              </w:rPr>
              <w:t xml:space="preserve"> health outcomes for </w:t>
            </w:r>
            <w:r w:rsidR="00930E72" w:rsidRPr="2D7E8C51">
              <w:rPr>
                <w:rFonts w:asciiTheme="minorHAnsi" w:hAnsiTheme="minorHAnsi" w:cstheme="minorBidi"/>
              </w:rPr>
              <w:t>region</w:t>
            </w:r>
            <w:r w:rsidR="00FB7564" w:rsidRPr="2D7E8C51">
              <w:rPr>
                <w:rFonts w:asciiTheme="minorHAnsi" w:hAnsiTheme="minorHAnsi" w:cstheme="minorBidi"/>
              </w:rPr>
              <w:t>al Australians</w:t>
            </w:r>
            <w:r w:rsidR="00930E72" w:rsidRPr="2D7E8C51">
              <w:rPr>
                <w:rFonts w:asciiTheme="minorHAnsi" w:hAnsiTheme="minorHAnsi" w:cstheme="minorBidi"/>
              </w:rPr>
              <w:t>.</w:t>
            </w:r>
          </w:p>
          <w:p w14:paraId="0E48C7CE" w14:textId="77777777" w:rsidR="00FA2F47" w:rsidRPr="009621B0" w:rsidRDefault="00FA2F47" w:rsidP="001A4FC8">
            <w:pPr>
              <w:pStyle w:val="NormalIndent"/>
              <w:spacing w:after="0" w:line="240" w:lineRule="auto"/>
              <w:ind w:left="0"/>
              <w:rPr>
                <w:rFonts w:asciiTheme="minorHAnsi" w:hAnsiTheme="minorHAnsi" w:cstheme="minorHAnsi"/>
                <w:b/>
                <w:bCs/>
                <w:iCs/>
              </w:rPr>
            </w:pPr>
            <w:r w:rsidRPr="009621B0">
              <w:rPr>
                <w:rFonts w:asciiTheme="minorHAnsi" w:hAnsiTheme="minorHAnsi" w:cstheme="minorHAnsi"/>
                <w:b/>
                <w:bCs/>
                <w:iCs/>
              </w:rPr>
              <w:t>Driving Impact Through Collaboration</w:t>
            </w:r>
          </w:p>
          <w:p w14:paraId="1925D12D" w14:textId="07905790" w:rsidR="00FA2F47" w:rsidRPr="00FA2F47" w:rsidRDefault="00FA2F47" w:rsidP="2D7E8C51">
            <w:pPr>
              <w:pStyle w:val="NormalIndent"/>
              <w:spacing w:after="0" w:line="240" w:lineRule="auto"/>
              <w:ind w:left="0"/>
              <w:rPr>
                <w:rFonts w:asciiTheme="minorHAnsi" w:hAnsiTheme="minorHAnsi" w:cstheme="minorBidi"/>
              </w:rPr>
            </w:pPr>
            <w:r w:rsidRPr="2D7E8C51">
              <w:rPr>
                <w:rFonts w:asciiTheme="minorHAnsi" w:hAnsiTheme="minorHAnsi" w:cstheme="minorBidi"/>
              </w:rPr>
              <w:t>CQUniversity will continue to prioritise collaborative research with industry, government and community organisations. Our approach includes co-designed projects, shared infrastructure</w:t>
            </w:r>
            <w:r w:rsidR="7217F0A3" w:rsidRPr="2D7E8C51">
              <w:rPr>
                <w:rFonts w:asciiTheme="minorHAnsi" w:hAnsiTheme="minorHAnsi" w:cstheme="minorBidi"/>
              </w:rPr>
              <w:t xml:space="preserve"> </w:t>
            </w:r>
            <w:r w:rsidRPr="2D7E8C51">
              <w:rPr>
                <w:rFonts w:asciiTheme="minorHAnsi" w:hAnsiTheme="minorHAnsi" w:cstheme="minorBidi"/>
              </w:rPr>
              <w:t>and long-term partnerships that ensure research is responsive to regional needs and delivers measurable impact. We will also strengthen our engagement with national research priorities, including sustainability, health equity and digital transformation.</w:t>
            </w:r>
          </w:p>
          <w:p w14:paraId="7B764D50" w14:textId="77777777" w:rsidR="00FA2F47" w:rsidRPr="009621B0" w:rsidRDefault="00FA2F47" w:rsidP="001A4FC8">
            <w:pPr>
              <w:pStyle w:val="NormalIndent"/>
              <w:spacing w:after="0" w:line="240" w:lineRule="auto"/>
              <w:ind w:left="0"/>
              <w:rPr>
                <w:rFonts w:asciiTheme="minorHAnsi" w:hAnsiTheme="minorHAnsi" w:cstheme="minorHAnsi"/>
                <w:b/>
                <w:bCs/>
                <w:iCs/>
              </w:rPr>
            </w:pPr>
            <w:r w:rsidRPr="009621B0">
              <w:rPr>
                <w:rFonts w:asciiTheme="minorHAnsi" w:hAnsiTheme="minorHAnsi" w:cstheme="minorHAnsi"/>
                <w:b/>
                <w:bCs/>
                <w:iCs/>
              </w:rPr>
              <w:t>Measuring Success</w:t>
            </w:r>
          </w:p>
          <w:p w14:paraId="60F33960" w14:textId="15C28936" w:rsidR="001B109C" w:rsidRDefault="00FA2F47" w:rsidP="2D7E8C51">
            <w:pPr>
              <w:pStyle w:val="NormalIndent"/>
              <w:spacing w:before="0" w:after="0" w:line="240" w:lineRule="auto"/>
              <w:ind w:left="0"/>
              <w:rPr>
                <w:rFonts w:asciiTheme="minorHAnsi" w:hAnsiTheme="minorHAnsi" w:cstheme="minorBidi"/>
              </w:rPr>
            </w:pPr>
            <w:r w:rsidRPr="2D7E8C51">
              <w:rPr>
                <w:rFonts w:asciiTheme="minorHAnsi" w:hAnsiTheme="minorHAnsi" w:cstheme="minorBidi"/>
              </w:rPr>
              <w:t>Progress will be tracked through key performance indicators including HERDC income growth, HDR completion rates</w:t>
            </w:r>
            <w:r w:rsidR="009621B0" w:rsidRPr="2D7E8C51">
              <w:rPr>
                <w:rFonts w:asciiTheme="minorHAnsi" w:hAnsiTheme="minorHAnsi" w:cstheme="minorBidi"/>
              </w:rPr>
              <w:t xml:space="preserve">, review of outcomes </w:t>
            </w:r>
            <w:proofErr w:type="gramStart"/>
            <w:r w:rsidR="009621B0" w:rsidRPr="2D7E8C51">
              <w:rPr>
                <w:rFonts w:asciiTheme="minorHAnsi" w:hAnsiTheme="minorHAnsi" w:cstheme="minorBidi"/>
              </w:rPr>
              <w:t>post</w:t>
            </w:r>
            <w:proofErr w:type="gramEnd"/>
            <w:r w:rsidR="009621B0" w:rsidRPr="2D7E8C51">
              <w:rPr>
                <w:rFonts w:asciiTheme="minorHAnsi" w:hAnsiTheme="minorHAnsi" w:cstheme="minorBidi"/>
              </w:rPr>
              <w:t xml:space="preserve"> RHD completion</w:t>
            </w:r>
            <w:r w:rsidRPr="2D7E8C51">
              <w:rPr>
                <w:rFonts w:asciiTheme="minorHAnsi" w:hAnsiTheme="minorHAnsi" w:cstheme="minorBidi"/>
              </w:rPr>
              <w:t>, research engagement metrics, commercialisation outcomes and impact case studies. CQUniversity will also monitor alignment with national frameworks such as the Engagement and Impact Assessment.</w:t>
            </w:r>
          </w:p>
          <w:p w14:paraId="40DA31C2" w14:textId="59C77AF9" w:rsidR="000C6F3C" w:rsidRPr="006F4CE5" w:rsidRDefault="000C6F3C" w:rsidP="001A4FC8">
            <w:pPr>
              <w:pStyle w:val="NormalIndent"/>
              <w:spacing w:before="0" w:after="0" w:line="240" w:lineRule="auto"/>
              <w:ind w:left="0"/>
              <w:rPr>
                <w:rFonts w:asciiTheme="minorHAnsi" w:hAnsiTheme="minorHAnsi" w:cstheme="minorHAnsi"/>
              </w:rPr>
            </w:pPr>
          </w:p>
        </w:tc>
      </w:tr>
      <w:tr w:rsidR="004D0EC8" w:rsidRPr="00E41388" w14:paraId="23C06863" w14:textId="77777777" w:rsidTr="2D7E8C51">
        <w:tc>
          <w:tcPr>
            <w:tcW w:w="5000" w:type="pct"/>
          </w:tcPr>
          <w:p w14:paraId="451DCFF9" w14:textId="0E964615" w:rsidR="004D0EC8" w:rsidRPr="00E169EE" w:rsidRDefault="004D0EC8" w:rsidP="004D0EC8">
            <w:pPr>
              <w:pStyle w:val="Heading4"/>
              <w:keepLines w:val="0"/>
              <w:spacing w:before="0" w:after="60"/>
            </w:pPr>
            <w:r>
              <w:lastRenderedPageBreak/>
              <w:t>S</w:t>
            </w:r>
            <w:r w:rsidRPr="00045147">
              <w:t>trategies for</w:t>
            </w:r>
            <w:r w:rsidRPr="0011467F">
              <w:t xml:space="preserve"> </w:t>
            </w:r>
            <w:r>
              <w:t>E</w:t>
            </w:r>
            <w:r w:rsidRPr="0011467F">
              <w:t xml:space="preserve">ngaging with </w:t>
            </w:r>
            <w:r>
              <w:t>I</w:t>
            </w:r>
            <w:r w:rsidRPr="0011467F">
              <w:t>ndustry</w:t>
            </w:r>
            <w:r>
              <w:t xml:space="preserve"> </w:t>
            </w:r>
          </w:p>
        </w:tc>
      </w:tr>
      <w:tr w:rsidR="2D7E8C51" w14:paraId="46807F8A" w14:textId="77777777" w:rsidTr="2D7E8C51">
        <w:trPr>
          <w:trHeight w:val="300"/>
        </w:trPr>
        <w:tc>
          <w:tcPr>
            <w:tcW w:w="9016" w:type="dxa"/>
          </w:tcPr>
          <w:p w14:paraId="0E66B795" w14:textId="4F7D2D9A" w:rsidR="268DEEF4" w:rsidRDefault="268DEEF4" w:rsidP="2D7E8C51">
            <w:pPr>
              <w:pStyle w:val="NormalIndent"/>
              <w:spacing w:before="0" w:after="0"/>
              <w:ind w:left="0"/>
              <w:rPr>
                <w:rFonts w:cs="Calibri"/>
              </w:rPr>
            </w:pPr>
            <w:r w:rsidRPr="2D7E8C51">
              <w:rPr>
                <w:rFonts w:cs="Calibri"/>
              </w:rPr>
              <w:t>CQUniversity’s industry engagement strategy is underpinned by a commitment to delivering research and training that create measurable impact in the regions we serve. Our key priorities are to deepen collaboration with industries that are central to regional economies, to co-design training and workforce solutions that respond to emerging needs and to ensure knowledge is translated into outcomes that drive growth, resilience and sustainability.</w:t>
            </w:r>
          </w:p>
          <w:p w14:paraId="224A455D" w14:textId="539BE69B" w:rsidR="06F3CCCA" w:rsidRDefault="06F3CCCA" w:rsidP="2D7E8C51">
            <w:pPr>
              <w:spacing w:before="240"/>
            </w:pPr>
            <w:r w:rsidRPr="2D7E8C51">
              <w:t xml:space="preserve">This approach is guided by CQUniversity’s </w:t>
            </w:r>
            <w:hyperlink r:id="rId29">
              <w:r w:rsidRPr="2D7E8C51">
                <w:rPr>
                  <w:rStyle w:val="Hyperlink"/>
                  <w:i/>
                  <w:iCs/>
                </w:rPr>
                <w:t>Engagement Blueprint</w:t>
              </w:r>
              <w:r w:rsidRPr="2D7E8C51">
                <w:rPr>
                  <w:rStyle w:val="Hyperlink"/>
                </w:rPr>
                <w:t>,</w:t>
              </w:r>
            </w:hyperlink>
            <w:r w:rsidRPr="2D7E8C51">
              <w:t xml:space="preserve"> which provides the overarching framework for how the University builds, sustains and measures meaningful relationships with </w:t>
            </w:r>
            <w:r w:rsidR="1718A522" w:rsidRPr="2D7E8C51">
              <w:t xml:space="preserve">stakeholders such as </w:t>
            </w:r>
            <w:r w:rsidRPr="2D7E8C51">
              <w:t>industry. It ensures that every partnership is authentic, outcome-driven and aligned with our values of engagement, openness and leadership.</w:t>
            </w:r>
          </w:p>
          <w:p w14:paraId="3CA1B1FF" w14:textId="7D1499B2" w:rsidR="268DEEF4" w:rsidRDefault="268DEEF4" w:rsidP="2D7E8C51">
            <w:pPr>
              <w:pStyle w:val="NormalIndent"/>
              <w:spacing w:before="0" w:after="0"/>
              <w:ind w:left="0"/>
              <w:rPr>
                <w:rFonts w:cs="Calibri"/>
              </w:rPr>
            </w:pPr>
            <w:r w:rsidRPr="2D7E8C51">
              <w:rPr>
                <w:rFonts w:cs="Calibri"/>
              </w:rPr>
              <w:t>We prioritise building long-term partnerships by opening our campuses as hubs for co-location and collaboration. This approach embeds industry within the University’s daily environment and creates pathways for joint projects, shared infrastructure and direct talent pipelines for students and graduates. Another priority is providing bespoke workforce solutions through the Corporate Training Solutions team, which works with employers to develop customised programs and vocational skillsets. These initiatives respond directly to industry demand in areas such as hydrogen and renewable energy while supporting the ongoing upskilling and reskilling of local workforces.</w:t>
            </w:r>
            <w:r>
              <w:br/>
            </w:r>
          </w:p>
          <w:p w14:paraId="2B2699B7" w14:textId="7C552C8E" w:rsidR="268DEEF4" w:rsidRDefault="268DEEF4" w:rsidP="2D7E8C51">
            <w:pPr>
              <w:pStyle w:val="NormalIndent"/>
              <w:spacing w:before="0" w:after="0"/>
              <w:ind w:left="0"/>
              <w:rPr>
                <w:rFonts w:cs="Calibri"/>
              </w:rPr>
            </w:pPr>
            <w:r w:rsidRPr="2D7E8C51">
              <w:rPr>
                <w:rFonts w:cs="Calibri"/>
              </w:rPr>
              <w:t>CQUniversity also prioritises partnerships that address regional and community challenges alongside industry and government. Initiatives focused on social procurement, workforce participation and youth employment highlight how industry engagement extends beyond technical training to encompass broader economic and social outcomes. These efforts reflect the University’s role as a driver of regional sustainability and as a partner of choice for industry seeking to work strategically on community issues.</w:t>
            </w:r>
            <w:r>
              <w:br/>
            </w:r>
          </w:p>
          <w:p w14:paraId="4B289A03" w14:textId="189CD7AB" w:rsidR="268DEEF4" w:rsidRDefault="268DEEF4" w:rsidP="2D7E8C51">
            <w:pPr>
              <w:pStyle w:val="NormalIndent"/>
              <w:spacing w:before="0" w:after="0"/>
              <w:ind w:left="0"/>
              <w:rPr>
                <w:rFonts w:cs="Calibri"/>
              </w:rPr>
            </w:pPr>
            <w:r w:rsidRPr="2D7E8C51">
              <w:rPr>
                <w:rFonts w:cs="Calibri"/>
              </w:rPr>
              <w:t xml:space="preserve">Embedding industry within curriculum remains a central priority, particularly through Work Integrated Learning. Thousands of placements are delivered each year, providing students with </w:t>
            </w:r>
            <w:r w:rsidRPr="2D7E8C51">
              <w:rPr>
                <w:rFonts w:cs="Calibri"/>
              </w:rPr>
              <w:lastRenderedPageBreak/>
              <w:t xml:space="preserve">authentic professional experience and employers with access to emerging talent. New cadetship programs, such as those in engineering, also demonstrate how partnerships with industry directly address workforce shortages while producing graduates who are confident and </w:t>
            </w:r>
            <w:proofErr w:type="gramStart"/>
            <w:r w:rsidRPr="2D7E8C51">
              <w:rPr>
                <w:rFonts w:cs="Calibri"/>
              </w:rPr>
              <w:t>job-ready</w:t>
            </w:r>
            <w:proofErr w:type="gramEnd"/>
            <w:r w:rsidRPr="2D7E8C51">
              <w:rPr>
                <w:rFonts w:cs="Calibri"/>
              </w:rPr>
              <w:t>.</w:t>
            </w:r>
          </w:p>
          <w:p w14:paraId="74C9AED6" w14:textId="33FCE55B" w:rsidR="2D7E8C51" w:rsidRDefault="2D7E8C51" w:rsidP="2D7E8C51">
            <w:pPr>
              <w:pStyle w:val="NormalIndent"/>
              <w:spacing w:before="0" w:after="0"/>
              <w:ind w:left="0"/>
              <w:rPr>
                <w:rFonts w:cs="Calibri"/>
              </w:rPr>
            </w:pPr>
          </w:p>
          <w:p w14:paraId="4D7CF5BF" w14:textId="1187693B" w:rsidR="268DEEF4" w:rsidRDefault="268DEEF4" w:rsidP="2D7E8C51">
            <w:pPr>
              <w:pStyle w:val="NormalIndent"/>
              <w:spacing w:before="0" w:after="0"/>
              <w:ind w:left="0"/>
              <w:rPr>
                <w:rFonts w:cs="Calibri"/>
              </w:rPr>
            </w:pPr>
            <w:r w:rsidRPr="2D7E8C51">
              <w:rPr>
                <w:rFonts w:cs="Calibri"/>
              </w:rPr>
              <w:t>Finally, CQUniversity</w:t>
            </w:r>
            <w:r w:rsidR="3FF10C7C" w:rsidRPr="2D7E8C51">
              <w:rPr>
                <w:rFonts w:cs="Calibri"/>
              </w:rPr>
              <w:t xml:space="preserve"> has</w:t>
            </w:r>
            <w:r w:rsidRPr="2D7E8C51">
              <w:rPr>
                <w:rFonts w:cs="Calibri"/>
              </w:rPr>
              <w:t xml:space="preserve"> formalised Memoranda of Understanding with key industry partners</w:t>
            </w:r>
            <w:r w:rsidR="6E486121" w:rsidRPr="2D7E8C51">
              <w:rPr>
                <w:rFonts w:cs="Calibri"/>
              </w:rPr>
              <w:t xml:space="preserve"> that</w:t>
            </w:r>
            <w:r w:rsidRPr="2D7E8C51">
              <w:rPr>
                <w:rFonts w:cs="Calibri"/>
              </w:rPr>
              <w:t xml:space="preserve"> provide a framework for deeper collaboration. These agreements open pathways for new opportunities in research, training and workforce development, ensuring that partnerships are not only well-structured but also flexible and responsive to emerging industry needs.</w:t>
            </w:r>
          </w:p>
          <w:p w14:paraId="465D1190" w14:textId="787E9A9F" w:rsidR="2D7E8C51" w:rsidRDefault="2D7E8C51" w:rsidP="2D7E8C51">
            <w:pPr>
              <w:pStyle w:val="NormalIndent"/>
              <w:spacing w:before="0" w:after="0"/>
              <w:ind w:left="0"/>
              <w:rPr>
                <w:rFonts w:cs="Calibri"/>
              </w:rPr>
            </w:pPr>
          </w:p>
          <w:p w14:paraId="51440589" w14:textId="3350FC1A" w:rsidR="1C15AB14" w:rsidRDefault="1C15AB14" w:rsidP="2D7E8C51">
            <w:pPr>
              <w:pStyle w:val="NormalIndent"/>
              <w:spacing w:before="0" w:after="0"/>
              <w:ind w:left="0"/>
              <w:rPr>
                <w:rFonts w:asciiTheme="minorHAnsi" w:hAnsiTheme="minorHAnsi" w:cstheme="minorBidi"/>
                <w:color w:val="FF0000"/>
              </w:rPr>
            </w:pPr>
            <w:r w:rsidRPr="2D7E8C51">
              <w:rPr>
                <w:rFonts w:cs="Calibri"/>
              </w:rPr>
              <w:t>Through the alignment of its training, research and community partnerships, CQUniversity ensures its industry engagement remains comprehensive and transformative, delivering value for students, industry partners and regional communities while advancing national higher education and workforce objectives.</w:t>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A607AA">
        <w:tc>
          <w:tcPr>
            <w:tcW w:w="4508" w:type="dxa"/>
          </w:tcPr>
          <w:p w14:paraId="68C798FC" w14:textId="77777777" w:rsidR="001B109C" w:rsidRPr="00E114B4" w:rsidRDefault="001B109C" w:rsidP="00A607AA">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A607AA">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A607AA">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A607AA">
            <w:pPr>
              <w:rPr>
                <w:rFonts w:cstheme="minorHAnsi"/>
                <w:sz w:val="24"/>
                <w:szCs w:val="24"/>
              </w:rPr>
            </w:pPr>
            <w:r w:rsidRPr="00E114B4">
              <w:rPr>
                <w:rFonts w:cstheme="minorHAnsi"/>
                <w:sz w:val="24"/>
                <w:szCs w:val="24"/>
              </w:rPr>
              <w:t>In the presence of:</w:t>
            </w:r>
          </w:p>
        </w:tc>
      </w:tr>
      <w:tr w:rsidR="001B109C" w:rsidRPr="00E169EE" w14:paraId="186905E2" w14:textId="77777777" w:rsidTr="00A607AA">
        <w:tc>
          <w:tcPr>
            <w:tcW w:w="4508" w:type="dxa"/>
          </w:tcPr>
          <w:p w14:paraId="32153A99" w14:textId="3A881C55" w:rsidR="001B109C" w:rsidRPr="00E114B4" w:rsidRDefault="00540C79" w:rsidP="00A607AA">
            <w:pPr>
              <w:pBdr>
                <w:bottom w:val="single" w:sz="12" w:space="1" w:color="auto"/>
              </w:pBdr>
              <w:rPr>
                <w:rFonts w:cstheme="minorHAnsi"/>
                <w:b/>
                <w:bCs/>
              </w:rPr>
            </w:pPr>
            <w:r w:rsidRPr="001E1D51">
              <w:rPr>
                <w:b/>
                <w:bCs/>
              </w:rPr>
              <w:t>Jessica Mohr</w:t>
            </w:r>
          </w:p>
          <w:p w14:paraId="7375CBDB" w14:textId="77777777" w:rsidR="001B109C" w:rsidRPr="00E114B4" w:rsidRDefault="001B109C" w:rsidP="00A607AA">
            <w:pPr>
              <w:rPr>
                <w:rFonts w:cstheme="minorHAnsi"/>
              </w:rPr>
            </w:pPr>
            <w:r w:rsidRPr="00E114B4">
              <w:rPr>
                <w:rFonts w:cstheme="minorHAnsi"/>
              </w:rPr>
              <w:t>Full name (please print)</w:t>
            </w:r>
          </w:p>
        </w:tc>
        <w:tc>
          <w:tcPr>
            <w:tcW w:w="4508" w:type="dxa"/>
          </w:tcPr>
          <w:p w14:paraId="091A8D51" w14:textId="0A0258BE" w:rsidR="001B109C" w:rsidRPr="00E114B4" w:rsidRDefault="003046A3" w:rsidP="00A607AA">
            <w:pPr>
              <w:pBdr>
                <w:bottom w:val="single" w:sz="12" w:space="1" w:color="auto"/>
              </w:pBdr>
              <w:rPr>
                <w:rFonts w:cstheme="minorHAnsi"/>
                <w:b/>
                <w:bCs/>
              </w:rPr>
            </w:pPr>
            <w:r w:rsidRPr="001E1D51">
              <w:rPr>
                <w:b/>
                <w:bCs/>
              </w:rPr>
              <w:t>Rachel Searl</w:t>
            </w:r>
          </w:p>
          <w:p w14:paraId="5AAC2089" w14:textId="77777777" w:rsidR="001B109C" w:rsidRPr="00E114B4" w:rsidRDefault="001B109C" w:rsidP="00A607AA">
            <w:pPr>
              <w:rPr>
                <w:rFonts w:cstheme="minorHAnsi"/>
              </w:rPr>
            </w:pPr>
            <w:r w:rsidRPr="00E114B4">
              <w:rPr>
                <w:rFonts w:cstheme="minorHAnsi"/>
              </w:rPr>
              <w:t>Witness (please print)</w:t>
            </w:r>
          </w:p>
        </w:tc>
      </w:tr>
      <w:tr w:rsidR="001B109C" w:rsidRPr="00E169EE" w14:paraId="6D0DB948" w14:textId="77777777" w:rsidTr="00A607AA">
        <w:tc>
          <w:tcPr>
            <w:tcW w:w="4508" w:type="dxa"/>
          </w:tcPr>
          <w:p w14:paraId="101367FA" w14:textId="6884399E" w:rsidR="001B109C" w:rsidRPr="00E114B4" w:rsidRDefault="00030EDA" w:rsidP="00A607AA">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A607AA">
            <w:pPr>
              <w:rPr>
                <w:rFonts w:cstheme="minorHAnsi"/>
              </w:rPr>
            </w:pPr>
            <w:r w:rsidRPr="00E114B4">
              <w:rPr>
                <w:rFonts w:cstheme="minorHAnsi"/>
              </w:rPr>
              <w:t>Position</w:t>
            </w:r>
          </w:p>
          <w:p w14:paraId="390DFF35" w14:textId="77777777" w:rsidR="001B109C" w:rsidRPr="00E114B4" w:rsidRDefault="001B109C" w:rsidP="00A607AA">
            <w:pPr>
              <w:rPr>
                <w:rFonts w:cstheme="minorHAnsi"/>
              </w:rPr>
            </w:pPr>
            <w:r w:rsidRPr="00E114B4">
              <w:rPr>
                <w:rFonts w:cstheme="minorHAnsi"/>
              </w:rPr>
              <w:t>of the Department of Education</w:t>
            </w:r>
          </w:p>
        </w:tc>
        <w:tc>
          <w:tcPr>
            <w:tcW w:w="4508" w:type="dxa"/>
          </w:tcPr>
          <w:p w14:paraId="69045716" w14:textId="365A4C33" w:rsidR="001B109C" w:rsidRPr="00E114B4" w:rsidRDefault="002A1C86" w:rsidP="00A607AA">
            <w:pPr>
              <w:pBdr>
                <w:bottom w:val="single" w:sz="12" w:space="1" w:color="auto"/>
              </w:pBdr>
              <w:rPr>
                <w:rFonts w:cstheme="minorHAnsi"/>
                <w:b/>
                <w:bCs/>
              </w:rPr>
            </w:pPr>
            <w:r w:rsidRPr="00E91A60">
              <w:rPr>
                <w:b/>
                <w:bCs/>
              </w:rPr>
              <w:t>Executive Officer</w:t>
            </w:r>
          </w:p>
          <w:p w14:paraId="668DE817" w14:textId="77777777" w:rsidR="001B109C" w:rsidRPr="00E114B4" w:rsidRDefault="001B109C" w:rsidP="00A607AA">
            <w:pPr>
              <w:rPr>
                <w:rFonts w:cstheme="minorHAnsi"/>
              </w:rPr>
            </w:pPr>
            <w:r w:rsidRPr="00E114B4">
              <w:rPr>
                <w:rFonts w:cstheme="minorHAnsi"/>
              </w:rPr>
              <w:t>Position or profession of witness (please print)</w:t>
            </w:r>
          </w:p>
        </w:tc>
      </w:tr>
      <w:tr w:rsidR="001B109C" w:rsidRPr="00E169EE" w14:paraId="38C68E43" w14:textId="77777777" w:rsidTr="00A607AA">
        <w:tc>
          <w:tcPr>
            <w:tcW w:w="4508" w:type="dxa"/>
          </w:tcPr>
          <w:p w14:paraId="4289F3D2" w14:textId="77777777" w:rsidR="001B109C" w:rsidRPr="00E114B4" w:rsidRDefault="001B109C" w:rsidP="00A607AA">
            <w:pPr>
              <w:pBdr>
                <w:bottom w:val="single" w:sz="12" w:space="1" w:color="auto"/>
              </w:pBdr>
              <w:rPr>
                <w:rFonts w:cstheme="minorHAnsi"/>
                <w:b/>
                <w:bCs/>
              </w:rPr>
            </w:pPr>
          </w:p>
          <w:p w14:paraId="415B9216" w14:textId="77777777" w:rsidR="001B109C" w:rsidRPr="00E114B4" w:rsidRDefault="001B109C" w:rsidP="00A607AA">
            <w:pPr>
              <w:rPr>
                <w:rFonts w:cstheme="minorHAnsi"/>
              </w:rPr>
            </w:pPr>
            <w:r w:rsidRPr="00E114B4">
              <w:rPr>
                <w:rFonts w:cstheme="minorHAnsi"/>
              </w:rPr>
              <w:t>Signature</w:t>
            </w:r>
          </w:p>
        </w:tc>
        <w:tc>
          <w:tcPr>
            <w:tcW w:w="4508" w:type="dxa"/>
          </w:tcPr>
          <w:p w14:paraId="710024D0" w14:textId="77777777" w:rsidR="001B109C" w:rsidRPr="00E114B4" w:rsidRDefault="001B109C" w:rsidP="00A607AA">
            <w:pPr>
              <w:pBdr>
                <w:bottom w:val="single" w:sz="12" w:space="1" w:color="auto"/>
              </w:pBdr>
              <w:rPr>
                <w:rFonts w:cstheme="minorHAnsi"/>
                <w:b/>
                <w:bCs/>
              </w:rPr>
            </w:pPr>
          </w:p>
          <w:p w14:paraId="2D914310" w14:textId="77777777" w:rsidR="001B109C" w:rsidRPr="00E114B4" w:rsidRDefault="001B109C" w:rsidP="00A607AA">
            <w:pPr>
              <w:rPr>
                <w:rFonts w:cstheme="minorHAnsi"/>
              </w:rPr>
            </w:pPr>
            <w:r w:rsidRPr="00E114B4">
              <w:rPr>
                <w:rFonts w:cstheme="minorHAnsi"/>
              </w:rPr>
              <w:t>Signature</w:t>
            </w:r>
          </w:p>
        </w:tc>
      </w:tr>
      <w:tr w:rsidR="001B109C" w:rsidRPr="00E169EE" w14:paraId="4B1444B6" w14:textId="77777777" w:rsidTr="00A607AA">
        <w:tc>
          <w:tcPr>
            <w:tcW w:w="4508" w:type="dxa"/>
          </w:tcPr>
          <w:p w14:paraId="344C64D3" w14:textId="26152754" w:rsidR="001B109C" w:rsidRPr="00991538" w:rsidRDefault="00CB1EF2" w:rsidP="00A607AA">
            <w:pPr>
              <w:pBdr>
                <w:bottom w:val="single" w:sz="12" w:space="1" w:color="auto"/>
              </w:pBdr>
              <w:rPr>
                <w:rFonts w:cstheme="minorHAnsi"/>
              </w:rPr>
            </w:pPr>
            <w:r w:rsidRPr="00991538">
              <w:rPr>
                <w:rFonts w:cstheme="minorHAnsi"/>
              </w:rPr>
              <w:t>01/12/2025</w:t>
            </w:r>
          </w:p>
          <w:p w14:paraId="71C4CD3D" w14:textId="77777777" w:rsidR="001B109C" w:rsidRPr="00E169EE" w:rsidRDefault="001B109C" w:rsidP="00A607AA">
            <w:pPr>
              <w:rPr>
                <w:rFonts w:cstheme="minorHAnsi"/>
              </w:rPr>
            </w:pPr>
            <w:r w:rsidRPr="00E169EE">
              <w:rPr>
                <w:rFonts w:cstheme="minorHAnsi"/>
              </w:rPr>
              <w:t>Date</w:t>
            </w:r>
          </w:p>
        </w:tc>
        <w:tc>
          <w:tcPr>
            <w:tcW w:w="4508" w:type="dxa"/>
          </w:tcPr>
          <w:p w14:paraId="26028E27" w14:textId="77777777" w:rsidR="001B109C" w:rsidRPr="00F60B66" w:rsidRDefault="001B109C" w:rsidP="00A607AA">
            <w:pPr>
              <w:rPr>
                <w:rFonts w:cstheme="minorHAnsi"/>
                <w:b/>
                <w:bCs/>
                <w:highlight w:val="yellow"/>
              </w:rPr>
            </w:pPr>
          </w:p>
        </w:tc>
      </w:tr>
      <w:tr w:rsidR="001B109C" w:rsidRPr="00E169EE" w14:paraId="45CC96F9" w14:textId="77777777" w:rsidTr="00A607AA">
        <w:tc>
          <w:tcPr>
            <w:tcW w:w="4508" w:type="dxa"/>
          </w:tcPr>
          <w:p w14:paraId="639CCC16" w14:textId="77777777" w:rsidR="001B109C" w:rsidRDefault="001B109C" w:rsidP="00A607AA">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647B5D83" w:rsidR="001B109C" w:rsidRPr="00E169EE" w:rsidRDefault="0014226B" w:rsidP="00A607AA">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CQUniversity Australia</w:t>
            </w:r>
          </w:p>
          <w:p w14:paraId="065C6AB9" w14:textId="77777777" w:rsidR="001B109C" w:rsidRPr="00E169EE" w:rsidRDefault="001B109C" w:rsidP="00A607AA">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A607AA">
            <w:pPr>
              <w:rPr>
                <w:rFonts w:cstheme="minorHAnsi"/>
              </w:rPr>
            </w:pPr>
            <w:r w:rsidRPr="002F4604">
              <w:rPr>
                <w:rFonts w:cstheme="minorHAnsi"/>
                <w:sz w:val="24"/>
                <w:szCs w:val="24"/>
              </w:rPr>
              <w:t>In the presence of:</w:t>
            </w:r>
          </w:p>
        </w:tc>
      </w:tr>
      <w:tr w:rsidR="001B109C" w:rsidRPr="00E169EE" w14:paraId="5AAB6D63" w14:textId="77777777" w:rsidTr="00A607AA">
        <w:tc>
          <w:tcPr>
            <w:tcW w:w="4508" w:type="dxa"/>
          </w:tcPr>
          <w:p w14:paraId="54C8A9A5" w14:textId="6F046DE6" w:rsidR="001B109C" w:rsidRPr="00E169EE" w:rsidRDefault="0014226B" w:rsidP="00A607AA">
            <w:pPr>
              <w:pBdr>
                <w:bottom w:val="single" w:sz="12" w:space="1" w:color="auto"/>
              </w:pBdr>
              <w:rPr>
                <w:rFonts w:cstheme="minorHAnsi"/>
                <w:b/>
                <w:bCs/>
              </w:rPr>
            </w:pPr>
            <w:r>
              <w:rPr>
                <w:rFonts w:cstheme="minorHAnsi"/>
                <w:b/>
                <w:bCs/>
              </w:rPr>
              <w:t>Professor Nick Klomp</w:t>
            </w:r>
          </w:p>
          <w:p w14:paraId="3120FAF4" w14:textId="77777777" w:rsidR="001B109C" w:rsidRPr="00E169EE" w:rsidRDefault="001B109C" w:rsidP="00A607AA">
            <w:pPr>
              <w:rPr>
                <w:rFonts w:cstheme="minorHAnsi"/>
              </w:rPr>
            </w:pPr>
            <w:r w:rsidRPr="00E169EE">
              <w:rPr>
                <w:rFonts w:cstheme="minorHAnsi"/>
              </w:rPr>
              <w:t>Full name (please print)</w:t>
            </w:r>
          </w:p>
        </w:tc>
        <w:tc>
          <w:tcPr>
            <w:tcW w:w="4508" w:type="dxa"/>
          </w:tcPr>
          <w:p w14:paraId="59483E94" w14:textId="6A340AB8" w:rsidR="001B109C" w:rsidRPr="002F4604" w:rsidRDefault="00BD3DAD" w:rsidP="00A607AA">
            <w:pPr>
              <w:pBdr>
                <w:bottom w:val="single" w:sz="12" w:space="1" w:color="auto"/>
              </w:pBdr>
              <w:rPr>
                <w:rFonts w:cstheme="minorHAnsi"/>
                <w:b/>
                <w:bCs/>
              </w:rPr>
            </w:pPr>
            <w:r>
              <w:rPr>
                <w:rFonts w:cstheme="minorHAnsi"/>
                <w:b/>
                <w:bCs/>
              </w:rPr>
              <w:t>Melissa Misztal</w:t>
            </w:r>
          </w:p>
          <w:p w14:paraId="439588BC" w14:textId="77777777" w:rsidR="001B109C" w:rsidRPr="002F4604" w:rsidRDefault="001B109C" w:rsidP="00A607AA">
            <w:pPr>
              <w:rPr>
                <w:rFonts w:cstheme="minorHAnsi"/>
              </w:rPr>
            </w:pPr>
            <w:r w:rsidRPr="002F4604">
              <w:rPr>
                <w:rFonts w:cstheme="minorHAnsi"/>
              </w:rPr>
              <w:t>Witness (please print)</w:t>
            </w:r>
          </w:p>
        </w:tc>
      </w:tr>
      <w:tr w:rsidR="001B109C" w:rsidRPr="00E169EE" w14:paraId="20B90866" w14:textId="77777777" w:rsidTr="00A607AA">
        <w:tc>
          <w:tcPr>
            <w:tcW w:w="4508" w:type="dxa"/>
          </w:tcPr>
          <w:p w14:paraId="7D9047AD" w14:textId="77500494" w:rsidR="001B109C" w:rsidRPr="00E169EE" w:rsidRDefault="0014226B" w:rsidP="00A607AA">
            <w:pPr>
              <w:pBdr>
                <w:bottom w:val="single" w:sz="12" w:space="1" w:color="auto"/>
              </w:pBdr>
              <w:spacing w:after="0"/>
              <w:rPr>
                <w:rFonts w:cstheme="minorHAnsi"/>
                <w:b/>
                <w:bCs/>
              </w:rPr>
            </w:pPr>
            <w:r>
              <w:rPr>
                <w:rFonts w:cstheme="minorHAnsi"/>
                <w:b/>
                <w:bCs/>
              </w:rPr>
              <w:t xml:space="preserve">Vice-Chancellor and President </w:t>
            </w:r>
          </w:p>
          <w:p w14:paraId="231ABA73" w14:textId="77777777" w:rsidR="001B109C" w:rsidRPr="00E169EE" w:rsidRDefault="001B109C" w:rsidP="00A607AA">
            <w:pPr>
              <w:spacing w:after="0"/>
              <w:rPr>
                <w:rFonts w:cstheme="minorHAnsi"/>
              </w:rPr>
            </w:pPr>
            <w:r w:rsidRPr="00E169EE">
              <w:rPr>
                <w:rFonts w:cstheme="minorHAnsi"/>
              </w:rPr>
              <w:t>Position</w:t>
            </w:r>
          </w:p>
          <w:p w14:paraId="536F9855" w14:textId="77777777" w:rsidR="001B109C" w:rsidRPr="00E169EE" w:rsidRDefault="001B109C" w:rsidP="00A607AA">
            <w:pPr>
              <w:spacing w:after="0"/>
              <w:rPr>
                <w:rFonts w:cstheme="minorHAnsi"/>
              </w:rPr>
            </w:pPr>
          </w:p>
        </w:tc>
        <w:tc>
          <w:tcPr>
            <w:tcW w:w="4508" w:type="dxa"/>
          </w:tcPr>
          <w:p w14:paraId="7B33C473" w14:textId="44D4D7CA" w:rsidR="001B109C" w:rsidRPr="002F4604" w:rsidRDefault="0014226B" w:rsidP="00A607AA">
            <w:pPr>
              <w:pBdr>
                <w:bottom w:val="single" w:sz="12" w:space="1" w:color="auto"/>
              </w:pBdr>
              <w:spacing w:after="0"/>
              <w:rPr>
                <w:rFonts w:cstheme="minorHAnsi"/>
                <w:b/>
                <w:bCs/>
              </w:rPr>
            </w:pPr>
            <w:r>
              <w:rPr>
                <w:rFonts w:cstheme="minorHAnsi"/>
                <w:b/>
                <w:bCs/>
              </w:rPr>
              <w:t>Chief of Staff</w:t>
            </w:r>
          </w:p>
          <w:p w14:paraId="0C046C3D" w14:textId="77777777" w:rsidR="001B109C" w:rsidRPr="002F4604" w:rsidRDefault="001B109C" w:rsidP="00A607AA">
            <w:pPr>
              <w:spacing w:after="0"/>
              <w:rPr>
                <w:rFonts w:cstheme="minorHAnsi"/>
              </w:rPr>
            </w:pPr>
            <w:r w:rsidRPr="002F4604">
              <w:rPr>
                <w:rFonts w:cstheme="minorHAnsi"/>
              </w:rPr>
              <w:t>Position or profession of witness (please print)</w:t>
            </w:r>
          </w:p>
        </w:tc>
      </w:tr>
      <w:tr w:rsidR="001B109C" w:rsidRPr="00E169EE" w14:paraId="51440CFB" w14:textId="77777777" w:rsidTr="00A607AA">
        <w:trPr>
          <w:trHeight w:val="80"/>
        </w:trPr>
        <w:tc>
          <w:tcPr>
            <w:tcW w:w="4508" w:type="dxa"/>
          </w:tcPr>
          <w:p w14:paraId="7583F948" w14:textId="32CB40F7" w:rsidR="001B109C" w:rsidRPr="00E169EE" w:rsidRDefault="001B109C" w:rsidP="00A607AA">
            <w:pPr>
              <w:pBdr>
                <w:bottom w:val="single" w:sz="12" w:space="1" w:color="auto"/>
              </w:pBdr>
              <w:spacing w:after="0"/>
              <w:rPr>
                <w:rFonts w:cstheme="minorHAnsi"/>
                <w:b/>
                <w:bCs/>
              </w:rPr>
            </w:pPr>
          </w:p>
          <w:p w14:paraId="62FF4341" w14:textId="77777777" w:rsidR="001B109C" w:rsidRPr="00E169EE" w:rsidRDefault="001B109C" w:rsidP="00A607AA">
            <w:pPr>
              <w:spacing w:after="0"/>
              <w:rPr>
                <w:rFonts w:cstheme="minorHAnsi"/>
              </w:rPr>
            </w:pPr>
            <w:r w:rsidRPr="00E169EE">
              <w:rPr>
                <w:rFonts w:cstheme="minorHAnsi"/>
              </w:rPr>
              <w:t>Signature</w:t>
            </w:r>
          </w:p>
        </w:tc>
        <w:tc>
          <w:tcPr>
            <w:tcW w:w="4508" w:type="dxa"/>
          </w:tcPr>
          <w:p w14:paraId="75C3F771" w14:textId="3A880C1D" w:rsidR="001B109C" w:rsidRPr="002F4604" w:rsidRDefault="001B109C" w:rsidP="00A607AA">
            <w:pPr>
              <w:pBdr>
                <w:bottom w:val="single" w:sz="12" w:space="1" w:color="auto"/>
              </w:pBdr>
              <w:spacing w:after="0"/>
              <w:rPr>
                <w:rFonts w:cstheme="minorHAnsi"/>
                <w:b/>
                <w:bCs/>
              </w:rPr>
            </w:pPr>
          </w:p>
          <w:p w14:paraId="79F89A4A" w14:textId="77777777" w:rsidR="001B109C" w:rsidRPr="002F4604" w:rsidRDefault="001B109C" w:rsidP="00A607AA">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30"/>
      <w:footerReference w:type="first" r:id="rId3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9671" w14:textId="77777777" w:rsidR="00E7201C" w:rsidRDefault="00E7201C" w:rsidP="000A6228">
      <w:pPr>
        <w:spacing w:after="0" w:line="240" w:lineRule="auto"/>
      </w:pPr>
      <w:r>
        <w:separator/>
      </w:r>
    </w:p>
  </w:endnote>
  <w:endnote w:type="continuationSeparator" w:id="0">
    <w:p w14:paraId="5BEF158C" w14:textId="77777777" w:rsidR="00E7201C" w:rsidRDefault="00E7201C" w:rsidP="000A6228">
      <w:pPr>
        <w:spacing w:after="0" w:line="240" w:lineRule="auto"/>
      </w:pPr>
      <w:r>
        <w:continuationSeparator/>
      </w:r>
    </w:p>
  </w:endnote>
  <w:endnote w:type="continuationNotice" w:id="1">
    <w:p w14:paraId="5B807EE6" w14:textId="77777777" w:rsidR="00E7201C" w:rsidRDefault="00E72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9C5E" w14:textId="77777777" w:rsidR="00E7201C" w:rsidRDefault="00E7201C" w:rsidP="000A6228">
      <w:pPr>
        <w:spacing w:after="0" w:line="240" w:lineRule="auto"/>
      </w:pPr>
      <w:r>
        <w:separator/>
      </w:r>
    </w:p>
  </w:footnote>
  <w:footnote w:type="continuationSeparator" w:id="0">
    <w:p w14:paraId="70802990" w14:textId="77777777" w:rsidR="00E7201C" w:rsidRDefault="00E7201C" w:rsidP="000A6228">
      <w:pPr>
        <w:spacing w:after="0" w:line="240" w:lineRule="auto"/>
      </w:pPr>
      <w:r>
        <w:continuationSeparator/>
      </w:r>
    </w:p>
  </w:footnote>
  <w:footnote w:type="continuationNotice" w:id="1">
    <w:p w14:paraId="1E8B5CF2" w14:textId="77777777" w:rsidR="00E7201C" w:rsidRDefault="00E720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D995F34"/>
    <w:multiLevelType w:val="hybridMultilevel"/>
    <w:tmpl w:val="45EA8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1E48B8"/>
    <w:multiLevelType w:val="hybridMultilevel"/>
    <w:tmpl w:val="FE3AC3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6E7E6E"/>
    <w:multiLevelType w:val="hybridMultilevel"/>
    <w:tmpl w:val="277C3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2D7BB2"/>
    <w:multiLevelType w:val="hybridMultilevel"/>
    <w:tmpl w:val="11C63A24"/>
    <w:lvl w:ilvl="0" w:tplc="7ADE3C7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380ADF"/>
    <w:multiLevelType w:val="hybridMultilevel"/>
    <w:tmpl w:val="6C9CFB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56F75A7"/>
    <w:multiLevelType w:val="hybridMultilevel"/>
    <w:tmpl w:val="98F43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384303"/>
    <w:multiLevelType w:val="multilevel"/>
    <w:tmpl w:val="1612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796060"/>
    <w:multiLevelType w:val="multilevel"/>
    <w:tmpl w:val="89C6E0A6"/>
    <w:lvl w:ilvl="0">
      <w:start w:val="1"/>
      <w:numFmt w:val="decimal"/>
      <w:lvlText w:val="%1."/>
      <w:lvlJc w:val="left"/>
      <w:pPr>
        <w:tabs>
          <w:tab w:val="num" w:pos="720"/>
        </w:tabs>
        <w:ind w:left="720" w:hanging="360"/>
      </w:pPr>
      <w:rPr>
        <w:rFonts w:ascii="Calibri" w:eastAsia="Times New Roman" w:hAnsi="Calibr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560429">
    <w:abstractNumId w:val="13"/>
  </w:num>
  <w:num w:numId="2" w16cid:durableId="1141925489">
    <w:abstractNumId w:val="5"/>
  </w:num>
  <w:num w:numId="3" w16cid:durableId="1430395506">
    <w:abstractNumId w:val="4"/>
  </w:num>
  <w:num w:numId="4" w16cid:durableId="1762024761">
    <w:abstractNumId w:val="3"/>
  </w:num>
  <w:num w:numId="5" w16cid:durableId="861433996">
    <w:abstractNumId w:val="15"/>
  </w:num>
  <w:num w:numId="6" w16cid:durableId="120733662">
    <w:abstractNumId w:val="2"/>
  </w:num>
  <w:num w:numId="7" w16cid:durableId="2022584168">
    <w:abstractNumId w:val="1"/>
  </w:num>
  <w:num w:numId="8" w16cid:durableId="534267804">
    <w:abstractNumId w:val="0"/>
  </w:num>
  <w:num w:numId="9" w16cid:durableId="1265042610">
    <w:abstractNumId w:val="14"/>
  </w:num>
  <w:num w:numId="10" w16cid:durableId="1943879001">
    <w:abstractNumId w:val="7"/>
  </w:num>
  <w:num w:numId="11" w16cid:durableId="419833051">
    <w:abstractNumId w:val="20"/>
  </w:num>
  <w:num w:numId="12" w16cid:durableId="1758015391">
    <w:abstractNumId w:val="12"/>
  </w:num>
  <w:num w:numId="13" w16cid:durableId="139566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2"/>
  </w:num>
  <w:num w:numId="17" w16cid:durableId="1022434231">
    <w:abstractNumId w:val="16"/>
  </w:num>
  <w:num w:numId="18" w16cid:durableId="618417265">
    <w:abstractNumId w:val="8"/>
  </w:num>
  <w:num w:numId="19" w16cid:durableId="271010807">
    <w:abstractNumId w:val="18"/>
  </w:num>
  <w:num w:numId="20" w16cid:durableId="456292776">
    <w:abstractNumId w:val="24"/>
  </w:num>
  <w:num w:numId="21" w16cid:durableId="963583216">
    <w:abstractNumId w:val="25"/>
  </w:num>
  <w:num w:numId="22" w16cid:durableId="1278678857">
    <w:abstractNumId w:val="23"/>
  </w:num>
  <w:num w:numId="23" w16cid:durableId="1654915955">
    <w:abstractNumId w:val="10"/>
  </w:num>
  <w:num w:numId="24" w16cid:durableId="78335095">
    <w:abstractNumId w:val="17"/>
  </w:num>
  <w:num w:numId="25" w16cid:durableId="2090226351">
    <w:abstractNumId w:val="19"/>
  </w:num>
  <w:num w:numId="26" w16cid:durableId="1280139253">
    <w:abstractNumId w:val="11"/>
  </w:num>
  <w:num w:numId="27" w16cid:durableId="17377822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CFA"/>
    <w:rsid w:val="00012366"/>
    <w:rsid w:val="00017655"/>
    <w:rsid w:val="00021FBE"/>
    <w:rsid w:val="00023D50"/>
    <w:rsid w:val="00030A59"/>
    <w:rsid w:val="00030B74"/>
    <w:rsid w:val="00030EDA"/>
    <w:rsid w:val="00033439"/>
    <w:rsid w:val="00034AA9"/>
    <w:rsid w:val="00045E1D"/>
    <w:rsid w:val="00047F07"/>
    <w:rsid w:val="000521D7"/>
    <w:rsid w:val="00054567"/>
    <w:rsid w:val="00054DB1"/>
    <w:rsid w:val="00056121"/>
    <w:rsid w:val="00064F54"/>
    <w:rsid w:val="00070B87"/>
    <w:rsid w:val="00070C2E"/>
    <w:rsid w:val="00072FB5"/>
    <w:rsid w:val="00075E1F"/>
    <w:rsid w:val="00081C7E"/>
    <w:rsid w:val="000820D0"/>
    <w:rsid w:val="0008229B"/>
    <w:rsid w:val="00085823"/>
    <w:rsid w:val="00093ACA"/>
    <w:rsid w:val="000960CF"/>
    <w:rsid w:val="000A0B58"/>
    <w:rsid w:val="000A1A12"/>
    <w:rsid w:val="000A3A19"/>
    <w:rsid w:val="000A6228"/>
    <w:rsid w:val="000B3949"/>
    <w:rsid w:val="000B5D40"/>
    <w:rsid w:val="000B78A4"/>
    <w:rsid w:val="000B7EC6"/>
    <w:rsid w:val="000C2126"/>
    <w:rsid w:val="000C27D3"/>
    <w:rsid w:val="000C4121"/>
    <w:rsid w:val="000C6F3C"/>
    <w:rsid w:val="000D1E6E"/>
    <w:rsid w:val="000D7893"/>
    <w:rsid w:val="000D79D2"/>
    <w:rsid w:val="001043AA"/>
    <w:rsid w:val="00106FA2"/>
    <w:rsid w:val="00107D87"/>
    <w:rsid w:val="00107DD5"/>
    <w:rsid w:val="00115A30"/>
    <w:rsid w:val="0012343A"/>
    <w:rsid w:val="00125889"/>
    <w:rsid w:val="00126D0C"/>
    <w:rsid w:val="00133B8D"/>
    <w:rsid w:val="00134110"/>
    <w:rsid w:val="0013611E"/>
    <w:rsid w:val="00136142"/>
    <w:rsid w:val="0014226B"/>
    <w:rsid w:val="00144DFD"/>
    <w:rsid w:val="001450B4"/>
    <w:rsid w:val="00145DF5"/>
    <w:rsid w:val="001515BF"/>
    <w:rsid w:val="00155493"/>
    <w:rsid w:val="0015549C"/>
    <w:rsid w:val="00156036"/>
    <w:rsid w:val="00165816"/>
    <w:rsid w:val="00165CFD"/>
    <w:rsid w:val="0017134D"/>
    <w:rsid w:val="001748B7"/>
    <w:rsid w:val="00177815"/>
    <w:rsid w:val="00196CDA"/>
    <w:rsid w:val="00197557"/>
    <w:rsid w:val="001A4292"/>
    <w:rsid w:val="001A4FC8"/>
    <w:rsid w:val="001B0537"/>
    <w:rsid w:val="001B109C"/>
    <w:rsid w:val="001B5EE2"/>
    <w:rsid w:val="001B759E"/>
    <w:rsid w:val="001C0952"/>
    <w:rsid w:val="001C1523"/>
    <w:rsid w:val="001D0103"/>
    <w:rsid w:val="001D24C2"/>
    <w:rsid w:val="001E08E8"/>
    <w:rsid w:val="001E17A4"/>
    <w:rsid w:val="001E3BF1"/>
    <w:rsid w:val="001E6DBC"/>
    <w:rsid w:val="001F45B5"/>
    <w:rsid w:val="001F5B94"/>
    <w:rsid w:val="001F6195"/>
    <w:rsid w:val="001F7F87"/>
    <w:rsid w:val="002008C2"/>
    <w:rsid w:val="00210DFD"/>
    <w:rsid w:val="002115D0"/>
    <w:rsid w:val="00211B51"/>
    <w:rsid w:val="00214360"/>
    <w:rsid w:val="00217414"/>
    <w:rsid w:val="00221D8F"/>
    <w:rsid w:val="002236F5"/>
    <w:rsid w:val="00223A6E"/>
    <w:rsid w:val="002272DB"/>
    <w:rsid w:val="002308B6"/>
    <w:rsid w:val="00235752"/>
    <w:rsid w:val="00236A59"/>
    <w:rsid w:val="00240CA0"/>
    <w:rsid w:val="00241CF3"/>
    <w:rsid w:val="0024203E"/>
    <w:rsid w:val="002431F3"/>
    <w:rsid w:val="00247825"/>
    <w:rsid w:val="00252587"/>
    <w:rsid w:val="0025549F"/>
    <w:rsid w:val="00255B93"/>
    <w:rsid w:val="00264EE4"/>
    <w:rsid w:val="00270374"/>
    <w:rsid w:val="0027429C"/>
    <w:rsid w:val="00275C31"/>
    <w:rsid w:val="00276047"/>
    <w:rsid w:val="002775F3"/>
    <w:rsid w:val="0028562A"/>
    <w:rsid w:val="0029051F"/>
    <w:rsid w:val="0029618B"/>
    <w:rsid w:val="00296324"/>
    <w:rsid w:val="002A1C86"/>
    <w:rsid w:val="002A4458"/>
    <w:rsid w:val="002A6E23"/>
    <w:rsid w:val="002B1D53"/>
    <w:rsid w:val="002B571E"/>
    <w:rsid w:val="002B75FC"/>
    <w:rsid w:val="002C07CE"/>
    <w:rsid w:val="002C1F0F"/>
    <w:rsid w:val="002D1A3D"/>
    <w:rsid w:val="002D3EFA"/>
    <w:rsid w:val="002D589A"/>
    <w:rsid w:val="002D7A5E"/>
    <w:rsid w:val="002E0CEA"/>
    <w:rsid w:val="002E491A"/>
    <w:rsid w:val="002E4976"/>
    <w:rsid w:val="002F1BDC"/>
    <w:rsid w:val="002F4604"/>
    <w:rsid w:val="002F4AD0"/>
    <w:rsid w:val="003046A3"/>
    <w:rsid w:val="00304890"/>
    <w:rsid w:val="00304F7B"/>
    <w:rsid w:val="00311010"/>
    <w:rsid w:val="003117B5"/>
    <w:rsid w:val="00311ACD"/>
    <w:rsid w:val="00311B26"/>
    <w:rsid w:val="003148FB"/>
    <w:rsid w:val="0031506A"/>
    <w:rsid w:val="00317E47"/>
    <w:rsid w:val="00330683"/>
    <w:rsid w:val="00340030"/>
    <w:rsid w:val="0034104B"/>
    <w:rsid w:val="0035296C"/>
    <w:rsid w:val="00356ED4"/>
    <w:rsid w:val="00365D15"/>
    <w:rsid w:val="00372511"/>
    <w:rsid w:val="00377619"/>
    <w:rsid w:val="003817B9"/>
    <w:rsid w:val="00385BE6"/>
    <w:rsid w:val="00386F27"/>
    <w:rsid w:val="00387E7F"/>
    <w:rsid w:val="003A1CCD"/>
    <w:rsid w:val="003B339A"/>
    <w:rsid w:val="003B41C5"/>
    <w:rsid w:val="003B77C0"/>
    <w:rsid w:val="003C78B5"/>
    <w:rsid w:val="003D2A3B"/>
    <w:rsid w:val="003D3B6A"/>
    <w:rsid w:val="003D4338"/>
    <w:rsid w:val="003D6A53"/>
    <w:rsid w:val="003D72AE"/>
    <w:rsid w:val="003F3E87"/>
    <w:rsid w:val="003F4D1D"/>
    <w:rsid w:val="0040155D"/>
    <w:rsid w:val="0040584F"/>
    <w:rsid w:val="0041287D"/>
    <w:rsid w:val="00413E1F"/>
    <w:rsid w:val="0041713E"/>
    <w:rsid w:val="00421D3F"/>
    <w:rsid w:val="00423785"/>
    <w:rsid w:val="00425790"/>
    <w:rsid w:val="0042692C"/>
    <w:rsid w:val="00426B7A"/>
    <w:rsid w:val="00430D86"/>
    <w:rsid w:val="00432CE7"/>
    <w:rsid w:val="00442C08"/>
    <w:rsid w:val="00447203"/>
    <w:rsid w:val="00447823"/>
    <w:rsid w:val="004500A7"/>
    <w:rsid w:val="00452D26"/>
    <w:rsid w:val="00455B9D"/>
    <w:rsid w:val="00456698"/>
    <w:rsid w:val="00462848"/>
    <w:rsid w:val="00463568"/>
    <w:rsid w:val="004648BF"/>
    <w:rsid w:val="00472365"/>
    <w:rsid w:val="00472A4F"/>
    <w:rsid w:val="00475F1E"/>
    <w:rsid w:val="004764CB"/>
    <w:rsid w:val="00476B4D"/>
    <w:rsid w:val="00476F9D"/>
    <w:rsid w:val="00477327"/>
    <w:rsid w:val="004876FD"/>
    <w:rsid w:val="0049333E"/>
    <w:rsid w:val="00496288"/>
    <w:rsid w:val="004A06CD"/>
    <w:rsid w:val="004A4B6F"/>
    <w:rsid w:val="004A4CF9"/>
    <w:rsid w:val="004B7CDB"/>
    <w:rsid w:val="004C4D31"/>
    <w:rsid w:val="004D022E"/>
    <w:rsid w:val="004D0483"/>
    <w:rsid w:val="004D0EC8"/>
    <w:rsid w:val="004D2965"/>
    <w:rsid w:val="004D2D9D"/>
    <w:rsid w:val="004D528B"/>
    <w:rsid w:val="004E43E4"/>
    <w:rsid w:val="004E46D8"/>
    <w:rsid w:val="004E6C1C"/>
    <w:rsid w:val="004F010C"/>
    <w:rsid w:val="004F4084"/>
    <w:rsid w:val="004F4D50"/>
    <w:rsid w:val="00502EA0"/>
    <w:rsid w:val="00503412"/>
    <w:rsid w:val="005126FC"/>
    <w:rsid w:val="00515655"/>
    <w:rsid w:val="00520BA6"/>
    <w:rsid w:val="00526A6C"/>
    <w:rsid w:val="00527A46"/>
    <w:rsid w:val="0053021F"/>
    <w:rsid w:val="00530CE2"/>
    <w:rsid w:val="005317CF"/>
    <w:rsid w:val="00533328"/>
    <w:rsid w:val="0053398B"/>
    <w:rsid w:val="00540C79"/>
    <w:rsid w:val="00541139"/>
    <w:rsid w:val="00542C33"/>
    <w:rsid w:val="00547FB7"/>
    <w:rsid w:val="005506F9"/>
    <w:rsid w:val="00550D62"/>
    <w:rsid w:val="00552D57"/>
    <w:rsid w:val="00553947"/>
    <w:rsid w:val="00557293"/>
    <w:rsid w:val="00557F1E"/>
    <w:rsid w:val="0057028F"/>
    <w:rsid w:val="00581473"/>
    <w:rsid w:val="00581C5A"/>
    <w:rsid w:val="005833F0"/>
    <w:rsid w:val="00587EE0"/>
    <w:rsid w:val="00591F57"/>
    <w:rsid w:val="0059742F"/>
    <w:rsid w:val="00597C04"/>
    <w:rsid w:val="00597C78"/>
    <w:rsid w:val="005A04A7"/>
    <w:rsid w:val="005A2595"/>
    <w:rsid w:val="005A75C9"/>
    <w:rsid w:val="005A77DF"/>
    <w:rsid w:val="005B03AB"/>
    <w:rsid w:val="005B187D"/>
    <w:rsid w:val="005B6C97"/>
    <w:rsid w:val="005C0479"/>
    <w:rsid w:val="005C2F1F"/>
    <w:rsid w:val="005D2C82"/>
    <w:rsid w:val="005D500F"/>
    <w:rsid w:val="005D637C"/>
    <w:rsid w:val="005E5936"/>
    <w:rsid w:val="005F015E"/>
    <w:rsid w:val="005F1D05"/>
    <w:rsid w:val="005F243B"/>
    <w:rsid w:val="005F31AA"/>
    <w:rsid w:val="005F35D6"/>
    <w:rsid w:val="005F6BEB"/>
    <w:rsid w:val="00605671"/>
    <w:rsid w:val="006110EA"/>
    <w:rsid w:val="00614392"/>
    <w:rsid w:val="006173E2"/>
    <w:rsid w:val="00621258"/>
    <w:rsid w:val="00621514"/>
    <w:rsid w:val="006232DC"/>
    <w:rsid w:val="00623E46"/>
    <w:rsid w:val="00630502"/>
    <w:rsid w:val="0063094F"/>
    <w:rsid w:val="00632CA9"/>
    <w:rsid w:val="00636915"/>
    <w:rsid w:val="00641857"/>
    <w:rsid w:val="0064220A"/>
    <w:rsid w:val="00651236"/>
    <w:rsid w:val="00652E5C"/>
    <w:rsid w:val="00660123"/>
    <w:rsid w:val="00665D1E"/>
    <w:rsid w:val="00666B8A"/>
    <w:rsid w:val="00673736"/>
    <w:rsid w:val="00674ABA"/>
    <w:rsid w:val="00692E64"/>
    <w:rsid w:val="006950AA"/>
    <w:rsid w:val="0069671B"/>
    <w:rsid w:val="006A35E9"/>
    <w:rsid w:val="006B2B77"/>
    <w:rsid w:val="006B51A2"/>
    <w:rsid w:val="006C1BBB"/>
    <w:rsid w:val="006C41C5"/>
    <w:rsid w:val="006C5747"/>
    <w:rsid w:val="006C65EA"/>
    <w:rsid w:val="006D67F3"/>
    <w:rsid w:val="006E284B"/>
    <w:rsid w:val="006E6078"/>
    <w:rsid w:val="006E6D33"/>
    <w:rsid w:val="006F1FFF"/>
    <w:rsid w:val="006F2406"/>
    <w:rsid w:val="006F4CE5"/>
    <w:rsid w:val="006F6708"/>
    <w:rsid w:val="006F6D10"/>
    <w:rsid w:val="00710DF6"/>
    <w:rsid w:val="007113BE"/>
    <w:rsid w:val="00712B94"/>
    <w:rsid w:val="00716C02"/>
    <w:rsid w:val="00716F13"/>
    <w:rsid w:val="00717352"/>
    <w:rsid w:val="00722570"/>
    <w:rsid w:val="007240C5"/>
    <w:rsid w:val="007249DA"/>
    <w:rsid w:val="00730D04"/>
    <w:rsid w:val="00732A01"/>
    <w:rsid w:val="0073744F"/>
    <w:rsid w:val="00740F54"/>
    <w:rsid w:val="00743C8E"/>
    <w:rsid w:val="007517BA"/>
    <w:rsid w:val="00751F57"/>
    <w:rsid w:val="00753CA6"/>
    <w:rsid w:val="00753F16"/>
    <w:rsid w:val="00755D1C"/>
    <w:rsid w:val="00757580"/>
    <w:rsid w:val="007578AF"/>
    <w:rsid w:val="0076557B"/>
    <w:rsid w:val="00766FA8"/>
    <w:rsid w:val="00770739"/>
    <w:rsid w:val="00771259"/>
    <w:rsid w:val="007745FA"/>
    <w:rsid w:val="00774C82"/>
    <w:rsid w:val="0077782B"/>
    <w:rsid w:val="00780E96"/>
    <w:rsid w:val="007955E6"/>
    <w:rsid w:val="007B1B2C"/>
    <w:rsid w:val="007B2CA1"/>
    <w:rsid w:val="007C1099"/>
    <w:rsid w:val="007D0ABC"/>
    <w:rsid w:val="007E1D68"/>
    <w:rsid w:val="007E5E51"/>
    <w:rsid w:val="007F4ED9"/>
    <w:rsid w:val="00802673"/>
    <w:rsid w:val="008034C4"/>
    <w:rsid w:val="008042F5"/>
    <w:rsid w:val="00804920"/>
    <w:rsid w:val="008104A3"/>
    <w:rsid w:val="00815B88"/>
    <w:rsid w:val="008208DA"/>
    <w:rsid w:val="00824DFD"/>
    <w:rsid w:val="0082750B"/>
    <w:rsid w:val="008306F4"/>
    <w:rsid w:val="00832810"/>
    <w:rsid w:val="008350BC"/>
    <w:rsid w:val="0084234B"/>
    <w:rsid w:val="00843144"/>
    <w:rsid w:val="00843516"/>
    <w:rsid w:val="008572C1"/>
    <w:rsid w:val="0086035A"/>
    <w:rsid w:val="00863CAD"/>
    <w:rsid w:val="0086428D"/>
    <w:rsid w:val="0086608F"/>
    <w:rsid w:val="0088107A"/>
    <w:rsid w:val="00881A0A"/>
    <w:rsid w:val="00882028"/>
    <w:rsid w:val="0088353C"/>
    <w:rsid w:val="0088413B"/>
    <w:rsid w:val="00886959"/>
    <w:rsid w:val="00893A34"/>
    <w:rsid w:val="00896FE4"/>
    <w:rsid w:val="008A0249"/>
    <w:rsid w:val="008A36E1"/>
    <w:rsid w:val="008A37A7"/>
    <w:rsid w:val="008A48C2"/>
    <w:rsid w:val="008A7AB4"/>
    <w:rsid w:val="008B0736"/>
    <w:rsid w:val="008B27B1"/>
    <w:rsid w:val="008B32EB"/>
    <w:rsid w:val="008C1F5A"/>
    <w:rsid w:val="008C3181"/>
    <w:rsid w:val="008D0B40"/>
    <w:rsid w:val="008D4FA9"/>
    <w:rsid w:val="008D675D"/>
    <w:rsid w:val="008D7445"/>
    <w:rsid w:val="008D768D"/>
    <w:rsid w:val="008D778B"/>
    <w:rsid w:val="008F6F69"/>
    <w:rsid w:val="00900336"/>
    <w:rsid w:val="00902C86"/>
    <w:rsid w:val="00904DEB"/>
    <w:rsid w:val="00905973"/>
    <w:rsid w:val="009079DD"/>
    <w:rsid w:val="00907EBF"/>
    <w:rsid w:val="0091326A"/>
    <w:rsid w:val="00913D0F"/>
    <w:rsid w:val="00930E72"/>
    <w:rsid w:val="0093478C"/>
    <w:rsid w:val="009354D0"/>
    <w:rsid w:val="00937B4E"/>
    <w:rsid w:val="00950B06"/>
    <w:rsid w:val="009621B0"/>
    <w:rsid w:val="00970069"/>
    <w:rsid w:val="00971046"/>
    <w:rsid w:val="009721EB"/>
    <w:rsid w:val="009741FE"/>
    <w:rsid w:val="009769D1"/>
    <w:rsid w:val="00980B05"/>
    <w:rsid w:val="00981DA5"/>
    <w:rsid w:val="00982F41"/>
    <w:rsid w:val="00991538"/>
    <w:rsid w:val="00994D60"/>
    <w:rsid w:val="0099527C"/>
    <w:rsid w:val="0099786B"/>
    <w:rsid w:val="009A08CE"/>
    <w:rsid w:val="009A779F"/>
    <w:rsid w:val="009B706E"/>
    <w:rsid w:val="009C1E72"/>
    <w:rsid w:val="009C423A"/>
    <w:rsid w:val="009D017A"/>
    <w:rsid w:val="009D1B30"/>
    <w:rsid w:val="009D1F9F"/>
    <w:rsid w:val="009D47A0"/>
    <w:rsid w:val="009D68AA"/>
    <w:rsid w:val="009E305C"/>
    <w:rsid w:val="009E5017"/>
    <w:rsid w:val="009E6DB3"/>
    <w:rsid w:val="009E79ED"/>
    <w:rsid w:val="009F67BE"/>
    <w:rsid w:val="00A03C4D"/>
    <w:rsid w:val="00A054EE"/>
    <w:rsid w:val="00A07596"/>
    <w:rsid w:val="00A13AEB"/>
    <w:rsid w:val="00A141FE"/>
    <w:rsid w:val="00A16050"/>
    <w:rsid w:val="00A17A08"/>
    <w:rsid w:val="00A2072C"/>
    <w:rsid w:val="00A314D3"/>
    <w:rsid w:val="00A318F0"/>
    <w:rsid w:val="00A31FB8"/>
    <w:rsid w:val="00A324F3"/>
    <w:rsid w:val="00A35F31"/>
    <w:rsid w:val="00A435ED"/>
    <w:rsid w:val="00A44082"/>
    <w:rsid w:val="00A4619A"/>
    <w:rsid w:val="00A52136"/>
    <w:rsid w:val="00A5391A"/>
    <w:rsid w:val="00A53C0C"/>
    <w:rsid w:val="00A60673"/>
    <w:rsid w:val="00A607AA"/>
    <w:rsid w:val="00A754D4"/>
    <w:rsid w:val="00A76C44"/>
    <w:rsid w:val="00A818DE"/>
    <w:rsid w:val="00A84319"/>
    <w:rsid w:val="00A97B87"/>
    <w:rsid w:val="00AA005D"/>
    <w:rsid w:val="00AA01C1"/>
    <w:rsid w:val="00AA2B9B"/>
    <w:rsid w:val="00AA7E58"/>
    <w:rsid w:val="00AB2A61"/>
    <w:rsid w:val="00AB38BA"/>
    <w:rsid w:val="00AB722A"/>
    <w:rsid w:val="00AB73D6"/>
    <w:rsid w:val="00AC1872"/>
    <w:rsid w:val="00AC1A49"/>
    <w:rsid w:val="00AC21EE"/>
    <w:rsid w:val="00AC3A0A"/>
    <w:rsid w:val="00AC48DE"/>
    <w:rsid w:val="00AC75B9"/>
    <w:rsid w:val="00AD13D0"/>
    <w:rsid w:val="00AD565D"/>
    <w:rsid w:val="00AD631F"/>
    <w:rsid w:val="00AE02B0"/>
    <w:rsid w:val="00AE21FF"/>
    <w:rsid w:val="00AE2B6B"/>
    <w:rsid w:val="00AF1F18"/>
    <w:rsid w:val="00AF2273"/>
    <w:rsid w:val="00B00427"/>
    <w:rsid w:val="00B028A7"/>
    <w:rsid w:val="00B03DAB"/>
    <w:rsid w:val="00B04FA8"/>
    <w:rsid w:val="00B0726E"/>
    <w:rsid w:val="00B106F5"/>
    <w:rsid w:val="00B219D1"/>
    <w:rsid w:val="00B21C4D"/>
    <w:rsid w:val="00B239EE"/>
    <w:rsid w:val="00B250CB"/>
    <w:rsid w:val="00B276EA"/>
    <w:rsid w:val="00B30411"/>
    <w:rsid w:val="00B337E7"/>
    <w:rsid w:val="00B36257"/>
    <w:rsid w:val="00B36610"/>
    <w:rsid w:val="00B37225"/>
    <w:rsid w:val="00B37F99"/>
    <w:rsid w:val="00B5003B"/>
    <w:rsid w:val="00B51E5C"/>
    <w:rsid w:val="00B54FC6"/>
    <w:rsid w:val="00B55E17"/>
    <w:rsid w:val="00B64B3D"/>
    <w:rsid w:val="00B72125"/>
    <w:rsid w:val="00B802C2"/>
    <w:rsid w:val="00B81D7A"/>
    <w:rsid w:val="00B81FA4"/>
    <w:rsid w:val="00B821EC"/>
    <w:rsid w:val="00B85C61"/>
    <w:rsid w:val="00B86857"/>
    <w:rsid w:val="00B8794C"/>
    <w:rsid w:val="00B95EF4"/>
    <w:rsid w:val="00BA318D"/>
    <w:rsid w:val="00BB6509"/>
    <w:rsid w:val="00BB7485"/>
    <w:rsid w:val="00BC248C"/>
    <w:rsid w:val="00BC34B2"/>
    <w:rsid w:val="00BC4567"/>
    <w:rsid w:val="00BC5A7D"/>
    <w:rsid w:val="00BC7B95"/>
    <w:rsid w:val="00BD3DAD"/>
    <w:rsid w:val="00BD5AB2"/>
    <w:rsid w:val="00BF1557"/>
    <w:rsid w:val="00C01EC0"/>
    <w:rsid w:val="00C02A55"/>
    <w:rsid w:val="00C07543"/>
    <w:rsid w:val="00C16CDB"/>
    <w:rsid w:val="00C20948"/>
    <w:rsid w:val="00C212D2"/>
    <w:rsid w:val="00C2270F"/>
    <w:rsid w:val="00C22B59"/>
    <w:rsid w:val="00C244EE"/>
    <w:rsid w:val="00C24E6C"/>
    <w:rsid w:val="00C257FB"/>
    <w:rsid w:val="00C319A4"/>
    <w:rsid w:val="00C32AE5"/>
    <w:rsid w:val="00C351EA"/>
    <w:rsid w:val="00C35693"/>
    <w:rsid w:val="00C4204E"/>
    <w:rsid w:val="00C45EFE"/>
    <w:rsid w:val="00C6492F"/>
    <w:rsid w:val="00C651EE"/>
    <w:rsid w:val="00C65887"/>
    <w:rsid w:val="00C72224"/>
    <w:rsid w:val="00C72A18"/>
    <w:rsid w:val="00C73CA4"/>
    <w:rsid w:val="00C75706"/>
    <w:rsid w:val="00C800E0"/>
    <w:rsid w:val="00C80A2A"/>
    <w:rsid w:val="00C93CFE"/>
    <w:rsid w:val="00CA308E"/>
    <w:rsid w:val="00CA4815"/>
    <w:rsid w:val="00CA607F"/>
    <w:rsid w:val="00CB1303"/>
    <w:rsid w:val="00CB1EF2"/>
    <w:rsid w:val="00CC0308"/>
    <w:rsid w:val="00CC0B8B"/>
    <w:rsid w:val="00CC1725"/>
    <w:rsid w:val="00CC2DFF"/>
    <w:rsid w:val="00CC48AA"/>
    <w:rsid w:val="00CC4E3E"/>
    <w:rsid w:val="00CC4EA3"/>
    <w:rsid w:val="00CD0466"/>
    <w:rsid w:val="00CE0B86"/>
    <w:rsid w:val="00CF0C77"/>
    <w:rsid w:val="00CF6562"/>
    <w:rsid w:val="00CF7A92"/>
    <w:rsid w:val="00D01108"/>
    <w:rsid w:val="00D063B4"/>
    <w:rsid w:val="00D13053"/>
    <w:rsid w:val="00D16717"/>
    <w:rsid w:val="00D20D38"/>
    <w:rsid w:val="00D22F93"/>
    <w:rsid w:val="00D23ABC"/>
    <w:rsid w:val="00D3521F"/>
    <w:rsid w:val="00D4181A"/>
    <w:rsid w:val="00D41E89"/>
    <w:rsid w:val="00D438C2"/>
    <w:rsid w:val="00D518A1"/>
    <w:rsid w:val="00D55400"/>
    <w:rsid w:val="00D5688A"/>
    <w:rsid w:val="00D56CA3"/>
    <w:rsid w:val="00D611B7"/>
    <w:rsid w:val="00D632BA"/>
    <w:rsid w:val="00D638EA"/>
    <w:rsid w:val="00D65E8B"/>
    <w:rsid w:val="00D70490"/>
    <w:rsid w:val="00D73B39"/>
    <w:rsid w:val="00D7558A"/>
    <w:rsid w:val="00D82BFE"/>
    <w:rsid w:val="00D86284"/>
    <w:rsid w:val="00D938AC"/>
    <w:rsid w:val="00DA07B6"/>
    <w:rsid w:val="00DA41D5"/>
    <w:rsid w:val="00DB2992"/>
    <w:rsid w:val="00DB6E40"/>
    <w:rsid w:val="00DC3319"/>
    <w:rsid w:val="00DC5980"/>
    <w:rsid w:val="00DC7671"/>
    <w:rsid w:val="00DD2B46"/>
    <w:rsid w:val="00DD3400"/>
    <w:rsid w:val="00DD3642"/>
    <w:rsid w:val="00DD601E"/>
    <w:rsid w:val="00DF2E0E"/>
    <w:rsid w:val="00DF3F63"/>
    <w:rsid w:val="00DF5051"/>
    <w:rsid w:val="00E06ED6"/>
    <w:rsid w:val="00E0752E"/>
    <w:rsid w:val="00E07DDD"/>
    <w:rsid w:val="00E07F49"/>
    <w:rsid w:val="00E114A8"/>
    <w:rsid w:val="00E114B4"/>
    <w:rsid w:val="00E11D0A"/>
    <w:rsid w:val="00E20282"/>
    <w:rsid w:val="00E243CC"/>
    <w:rsid w:val="00E278F7"/>
    <w:rsid w:val="00E30B4D"/>
    <w:rsid w:val="00E30D30"/>
    <w:rsid w:val="00E44D0D"/>
    <w:rsid w:val="00E4556E"/>
    <w:rsid w:val="00E47B69"/>
    <w:rsid w:val="00E5283F"/>
    <w:rsid w:val="00E529E5"/>
    <w:rsid w:val="00E55A0A"/>
    <w:rsid w:val="00E55C8C"/>
    <w:rsid w:val="00E55CF8"/>
    <w:rsid w:val="00E57395"/>
    <w:rsid w:val="00E6268F"/>
    <w:rsid w:val="00E656CC"/>
    <w:rsid w:val="00E7059C"/>
    <w:rsid w:val="00E7201C"/>
    <w:rsid w:val="00E72C00"/>
    <w:rsid w:val="00E7550B"/>
    <w:rsid w:val="00E9262C"/>
    <w:rsid w:val="00E94742"/>
    <w:rsid w:val="00E94C89"/>
    <w:rsid w:val="00E9592F"/>
    <w:rsid w:val="00EA3C76"/>
    <w:rsid w:val="00EB36D3"/>
    <w:rsid w:val="00EB4C2F"/>
    <w:rsid w:val="00EC3B82"/>
    <w:rsid w:val="00EC5B3E"/>
    <w:rsid w:val="00EC695A"/>
    <w:rsid w:val="00EC7FB6"/>
    <w:rsid w:val="00ED0DDF"/>
    <w:rsid w:val="00EE2E52"/>
    <w:rsid w:val="00EE67A4"/>
    <w:rsid w:val="00EF13B4"/>
    <w:rsid w:val="00EF5C61"/>
    <w:rsid w:val="00F0047E"/>
    <w:rsid w:val="00F026D8"/>
    <w:rsid w:val="00F03A23"/>
    <w:rsid w:val="00F07246"/>
    <w:rsid w:val="00F0743F"/>
    <w:rsid w:val="00F1000D"/>
    <w:rsid w:val="00F11041"/>
    <w:rsid w:val="00F15DD9"/>
    <w:rsid w:val="00F15F05"/>
    <w:rsid w:val="00F2785D"/>
    <w:rsid w:val="00F30BFA"/>
    <w:rsid w:val="00F311A4"/>
    <w:rsid w:val="00F34BC8"/>
    <w:rsid w:val="00F37631"/>
    <w:rsid w:val="00F525DE"/>
    <w:rsid w:val="00F56C4B"/>
    <w:rsid w:val="00F60B66"/>
    <w:rsid w:val="00F65894"/>
    <w:rsid w:val="00F6680E"/>
    <w:rsid w:val="00F66AB0"/>
    <w:rsid w:val="00F733DD"/>
    <w:rsid w:val="00F75370"/>
    <w:rsid w:val="00F769B8"/>
    <w:rsid w:val="00F81808"/>
    <w:rsid w:val="00F82C2C"/>
    <w:rsid w:val="00F84D51"/>
    <w:rsid w:val="00F85913"/>
    <w:rsid w:val="00F94528"/>
    <w:rsid w:val="00FA1430"/>
    <w:rsid w:val="00FA2F47"/>
    <w:rsid w:val="00FA373F"/>
    <w:rsid w:val="00FA7392"/>
    <w:rsid w:val="00FA7673"/>
    <w:rsid w:val="00FB0C0D"/>
    <w:rsid w:val="00FB19EB"/>
    <w:rsid w:val="00FB7564"/>
    <w:rsid w:val="00FC0D11"/>
    <w:rsid w:val="00FC2B31"/>
    <w:rsid w:val="00FC3D00"/>
    <w:rsid w:val="00FD1D5E"/>
    <w:rsid w:val="00FD4D6E"/>
    <w:rsid w:val="00FD6383"/>
    <w:rsid w:val="00FD7A94"/>
    <w:rsid w:val="00FE3EAA"/>
    <w:rsid w:val="00FF5BC8"/>
    <w:rsid w:val="0152BCDD"/>
    <w:rsid w:val="021D7CFC"/>
    <w:rsid w:val="06AD5201"/>
    <w:rsid w:val="06F3CCCA"/>
    <w:rsid w:val="07B237A5"/>
    <w:rsid w:val="08C8297D"/>
    <w:rsid w:val="096FB600"/>
    <w:rsid w:val="0D0518B2"/>
    <w:rsid w:val="0E7CED87"/>
    <w:rsid w:val="10A81CF4"/>
    <w:rsid w:val="14A93290"/>
    <w:rsid w:val="1524B648"/>
    <w:rsid w:val="1718A522"/>
    <w:rsid w:val="1C15AB14"/>
    <w:rsid w:val="1EF2DE47"/>
    <w:rsid w:val="23BC890A"/>
    <w:rsid w:val="2522D52A"/>
    <w:rsid w:val="268DEEF4"/>
    <w:rsid w:val="2701DA04"/>
    <w:rsid w:val="2793EBC5"/>
    <w:rsid w:val="27F81593"/>
    <w:rsid w:val="2A15A6B4"/>
    <w:rsid w:val="2AFAB55C"/>
    <w:rsid w:val="2BB64E23"/>
    <w:rsid w:val="2D7E8C51"/>
    <w:rsid w:val="2F04D7EA"/>
    <w:rsid w:val="2F9B8459"/>
    <w:rsid w:val="380C3B12"/>
    <w:rsid w:val="39669212"/>
    <w:rsid w:val="3A121475"/>
    <w:rsid w:val="3A556A9A"/>
    <w:rsid w:val="3C6CE838"/>
    <w:rsid w:val="3CDF71C5"/>
    <w:rsid w:val="3FF10C7C"/>
    <w:rsid w:val="41C8130C"/>
    <w:rsid w:val="49290F7E"/>
    <w:rsid w:val="4A775F07"/>
    <w:rsid w:val="4C29AD3F"/>
    <w:rsid w:val="4DFFB212"/>
    <w:rsid w:val="4F05E3E3"/>
    <w:rsid w:val="540ABD54"/>
    <w:rsid w:val="54B0E052"/>
    <w:rsid w:val="5AEF1615"/>
    <w:rsid w:val="604306B5"/>
    <w:rsid w:val="62E47E4A"/>
    <w:rsid w:val="67A5FD80"/>
    <w:rsid w:val="68DAFBBA"/>
    <w:rsid w:val="694B390F"/>
    <w:rsid w:val="6A8BD625"/>
    <w:rsid w:val="6DCF43EC"/>
    <w:rsid w:val="6E486121"/>
    <w:rsid w:val="7217F0A3"/>
    <w:rsid w:val="795AA002"/>
    <w:rsid w:val="7E9CC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A268E9A5-041D-4693-8869-2B8452F4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styleId="Mention">
    <w:name w:val="Mention"/>
    <w:basedOn w:val="DefaultParagraphFont"/>
    <w:uiPriority w:val="99"/>
    <w:unhideWhenUsed/>
    <w:rsid w:val="00033439"/>
    <w:rPr>
      <w:color w:val="2B579A"/>
      <w:shd w:val="clear" w:color="auto" w:fill="E1DFDD"/>
    </w:rPr>
  </w:style>
  <w:style w:type="character" w:styleId="FollowedHyperlink">
    <w:name w:val="FollowedHyperlink"/>
    <w:basedOn w:val="DefaultParagraphFont"/>
    <w:uiPriority w:val="99"/>
    <w:semiHidden/>
    <w:unhideWhenUsed/>
    <w:rsid w:val="009079DD"/>
    <w:rPr>
      <w:color w:val="CE372F" w:themeColor="followedHyperlink"/>
      <w:u w:val="single"/>
    </w:rPr>
  </w:style>
  <w:style w:type="paragraph" w:styleId="ListParagraph">
    <w:name w:val="List Paragraph"/>
    <w:basedOn w:val="Normal"/>
    <w:uiPriority w:val="34"/>
    <w:semiHidden/>
    <w:qFormat/>
    <w:rsid w:val="00737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4767">
      <w:bodyDiv w:val="1"/>
      <w:marLeft w:val="0"/>
      <w:marRight w:val="0"/>
      <w:marTop w:val="0"/>
      <w:marBottom w:val="0"/>
      <w:divBdr>
        <w:top w:val="none" w:sz="0" w:space="0" w:color="auto"/>
        <w:left w:val="none" w:sz="0" w:space="0" w:color="auto"/>
        <w:bottom w:val="none" w:sz="0" w:space="0" w:color="auto"/>
        <w:right w:val="none" w:sz="0" w:space="0" w:color="auto"/>
      </w:divBdr>
    </w:div>
    <w:div w:id="16945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delivery-cqucontenthub.stylelabs.cloud/api/public/content/occupational-health-and-safety-policy.pdf" TargetMode="External"/><Relationship Id="rId26" Type="http://schemas.openxmlformats.org/officeDocument/2006/relationships/hyperlink" Target="https://www.cqu.edu.au/about-us/leadership-strategy/strategic-plan" TargetMode="External"/><Relationship Id="rId3" Type="http://schemas.openxmlformats.org/officeDocument/2006/relationships/customXml" Target="../customXml/item3.xml"/><Relationship Id="rId21" Type="http://schemas.openxmlformats.org/officeDocument/2006/relationships/hyperlink" Target="https://delivery-cqucontenthub.stylelabs.cloud/api/public/content/information-and-communications-technology-passwords-procedure.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qu.edu.au/about-us/safer-communities" TargetMode="External"/><Relationship Id="rId25" Type="http://schemas.openxmlformats.org/officeDocument/2006/relationships/hyperlink" Target="https://delivery-cqucontenthub.stylelabs.cloud/api/public/content/freedom-of-speech-and-academic-freedom-policy.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qu.edu.au/about-us/safer-communities/mindwaves-20-mental-health-and-wellbeing-plan-2024-2028" TargetMode="External"/><Relationship Id="rId20" Type="http://schemas.openxmlformats.org/officeDocument/2006/relationships/hyperlink" Target="https://delivery-cqucontenthub.stylelabs.cloud/api/public/content/cybersecurity-management-policy.pdf" TargetMode="External"/><Relationship Id="rId29" Type="http://schemas.openxmlformats.org/officeDocument/2006/relationships/hyperlink" Target="https://delivery-cqucontenthub.stylelabs.cloud/api/public/content/cquniversity-australia-engagement-blueprint-124943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livery-cqucontenthub.stylelabs.cloud/api/public/content/academic-board-position-statement-academic-freedom.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livery-cqucontenthub.stylelabs.cloud/api/public/content/strategic-plan-2024-2028-our-context.pdf" TargetMode="External"/><Relationship Id="rId23" Type="http://schemas.openxmlformats.org/officeDocument/2006/relationships/hyperlink" Target="https://delivery-cqucontenthub.stylelabs.cloud/api/public/content/research-data-management-policy-and-procedure.pdf" TargetMode="External"/><Relationship Id="rId28" Type="http://schemas.openxmlformats.org/officeDocument/2006/relationships/hyperlink" Target="https://www.cqu.edu.au/about-us/safer-communities/mindwaves-20-mental-health-and-wellbeing-plan-2024-2028" TargetMode="External"/><Relationship Id="rId10" Type="http://schemas.openxmlformats.org/officeDocument/2006/relationships/endnotes" Target="endnotes.xml"/><Relationship Id="rId19" Type="http://schemas.openxmlformats.org/officeDocument/2006/relationships/hyperlink" Target="https://delivery-cqucontenthub.stylelabs.cloud/api/public/content/business-continuity-planning-and-incident-management-policy-and-procedure.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u.edu.au/about-us/strategic-plan-2024-2028" TargetMode="External"/><Relationship Id="rId22" Type="http://schemas.openxmlformats.org/officeDocument/2006/relationships/hyperlink" Target="https://delivery-cqucontenthub.stylelabs.cloud/api/public/content/information-and-communications-technology-acceptable-use-policy-and-procedure.pdf" TargetMode="External"/><Relationship Id="rId27" Type="http://schemas.openxmlformats.org/officeDocument/2006/relationships/hyperlink" Target="https://delivery-cqucontenthub.stylelabs.cloud/api/public/content/reconciliation-action-plan.pdf"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2.xml><?xml version="1.0" encoding="utf-8"?>
<ds:datastoreItem xmlns:ds="http://schemas.openxmlformats.org/officeDocument/2006/customXml" ds:itemID="{F460D0F0-E9B7-4858-88A5-6F0B0D42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Metadata/LabelInfo.xml><?xml version="1.0" encoding="utf-8"?>
<clbl:labelList xmlns:clbl="http://schemas.microsoft.com/office/2020/mipLabelMetadata">
  <clbl:label id="{590540ad-24f6-4603-bebb-fc2239ec787a}" enabled="1" method="Privileged" siteId="{fdade0c4-3fea-4320-ae53-1a1742aeff1e}"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2549</Words>
  <Characters>16808</Characters>
  <Application>Microsoft Office Word</Application>
  <DocSecurity>0</DocSecurity>
  <Lines>316</Lines>
  <Paragraphs>120</Paragraphs>
  <ScaleCrop>false</ScaleCrop>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2025-12-01T05:05:00Z</cp:lastPrinted>
  <dcterms:created xsi:type="dcterms:W3CDTF">2025-11-23T22:16:00Z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