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DC984E7" w14:textId="641BF4F8" w:rsidR="001B109C" w:rsidRPr="00F34B1E" w:rsidRDefault="001B109C" w:rsidP="00962F05">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2E6F33">
              <w:t>Bond University</w:t>
            </w:r>
          </w:p>
          <w:p w14:paraId="26FC6577" w14:textId="4C497277" w:rsidR="001B109C" w:rsidRPr="0007338F" w:rsidRDefault="001B109C" w:rsidP="00962F05">
            <w:pPr>
              <w:rPr>
                <w:i/>
                <w:color w:val="FF0000"/>
                <w:sz w:val="24"/>
                <w:szCs w:val="24"/>
              </w:rPr>
            </w:pP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5B2BAFCE" w14:textId="77777777" w:rsidR="002E6F33" w:rsidRPr="00D3334D" w:rsidRDefault="002E6F33" w:rsidP="002E6F33">
            <w:pPr>
              <w:pStyle w:val="NormalIndent"/>
              <w:spacing w:before="0" w:after="0" w:line="240" w:lineRule="auto"/>
              <w:ind w:left="0"/>
              <w:rPr>
                <w:rFonts w:asciiTheme="minorHAnsi" w:hAnsiTheme="minorHAnsi" w:cstheme="minorBidi"/>
                <w:b/>
              </w:rPr>
            </w:pPr>
            <w:r w:rsidRPr="00D3334D">
              <w:rPr>
                <w:rFonts w:asciiTheme="minorHAnsi" w:hAnsiTheme="minorHAnsi" w:cstheme="minorBidi"/>
                <w:b/>
              </w:rPr>
              <w:t>Bond University’s Mission and Strategic Plan</w:t>
            </w:r>
          </w:p>
          <w:p w14:paraId="36046BD2" w14:textId="77777777" w:rsidR="002E6F33" w:rsidRPr="00E228F1" w:rsidRDefault="002E6F33" w:rsidP="002E6F33">
            <w:pPr>
              <w:pStyle w:val="NormalIndent"/>
              <w:spacing w:before="0" w:after="0" w:line="240" w:lineRule="auto"/>
              <w:ind w:left="0"/>
              <w:rPr>
                <w:rFonts w:asciiTheme="minorHAnsi" w:hAnsiTheme="minorHAnsi" w:cstheme="minorBidi"/>
              </w:rPr>
            </w:pPr>
            <w:r w:rsidRPr="00E228F1">
              <w:rPr>
                <w:rFonts w:asciiTheme="minorHAnsi" w:hAnsiTheme="minorHAnsi" w:cstheme="minorBidi"/>
              </w:rPr>
              <w:t>As Australia’s first private non-profit university, Bond University strives to be recognised internationally as a leading independent university, imbued with a spirit to innovate, a commitment to influence and a dedication to inspire tomorrow’s professionals who share a personalised and transformational student experience.</w:t>
            </w:r>
          </w:p>
          <w:p w14:paraId="62A92609" w14:textId="77777777" w:rsidR="002E6F33" w:rsidRPr="00E228F1" w:rsidRDefault="002E6F33" w:rsidP="002E6F33">
            <w:pPr>
              <w:pStyle w:val="NormalIndent"/>
              <w:spacing w:before="0" w:after="0" w:line="240" w:lineRule="auto"/>
              <w:ind w:left="0"/>
              <w:rPr>
                <w:rFonts w:asciiTheme="minorHAnsi" w:hAnsiTheme="minorHAnsi" w:cstheme="minorHAnsi"/>
                <w:szCs w:val="22"/>
              </w:rPr>
            </w:pPr>
          </w:p>
          <w:p w14:paraId="0E2523CE" w14:textId="77777777" w:rsidR="002E6F33" w:rsidRDefault="002E6F33" w:rsidP="002E6F33">
            <w:pPr>
              <w:pStyle w:val="NormalIndent"/>
              <w:spacing w:before="0" w:after="0" w:line="240" w:lineRule="auto"/>
              <w:ind w:left="0"/>
              <w:rPr>
                <w:rFonts w:asciiTheme="minorHAnsi" w:hAnsiTheme="minorHAnsi" w:cstheme="minorHAnsi"/>
                <w:szCs w:val="22"/>
              </w:rPr>
            </w:pPr>
            <w:r w:rsidRPr="00E228F1">
              <w:rPr>
                <w:rFonts w:asciiTheme="minorHAnsi" w:hAnsiTheme="minorHAnsi" w:cstheme="minorHAnsi"/>
                <w:szCs w:val="22"/>
              </w:rPr>
              <w:t xml:space="preserve">The </w:t>
            </w:r>
            <w:hyperlink r:id="rId14" w:history="1">
              <w:r w:rsidRPr="00D8309C">
                <w:rPr>
                  <w:rStyle w:val="Hyperlink"/>
                  <w:rFonts w:asciiTheme="minorHAnsi" w:hAnsiTheme="minorHAnsi" w:cstheme="minorHAnsi"/>
                  <w:szCs w:val="22"/>
                </w:rPr>
                <w:t>Bond University Strategic Plan 2023-2027</w:t>
              </w:r>
            </w:hyperlink>
            <w:r>
              <w:rPr>
                <w:rFonts w:asciiTheme="minorHAnsi" w:hAnsiTheme="minorHAnsi" w:cstheme="minorHAnsi"/>
                <w:szCs w:val="22"/>
              </w:rPr>
              <w:t xml:space="preserve"> s</w:t>
            </w:r>
            <w:r w:rsidRPr="00E228F1">
              <w:rPr>
                <w:rFonts w:asciiTheme="minorHAnsi" w:hAnsiTheme="minorHAnsi" w:cstheme="minorHAnsi"/>
                <w:szCs w:val="22"/>
              </w:rPr>
              <w:t>ets out the values, priorities and ethos that make Bond distinctive within the Australian sector.</w:t>
            </w:r>
            <w:r w:rsidRPr="004B7F03">
              <w:t xml:space="preserve"> </w:t>
            </w:r>
            <w:r w:rsidRPr="004B7F03">
              <w:rPr>
                <w:rFonts w:asciiTheme="minorHAnsi" w:hAnsiTheme="minorHAnsi" w:cstheme="minorHAnsi"/>
                <w:szCs w:val="22"/>
              </w:rPr>
              <w:t>The Strategic Plan is supported by an implementation plan and an operating budget with key accountabilities, deliverables, and performance measures. Progress on implementation is regularly reported</w:t>
            </w:r>
            <w:r>
              <w:rPr>
                <w:rFonts w:asciiTheme="minorHAnsi" w:hAnsiTheme="minorHAnsi" w:cstheme="minorHAnsi"/>
                <w:szCs w:val="22"/>
              </w:rPr>
              <w:t xml:space="preserve"> to the University Council.</w:t>
            </w:r>
          </w:p>
          <w:p w14:paraId="41DB44F7" w14:textId="77777777" w:rsidR="002E6F33" w:rsidRDefault="002E6F33" w:rsidP="002E6F33">
            <w:pPr>
              <w:pStyle w:val="NormalIndent"/>
              <w:spacing w:before="0" w:after="0" w:line="240" w:lineRule="auto"/>
              <w:ind w:left="0"/>
              <w:rPr>
                <w:rFonts w:asciiTheme="minorHAnsi" w:hAnsiTheme="minorHAnsi" w:cstheme="minorHAnsi"/>
                <w:szCs w:val="22"/>
              </w:rPr>
            </w:pPr>
          </w:p>
          <w:p w14:paraId="13F19B3D" w14:textId="77777777" w:rsidR="002E6F33" w:rsidRPr="00956B8C" w:rsidRDefault="002E6F33" w:rsidP="002E6F33">
            <w:pPr>
              <w:pStyle w:val="NormalIndent"/>
              <w:spacing w:before="0" w:after="0" w:line="240" w:lineRule="auto"/>
              <w:ind w:left="0"/>
              <w:rPr>
                <w:rStyle w:val="Hyperlink"/>
                <w:iCs/>
                <w:sz w:val="2"/>
                <w:szCs w:val="2"/>
              </w:rPr>
            </w:pPr>
          </w:p>
          <w:p w14:paraId="36DD2F07" w14:textId="77777777" w:rsidR="002E6F33" w:rsidRPr="005713F7" w:rsidRDefault="002E6F33" w:rsidP="002E6F33">
            <w:pPr>
              <w:pStyle w:val="NormalIndent"/>
              <w:numPr>
                <w:ilvl w:val="0"/>
                <w:numId w:val="20"/>
              </w:numPr>
              <w:spacing w:before="0" w:after="0" w:line="240" w:lineRule="auto"/>
              <w:ind w:left="447" w:hanging="447"/>
              <w:rPr>
                <w:rFonts w:asciiTheme="minorHAnsi" w:hAnsiTheme="minorHAnsi" w:cstheme="minorHAnsi"/>
                <w:b/>
                <w:bCs/>
                <w:i/>
                <w:iCs/>
                <w:szCs w:val="22"/>
              </w:rPr>
            </w:pPr>
            <w:r w:rsidRPr="005713F7">
              <w:rPr>
                <w:rFonts w:asciiTheme="minorHAnsi" w:hAnsiTheme="minorHAnsi" w:cstheme="minorHAnsi"/>
                <w:b/>
                <w:bCs/>
                <w:i/>
                <w:iCs/>
                <w:szCs w:val="22"/>
              </w:rPr>
              <w:t>Workforce and Skill Needs</w:t>
            </w:r>
          </w:p>
          <w:p w14:paraId="5E61FE67" w14:textId="77777777" w:rsidR="002E6F33" w:rsidRDefault="002E6F33" w:rsidP="002E6F33">
            <w:pPr>
              <w:pStyle w:val="NormalIndent"/>
              <w:spacing w:before="0" w:after="0" w:line="240" w:lineRule="auto"/>
              <w:ind w:left="0"/>
              <w:rPr>
                <w:rStyle w:val="Hyperlink"/>
              </w:rPr>
            </w:pPr>
            <w:r w:rsidRPr="00070D95">
              <w:rPr>
                <w:rFonts w:asciiTheme="minorHAnsi" w:hAnsiTheme="minorHAnsi" w:cstheme="minorHAnsi"/>
                <w:szCs w:val="22"/>
              </w:rPr>
              <w:t xml:space="preserve">Bond University is committed to </w:t>
            </w:r>
            <w:r>
              <w:rPr>
                <w:rFonts w:asciiTheme="minorHAnsi" w:hAnsiTheme="minorHAnsi" w:cstheme="minorHAnsi"/>
                <w:szCs w:val="22"/>
              </w:rPr>
              <w:t xml:space="preserve">addressing workforce shortages and skill needs by </w:t>
            </w:r>
            <w:r w:rsidRPr="00070D95">
              <w:rPr>
                <w:rFonts w:asciiTheme="minorHAnsi" w:hAnsiTheme="minorHAnsi" w:cstheme="minorHAnsi"/>
                <w:szCs w:val="22"/>
              </w:rPr>
              <w:t>preparing job</w:t>
            </w:r>
            <w:r>
              <w:rPr>
                <w:rFonts w:asciiTheme="minorHAnsi" w:hAnsiTheme="minorHAnsi" w:cstheme="minorHAnsi"/>
                <w:szCs w:val="22"/>
              </w:rPr>
              <w:t>-</w:t>
            </w:r>
            <w:r w:rsidRPr="00070D95">
              <w:rPr>
                <w:rFonts w:asciiTheme="minorHAnsi" w:hAnsiTheme="minorHAnsi" w:cstheme="minorHAnsi"/>
                <w:szCs w:val="22"/>
              </w:rPr>
              <w:t>ready graduates</w:t>
            </w:r>
            <w:r>
              <w:rPr>
                <w:rFonts w:asciiTheme="minorHAnsi" w:hAnsiTheme="minorHAnsi" w:cstheme="minorHAnsi"/>
                <w:szCs w:val="22"/>
              </w:rPr>
              <w:t xml:space="preserve"> for current and future employment environments</w:t>
            </w:r>
            <w:r w:rsidRPr="00070D95">
              <w:rPr>
                <w:rFonts w:asciiTheme="minorHAnsi" w:hAnsiTheme="minorHAnsi" w:cstheme="minorHAnsi"/>
                <w:szCs w:val="22"/>
              </w:rPr>
              <w:t>. We achieve this</w:t>
            </w:r>
            <w:r>
              <w:rPr>
                <w:rFonts w:asciiTheme="minorHAnsi" w:hAnsiTheme="minorHAnsi" w:cstheme="minorHAnsi"/>
                <w:szCs w:val="22"/>
              </w:rPr>
              <w:t xml:space="preserve"> by regularly reviewing </w:t>
            </w:r>
            <w:r w:rsidRPr="00070D95">
              <w:rPr>
                <w:rFonts w:asciiTheme="minorHAnsi" w:hAnsiTheme="minorHAnsi" w:cstheme="minorHAnsi"/>
                <w:szCs w:val="22"/>
              </w:rPr>
              <w:t xml:space="preserve">our </w:t>
            </w:r>
            <w:hyperlink r:id="rId15" w:history="1">
              <w:r w:rsidRPr="00070D95">
                <w:rPr>
                  <w:rStyle w:val="Hyperlink"/>
                </w:rPr>
                <w:t>Graduate Attributes</w:t>
              </w:r>
            </w:hyperlink>
            <w:r>
              <w:t xml:space="preserve"> both internally and with input from external industry stakeholders,</w:t>
            </w:r>
            <w:r w:rsidRPr="00070D95">
              <w:rPr>
                <w:rFonts w:asciiTheme="minorHAnsi" w:hAnsiTheme="minorHAnsi" w:cstheme="minorHAnsi"/>
                <w:szCs w:val="22"/>
              </w:rPr>
              <w:t xml:space="preserve"> </w:t>
            </w:r>
            <w:r>
              <w:rPr>
                <w:rFonts w:asciiTheme="minorHAnsi" w:hAnsiTheme="minorHAnsi" w:cstheme="minorHAnsi"/>
                <w:szCs w:val="22"/>
              </w:rPr>
              <w:t xml:space="preserve">which are </w:t>
            </w:r>
            <w:r w:rsidRPr="00070D95">
              <w:rPr>
                <w:rFonts w:asciiTheme="minorHAnsi" w:hAnsiTheme="minorHAnsi" w:cstheme="minorHAnsi"/>
                <w:szCs w:val="22"/>
              </w:rPr>
              <w:t>embedded throughout each academic program</w:t>
            </w:r>
            <w:r>
              <w:rPr>
                <w:rFonts w:asciiTheme="minorHAnsi" w:hAnsiTheme="minorHAnsi" w:cstheme="minorHAnsi"/>
                <w:szCs w:val="22"/>
              </w:rPr>
              <w:t>.</w:t>
            </w:r>
            <w:r w:rsidRPr="00070D95">
              <w:rPr>
                <w:rFonts w:asciiTheme="minorHAnsi" w:hAnsiTheme="minorHAnsi" w:cstheme="minorHAnsi"/>
                <w:szCs w:val="22"/>
              </w:rPr>
              <w:t xml:space="preserve"> </w:t>
            </w:r>
            <w:r>
              <w:rPr>
                <w:rFonts w:asciiTheme="minorHAnsi" w:hAnsiTheme="minorHAnsi" w:cstheme="minorHAnsi"/>
                <w:szCs w:val="22"/>
              </w:rPr>
              <w:t xml:space="preserve">This </w:t>
            </w:r>
            <w:r w:rsidRPr="00070D95">
              <w:t>ensure</w:t>
            </w:r>
            <w:r>
              <w:t>s</w:t>
            </w:r>
            <w:r w:rsidRPr="00070D95">
              <w:t xml:space="preserve"> that our graduates have the knowledge, skills and capabilities to succeed </w:t>
            </w:r>
            <w:r>
              <w:t xml:space="preserve">and positively contribute </w:t>
            </w:r>
            <w:r w:rsidRPr="00070D95">
              <w:t xml:space="preserve">to the world of future work. </w:t>
            </w:r>
          </w:p>
          <w:p w14:paraId="70698D9B" w14:textId="77777777" w:rsidR="002E6F33" w:rsidRPr="00A01E01" w:rsidRDefault="002E6F33" w:rsidP="002E6F33">
            <w:pPr>
              <w:pStyle w:val="NormalIndent"/>
              <w:spacing w:before="0" w:after="0" w:line="240" w:lineRule="auto"/>
              <w:ind w:left="0"/>
              <w:jc w:val="both"/>
              <w:rPr>
                <w:rFonts w:asciiTheme="minorHAnsi" w:hAnsiTheme="minorHAnsi" w:cstheme="minorHAnsi"/>
                <w:iCs/>
                <w:color w:val="FF0000"/>
                <w:szCs w:val="22"/>
              </w:rPr>
            </w:pPr>
          </w:p>
          <w:p w14:paraId="1C6A6B7F" w14:textId="77777777" w:rsidR="002E6F33" w:rsidRPr="005713F7" w:rsidRDefault="002E6F33" w:rsidP="002E6F33">
            <w:pPr>
              <w:pStyle w:val="NormalIndent"/>
              <w:numPr>
                <w:ilvl w:val="0"/>
                <w:numId w:val="20"/>
              </w:numPr>
              <w:spacing w:before="0" w:after="0" w:line="240" w:lineRule="auto"/>
              <w:ind w:left="447" w:hanging="447"/>
              <w:rPr>
                <w:rFonts w:asciiTheme="minorHAnsi" w:hAnsiTheme="minorHAnsi" w:cstheme="minorHAnsi"/>
                <w:b/>
                <w:bCs/>
                <w:szCs w:val="22"/>
              </w:rPr>
            </w:pPr>
            <w:r w:rsidRPr="005713F7">
              <w:rPr>
                <w:rFonts w:asciiTheme="minorHAnsi" w:hAnsiTheme="minorHAnsi" w:cstheme="minorHAnsi"/>
                <w:b/>
                <w:bCs/>
                <w:i/>
                <w:iCs/>
                <w:szCs w:val="22"/>
              </w:rPr>
              <w:t>Student and Staff Safety</w:t>
            </w:r>
          </w:p>
          <w:p w14:paraId="39AAA81A" w14:textId="77777777" w:rsidR="002E6F33" w:rsidRPr="00070D95" w:rsidRDefault="002E6F33" w:rsidP="002E6F33">
            <w:pPr>
              <w:pStyle w:val="NormalIndent"/>
              <w:spacing w:before="0" w:after="0" w:line="240" w:lineRule="auto"/>
              <w:ind w:left="0"/>
              <w:rPr>
                <w:rFonts w:asciiTheme="minorHAnsi" w:hAnsiTheme="minorHAnsi" w:cstheme="minorHAnsi"/>
                <w:szCs w:val="22"/>
              </w:rPr>
            </w:pPr>
            <w:r w:rsidRPr="00070D95">
              <w:rPr>
                <w:rFonts w:asciiTheme="minorHAnsi" w:hAnsiTheme="minorHAnsi" w:cstheme="minorHAnsi"/>
                <w:szCs w:val="22"/>
              </w:rPr>
              <w:t xml:space="preserve">Bond University has implemented multiple safety </w:t>
            </w:r>
            <w:r>
              <w:rPr>
                <w:rFonts w:asciiTheme="minorHAnsi" w:hAnsiTheme="minorHAnsi" w:cstheme="minorHAnsi"/>
                <w:szCs w:val="22"/>
              </w:rPr>
              <w:t>initiatives, encompassing</w:t>
            </w:r>
            <w:r w:rsidRPr="00070D95">
              <w:rPr>
                <w:rFonts w:asciiTheme="minorHAnsi" w:hAnsiTheme="minorHAnsi" w:cstheme="minorHAnsi"/>
                <w:szCs w:val="22"/>
              </w:rPr>
              <w:t>:</w:t>
            </w:r>
          </w:p>
          <w:p w14:paraId="62FFB36D" w14:textId="77777777" w:rsidR="002E6F33" w:rsidRPr="00F57729" w:rsidRDefault="002E6F33" w:rsidP="002E6F33">
            <w:pPr>
              <w:pStyle w:val="NormalIndent"/>
              <w:numPr>
                <w:ilvl w:val="0"/>
                <w:numId w:val="21"/>
              </w:numPr>
              <w:spacing w:before="0" w:after="0" w:line="240" w:lineRule="auto"/>
              <w:ind w:left="447" w:hanging="271"/>
              <w:rPr>
                <w:rFonts w:asciiTheme="minorHAnsi" w:hAnsiTheme="minorHAnsi" w:cstheme="minorHAnsi"/>
                <w:szCs w:val="22"/>
              </w:rPr>
            </w:pPr>
            <w:r>
              <w:rPr>
                <w:rFonts w:asciiTheme="minorHAnsi" w:hAnsiTheme="minorHAnsi" w:cstheme="minorHAnsi"/>
                <w:szCs w:val="22"/>
              </w:rPr>
              <w:t>24/7 Bond University Crisis Line f</w:t>
            </w:r>
            <w:r>
              <w:t xml:space="preserve">or students </w:t>
            </w:r>
            <w:r>
              <w:rPr>
                <w:rFonts w:asciiTheme="minorHAnsi" w:hAnsiTheme="minorHAnsi" w:cstheme="minorHAnsi"/>
                <w:szCs w:val="22"/>
              </w:rPr>
              <w:t xml:space="preserve">to complement onsite </w:t>
            </w:r>
            <w:hyperlink r:id="rId16" w:history="1">
              <w:r w:rsidRPr="009226F8">
                <w:rPr>
                  <w:rStyle w:val="Hyperlink"/>
                  <w:rFonts w:asciiTheme="minorHAnsi" w:hAnsiTheme="minorHAnsi" w:cstheme="minorHAnsi"/>
                  <w:szCs w:val="22"/>
                </w:rPr>
                <w:t>Counselling</w:t>
              </w:r>
            </w:hyperlink>
            <w:r>
              <w:rPr>
                <w:rFonts w:asciiTheme="minorHAnsi" w:hAnsiTheme="minorHAnsi" w:cstheme="minorHAnsi"/>
                <w:szCs w:val="22"/>
              </w:rPr>
              <w:t xml:space="preserve"> and </w:t>
            </w:r>
            <w:hyperlink r:id="rId17" w:history="1">
              <w:r>
                <w:rPr>
                  <w:rStyle w:val="Hyperlink"/>
                  <w:rFonts w:asciiTheme="minorHAnsi" w:hAnsiTheme="minorHAnsi" w:cstheme="minorHAnsi"/>
                  <w:szCs w:val="22"/>
                </w:rPr>
                <w:t>Medical</w:t>
              </w:r>
            </w:hyperlink>
            <w:r>
              <w:rPr>
                <w:rFonts w:asciiTheme="minorHAnsi" w:hAnsiTheme="minorHAnsi" w:cstheme="minorHAnsi"/>
                <w:szCs w:val="22"/>
              </w:rPr>
              <w:t xml:space="preserve"> services;</w:t>
            </w:r>
          </w:p>
          <w:p w14:paraId="06934F77" w14:textId="77777777" w:rsidR="002E6F33" w:rsidRPr="00070D95" w:rsidRDefault="002E6F33" w:rsidP="002E6F33">
            <w:pPr>
              <w:pStyle w:val="NormalIndent"/>
              <w:numPr>
                <w:ilvl w:val="0"/>
                <w:numId w:val="21"/>
              </w:numPr>
              <w:spacing w:before="0" w:after="0" w:line="240" w:lineRule="auto"/>
              <w:ind w:left="447" w:hanging="271"/>
              <w:rPr>
                <w:rFonts w:asciiTheme="minorHAnsi" w:hAnsiTheme="minorHAnsi" w:cstheme="minorHAnsi"/>
                <w:szCs w:val="22"/>
              </w:rPr>
            </w:pPr>
            <w:r w:rsidRPr="00070D95">
              <w:rPr>
                <w:rFonts w:cstheme="minorHAnsi"/>
              </w:rPr>
              <w:t xml:space="preserve">24/7 </w:t>
            </w:r>
            <w:r>
              <w:rPr>
                <w:rFonts w:cstheme="minorHAnsi"/>
              </w:rPr>
              <w:t>onsite</w:t>
            </w:r>
            <w:r w:rsidRPr="00070D95">
              <w:rPr>
                <w:rFonts w:cstheme="minorHAnsi"/>
              </w:rPr>
              <w:t xml:space="preserve"> </w:t>
            </w:r>
            <w:hyperlink r:id="rId18" w:history="1">
              <w:r w:rsidRPr="00CF5DCF">
                <w:rPr>
                  <w:rStyle w:val="Hyperlink"/>
                  <w:rFonts w:cstheme="minorHAnsi"/>
                </w:rPr>
                <w:t>Security</w:t>
              </w:r>
            </w:hyperlink>
            <w:r>
              <w:rPr>
                <w:rFonts w:cstheme="minorHAnsi"/>
              </w:rPr>
              <w:t xml:space="preserve"> to support students and staff;</w:t>
            </w:r>
          </w:p>
          <w:p w14:paraId="5C5C4D2A" w14:textId="77777777" w:rsidR="002E6F33" w:rsidRPr="00070D95" w:rsidRDefault="002E6F33" w:rsidP="002E6F33">
            <w:pPr>
              <w:pStyle w:val="NormalIndent"/>
              <w:numPr>
                <w:ilvl w:val="0"/>
                <w:numId w:val="21"/>
              </w:numPr>
              <w:spacing w:before="0" w:after="0" w:line="240" w:lineRule="auto"/>
              <w:ind w:left="447" w:hanging="271"/>
              <w:rPr>
                <w:rFonts w:asciiTheme="minorHAnsi" w:hAnsiTheme="minorHAnsi" w:cstheme="minorHAnsi"/>
                <w:szCs w:val="22"/>
              </w:rPr>
            </w:pPr>
            <w:hyperlink r:id="rId19" w:history="1">
              <w:r w:rsidRPr="00791C94">
                <w:rPr>
                  <w:rStyle w:val="Hyperlink"/>
                  <w:rFonts w:asciiTheme="minorHAnsi" w:hAnsiTheme="minorHAnsi" w:cstheme="minorHAnsi"/>
                  <w:szCs w:val="22"/>
                </w:rPr>
                <w:t xml:space="preserve">Cyber </w:t>
              </w:r>
              <w:r>
                <w:rPr>
                  <w:rStyle w:val="Hyperlink"/>
                  <w:rFonts w:asciiTheme="minorHAnsi" w:hAnsiTheme="minorHAnsi" w:cstheme="minorHAnsi"/>
                  <w:szCs w:val="22"/>
                </w:rPr>
                <w:t>S</w:t>
              </w:r>
              <w:r w:rsidRPr="00791C94">
                <w:rPr>
                  <w:rStyle w:val="Hyperlink"/>
                  <w:rFonts w:asciiTheme="minorHAnsi" w:hAnsiTheme="minorHAnsi" w:cstheme="minorHAnsi"/>
                  <w:szCs w:val="22"/>
                </w:rPr>
                <w:t>ecurity</w:t>
              </w:r>
            </w:hyperlink>
            <w:r w:rsidRPr="00070D95">
              <w:rPr>
                <w:rFonts w:asciiTheme="minorHAnsi" w:hAnsiTheme="minorHAnsi" w:cstheme="minorHAnsi"/>
                <w:szCs w:val="22"/>
              </w:rPr>
              <w:t xml:space="preserve"> measures </w:t>
            </w:r>
            <w:r>
              <w:rPr>
                <w:rFonts w:asciiTheme="minorHAnsi" w:hAnsiTheme="minorHAnsi" w:cstheme="minorHAnsi"/>
                <w:szCs w:val="22"/>
              </w:rPr>
              <w:t xml:space="preserve">for students and staff </w:t>
            </w:r>
            <w:r w:rsidRPr="00070D95">
              <w:rPr>
                <w:rFonts w:asciiTheme="minorHAnsi" w:hAnsiTheme="minorHAnsi" w:cstheme="minorHAnsi"/>
                <w:szCs w:val="22"/>
              </w:rPr>
              <w:t>including awareness education</w:t>
            </w:r>
            <w:r>
              <w:rPr>
                <w:rFonts w:asciiTheme="minorHAnsi" w:hAnsiTheme="minorHAnsi" w:cstheme="minorHAnsi"/>
                <w:szCs w:val="22"/>
              </w:rPr>
              <w:t>;</w:t>
            </w:r>
          </w:p>
          <w:p w14:paraId="5C09224B" w14:textId="77777777" w:rsidR="002E6F33" w:rsidRPr="00070D95" w:rsidRDefault="002E6F33" w:rsidP="002E6F33">
            <w:pPr>
              <w:pStyle w:val="NormalIndent"/>
              <w:numPr>
                <w:ilvl w:val="0"/>
                <w:numId w:val="21"/>
              </w:numPr>
              <w:spacing w:before="0" w:after="0" w:line="240" w:lineRule="auto"/>
              <w:ind w:left="447" w:hanging="271"/>
              <w:rPr>
                <w:rFonts w:asciiTheme="minorHAnsi" w:hAnsiTheme="minorHAnsi" w:cstheme="minorHAnsi"/>
                <w:szCs w:val="22"/>
              </w:rPr>
            </w:pPr>
            <w:r w:rsidRPr="00070D95">
              <w:rPr>
                <w:rFonts w:asciiTheme="minorHAnsi" w:hAnsiTheme="minorHAnsi" w:cstheme="minorHAnsi"/>
                <w:szCs w:val="22"/>
              </w:rPr>
              <w:t>Extensive</w:t>
            </w:r>
            <w:r>
              <w:rPr>
                <w:rFonts w:asciiTheme="minorHAnsi" w:hAnsiTheme="minorHAnsi" w:cstheme="minorHAnsi"/>
                <w:szCs w:val="22"/>
              </w:rPr>
              <w:t xml:space="preserve"> </w:t>
            </w:r>
            <w:hyperlink r:id="rId20" w:history="1">
              <w:r w:rsidRPr="002717C1">
                <w:rPr>
                  <w:rStyle w:val="Hyperlink"/>
                  <w:rFonts w:asciiTheme="minorHAnsi" w:hAnsiTheme="minorHAnsi" w:cstheme="minorHAnsi"/>
                  <w:szCs w:val="22"/>
                </w:rPr>
                <w:t>Support</w:t>
              </w:r>
            </w:hyperlink>
            <w:r>
              <w:rPr>
                <w:rFonts w:asciiTheme="minorHAnsi" w:hAnsiTheme="minorHAnsi" w:cstheme="minorHAnsi"/>
                <w:szCs w:val="22"/>
              </w:rPr>
              <w:t xml:space="preserve"> and</w:t>
            </w:r>
            <w:r w:rsidRPr="00070D95">
              <w:rPr>
                <w:rFonts w:asciiTheme="minorHAnsi" w:hAnsiTheme="minorHAnsi" w:cstheme="minorHAnsi"/>
                <w:szCs w:val="22"/>
              </w:rPr>
              <w:t xml:space="preserve"> </w:t>
            </w:r>
            <w:hyperlink r:id="rId21" w:history="1">
              <w:r w:rsidRPr="00E1335E">
                <w:rPr>
                  <w:rStyle w:val="Hyperlink"/>
                  <w:rFonts w:asciiTheme="minorHAnsi" w:hAnsiTheme="minorHAnsi" w:cstheme="minorHAnsi"/>
                  <w:szCs w:val="22"/>
                </w:rPr>
                <w:t>Wellbeing</w:t>
              </w:r>
            </w:hyperlink>
            <w:r w:rsidRPr="00070D95">
              <w:rPr>
                <w:rFonts w:asciiTheme="minorHAnsi" w:hAnsiTheme="minorHAnsi" w:cstheme="minorHAnsi"/>
                <w:szCs w:val="22"/>
              </w:rPr>
              <w:t xml:space="preserve"> </w:t>
            </w:r>
            <w:r>
              <w:rPr>
                <w:rFonts w:asciiTheme="minorHAnsi" w:hAnsiTheme="minorHAnsi" w:cstheme="minorHAnsi"/>
                <w:szCs w:val="22"/>
              </w:rPr>
              <w:t xml:space="preserve">services for students </w:t>
            </w:r>
            <w:r w:rsidRPr="00070D95">
              <w:rPr>
                <w:rFonts w:asciiTheme="minorHAnsi" w:hAnsiTheme="minorHAnsi" w:cstheme="minorHAnsi"/>
                <w:szCs w:val="22"/>
              </w:rPr>
              <w:t>including</w:t>
            </w:r>
            <w:r>
              <w:rPr>
                <w:rFonts w:asciiTheme="minorHAnsi" w:hAnsiTheme="minorHAnsi" w:cstheme="minorHAnsi"/>
                <w:szCs w:val="22"/>
              </w:rPr>
              <w:t xml:space="preserve"> Bond’s commitment to</w:t>
            </w:r>
            <w:r w:rsidRPr="00070D95">
              <w:rPr>
                <w:rFonts w:asciiTheme="minorHAnsi" w:hAnsiTheme="minorHAnsi" w:cstheme="minorHAnsi"/>
                <w:szCs w:val="22"/>
              </w:rPr>
              <w:t xml:space="preserve"> </w:t>
            </w:r>
            <w:hyperlink r:id="rId22" w:history="1">
              <w:r w:rsidRPr="00D246BA">
                <w:rPr>
                  <w:rStyle w:val="Hyperlink"/>
                  <w:rFonts w:asciiTheme="minorHAnsi" w:hAnsiTheme="minorHAnsi" w:cstheme="minorHAnsi"/>
                  <w:szCs w:val="22"/>
                </w:rPr>
                <w:t>Safe and Respectful Communities</w:t>
              </w:r>
            </w:hyperlink>
            <w:r>
              <w:rPr>
                <w:rFonts w:asciiTheme="minorHAnsi" w:hAnsiTheme="minorHAnsi" w:cstheme="minorHAnsi"/>
                <w:szCs w:val="22"/>
              </w:rPr>
              <w:t>;</w:t>
            </w:r>
          </w:p>
          <w:p w14:paraId="65756F82" w14:textId="77777777" w:rsidR="002E6F33" w:rsidRPr="005D4B98" w:rsidRDefault="002E6F33" w:rsidP="002E6F33">
            <w:pPr>
              <w:pStyle w:val="NormalIndent"/>
              <w:numPr>
                <w:ilvl w:val="0"/>
                <w:numId w:val="21"/>
              </w:numPr>
              <w:spacing w:before="0" w:after="0" w:line="240" w:lineRule="auto"/>
              <w:ind w:left="447" w:hanging="271"/>
              <w:rPr>
                <w:rFonts w:asciiTheme="minorHAnsi" w:hAnsiTheme="minorHAnsi" w:cstheme="minorHAnsi"/>
                <w:color w:val="005BB7" w:themeColor="text2" w:themeTint="BF"/>
                <w:szCs w:val="22"/>
                <w:u w:val="single"/>
              </w:rPr>
            </w:pPr>
            <w:r>
              <w:rPr>
                <w:rFonts w:cstheme="minorHAnsi"/>
              </w:rPr>
              <w:t xml:space="preserve">Online BondCare platform for </w:t>
            </w:r>
            <w:hyperlink r:id="rId23" w:history="1">
              <w:r>
                <w:rPr>
                  <w:rStyle w:val="Hyperlink"/>
                </w:rPr>
                <w:t>Reporting and Referring Student Wellbeing and Safety Matters</w:t>
              </w:r>
            </w:hyperlink>
            <w:r>
              <w:t xml:space="preserve"> including gender-based violence;</w:t>
            </w:r>
          </w:p>
          <w:p w14:paraId="6543CD61" w14:textId="77777777" w:rsidR="002E6F33" w:rsidRPr="002E6F33" w:rsidRDefault="002E6F33" w:rsidP="002E6F33">
            <w:pPr>
              <w:pStyle w:val="NormalIndent"/>
              <w:numPr>
                <w:ilvl w:val="0"/>
                <w:numId w:val="21"/>
              </w:numPr>
              <w:spacing w:before="0" w:after="0" w:line="240" w:lineRule="auto"/>
              <w:ind w:left="447" w:hanging="271"/>
              <w:rPr>
                <w:rStyle w:val="Hyperlink"/>
                <w:rFonts w:asciiTheme="minorHAnsi" w:hAnsiTheme="minorHAnsi" w:cstheme="minorHAnsi"/>
                <w:color w:val="auto"/>
                <w:szCs w:val="22"/>
                <w:u w:val="none"/>
              </w:rPr>
            </w:pPr>
            <w:r w:rsidRPr="002E6F33">
              <w:rPr>
                <w:rStyle w:val="Hyperlink"/>
                <w:color w:val="auto"/>
                <w:u w:val="none"/>
              </w:rPr>
              <w:t>Employee Assistance Program (in partnership with Converge International) to support staff dealing with work and personal issues; and</w:t>
            </w:r>
          </w:p>
          <w:p w14:paraId="752AE571" w14:textId="77777777" w:rsidR="002E6F33" w:rsidRPr="00070D95" w:rsidRDefault="002E6F33" w:rsidP="002E6F33">
            <w:pPr>
              <w:pStyle w:val="NormalIndent"/>
              <w:numPr>
                <w:ilvl w:val="0"/>
                <w:numId w:val="21"/>
              </w:numPr>
              <w:spacing w:before="0" w:after="0" w:line="240" w:lineRule="auto"/>
              <w:ind w:left="447" w:hanging="271"/>
              <w:rPr>
                <w:rFonts w:asciiTheme="minorHAnsi" w:hAnsiTheme="minorHAnsi" w:cstheme="minorHAnsi"/>
                <w:szCs w:val="22"/>
              </w:rPr>
            </w:pPr>
            <w:r>
              <w:rPr>
                <w:rFonts w:asciiTheme="minorHAnsi" w:hAnsiTheme="minorHAnsi" w:cstheme="minorHAnsi"/>
                <w:szCs w:val="22"/>
              </w:rPr>
              <w:t xml:space="preserve">Online </w:t>
            </w:r>
            <w:hyperlink r:id="rId24" w:history="1">
              <w:r w:rsidRPr="00A178DE">
                <w:rPr>
                  <w:rStyle w:val="Hyperlink"/>
                  <w:rFonts w:asciiTheme="minorHAnsi" w:hAnsiTheme="minorHAnsi" w:cstheme="minorHAnsi"/>
                  <w:szCs w:val="22"/>
                </w:rPr>
                <w:t>Feedback and Complaints Portal</w:t>
              </w:r>
            </w:hyperlink>
            <w:r>
              <w:rPr>
                <w:rFonts w:asciiTheme="minorHAnsi" w:hAnsiTheme="minorHAnsi" w:cstheme="minorHAnsi"/>
                <w:szCs w:val="22"/>
              </w:rPr>
              <w:t xml:space="preserve"> for students and staff to support continuous institutional improvement. </w:t>
            </w:r>
          </w:p>
          <w:p w14:paraId="183AFE5D" w14:textId="77777777" w:rsidR="001B109C" w:rsidRDefault="001B109C" w:rsidP="00962F05">
            <w:pPr>
              <w:pStyle w:val="NormalIndent"/>
              <w:spacing w:before="0" w:after="0"/>
              <w:ind w:left="0"/>
              <w:rPr>
                <w:rFonts w:asciiTheme="minorHAnsi" w:hAnsiTheme="minorHAnsi" w:cstheme="minorHAnsi"/>
                <w:i/>
                <w:iCs/>
                <w:szCs w:val="22"/>
              </w:rPr>
            </w:pPr>
          </w:p>
          <w:p w14:paraId="2AB4D583" w14:textId="77777777" w:rsidR="002E6F33" w:rsidRPr="00B55486" w:rsidRDefault="002E6F33" w:rsidP="002E6F33">
            <w:pPr>
              <w:pStyle w:val="NormalIndent"/>
              <w:numPr>
                <w:ilvl w:val="0"/>
                <w:numId w:val="20"/>
              </w:numPr>
              <w:spacing w:before="0" w:after="0" w:line="240" w:lineRule="auto"/>
              <w:ind w:left="447" w:hanging="447"/>
              <w:rPr>
                <w:rFonts w:asciiTheme="minorHAnsi" w:hAnsiTheme="minorHAnsi" w:cstheme="minorHAnsi"/>
                <w:b/>
                <w:bCs/>
                <w:i/>
                <w:iCs/>
                <w:szCs w:val="22"/>
              </w:rPr>
            </w:pPr>
            <w:r w:rsidRPr="00B55486">
              <w:rPr>
                <w:rFonts w:asciiTheme="minorHAnsi" w:hAnsiTheme="minorHAnsi" w:cstheme="minorHAnsi"/>
                <w:b/>
                <w:bCs/>
                <w:i/>
                <w:iCs/>
                <w:szCs w:val="22"/>
              </w:rPr>
              <w:t>Countering Foreign Interference/Cyber and Data Security</w:t>
            </w:r>
          </w:p>
          <w:p w14:paraId="766FC2F3" w14:textId="77777777" w:rsidR="002E6F33" w:rsidRPr="00070D95" w:rsidRDefault="002E6F33" w:rsidP="002E6F33">
            <w:pPr>
              <w:rPr>
                <w:rFonts w:eastAsia="Calibri" w:cs="Calibri"/>
              </w:rPr>
            </w:pPr>
            <w:r w:rsidRPr="00070D95">
              <w:rPr>
                <w:rFonts w:cstheme="minorHAnsi"/>
              </w:rPr>
              <w:t>Bond University</w:t>
            </w:r>
            <w:r>
              <w:rPr>
                <w:rFonts w:cstheme="minorHAnsi"/>
              </w:rPr>
              <w:t xml:space="preserve"> continues to monitor</w:t>
            </w:r>
            <w:r w:rsidRPr="00070D95">
              <w:rPr>
                <w:rFonts w:cstheme="minorHAnsi"/>
              </w:rPr>
              <w:t xml:space="preserve"> </w:t>
            </w:r>
            <w:r>
              <w:rPr>
                <w:rFonts w:cstheme="minorHAnsi"/>
              </w:rPr>
              <w:t>foreign interference threats</w:t>
            </w:r>
            <w:r w:rsidRPr="00070D95">
              <w:rPr>
                <w:rFonts w:eastAsia="Calibri" w:cs="Calibri"/>
              </w:rPr>
              <w:t xml:space="preserve"> and</w:t>
            </w:r>
            <w:r>
              <w:rPr>
                <w:rFonts w:eastAsia="Calibri" w:cs="Calibri"/>
              </w:rPr>
              <w:t xml:space="preserve"> has implemented policies and procedures that monitor and respond to potential threats across our range of core business activities. </w:t>
            </w:r>
          </w:p>
          <w:p w14:paraId="0FF33292" w14:textId="77777777" w:rsidR="002E6F33" w:rsidRDefault="002E6F33" w:rsidP="002E6F33">
            <w:pPr>
              <w:pStyle w:val="NormalIndent"/>
              <w:spacing w:before="0" w:after="0" w:line="240" w:lineRule="auto"/>
              <w:ind w:left="0"/>
              <w:rPr>
                <w:rFonts w:cstheme="minorHAnsi"/>
                <w:iCs/>
              </w:rPr>
            </w:pPr>
            <w:r>
              <w:rPr>
                <w:rFonts w:cstheme="minorHAnsi"/>
                <w:iCs/>
              </w:rPr>
              <w:t xml:space="preserve">We </w:t>
            </w:r>
            <w:r w:rsidRPr="0057484F">
              <w:rPr>
                <w:rFonts w:cstheme="minorHAnsi"/>
                <w:iCs/>
              </w:rPr>
              <w:t xml:space="preserve">take a risk-based approach to </w:t>
            </w:r>
            <w:hyperlink r:id="rId25" w:history="1">
              <w:r w:rsidRPr="00BE500F">
                <w:rPr>
                  <w:rStyle w:val="Hyperlink"/>
                  <w:rFonts w:cstheme="minorHAnsi"/>
                  <w:iCs/>
                </w:rPr>
                <w:t>Cyber Security</w:t>
              </w:r>
            </w:hyperlink>
            <w:r>
              <w:rPr>
                <w:rFonts w:cstheme="minorHAnsi"/>
                <w:iCs/>
              </w:rPr>
              <w:t>.</w:t>
            </w:r>
            <w:r w:rsidRPr="0057484F">
              <w:rPr>
                <w:rFonts w:cstheme="minorHAnsi"/>
                <w:iCs/>
              </w:rPr>
              <w:t xml:space="preserve"> </w:t>
            </w:r>
            <w:r>
              <w:rPr>
                <w:rFonts w:cstheme="minorHAnsi"/>
                <w:iCs/>
              </w:rPr>
              <w:t xml:space="preserve">Our risk response </w:t>
            </w:r>
            <w:r w:rsidRPr="0057484F">
              <w:rPr>
                <w:rFonts w:cstheme="minorHAnsi"/>
                <w:iCs/>
              </w:rPr>
              <w:t>encompass</w:t>
            </w:r>
            <w:r>
              <w:rPr>
                <w:rFonts w:cstheme="minorHAnsi"/>
                <w:iCs/>
              </w:rPr>
              <w:t>es</w:t>
            </w:r>
            <w:r w:rsidRPr="0057484F">
              <w:rPr>
                <w:rFonts w:cstheme="minorHAnsi"/>
                <w:iCs/>
              </w:rPr>
              <w:t xml:space="preserve"> aspects of security culture, education, governance, IT supply chain awareness, technical controls, authentication and data governance</w:t>
            </w:r>
            <w:r>
              <w:rPr>
                <w:rFonts w:cstheme="minorHAnsi"/>
                <w:iCs/>
              </w:rPr>
              <w:t>,</w:t>
            </w:r>
            <w:r w:rsidRPr="0057484F">
              <w:rPr>
                <w:rFonts w:cstheme="minorHAnsi"/>
                <w:iCs/>
              </w:rPr>
              <w:t xml:space="preserve"> with metrics regularly tracked to monitor the progress and effectiveness of </w:t>
            </w:r>
            <w:r>
              <w:rPr>
                <w:rFonts w:cstheme="minorHAnsi"/>
                <w:iCs/>
              </w:rPr>
              <w:t xml:space="preserve">Bond’s </w:t>
            </w:r>
            <w:r w:rsidRPr="0057484F">
              <w:rPr>
                <w:rFonts w:cstheme="minorHAnsi"/>
                <w:iCs/>
              </w:rPr>
              <w:t xml:space="preserve">cyber security strategy. </w:t>
            </w:r>
          </w:p>
          <w:p w14:paraId="1DD316A7" w14:textId="77777777" w:rsidR="002E6F33" w:rsidRDefault="002E6F33" w:rsidP="002E6F33">
            <w:pPr>
              <w:pStyle w:val="NormalIndent"/>
              <w:spacing w:before="0" w:after="0" w:line="240" w:lineRule="auto"/>
              <w:ind w:left="0"/>
              <w:rPr>
                <w:rFonts w:cstheme="minorHAnsi"/>
                <w:iCs/>
              </w:rPr>
            </w:pPr>
          </w:p>
          <w:p w14:paraId="3F6E1D51" w14:textId="77777777" w:rsidR="002E6F33" w:rsidRDefault="002E6F33" w:rsidP="002E6F33">
            <w:pPr>
              <w:pStyle w:val="NormalIndent"/>
              <w:spacing w:before="0" w:after="0" w:line="240" w:lineRule="auto"/>
              <w:ind w:left="0"/>
              <w:rPr>
                <w:rFonts w:cstheme="minorHAnsi"/>
                <w:iCs/>
              </w:rPr>
            </w:pPr>
          </w:p>
          <w:p w14:paraId="65DE61A1" w14:textId="77777777" w:rsidR="002E6F33" w:rsidRDefault="002E6F33" w:rsidP="002E6F33">
            <w:pPr>
              <w:pStyle w:val="NormalIndent"/>
              <w:spacing w:before="0" w:after="0" w:line="240" w:lineRule="auto"/>
              <w:ind w:left="0"/>
              <w:rPr>
                <w:rFonts w:cstheme="minorHAnsi"/>
                <w:iCs/>
              </w:rPr>
            </w:pPr>
          </w:p>
          <w:p w14:paraId="011FB20C" w14:textId="77777777" w:rsidR="002E6F33" w:rsidRDefault="002E6F33" w:rsidP="002E6F33">
            <w:pPr>
              <w:pStyle w:val="NormalIndent"/>
              <w:spacing w:before="0" w:after="0" w:line="240" w:lineRule="auto"/>
              <w:ind w:left="0"/>
              <w:rPr>
                <w:rFonts w:cstheme="minorHAnsi"/>
                <w:iCs/>
              </w:rPr>
            </w:pPr>
          </w:p>
          <w:p w14:paraId="2C91A87B" w14:textId="77777777" w:rsidR="001B109C" w:rsidRPr="005774F2" w:rsidRDefault="001B109C" w:rsidP="00962F05">
            <w:pPr>
              <w:pStyle w:val="NormalIndent"/>
              <w:spacing w:before="0" w:after="0"/>
              <w:ind w:left="0"/>
              <w:rPr>
                <w:rFonts w:asciiTheme="minorHAnsi" w:hAnsiTheme="minorHAnsi" w:cstheme="minorHAnsi"/>
                <w:i/>
                <w:iCs/>
                <w:szCs w:val="22"/>
              </w:rPr>
            </w:pPr>
          </w:p>
        </w:tc>
      </w:tr>
      <w:tr w:rsidR="002E6F33" w:rsidRPr="00E41388" w14:paraId="4FC7BCE7" w14:textId="77777777" w:rsidTr="6DCF43EC">
        <w:trPr>
          <w:cantSplit/>
          <w:trHeight w:val="1123"/>
        </w:trPr>
        <w:tc>
          <w:tcPr>
            <w:tcW w:w="5000" w:type="pct"/>
            <w:tcBorders>
              <w:bottom w:val="single" w:sz="4" w:space="0" w:color="auto"/>
            </w:tcBorders>
          </w:tcPr>
          <w:p w14:paraId="7315FA3D" w14:textId="77777777" w:rsidR="002E6F33" w:rsidRPr="00C92397" w:rsidRDefault="002E6F33" w:rsidP="002E6F33">
            <w:pPr>
              <w:pStyle w:val="NormalIndent"/>
              <w:numPr>
                <w:ilvl w:val="0"/>
                <w:numId w:val="20"/>
              </w:numPr>
              <w:spacing w:before="0" w:after="0" w:line="240" w:lineRule="auto"/>
              <w:ind w:left="447" w:hanging="447"/>
              <w:rPr>
                <w:rFonts w:asciiTheme="minorHAnsi" w:hAnsiTheme="minorHAnsi" w:cstheme="minorHAnsi"/>
                <w:b/>
                <w:bCs/>
                <w:i/>
                <w:iCs/>
                <w:szCs w:val="22"/>
              </w:rPr>
            </w:pPr>
            <w:r w:rsidRPr="00C92397">
              <w:rPr>
                <w:rFonts w:asciiTheme="minorHAnsi" w:hAnsiTheme="minorHAnsi" w:cstheme="minorHAnsi"/>
                <w:b/>
                <w:bCs/>
                <w:i/>
                <w:iCs/>
                <w:szCs w:val="22"/>
              </w:rPr>
              <w:lastRenderedPageBreak/>
              <w:t xml:space="preserve">Freedom of Speech and Academic Freedom </w:t>
            </w:r>
          </w:p>
          <w:p w14:paraId="2D2DE881" w14:textId="77777777" w:rsidR="002E6F33" w:rsidRDefault="002E6F33" w:rsidP="002E6F33">
            <w:pPr>
              <w:pStyle w:val="NormalIndent"/>
              <w:spacing w:before="0" w:after="0" w:line="240" w:lineRule="auto"/>
              <w:ind w:left="0"/>
              <w:rPr>
                <w:rFonts w:asciiTheme="minorHAnsi" w:hAnsiTheme="minorHAnsi" w:cstheme="minorHAnsi"/>
                <w:i/>
                <w:color w:val="FF0000"/>
                <w:szCs w:val="22"/>
              </w:rPr>
            </w:pPr>
            <w:r w:rsidRPr="00C92397">
              <w:rPr>
                <w:rFonts w:asciiTheme="minorHAnsi" w:hAnsiTheme="minorHAnsi" w:cstheme="minorHAnsi"/>
                <w:szCs w:val="22"/>
              </w:rPr>
              <w:t xml:space="preserve">We recognise </w:t>
            </w:r>
            <w:r w:rsidRPr="004B7F03">
              <w:rPr>
                <w:rFonts w:asciiTheme="minorHAnsi" w:hAnsiTheme="minorHAnsi" w:cstheme="minorHAnsi"/>
                <w:szCs w:val="22"/>
              </w:rPr>
              <w:t>the role of universities as centres for critical thought a</w:t>
            </w:r>
            <w:r w:rsidRPr="004B7F03">
              <w:rPr>
                <w:rFonts w:cstheme="minorHAnsi"/>
              </w:rPr>
              <w:t xml:space="preserve">nd </w:t>
            </w:r>
            <w:r w:rsidRPr="004B7F03">
              <w:rPr>
                <w:rFonts w:asciiTheme="minorHAnsi" w:hAnsiTheme="minorHAnsi" w:cstheme="minorHAnsi"/>
                <w:szCs w:val="22"/>
              </w:rPr>
              <w:t xml:space="preserve">debate, as stated in Bond University’s </w:t>
            </w:r>
            <w:hyperlink r:id="rId26" w:history="1">
              <w:r w:rsidRPr="004B7F03">
                <w:rPr>
                  <w:rStyle w:val="Hyperlink"/>
                  <w:rFonts w:asciiTheme="minorHAnsi" w:hAnsiTheme="minorHAnsi" w:cstheme="minorHAnsi"/>
                  <w:szCs w:val="22"/>
                </w:rPr>
                <w:t>Freedom of Speech and Academic Freedom Policy</w:t>
              </w:r>
            </w:hyperlink>
            <w:r w:rsidRPr="004B7F03">
              <w:rPr>
                <w:rFonts w:asciiTheme="minorHAnsi" w:hAnsiTheme="minorHAnsi" w:cstheme="minorHAnsi"/>
                <w:szCs w:val="22"/>
              </w:rPr>
              <w:t xml:space="preserve">. </w:t>
            </w:r>
            <w:r w:rsidRPr="004B7F03">
              <w:rPr>
                <w:rFonts w:cstheme="minorHAnsi"/>
              </w:rPr>
              <w:t xml:space="preserve">We are committed to supporting the right of members of the Bond Community to hold and express diverse opinions in a respectful manner. Relatedly, we have recently amended our </w:t>
            </w:r>
            <w:hyperlink r:id="rId27" w:history="1">
              <w:r w:rsidRPr="004B7F03">
                <w:rPr>
                  <w:rStyle w:val="Hyperlink"/>
                  <w:rFonts w:cstheme="minorHAnsi"/>
                </w:rPr>
                <w:t>Anti-Discrimination and Anti-Racism Policy</w:t>
              </w:r>
            </w:hyperlink>
            <w:r w:rsidRPr="004B7F03">
              <w:t xml:space="preserve"> with reference to contemporary issues</w:t>
            </w:r>
            <w:r w:rsidRPr="00C92397">
              <w:rPr>
                <w:rFonts w:cstheme="minorHAnsi"/>
              </w:rPr>
              <w:t xml:space="preserve">. </w:t>
            </w:r>
          </w:p>
          <w:p w14:paraId="553D5788" w14:textId="77777777" w:rsidR="002E6F33" w:rsidRDefault="002E6F33" w:rsidP="002E6F33">
            <w:pPr>
              <w:pStyle w:val="NormalIndent"/>
              <w:spacing w:before="0" w:after="0" w:line="240" w:lineRule="auto"/>
              <w:ind w:left="0"/>
              <w:rPr>
                <w:rStyle w:val="Hyperlink"/>
                <w:iCs/>
              </w:rPr>
            </w:pPr>
          </w:p>
          <w:p w14:paraId="2D53DEDD" w14:textId="77777777" w:rsidR="002E6F33" w:rsidRPr="002E6F33" w:rsidRDefault="002E6F33" w:rsidP="002E6F33">
            <w:pPr>
              <w:pStyle w:val="NormalIndent"/>
              <w:numPr>
                <w:ilvl w:val="0"/>
                <w:numId w:val="20"/>
              </w:numPr>
              <w:spacing w:before="0" w:after="0" w:line="240" w:lineRule="auto"/>
              <w:ind w:left="447" w:hanging="447"/>
              <w:rPr>
                <w:rStyle w:val="Hyperlink"/>
                <w:b/>
                <w:bCs/>
                <w:i/>
                <w:color w:val="auto"/>
                <w:u w:val="none"/>
              </w:rPr>
            </w:pPr>
            <w:r w:rsidRPr="002E6F33">
              <w:rPr>
                <w:rStyle w:val="Hyperlink"/>
                <w:b/>
                <w:bCs/>
                <w:i/>
                <w:color w:val="auto"/>
                <w:u w:val="none"/>
              </w:rPr>
              <w:t xml:space="preserve">Academic and Research Integrity </w:t>
            </w:r>
          </w:p>
          <w:p w14:paraId="059991B1" w14:textId="77777777" w:rsidR="002E6F33" w:rsidRPr="003E76DE" w:rsidRDefault="002E6F33" w:rsidP="002E6F33">
            <w:pPr>
              <w:pStyle w:val="NormalIndent"/>
              <w:spacing w:before="0" w:after="0" w:line="240" w:lineRule="auto"/>
              <w:ind w:left="0"/>
              <w:rPr>
                <w:rStyle w:val="Hyperlink"/>
                <w:iCs/>
              </w:rPr>
            </w:pPr>
            <w:r w:rsidRPr="00725939">
              <w:rPr>
                <w:iCs/>
              </w:rPr>
              <w:t xml:space="preserve">Bond University is committed to the values of honesty, trust, fairness, respect and responsibility as the foundation of </w:t>
            </w:r>
            <w:hyperlink r:id="rId28" w:history="1">
              <w:r w:rsidRPr="00725939">
                <w:rPr>
                  <w:rStyle w:val="Hyperlink"/>
                  <w:iCs/>
                </w:rPr>
                <w:t>academic</w:t>
              </w:r>
            </w:hyperlink>
            <w:r w:rsidRPr="00725939">
              <w:rPr>
                <w:iCs/>
              </w:rPr>
              <w:t xml:space="preserve"> and </w:t>
            </w:r>
            <w:hyperlink r:id="rId29" w:history="1">
              <w:r w:rsidRPr="00725939">
                <w:rPr>
                  <w:rStyle w:val="Hyperlink"/>
                  <w:iCs/>
                </w:rPr>
                <w:t>research</w:t>
              </w:r>
            </w:hyperlink>
            <w:r w:rsidRPr="00725939">
              <w:rPr>
                <w:iCs/>
              </w:rPr>
              <w:t xml:space="preserve"> integrity. </w:t>
            </w:r>
            <w:r w:rsidRPr="00725939">
              <w:t xml:space="preserve">We are embracing the benefits of </w:t>
            </w:r>
            <w:hyperlink r:id="rId30" w:history="1">
              <w:r w:rsidRPr="00725939">
                <w:rPr>
                  <w:rStyle w:val="Hyperlink"/>
                </w:rPr>
                <w:t>Generative AI</w:t>
              </w:r>
            </w:hyperlink>
            <w:r w:rsidRPr="00725939">
              <w:t xml:space="preserve"> technologies through the targeted and sustained upskilling of students and staff to ensure the ethical and critical use of </w:t>
            </w:r>
            <w:r>
              <w:t>these</w:t>
            </w:r>
            <w:r w:rsidRPr="00725939">
              <w:t xml:space="preserve"> tools. </w:t>
            </w:r>
          </w:p>
          <w:p w14:paraId="6F76D8C3" w14:textId="77777777" w:rsidR="002E6F33" w:rsidRDefault="002E6F33" w:rsidP="002E6F33">
            <w:pPr>
              <w:pStyle w:val="NormalIndent"/>
              <w:spacing w:before="0" w:after="0" w:line="240" w:lineRule="auto"/>
              <w:ind w:left="0"/>
              <w:jc w:val="both"/>
              <w:rPr>
                <w:rFonts w:asciiTheme="minorHAnsi" w:hAnsiTheme="minorHAnsi" w:cstheme="minorHAnsi"/>
                <w:iCs/>
                <w:color w:val="FF0000"/>
                <w:szCs w:val="22"/>
              </w:rPr>
            </w:pPr>
          </w:p>
          <w:p w14:paraId="3D66AA26" w14:textId="77777777" w:rsidR="002E6F33" w:rsidRPr="00391E8A" w:rsidRDefault="002E6F33" w:rsidP="002E6F33">
            <w:pPr>
              <w:pStyle w:val="NormalIndent"/>
              <w:numPr>
                <w:ilvl w:val="0"/>
                <w:numId w:val="20"/>
              </w:numPr>
              <w:spacing w:before="0" w:after="0" w:line="240" w:lineRule="auto"/>
              <w:ind w:left="447" w:hanging="447"/>
              <w:rPr>
                <w:i/>
                <w:iCs/>
              </w:rPr>
            </w:pPr>
            <w:r w:rsidRPr="00391E8A">
              <w:rPr>
                <w:b/>
                <w:bCs/>
                <w:i/>
                <w:iCs/>
              </w:rPr>
              <w:t>Commitment to Reconciliation</w:t>
            </w:r>
          </w:p>
          <w:p w14:paraId="269A50A5" w14:textId="62FC3F47" w:rsidR="002E6F33" w:rsidRDefault="002E6F33" w:rsidP="002E6F33">
            <w:pPr>
              <w:pStyle w:val="NormalIndent"/>
              <w:spacing w:before="0" w:after="0" w:line="240" w:lineRule="auto"/>
              <w:ind w:left="0"/>
            </w:pPr>
            <w:r w:rsidRPr="00070D95">
              <w:t xml:space="preserve">Bond University is committed to contributing to reconciliation with Australia’s </w:t>
            </w:r>
            <w:r>
              <w:t>F</w:t>
            </w:r>
            <w:r w:rsidRPr="00070D95">
              <w:t xml:space="preserve">irst </w:t>
            </w:r>
            <w:r>
              <w:t>Nations p</w:t>
            </w:r>
            <w:r w:rsidRPr="00070D95">
              <w:t xml:space="preserve">eoples as outlined in our </w:t>
            </w:r>
            <w:hyperlink r:id="rId31" w:history="1">
              <w:r w:rsidRPr="00070D95">
                <w:rPr>
                  <w:rStyle w:val="Hyperlink"/>
                  <w:rFonts w:cstheme="minorHAnsi"/>
                  <w:iCs/>
                </w:rPr>
                <w:t>Innovate Reconciliation Action Plan</w:t>
              </w:r>
            </w:hyperlink>
            <w:r>
              <w:t>.</w:t>
            </w:r>
          </w:p>
          <w:p w14:paraId="7A23F054" w14:textId="77777777" w:rsidR="002E6F33" w:rsidRPr="00D3334D" w:rsidRDefault="002E6F33" w:rsidP="002E6F33">
            <w:pPr>
              <w:pStyle w:val="NormalIndent"/>
              <w:spacing w:before="0" w:after="0" w:line="240" w:lineRule="auto"/>
              <w:ind w:left="0"/>
              <w:rPr>
                <w:rFonts w:asciiTheme="minorHAnsi" w:hAnsiTheme="minorHAnsi" w:cstheme="minorBidi"/>
                <w:b/>
              </w:rPr>
            </w:pP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DCF43EC">
        <w:trPr>
          <w:cantSplit/>
        </w:trPr>
        <w:tc>
          <w:tcPr>
            <w:tcW w:w="5000" w:type="pct"/>
          </w:tcPr>
          <w:p w14:paraId="36E01CD0" w14:textId="77777777" w:rsidR="003D76E2" w:rsidRPr="00D55CCB" w:rsidRDefault="003D76E2" w:rsidP="003D76E2">
            <w:pPr>
              <w:pStyle w:val="NormalIndent"/>
              <w:spacing w:before="0" w:after="0" w:line="240" w:lineRule="auto"/>
              <w:ind w:left="0"/>
              <w:rPr>
                <w:rFonts w:eastAsia="Calibri" w:cs="Calibri"/>
                <w:b/>
                <w:bCs/>
                <w:iCs/>
              </w:rPr>
            </w:pPr>
            <w:bookmarkStart w:id="0" w:name="_Hlk150338733"/>
            <w:bookmarkStart w:id="1" w:name="_Hlk150338471"/>
            <w:r>
              <w:rPr>
                <w:rFonts w:cstheme="minorHAnsi"/>
                <w:b/>
                <w:bCs/>
                <w:iCs/>
                <w:color w:val="000000" w:themeColor="text1"/>
              </w:rPr>
              <w:t xml:space="preserve">Support for </w:t>
            </w:r>
            <w:r w:rsidRPr="00D55CCB">
              <w:rPr>
                <w:rFonts w:cstheme="minorHAnsi"/>
                <w:b/>
                <w:bCs/>
                <w:iCs/>
                <w:color w:val="000000" w:themeColor="text1"/>
              </w:rPr>
              <w:t xml:space="preserve">Students from </w:t>
            </w:r>
            <w:r>
              <w:rPr>
                <w:rFonts w:cstheme="minorHAnsi"/>
                <w:b/>
                <w:bCs/>
                <w:iCs/>
                <w:color w:val="000000" w:themeColor="text1"/>
              </w:rPr>
              <w:t>U</w:t>
            </w:r>
            <w:r w:rsidRPr="00D55CCB">
              <w:rPr>
                <w:rFonts w:cstheme="minorHAnsi"/>
                <w:b/>
                <w:bCs/>
                <w:iCs/>
                <w:color w:val="000000" w:themeColor="text1"/>
              </w:rPr>
              <w:t xml:space="preserve">nder-represented </w:t>
            </w:r>
            <w:r>
              <w:rPr>
                <w:rFonts w:cstheme="minorHAnsi"/>
                <w:b/>
                <w:bCs/>
                <w:iCs/>
                <w:color w:val="000000" w:themeColor="text1"/>
              </w:rPr>
              <w:t>B</w:t>
            </w:r>
            <w:r w:rsidRPr="00D55CCB">
              <w:rPr>
                <w:rFonts w:cstheme="minorHAnsi"/>
                <w:b/>
                <w:bCs/>
                <w:iCs/>
                <w:color w:val="000000" w:themeColor="text1"/>
              </w:rPr>
              <w:t>ackgrounds</w:t>
            </w:r>
            <w:r w:rsidRPr="00D55CCB">
              <w:rPr>
                <w:rFonts w:eastAsia="Calibri" w:cs="Calibri"/>
                <w:b/>
                <w:bCs/>
                <w:iCs/>
              </w:rPr>
              <w:t xml:space="preserve"> </w:t>
            </w:r>
          </w:p>
          <w:p w14:paraId="4EBE2A0F" w14:textId="68DB4F4B" w:rsidR="003D76E2" w:rsidRPr="00070D95" w:rsidRDefault="003D76E2" w:rsidP="003D76E2">
            <w:pPr>
              <w:pStyle w:val="NormalIndent"/>
              <w:spacing w:before="0" w:after="0" w:line="240" w:lineRule="auto"/>
              <w:ind w:left="0"/>
              <w:rPr>
                <w:rStyle w:val="Hyperlink"/>
                <w:rFonts w:eastAsia="Calibri" w:cs="Calibri"/>
                <w:iCs/>
              </w:rPr>
            </w:pPr>
            <w:r w:rsidRPr="007D7560">
              <w:rPr>
                <w:rFonts w:eastAsia="Calibri" w:cs="Calibri"/>
                <w:iCs/>
                <w:color w:val="000000" w:themeColor="text1"/>
              </w:rPr>
              <w:t>Bond University</w:t>
            </w:r>
            <w:r>
              <w:rPr>
                <w:rFonts w:eastAsia="Calibri" w:cs="Calibri"/>
                <w:iCs/>
                <w:color w:val="000000" w:themeColor="text1"/>
              </w:rPr>
              <w:t xml:space="preserve"> fosters a </w:t>
            </w:r>
            <w:hyperlink r:id="rId32" w:history="1">
              <w:r w:rsidRPr="003D76E2">
                <w:rPr>
                  <w:rStyle w:val="Hyperlink"/>
                  <w:rFonts w:eastAsia="Calibri" w:cs="Calibri"/>
                  <w:iCs/>
                </w:rPr>
                <w:t>welcoming and supportive</w:t>
              </w:r>
            </w:hyperlink>
            <w:r>
              <w:rPr>
                <w:rFonts w:eastAsia="Calibri" w:cs="Calibri"/>
                <w:iCs/>
                <w:color w:val="000000" w:themeColor="text1"/>
              </w:rPr>
              <w:t xml:space="preserve"> campus environment for all students. We are </w:t>
            </w:r>
            <w:r w:rsidRPr="007D7560">
              <w:rPr>
                <w:rFonts w:eastAsia="Calibri" w:cs="Calibri"/>
                <w:iCs/>
                <w:color w:val="000000" w:themeColor="text1"/>
              </w:rPr>
              <w:t xml:space="preserve">committed to the principles of </w:t>
            </w:r>
            <w:r>
              <w:rPr>
                <w:rFonts w:eastAsia="Calibri" w:cs="Calibri"/>
                <w:iCs/>
                <w:color w:val="000000" w:themeColor="text1"/>
              </w:rPr>
              <w:t>g</w:t>
            </w:r>
            <w:r w:rsidRPr="007D7560">
              <w:rPr>
                <w:rFonts w:eastAsia="Calibri" w:cs="Calibri"/>
                <w:iCs/>
                <w:color w:val="000000" w:themeColor="text1"/>
              </w:rPr>
              <w:t xml:space="preserve">ender </w:t>
            </w:r>
            <w:r>
              <w:rPr>
                <w:rFonts w:eastAsia="Calibri" w:cs="Calibri"/>
                <w:iCs/>
                <w:color w:val="000000" w:themeColor="text1"/>
              </w:rPr>
              <w:t>e</w:t>
            </w:r>
            <w:r w:rsidRPr="007D7560">
              <w:rPr>
                <w:rFonts w:eastAsia="Calibri" w:cs="Calibri"/>
                <w:iCs/>
                <w:color w:val="000000" w:themeColor="text1"/>
              </w:rPr>
              <w:t xml:space="preserve">quality, </w:t>
            </w:r>
            <w:r>
              <w:rPr>
                <w:rFonts w:eastAsia="Calibri" w:cs="Calibri"/>
                <w:iCs/>
                <w:color w:val="000000" w:themeColor="text1"/>
              </w:rPr>
              <w:t>e</w:t>
            </w:r>
            <w:r w:rsidRPr="007D7560">
              <w:rPr>
                <w:rFonts w:eastAsia="Calibri" w:cs="Calibri"/>
                <w:iCs/>
                <w:color w:val="000000" w:themeColor="text1"/>
              </w:rPr>
              <w:t xml:space="preserve">quity, </w:t>
            </w:r>
            <w:r>
              <w:rPr>
                <w:rFonts w:eastAsia="Calibri" w:cs="Calibri"/>
                <w:iCs/>
                <w:color w:val="000000" w:themeColor="text1"/>
              </w:rPr>
              <w:t>d</w:t>
            </w:r>
            <w:r w:rsidRPr="007D7560">
              <w:rPr>
                <w:rFonts w:eastAsia="Calibri" w:cs="Calibri"/>
                <w:iCs/>
                <w:color w:val="000000" w:themeColor="text1"/>
              </w:rPr>
              <w:t xml:space="preserve">iversity and </w:t>
            </w:r>
            <w:r>
              <w:rPr>
                <w:rFonts w:eastAsia="Calibri" w:cs="Calibri"/>
                <w:iCs/>
                <w:color w:val="000000" w:themeColor="text1"/>
              </w:rPr>
              <w:t>I</w:t>
            </w:r>
            <w:r w:rsidRPr="007D7560">
              <w:rPr>
                <w:rFonts w:eastAsia="Calibri" w:cs="Calibri"/>
                <w:iCs/>
                <w:color w:val="000000" w:themeColor="text1"/>
              </w:rPr>
              <w:t xml:space="preserve">ndigenous </w:t>
            </w:r>
            <w:r w:rsidRPr="00070D95">
              <w:rPr>
                <w:rFonts w:eastAsia="Calibri" w:cs="Calibri"/>
                <w:iCs/>
                <w:color w:val="000000" w:themeColor="text1"/>
              </w:rPr>
              <w:t>participation in education, employment and research. Details of our commitment are provided at:</w:t>
            </w:r>
            <w:r>
              <w:rPr>
                <w:rFonts w:eastAsia="Calibri" w:cs="Calibri"/>
                <w:iCs/>
                <w:color w:val="000000" w:themeColor="text1"/>
              </w:rPr>
              <w:t xml:space="preserve"> </w:t>
            </w:r>
            <w:hyperlink r:id="rId33" w:history="1">
              <w:r w:rsidRPr="003A6E01">
                <w:rPr>
                  <w:rStyle w:val="Hyperlink"/>
                  <w:rFonts w:eastAsia="Calibri"/>
                </w:rPr>
                <w:t>Supporting Diversity at Bond</w:t>
              </w:r>
            </w:hyperlink>
            <w:r>
              <w:rPr>
                <w:rFonts w:eastAsia="Calibri" w:cs="Calibri"/>
                <w:iCs/>
                <w:color w:val="000000" w:themeColor="text1"/>
              </w:rPr>
              <w:t xml:space="preserve">. </w:t>
            </w:r>
          </w:p>
          <w:p w14:paraId="70605AC3" w14:textId="77777777" w:rsidR="003D76E2" w:rsidRDefault="003D76E2" w:rsidP="003D76E2">
            <w:pPr>
              <w:pStyle w:val="NormalIndent"/>
              <w:spacing w:before="0" w:after="0" w:line="240" w:lineRule="auto"/>
              <w:ind w:left="0"/>
              <w:rPr>
                <w:rFonts w:eastAsia="Calibri" w:cs="Calibri"/>
                <w:iCs/>
                <w:color w:val="000000" w:themeColor="text1"/>
              </w:rPr>
            </w:pPr>
          </w:p>
          <w:p w14:paraId="3B86D876" w14:textId="77777777" w:rsidR="003D76E2" w:rsidRPr="00070D95" w:rsidRDefault="003D76E2" w:rsidP="003D76E2">
            <w:pPr>
              <w:pStyle w:val="NormalIndent"/>
              <w:spacing w:before="0" w:after="0" w:line="240" w:lineRule="auto"/>
              <w:ind w:left="0"/>
              <w:rPr>
                <w:rFonts w:eastAsia="Calibri" w:cs="Calibri"/>
                <w:iCs/>
                <w:color w:val="000000" w:themeColor="text1"/>
              </w:rPr>
            </w:pPr>
            <w:r w:rsidRPr="0050758F">
              <w:rPr>
                <w:rFonts w:eastAsia="Calibri" w:cs="Calibri"/>
                <w:iCs/>
                <w:color w:val="000000" w:themeColor="text1"/>
              </w:rPr>
              <w:t>The University offers</w:t>
            </w:r>
            <w:r>
              <w:rPr>
                <w:rFonts w:eastAsia="Calibri" w:cs="Calibri"/>
                <w:iCs/>
                <w:color w:val="000000" w:themeColor="text1"/>
              </w:rPr>
              <w:t xml:space="preserve"> a range of </w:t>
            </w:r>
            <w:hyperlink r:id="rId34" w:history="1">
              <w:r>
                <w:rPr>
                  <w:rStyle w:val="Hyperlink"/>
                  <w:rFonts w:eastAsia="Calibri" w:cs="Calibri"/>
                  <w:iCs/>
                </w:rPr>
                <w:t>Scholarships</w:t>
              </w:r>
            </w:hyperlink>
            <w:r w:rsidRPr="00070D95">
              <w:rPr>
                <w:rFonts w:eastAsia="Calibri" w:cs="Calibri"/>
                <w:iCs/>
                <w:color w:val="000000" w:themeColor="text1"/>
              </w:rPr>
              <w:t xml:space="preserve"> for students</w:t>
            </w:r>
            <w:r>
              <w:rPr>
                <w:rFonts w:eastAsia="Calibri" w:cs="Calibri"/>
                <w:iCs/>
                <w:color w:val="000000" w:themeColor="text1"/>
              </w:rPr>
              <w:t xml:space="preserve"> funded from a variety of private sources</w:t>
            </w:r>
            <w:r w:rsidRPr="00070D95">
              <w:rPr>
                <w:rFonts w:eastAsia="Calibri" w:cs="Calibri"/>
                <w:iCs/>
                <w:color w:val="000000" w:themeColor="text1"/>
              </w:rPr>
              <w:t>.</w:t>
            </w:r>
          </w:p>
          <w:p w14:paraId="3F2AF6D1" w14:textId="77777777" w:rsidR="003D76E2" w:rsidRDefault="003D76E2" w:rsidP="003D76E2">
            <w:pPr>
              <w:pStyle w:val="NormalIndent"/>
              <w:spacing w:before="0" w:after="0" w:line="240" w:lineRule="auto"/>
              <w:ind w:left="0"/>
              <w:rPr>
                <w:rFonts w:eastAsia="Calibri" w:cs="Calibri"/>
                <w:iCs/>
                <w:color w:val="000000" w:themeColor="text1"/>
              </w:rPr>
            </w:pPr>
          </w:p>
          <w:p w14:paraId="6E4B827F" w14:textId="77777777" w:rsidR="003D76E2" w:rsidRDefault="003D76E2" w:rsidP="003D76E2">
            <w:pPr>
              <w:pStyle w:val="NormalIndent"/>
              <w:spacing w:before="0" w:after="0" w:line="240" w:lineRule="auto"/>
              <w:ind w:left="0"/>
              <w:rPr>
                <w:rFonts w:eastAsia="Calibri" w:cs="Calibri"/>
                <w:iCs/>
                <w:color w:val="000000" w:themeColor="text1"/>
              </w:rPr>
            </w:pPr>
            <w:r w:rsidRPr="00070D95">
              <w:rPr>
                <w:rFonts w:eastAsia="Calibri" w:cs="Calibri"/>
                <w:iCs/>
                <w:color w:val="000000" w:themeColor="text1"/>
              </w:rPr>
              <w:t xml:space="preserve">Our </w:t>
            </w:r>
            <w:r>
              <w:rPr>
                <w:rFonts w:eastAsia="Calibri" w:cs="Calibri"/>
                <w:iCs/>
                <w:color w:val="000000" w:themeColor="text1"/>
              </w:rPr>
              <w:t xml:space="preserve">holistic </w:t>
            </w:r>
            <w:r w:rsidRPr="00070D95">
              <w:rPr>
                <w:rFonts w:eastAsia="Calibri" w:cs="Calibri"/>
                <w:iCs/>
                <w:color w:val="000000" w:themeColor="text1"/>
              </w:rPr>
              <w:t>and personalised approach</w:t>
            </w:r>
            <w:r>
              <w:rPr>
                <w:rFonts w:eastAsia="Calibri" w:cs="Calibri"/>
                <w:iCs/>
                <w:color w:val="000000" w:themeColor="text1"/>
              </w:rPr>
              <w:t xml:space="preserve"> to </w:t>
            </w:r>
            <w:hyperlink r:id="rId35" w:history="1">
              <w:r w:rsidRPr="00BB27C4">
                <w:rPr>
                  <w:rStyle w:val="Hyperlink"/>
                  <w:rFonts w:eastAsia="Calibri" w:cs="Calibri"/>
                  <w:iCs/>
                </w:rPr>
                <w:t>Supporting Student Success</w:t>
              </w:r>
            </w:hyperlink>
            <w:r w:rsidRPr="00070D95">
              <w:rPr>
                <w:rFonts w:eastAsia="Calibri" w:cs="Calibri"/>
                <w:iCs/>
                <w:color w:val="000000" w:themeColor="text1"/>
              </w:rPr>
              <w:t xml:space="preserve"> is well aligned to the challenges often faced by students from equity groups or disadvantaged backgrounds. Our objective is to expand educational pathways for all students. </w:t>
            </w:r>
            <w:r>
              <w:rPr>
                <w:rFonts w:eastAsia="Calibri" w:cs="Calibri"/>
                <w:iCs/>
                <w:color w:val="000000" w:themeColor="text1"/>
              </w:rPr>
              <w:t xml:space="preserve">Through close monitoring of individual student progress including at-risk identifiers, we </w:t>
            </w:r>
            <w:r w:rsidRPr="00070D95">
              <w:rPr>
                <w:rFonts w:eastAsia="Calibri" w:cs="Calibri"/>
                <w:iCs/>
                <w:color w:val="000000" w:themeColor="text1"/>
              </w:rPr>
              <w:t>track their</w:t>
            </w:r>
            <w:r>
              <w:rPr>
                <w:rFonts w:eastAsia="Calibri" w:cs="Calibri"/>
                <w:iCs/>
                <w:color w:val="000000" w:themeColor="text1"/>
              </w:rPr>
              <w:t xml:space="preserve"> university journey</w:t>
            </w:r>
            <w:r w:rsidRPr="00070D95">
              <w:rPr>
                <w:rFonts w:eastAsia="Calibri" w:cs="Calibri"/>
                <w:iCs/>
                <w:color w:val="000000" w:themeColor="text1"/>
              </w:rPr>
              <w:t xml:space="preserve"> </w:t>
            </w:r>
            <w:r>
              <w:rPr>
                <w:rFonts w:eastAsia="Calibri" w:cs="Calibri"/>
                <w:iCs/>
                <w:color w:val="000000" w:themeColor="text1"/>
              </w:rPr>
              <w:t xml:space="preserve">and are able to </w:t>
            </w:r>
            <w:r w:rsidRPr="00AF3DFD">
              <w:t>provid</w:t>
            </w:r>
            <w:r>
              <w:t>e</w:t>
            </w:r>
            <w:r w:rsidRPr="00AF3DFD">
              <w:t xml:space="preserve"> early intervention and connection to a range of </w:t>
            </w:r>
            <w:r>
              <w:t xml:space="preserve">support </w:t>
            </w:r>
            <w:r w:rsidRPr="005D4B98">
              <w:t>services</w:t>
            </w:r>
            <w:r>
              <w:t xml:space="preserve"> where needed</w:t>
            </w:r>
            <w:r w:rsidRPr="00AF3DFD">
              <w:t xml:space="preserve">. Review and intervention occur at </w:t>
            </w:r>
            <w:r>
              <w:t>regular</w:t>
            </w:r>
            <w:r w:rsidRPr="00AF3DFD">
              <w:t xml:space="preserve"> </w:t>
            </w:r>
            <w:r>
              <w:t>intervals</w:t>
            </w:r>
            <w:r w:rsidRPr="00AF3DFD">
              <w:t xml:space="preserve"> including </w:t>
            </w:r>
            <w:r>
              <w:t>a student’s</w:t>
            </w:r>
            <w:r w:rsidRPr="00AF3DFD">
              <w:t xml:space="preserve"> first study period (pre-census) and</w:t>
            </w:r>
            <w:r>
              <w:t xml:space="preserve"> </w:t>
            </w:r>
            <w:r w:rsidRPr="00AF3DFD">
              <w:t>subsequently at the end of each semester</w:t>
            </w:r>
            <w:r>
              <w:t xml:space="preserve">. In this way, we are working </w:t>
            </w:r>
            <w:r w:rsidRPr="00070D95">
              <w:rPr>
                <w:rFonts w:eastAsia="Calibri" w:cs="Calibri"/>
                <w:iCs/>
                <w:color w:val="000000" w:themeColor="text1"/>
              </w:rPr>
              <w:t xml:space="preserve">to align the retention and completion rates </w:t>
            </w:r>
            <w:r>
              <w:rPr>
                <w:rFonts w:eastAsia="Calibri" w:cs="Calibri"/>
                <w:iCs/>
                <w:color w:val="000000" w:themeColor="text1"/>
              </w:rPr>
              <w:t xml:space="preserve">for at-risk students </w:t>
            </w:r>
            <w:r w:rsidRPr="00070D95">
              <w:rPr>
                <w:rFonts w:eastAsia="Calibri" w:cs="Calibri"/>
                <w:iCs/>
                <w:color w:val="000000" w:themeColor="text1"/>
              </w:rPr>
              <w:t>with those of the overall student body.</w:t>
            </w:r>
          </w:p>
          <w:p w14:paraId="61DA226B" w14:textId="77777777" w:rsidR="003D76E2" w:rsidRDefault="003D76E2" w:rsidP="003D76E2">
            <w:pPr>
              <w:pStyle w:val="NormalIndent"/>
              <w:spacing w:before="0" w:after="0" w:line="240" w:lineRule="auto"/>
              <w:ind w:left="0"/>
              <w:rPr>
                <w:rFonts w:eastAsia="Calibri" w:cs="Calibri"/>
                <w:iCs/>
                <w:color w:val="000000" w:themeColor="text1"/>
              </w:rPr>
            </w:pPr>
          </w:p>
          <w:p w14:paraId="08674C73" w14:textId="77777777" w:rsidR="003D76E2" w:rsidRDefault="003D76E2" w:rsidP="003D76E2">
            <w:pPr>
              <w:pStyle w:val="NormalIndent"/>
              <w:spacing w:before="0" w:after="0" w:line="240" w:lineRule="auto"/>
              <w:ind w:left="0"/>
              <w:rPr>
                <w:rFonts w:eastAsia="Calibri" w:cs="Calibri"/>
                <w:iCs/>
                <w:color w:val="000000" w:themeColor="text1"/>
              </w:rPr>
            </w:pPr>
            <w:r>
              <w:rPr>
                <w:rFonts w:eastAsia="Calibri" w:cs="Calibri"/>
                <w:iCs/>
                <w:color w:val="000000" w:themeColor="text1"/>
              </w:rPr>
              <w:t>This personalised approach to student success includes support services tailored to the needs of specific student cohorts. For example:</w:t>
            </w:r>
          </w:p>
          <w:p w14:paraId="7DEC88A1" w14:textId="77777777" w:rsidR="003D76E2" w:rsidRDefault="003D76E2" w:rsidP="003D76E2">
            <w:pPr>
              <w:pStyle w:val="NormalIndent"/>
              <w:spacing w:before="0" w:after="0" w:line="240" w:lineRule="auto"/>
              <w:ind w:left="0"/>
              <w:rPr>
                <w:rFonts w:eastAsia="Calibri" w:cs="Calibri"/>
                <w:iCs/>
                <w:color w:val="000000" w:themeColor="text1"/>
              </w:rPr>
            </w:pPr>
          </w:p>
          <w:p w14:paraId="764272CF" w14:textId="77777777" w:rsidR="003D76E2" w:rsidRPr="00B84BF4" w:rsidRDefault="003D76E2" w:rsidP="003D76E2">
            <w:pPr>
              <w:pStyle w:val="NormalIndent"/>
              <w:numPr>
                <w:ilvl w:val="0"/>
                <w:numId w:val="20"/>
              </w:numPr>
              <w:spacing w:before="0" w:after="0" w:line="240" w:lineRule="auto"/>
              <w:ind w:left="447" w:hanging="447"/>
              <w:rPr>
                <w:rFonts w:cstheme="minorHAnsi"/>
                <w:b/>
                <w:bCs/>
                <w:i/>
                <w:color w:val="000000" w:themeColor="text1"/>
              </w:rPr>
            </w:pPr>
            <w:r w:rsidRPr="00B84BF4">
              <w:rPr>
                <w:rFonts w:cstheme="minorHAnsi"/>
                <w:b/>
                <w:bCs/>
                <w:i/>
                <w:color w:val="000000" w:themeColor="text1"/>
              </w:rPr>
              <w:t xml:space="preserve">First Nations students </w:t>
            </w:r>
          </w:p>
          <w:p w14:paraId="6E3B65CF" w14:textId="77777777" w:rsidR="003D76E2" w:rsidRDefault="003D76E2" w:rsidP="003D76E2">
            <w:pPr>
              <w:pStyle w:val="NormalIndent"/>
              <w:spacing w:before="0" w:after="0" w:line="240" w:lineRule="auto"/>
              <w:ind w:left="0"/>
              <w:rPr>
                <w:rFonts w:cstheme="minorHAnsi"/>
                <w:iCs/>
                <w:color w:val="000000" w:themeColor="text1"/>
              </w:rPr>
            </w:pPr>
            <w:r>
              <w:rPr>
                <w:rFonts w:cstheme="minorHAnsi"/>
                <w:iCs/>
                <w:color w:val="000000" w:themeColor="text1"/>
              </w:rPr>
              <w:t>Established in 2012, t</w:t>
            </w:r>
            <w:r w:rsidRPr="00070D95">
              <w:rPr>
                <w:rFonts w:cstheme="minorHAnsi"/>
                <w:iCs/>
                <w:color w:val="000000" w:themeColor="text1"/>
              </w:rPr>
              <w:t xml:space="preserve">he </w:t>
            </w:r>
            <w:hyperlink r:id="rId36" w:history="1">
              <w:r w:rsidRPr="002209FD">
                <w:rPr>
                  <w:rStyle w:val="Hyperlink"/>
                  <w:rFonts w:cstheme="minorHAnsi"/>
                  <w:iCs/>
                </w:rPr>
                <w:t>Nyombil Centre</w:t>
              </w:r>
            </w:hyperlink>
            <w:r w:rsidRPr="00070D95">
              <w:rPr>
                <w:rFonts w:cstheme="minorHAnsi"/>
                <w:iCs/>
                <w:color w:val="000000" w:themeColor="text1"/>
              </w:rPr>
              <w:t xml:space="preserve"> </w:t>
            </w:r>
            <w:r>
              <w:rPr>
                <w:rFonts w:cstheme="minorHAnsi"/>
                <w:iCs/>
                <w:color w:val="000000" w:themeColor="text1"/>
              </w:rPr>
              <w:t xml:space="preserve">offers </w:t>
            </w:r>
            <w:r w:rsidRPr="00070D95">
              <w:rPr>
                <w:rFonts w:cstheme="minorHAnsi"/>
                <w:iCs/>
                <w:color w:val="000000" w:themeColor="text1"/>
              </w:rPr>
              <w:t xml:space="preserve">holistic </w:t>
            </w:r>
            <w:hyperlink r:id="rId37" w:history="1">
              <w:r>
                <w:rPr>
                  <w:rStyle w:val="Hyperlink"/>
                </w:rPr>
                <w:t>Indigenous Student Support</w:t>
              </w:r>
            </w:hyperlink>
            <w:r>
              <w:t xml:space="preserve"> </w:t>
            </w:r>
            <w:r w:rsidRPr="00070D95">
              <w:rPr>
                <w:rFonts w:cstheme="minorHAnsi"/>
                <w:iCs/>
                <w:color w:val="000000" w:themeColor="text1"/>
              </w:rPr>
              <w:t xml:space="preserve">to our </w:t>
            </w:r>
            <w:r>
              <w:rPr>
                <w:rFonts w:cstheme="minorHAnsi"/>
                <w:iCs/>
                <w:color w:val="000000" w:themeColor="text1"/>
              </w:rPr>
              <w:t>F</w:t>
            </w:r>
            <w:r>
              <w:rPr>
                <w:color w:val="000000" w:themeColor="text1"/>
              </w:rPr>
              <w:t xml:space="preserve">irst Nations </w:t>
            </w:r>
            <w:r w:rsidRPr="00070D95">
              <w:rPr>
                <w:rFonts w:cstheme="minorHAnsi"/>
                <w:iCs/>
                <w:color w:val="000000" w:themeColor="text1"/>
              </w:rPr>
              <w:t>students</w:t>
            </w:r>
            <w:r>
              <w:rPr>
                <w:rFonts w:cstheme="minorHAnsi"/>
                <w:iCs/>
                <w:color w:val="000000" w:themeColor="text1"/>
              </w:rPr>
              <w:t>.</w:t>
            </w:r>
            <w:r w:rsidRPr="00070D95">
              <w:rPr>
                <w:rFonts w:cstheme="minorHAnsi"/>
                <w:iCs/>
                <w:color w:val="000000" w:themeColor="text1"/>
              </w:rPr>
              <w:t xml:space="preserve"> </w:t>
            </w:r>
            <w:r>
              <w:rPr>
                <w:rFonts w:cstheme="minorHAnsi"/>
                <w:iCs/>
                <w:color w:val="000000" w:themeColor="text1"/>
              </w:rPr>
              <w:t xml:space="preserve">This is premised </w:t>
            </w:r>
            <w:r w:rsidRPr="00070D95">
              <w:rPr>
                <w:rFonts w:cstheme="minorHAnsi"/>
                <w:iCs/>
                <w:color w:val="000000" w:themeColor="text1"/>
              </w:rPr>
              <w:t xml:space="preserve">on providing a culturally safe learning environment where our Aboriginal and Torres Strait Islander students can thrive academically and develop their employability skills. </w:t>
            </w:r>
          </w:p>
          <w:p w14:paraId="77BDA4B7" w14:textId="77777777" w:rsidR="003D76E2" w:rsidRDefault="003D76E2" w:rsidP="003D76E2">
            <w:pPr>
              <w:pStyle w:val="NormalIndent"/>
              <w:spacing w:before="0" w:after="0" w:line="240" w:lineRule="auto"/>
              <w:ind w:left="0"/>
              <w:rPr>
                <w:rFonts w:cstheme="minorHAnsi"/>
                <w:iCs/>
                <w:color w:val="000000" w:themeColor="text1"/>
              </w:rPr>
            </w:pPr>
          </w:p>
          <w:p w14:paraId="4164FDB0" w14:textId="77777777" w:rsidR="003D76E2" w:rsidRPr="00070D95" w:rsidRDefault="003D76E2" w:rsidP="003D76E2">
            <w:pPr>
              <w:pStyle w:val="NormalIndent"/>
              <w:spacing w:before="0" w:after="0" w:line="240" w:lineRule="auto"/>
              <w:ind w:left="0"/>
              <w:rPr>
                <w:rFonts w:cstheme="minorHAnsi"/>
                <w:iCs/>
                <w:color w:val="000000" w:themeColor="text1"/>
              </w:rPr>
            </w:pPr>
            <w:r w:rsidRPr="00070D95">
              <w:rPr>
                <w:rFonts w:cstheme="minorHAnsi"/>
                <w:iCs/>
                <w:color w:val="000000" w:themeColor="text1"/>
              </w:rPr>
              <w:t xml:space="preserve">Bond’s </w:t>
            </w:r>
            <w:r>
              <w:rPr>
                <w:rFonts w:cstheme="minorHAnsi"/>
                <w:iCs/>
                <w:color w:val="000000" w:themeColor="text1"/>
              </w:rPr>
              <w:t>F</w:t>
            </w:r>
            <w:r>
              <w:rPr>
                <w:color w:val="000000" w:themeColor="text1"/>
              </w:rPr>
              <w:t xml:space="preserve">irst Nations </w:t>
            </w:r>
            <w:r w:rsidRPr="00070D95">
              <w:rPr>
                <w:rFonts w:cstheme="minorHAnsi"/>
                <w:iCs/>
                <w:color w:val="000000" w:themeColor="text1"/>
              </w:rPr>
              <w:t xml:space="preserve">student population has grown to represent </w:t>
            </w:r>
            <w:r>
              <w:rPr>
                <w:rFonts w:cstheme="minorHAnsi"/>
                <w:iCs/>
                <w:color w:val="000000" w:themeColor="text1"/>
              </w:rPr>
              <w:t>1.9%</w:t>
            </w:r>
            <w:r w:rsidRPr="005D4B98">
              <w:rPr>
                <w:rFonts w:cstheme="minorHAnsi"/>
                <w:iCs/>
                <w:color w:val="000000" w:themeColor="text1"/>
              </w:rPr>
              <w:t xml:space="preserve"> of our domestic student population, </w:t>
            </w:r>
            <w:r>
              <w:rPr>
                <w:rFonts w:cstheme="minorHAnsi"/>
                <w:iCs/>
                <w:color w:val="000000" w:themeColor="text1"/>
              </w:rPr>
              <w:t>42%</w:t>
            </w:r>
            <w:r w:rsidRPr="005D4B98">
              <w:rPr>
                <w:rFonts w:cstheme="minorHAnsi"/>
                <w:iCs/>
                <w:color w:val="000000" w:themeColor="text1"/>
              </w:rPr>
              <w:t xml:space="preserve"> of whom are supported by scholarships (</w:t>
            </w:r>
            <w:r w:rsidRPr="00D168A8">
              <w:rPr>
                <w:rFonts w:cstheme="minorHAnsi"/>
                <w:iCs/>
                <w:color w:val="000000" w:themeColor="text1"/>
              </w:rPr>
              <w:t>202</w:t>
            </w:r>
            <w:r>
              <w:rPr>
                <w:rFonts w:cstheme="minorHAnsi"/>
                <w:iCs/>
                <w:color w:val="000000" w:themeColor="text1"/>
              </w:rPr>
              <w:t>4</w:t>
            </w:r>
            <w:r w:rsidRPr="005D4B98">
              <w:rPr>
                <w:rFonts w:cstheme="minorHAnsi"/>
                <w:iCs/>
                <w:color w:val="000000" w:themeColor="text1"/>
              </w:rPr>
              <w:t xml:space="preserve"> data). The success rate achieved by our </w:t>
            </w:r>
            <w:r>
              <w:rPr>
                <w:rFonts w:cstheme="minorHAnsi"/>
                <w:iCs/>
                <w:color w:val="000000" w:themeColor="text1"/>
              </w:rPr>
              <w:t>F</w:t>
            </w:r>
            <w:r>
              <w:rPr>
                <w:color w:val="000000" w:themeColor="text1"/>
              </w:rPr>
              <w:t xml:space="preserve">irst Nations </w:t>
            </w:r>
            <w:r w:rsidRPr="005D4B98">
              <w:rPr>
                <w:rFonts w:cstheme="minorHAnsi"/>
                <w:iCs/>
                <w:color w:val="000000" w:themeColor="text1"/>
              </w:rPr>
              <w:t>students is, at 87.</w:t>
            </w:r>
            <w:r>
              <w:rPr>
                <w:rFonts w:cstheme="minorHAnsi"/>
                <w:iCs/>
                <w:color w:val="000000" w:themeColor="text1"/>
              </w:rPr>
              <w:t>9</w:t>
            </w:r>
            <w:r w:rsidRPr="005D4B98">
              <w:rPr>
                <w:rFonts w:cstheme="minorHAnsi"/>
                <w:iCs/>
                <w:color w:val="000000" w:themeColor="text1"/>
              </w:rPr>
              <w:t xml:space="preserve">%, well above the sector average of </w:t>
            </w:r>
            <w:r>
              <w:rPr>
                <w:rFonts w:cstheme="minorHAnsi"/>
                <w:iCs/>
                <w:color w:val="000000" w:themeColor="text1"/>
              </w:rPr>
              <w:t>73.4%</w:t>
            </w:r>
            <w:r w:rsidRPr="005D4B98">
              <w:rPr>
                <w:rFonts w:cstheme="minorHAnsi"/>
                <w:iCs/>
                <w:color w:val="000000" w:themeColor="text1"/>
              </w:rPr>
              <w:t xml:space="preserve"> (2024 data).</w:t>
            </w:r>
            <w:r w:rsidRPr="00070D95" w:rsidDel="004733B6">
              <w:rPr>
                <w:rFonts w:cstheme="minorHAnsi"/>
                <w:iCs/>
                <w:color w:val="000000" w:themeColor="text1"/>
              </w:rPr>
              <w:t xml:space="preserve"> </w:t>
            </w:r>
          </w:p>
          <w:p w14:paraId="5A65107E" w14:textId="77777777" w:rsidR="003D76E2" w:rsidRPr="00070D95" w:rsidRDefault="003D76E2" w:rsidP="003D76E2">
            <w:pPr>
              <w:pStyle w:val="NormalIndent"/>
              <w:spacing w:before="0" w:after="0" w:line="240" w:lineRule="auto"/>
              <w:ind w:left="0"/>
              <w:rPr>
                <w:rFonts w:eastAsia="Calibri" w:cs="Calibri"/>
                <w:iCs/>
                <w:color w:val="000000" w:themeColor="text1"/>
              </w:rPr>
            </w:pPr>
          </w:p>
          <w:p w14:paraId="72369D85" w14:textId="77777777" w:rsidR="003D76E2" w:rsidRPr="00B84BF4" w:rsidRDefault="003D76E2" w:rsidP="003D76E2">
            <w:pPr>
              <w:pStyle w:val="NormalIndent"/>
              <w:numPr>
                <w:ilvl w:val="0"/>
                <w:numId w:val="20"/>
              </w:numPr>
              <w:spacing w:before="0" w:after="0" w:line="240" w:lineRule="auto"/>
              <w:ind w:left="447" w:hanging="447"/>
              <w:rPr>
                <w:rFonts w:eastAsia="Calibri" w:cs="Calibri"/>
                <w:b/>
                <w:bCs/>
                <w:i/>
                <w:color w:val="000000" w:themeColor="text1"/>
              </w:rPr>
            </w:pPr>
            <w:r w:rsidRPr="00B84BF4">
              <w:rPr>
                <w:rFonts w:eastAsia="Calibri" w:cs="Calibri"/>
                <w:b/>
                <w:bCs/>
                <w:i/>
                <w:color w:val="000000" w:themeColor="text1"/>
              </w:rPr>
              <w:t>Students with disability</w:t>
            </w:r>
          </w:p>
          <w:p w14:paraId="3445D8CD" w14:textId="1F815831" w:rsidR="003D76E2" w:rsidRDefault="003D76E2" w:rsidP="003D76E2">
            <w:pPr>
              <w:pStyle w:val="NormalIndent"/>
              <w:spacing w:before="0" w:after="0" w:line="240" w:lineRule="auto"/>
              <w:ind w:left="0"/>
              <w:rPr>
                <w:rFonts w:eastAsia="Calibri" w:cs="Calibri"/>
                <w:iCs/>
                <w:color w:val="000000" w:themeColor="text1"/>
              </w:rPr>
            </w:pPr>
            <w:r w:rsidRPr="00070D95">
              <w:rPr>
                <w:rFonts w:eastAsia="Calibri" w:cs="Calibri"/>
                <w:iCs/>
                <w:color w:val="000000" w:themeColor="text1"/>
              </w:rPr>
              <w:t xml:space="preserve">Bond </w:t>
            </w:r>
            <w:r w:rsidRPr="004B7F03">
              <w:rPr>
                <w:rFonts w:eastAsia="Calibri" w:cs="Calibri"/>
                <w:iCs/>
                <w:color w:val="000000" w:themeColor="text1"/>
              </w:rPr>
              <w:t xml:space="preserve">University does not receive government funding to support </w:t>
            </w:r>
            <w:r w:rsidR="00BA4412">
              <w:rPr>
                <w:rFonts w:eastAsia="Calibri" w:cs="Calibri"/>
                <w:iCs/>
                <w:color w:val="000000" w:themeColor="text1"/>
              </w:rPr>
              <w:t>students with a disability</w:t>
            </w:r>
            <w:r w:rsidRPr="004B7F03">
              <w:rPr>
                <w:rFonts w:eastAsia="Calibri" w:cs="Calibri"/>
                <w:iCs/>
                <w:color w:val="000000" w:themeColor="text1"/>
              </w:rPr>
              <w:t xml:space="preserve">. Nevertheless, the University is committed to facilitating </w:t>
            </w:r>
            <w:hyperlink r:id="rId38" w:history="1">
              <w:r w:rsidRPr="004B7F03">
                <w:rPr>
                  <w:rStyle w:val="Hyperlink"/>
                  <w:rFonts w:eastAsia="Calibri" w:cs="Calibri"/>
                  <w:iCs/>
                </w:rPr>
                <w:t>Accessibility and Inclusion</w:t>
              </w:r>
            </w:hyperlink>
            <w:r w:rsidRPr="004B7F03">
              <w:rPr>
                <w:rFonts w:eastAsia="Calibri" w:cs="Calibri"/>
                <w:iCs/>
                <w:color w:val="000000" w:themeColor="text1"/>
              </w:rPr>
              <w:t xml:space="preserve"> on campus, so that students</w:t>
            </w:r>
            <w:r w:rsidRPr="00070D95">
              <w:rPr>
                <w:rFonts w:eastAsia="Calibri" w:cs="Calibri"/>
                <w:iCs/>
                <w:color w:val="000000" w:themeColor="text1"/>
              </w:rPr>
              <w:t xml:space="preserve"> with disabilities </w:t>
            </w:r>
            <w:r>
              <w:rPr>
                <w:rFonts w:eastAsia="Calibri" w:cs="Calibri"/>
                <w:iCs/>
                <w:color w:val="000000" w:themeColor="text1"/>
              </w:rPr>
              <w:t xml:space="preserve">have </w:t>
            </w:r>
            <w:r w:rsidRPr="00070D95">
              <w:rPr>
                <w:rFonts w:eastAsia="Calibri" w:cs="Calibri"/>
                <w:iCs/>
                <w:color w:val="000000" w:themeColor="text1"/>
              </w:rPr>
              <w:t xml:space="preserve">access to personalised, flexible </w:t>
            </w:r>
            <w:r>
              <w:rPr>
                <w:rFonts w:eastAsia="Calibri" w:cs="Calibri"/>
                <w:iCs/>
                <w:color w:val="000000" w:themeColor="text1"/>
              </w:rPr>
              <w:t xml:space="preserve">and </w:t>
            </w:r>
            <w:r w:rsidRPr="00070D95">
              <w:rPr>
                <w:rFonts w:eastAsia="Calibri" w:cs="Calibri"/>
                <w:iCs/>
                <w:color w:val="000000" w:themeColor="text1"/>
              </w:rPr>
              <w:t xml:space="preserve">well-supported learning opportunities. </w:t>
            </w:r>
          </w:p>
          <w:p w14:paraId="769AF015" w14:textId="77777777" w:rsidR="003D76E2" w:rsidRPr="00070D95" w:rsidRDefault="003D76E2" w:rsidP="003D76E2">
            <w:pPr>
              <w:pStyle w:val="NormalIndent"/>
              <w:spacing w:before="0" w:after="0" w:line="240" w:lineRule="auto"/>
              <w:ind w:left="0"/>
              <w:rPr>
                <w:rFonts w:eastAsia="Calibri" w:cs="Calibri"/>
                <w:iCs/>
                <w:color w:val="000000" w:themeColor="text1"/>
              </w:rPr>
            </w:pPr>
          </w:p>
          <w:p w14:paraId="30F95E00" w14:textId="2418798D" w:rsidR="003D76E2" w:rsidRPr="00F03A1E" w:rsidRDefault="003D76E2" w:rsidP="003D76E2">
            <w:pPr>
              <w:pStyle w:val="NormalIndent"/>
              <w:spacing w:before="0" w:after="0" w:line="240" w:lineRule="auto"/>
              <w:ind w:left="0"/>
              <w:rPr>
                <w:rFonts w:cstheme="minorHAnsi"/>
                <w:iCs/>
                <w:color w:val="000000" w:themeColor="text1"/>
              </w:rPr>
            </w:pPr>
            <w:r w:rsidRPr="00070D95">
              <w:rPr>
                <w:rFonts w:eastAsia="Calibri" w:cs="Calibri"/>
                <w:iCs/>
              </w:rPr>
              <w:t xml:space="preserve">Bond’s </w:t>
            </w:r>
            <w:hyperlink r:id="rId39" w:history="1">
              <w:r w:rsidRPr="00070D95">
                <w:rPr>
                  <w:rStyle w:val="Hyperlink"/>
                  <w:rFonts w:eastAsia="Calibri" w:cs="Calibri"/>
                  <w:iCs/>
                </w:rPr>
                <w:t>Accessibility and Inclusion Policy</w:t>
              </w:r>
            </w:hyperlink>
            <w:r w:rsidRPr="00070D95">
              <w:rPr>
                <w:rFonts w:eastAsia="Calibri" w:cs="Calibri"/>
                <w:iCs/>
              </w:rPr>
              <w:t xml:space="preserve"> </w:t>
            </w:r>
            <w:r w:rsidR="002D52B4">
              <w:rPr>
                <w:rFonts w:eastAsia="Calibri" w:cs="Calibri"/>
                <w:iCs/>
                <w:color w:val="000000" w:themeColor="text1"/>
              </w:rPr>
              <w:t xml:space="preserve">provides a framework </w:t>
            </w:r>
            <w:r w:rsidR="00FD3EED">
              <w:rPr>
                <w:rFonts w:eastAsia="Calibri" w:cs="Calibri"/>
                <w:iCs/>
                <w:color w:val="000000" w:themeColor="text1"/>
              </w:rPr>
              <w:t>for delivering tailored support and solutions that respond</w:t>
            </w:r>
            <w:r w:rsidR="005E4BFD">
              <w:rPr>
                <w:rFonts w:eastAsia="Calibri" w:cs="Calibri"/>
                <w:iCs/>
                <w:color w:val="000000" w:themeColor="text1"/>
              </w:rPr>
              <w:t>s</w:t>
            </w:r>
            <w:r w:rsidR="00FD3EED">
              <w:rPr>
                <w:rFonts w:eastAsia="Calibri" w:cs="Calibri"/>
                <w:iCs/>
                <w:color w:val="000000" w:themeColor="text1"/>
              </w:rPr>
              <w:t xml:space="preserve"> to individual needs.</w:t>
            </w:r>
            <w:r w:rsidRPr="00070D95">
              <w:rPr>
                <w:rFonts w:eastAsia="Calibri" w:cs="Calibri"/>
                <w:iCs/>
                <w:color w:val="000000" w:themeColor="text1"/>
              </w:rPr>
              <w:t xml:space="preserve">. It outlines </w:t>
            </w:r>
            <w:r>
              <w:rPr>
                <w:rFonts w:eastAsia="Calibri" w:cs="Calibri"/>
                <w:iCs/>
                <w:color w:val="000000" w:themeColor="text1"/>
              </w:rPr>
              <w:t>the processes for</w:t>
            </w:r>
            <w:r w:rsidRPr="00070D95">
              <w:rPr>
                <w:rFonts w:eastAsia="Calibri" w:cs="Calibri"/>
                <w:iCs/>
                <w:color w:val="000000" w:themeColor="text1"/>
              </w:rPr>
              <w:t xml:space="preserve"> ensur</w:t>
            </w:r>
            <w:r>
              <w:rPr>
                <w:rFonts w:eastAsia="Calibri" w:cs="Calibri"/>
                <w:iCs/>
                <w:color w:val="000000" w:themeColor="text1"/>
              </w:rPr>
              <w:t>ing</w:t>
            </w:r>
            <w:r w:rsidRPr="00070D95">
              <w:rPr>
                <w:rFonts w:eastAsia="Calibri" w:cs="Calibri"/>
                <w:iCs/>
                <w:color w:val="000000" w:themeColor="text1"/>
              </w:rPr>
              <w:t xml:space="preserve"> that students with disabilities</w:t>
            </w:r>
            <w:r>
              <w:rPr>
                <w:rFonts w:eastAsia="Calibri" w:cs="Calibri"/>
                <w:iCs/>
                <w:color w:val="000000" w:themeColor="text1"/>
              </w:rPr>
              <w:t xml:space="preserve"> and health conditions</w:t>
            </w:r>
            <w:r w:rsidRPr="00070D95">
              <w:rPr>
                <w:rFonts w:eastAsia="Calibri" w:cs="Calibri"/>
                <w:iCs/>
                <w:color w:val="000000" w:themeColor="text1"/>
              </w:rPr>
              <w:t xml:space="preserve"> </w:t>
            </w:r>
            <w:r>
              <w:rPr>
                <w:rFonts w:eastAsia="Calibri" w:cs="Calibri"/>
                <w:iCs/>
                <w:color w:val="000000" w:themeColor="text1"/>
              </w:rPr>
              <w:t>are provided with reasonable accommodations and adjustments to ensure they can access, engage with, and progress in their</w:t>
            </w:r>
            <w:r w:rsidRPr="00070D95">
              <w:rPr>
                <w:rFonts w:eastAsia="Calibri" w:cs="Calibri"/>
                <w:iCs/>
                <w:color w:val="000000" w:themeColor="text1"/>
              </w:rPr>
              <w:t xml:space="preserve"> university </w:t>
            </w:r>
            <w:r>
              <w:rPr>
                <w:rFonts w:eastAsia="Calibri" w:cs="Calibri"/>
                <w:iCs/>
                <w:color w:val="000000" w:themeColor="text1"/>
              </w:rPr>
              <w:t xml:space="preserve">studies and participate in broader campus life </w:t>
            </w:r>
            <w:r w:rsidRPr="00070D95">
              <w:rPr>
                <w:rFonts w:eastAsia="Calibri" w:cs="Calibri"/>
                <w:iCs/>
                <w:color w:val="000000" w:themeColor="text1"/>
              </w:rPr>
              <w:t>on an equitable basis.</w:t>
            </w:r>
          </w:p>
          <w:bookmarkEnd w:id="0"/>
          <w:bookmarkEnd w:id="1"/>
          <w:p w14:paraId="22B87A46" w14:textId="77777777" w:rsidR="001B109C" w:rsidRDefault="001B109C" w:rsidP="003D76E2">
            <w:pPr>
              <w:pStyle w:val="NormalIndent"/>
              <w:spacing w:before="0" w:after="0"/>
              <w:ind w:left="0"/>
            </w:pPr>
          </w:p>
        </w:tc>
      </w:tr>
      <w:tr w:rsidR="001B109C" w:rsidRPr="00E41388" w14:paraId="39ADE404" w14:textId="77777777" w:rsidTr="6DCF43EC">
        <w:trPr>
          <w:cantSplit/>
        </w:trPr>
        <w:tc>
          <w:tcPr>
            <w:tcW w:w="5000" w:type="pct"/>
          </w:tcPr>
          <w:p w14:paraId="43316561" w14:textId="77777777" w:rsidR="001B109C" w:rsidRDefault="001B109C" w:rsidP="00F30BFA">
            <w:pPr>
              <w:pStyle w:val="Heading4"/>
              <w:keepLines w:val="0"/>
              <w:spacing w:before="180" w:after="60"/>
            </w:pPr>
            <w:r>
              <w:lastRenderedPageBreak/>
              <w:t xml:space="preserve">Strategies for </w:t>
            </w:r>
            <w:r w:rsidR="00F30BFA">
              <w:t>Improving T</w:t>
            </w:r>
            <w:r w:rsidRPr="00E169EE">
              <w:t xml:space="preserve">eaching and </w:t>
            </w:r>
            <w:r w:rsidR="00F30BFA">
              <w:t>L</w:t>
            </w:r>
            <w:r w:rsidRPr="00E169EE">
              <w:t>earning</w:t>
            </w:r>
          </w:p>
          <w:p w14:paraId="0DCA249F" w14:textId="77777777" w:rsidR="003D76E2" w:rsidRDefault="003D76E2" w:rsidP="003D76E2">
            <w:pPr>
              <w:spacing w:after="0"/>
              <w:rPr>
                <w:b/>
                <w:bCs/>
              </w:rPr>
            </w:pPr>
            <w:r w:rsidRPr="005B1F48">
              <w:rPr>
                <w:b/>
                <w:bCs/>
              </w:rPr>
              <w:t>Admissions Transparency</w:t>
            </w:r>
          </w:p>
          <w:p w14:paraId="1EEB9ACA" w14:textId="247B29A6" w:rsidR="003D76E2" w:rsidRDefault="003D76E2" w:rsidP="003D76E2">
            <w:pPr>
              <w:spacing w:after="0"/>
            </w:pPr>
            <w:hyperlink r:id="rId40" w:history="1">
              <w:r w:rsidRPr="00BF3D20">
                <w:rPr>
                  <w:rStyle w:val="Hyperlink"/>
                </w:rPr>
                <w:t>Entry requirements</w:t>
              </w:r>
            </w:hyperlink>
            <w:r>
              <w:t xml:space="preserve">, </w:t>
            </w:r>
            <w:hyperlink r:id="rId41" w:history="1">
              <w:r w:rsidR="00EF0D4C">
                <w:rPr>
                  <w:rStyle w:val="Hyperlink"/>
                </w:rPr>
                <w:t>credit</w:t>
              </w:r>
            </w:hyperlink>
            <w:r>
              <w:t xml:space="preserve"> eligibility information, and specific admissions criteria (including student and ATAR profiles) relating to Bond University's </w:t>
            </w:r>
            <w:hyperlink r:id="rId42" w:history="1">
              <w:r w:rsidRPr="00401C65">
                <w:rPr>
                  <w:rStyle w:val="Hyperlink"/>
                </w:rPr>
                <w:t>undergraduate</w:t>
              </w:r>
            </w:hyperlink>
            <w:r>
              <w:t xml:space="preserve"> and </w:t>
            </w:r>
            <w:hyperlink r:id="rId43" w:history="1">
              <w:r w:rsidRPr="00401C65">
                <w:rPr>
                  <w:rStyle w:val="Hyperlink"/>
                </w:rPr>
                <w:t>postgraduate</w:t>
              </w:r>
            </w:hyperlink>
            <w:r>
              <w:t xml:space="preserve"> programs are published on the University website. </w:t>
            </w:r>
          </w:p>
          <w:p w14:paraId="4F9E059B" w14:textId="77777777" w:rsidR="003D76E2" w:rsidRDefault="003D76E2" w:rsidP="003D76E2">
            <w:pPr>
              <w:spacing w:after="0"/>
            </w:pPr>
          </w:p>
          <w:p w14:paraId="7C49FD6C" w14:textId="77777777" w:rsidR="003D76E2" w:rsidRPr="003E1437" w:rsidRDefault="003D76E2" w:rsidP="003D76E2">
            <w:pPr>
              <w:spacing w:after="0"/>
              <w:rPr>
                <w:b/>
                <w:bCs/>
              </w:rPr>
            </w:pPr>
            <w:r w:rsidRPr="003E1437">
              <w:rPr>
                <w:b/>
                <w:bCs/>
              </w:rPr>
              <w:t>Teaching Quality</w:t>
            </w:r>
          </w:p>
          <w:p w14:paraId="3D8C0A93" w14:textId="77777777" w:rsidR="003D76E2" w:rsidRDefault="003D76E2" w:rsidP="003D76E2">
            <w:pPr>
              <w:spacing w:after="0"/>
              <w:contextualSpacing/>
            </w:pPr>
            <w:r>
              <w:t xml:space="preserve">Bond’s </w:t>
            </w:r>
            <w:r w:rsidRPr="00AF3DFD">
              <w:t xml:space="preserve">high expectations for </w:t>
            </w:r>
            <w:r w:rsidRPr="00C71E27">
              <w:t>teaching quality</w:t>
            </w:r>
            <w:r w:rsidRPr="00AF3DFD">
              <w:t xml:space="preserve"> are supported by specialist teams dedicated to coaching, mentoring, building and sustaining institutional capacity in </w:t>
            </w:r>
            <w:r>
              <w:t>l</w:t>
            </w:r>
            <w:r w:rsidRPr="00614698">
              <w:t xml:space="preserve">earning and </w:t>
            </w:r>
            <w:r>
              <w:t>t</w:t>
            </w:r>
            <w:r w:rsidRPr="00614698">
              <w:t>eaching</w:t>
            </w:r>
            <w:r w:rsidRPr="00AF3DFD">
              <w:t>.</w:t>
            </w:r>
            <w:r>
              <w:t xml:space="preserve"> The</w:t>
            </w:r>
            <w:r w:rsidRPr="00DC26CD">
              <w:t xml:space="preserve"> University </w:t>
            </w:r>
            <w:r>
              <w:t xml:space="preserve">provides </w:t>
            </w:r>
            <w:r w:rsidRPr="004B370D">
              <w:t>development opportunities, resources and monitored performance metrics for academic staff to ensure that high standards are maintained</w:t>
            </w:r>
            <w:r w:rsidRPr="00DC26CD">
              <w:t>.</w:t>
            </w:r>
          </w:p>
          <w:p w14:paraId="407E8A6F" w14:textId="77777777" w:rsidR="003D76E2" w:rsidRDefault="003D76E2" w:rsidP="003D76E2">
            <w:pPr>
              <w:spacing w:after="0"/>
              <w:contextualSpacing/>
            </w:pPr>
          </w:p>
          <w:p w14:paraId="5191A6C7" w14:textId="77777777" w:rsidR="003D76E2" w:rsidRDefault="003D76E2" w:rsidP="003D76E2">
            <w:pPr>
              <w:spacing w:after="0"/>
            </w:pPr>
            <w:r>
              <w:t xml:space="preserve">Our </w:t>
            </w:r>
            <w:r w:rsidRPr="00AF3DFD">
              <w:t xml:space="preserve">Learning </w:t>
            </w:r>
            <w:r>
              <w:t xml:space="preserve">and Teaching </w:t>
            </w:r>
            <w:r w:rsidRPr="00AF3DFD">
              <w:t>Plan</w:t>
            </w:r>
            <w:r>
              <w:t xml:space="preserve"> 2023-2027</w:t>
            </w:r>
            <w:r w:rsidRPr="00AF3DFD">
              <w:t xml:space="preserve"> is aligned to the</w:t>
            </w:r>
            <w:r>
              <w:t xml:space="preserve"> current</w:t>
            </w:r>
            <w:r w:rsidRPr="00AF3DFD">
              <w:t xml:space="preserve"> </w:t>
            </w:r>
            <w:hyperlink r:id="rId44" w:history="1">
              <w:r w:rsidRPr="00220B1B">
                <w:rPr>
                  <w:rStyle w:val="Hyperlink"/>
                </w:rPr>
                <w:t>Strategic Plan</w:t>
              </w:r>
            </w:hyperlink>
            <w:r>
              <w:t xml:space="preserve"> and focuses on:</w:t>
            </w:r>
          </w:p>
          <w:p w14:paraId="5BB8140E" w14:textId="77777777" w:rsidR="003D76E2" w:rsidRDefault="003D76E2" w:rsidP="003D76E2">
            <w:pPr>
              <w:spacing w:after="0"/>
            </w:pPr>
          </w:p>
          <w:p w14:paraId="39B8C8E2" w14:textId="77777777" w:rsidR="001D30F0" w:rsidRPr="004135AC" w:rsidRDefault="001D30F0" w:rsidP="001D30F0">
            <w:pPr>
              <w:pStyle w:val="ListParagraph"/>
              <w:numPr>
                <w:ilvl w:val="1"/>
                <w:numId w:val="22"/>
              </w:numPr>
              <w:spacing w:after="0" w:line="240" w:lineRule="auto"/>
              <w:ind w:left="447" w:hanging="447"/>
              <w:rPr>
                <w:b/>
                <w:bCs/>
              </w:rPr>
            </w:pPr>
            <w:r>
              <w:rPr>
                <w:b/>
                <w:bCs/>
                <w:i/>
                <w:iCs/>
              </w:rPr>
              <w:t>Ensuring a</w:t>
            </w:r>
            <w:r w:rsidRPr="004167BC">
              <w:rPr>
                <w:b/>
                <w:bCs/>
                <w:i/>
                <w:iCs/>
              </w:rPr>
              <w:t xml:space="preserve">uthentic learning experiences and assessment </w:t>
            </w:r>
          </w:p>
          <w:p w14:paraId="00FF6617" w14:textId="01BAC973" w:rsidR="001D30F0" w:rsidRPr="00AF3DFD" w:rsidRDefault="001D30F0" w:rsidP="001D30F0">
            <w:r w:rsidRPr="004B7F03">
              <w:t xml:space="preserve">Bond is committed to excellence in our approach to </w:t>
            </w:r>
            <w:hyperlink r:id="rId45" w:history="1">
              <w:r w:rsidR="00F54386">
                <w:rPr>
                  <w:rStyle w:val="Hyperlink"/>
                </w:rPr>
                <w:t>learning and teaching</w:t>
              </w:r>
            </w:hyperlink>
            <w:r w:rsidRPr="004B7F03">
              <w:t xml:space="preserve">, harnessing pedagogies, practices, tools and technologies that are innovative and highly participatory. We recognise the challenges arising from </w:t>
            </w:r>
            <w:hyperlink r:id="rId46" w:history="1">
              <w:r w:rsidRPr="004B7F03">
                <w:rPr>
                  <w:rStyle w:val="Hyperlink"/>
                </w:rPr>
                <w:t>Generative AI</w:t>
              </w:r>
            </w:hyperlink>
            <w:r w:rsidRPr="004B7F03">
              <w:t xml:space="preserve"> and are implementing assessment reforms to ensure academic integrity.</w:t>
            </w:r>
          </w:p>
          <w:p w14:paraId="60FC279E" w14:textId="77777777" w:rsidR="001D30F0" w:rsidRPr="004167BC" w:rsidRDefault="001D30F0" w:rsidP="001D30F0">
            <w:pPr>
              <w:pStyle w:val="ListParagraph"/>
              <w:numPr>
                <w:ilvl w:val="1"/>
                <w:numId w:val="22"/>
              </w:numPr>
              <w:spacing w:after="0" w:line="240" w:lineRule="auto"/>
              <w:ind w:left="447" w:hanging="447"/>
              <w:rPr>
                <w:b/>
                <w:bCs/>
                <w:i/>
                <w:iCs/>
              </w:rPr>
            </w:pPr>
            <w:r>
              <w:rPr>
                <w:b/>
                <w:bCs/>
                <w:i/>
                <w:iCs/>
              </w:rPr>
              <w:t>Supporting p</w:t>
            </w:r>
            <w:r w:rsidRPr="004167BC">
              <w:rPr>
                <w:b/>
                <w:bCs/>
                <w:i/>
                <w:iCs/>
              </w:rPr>
              <w:t>ositive learning experiences and transformational graduate outcomes</w:t>
            </w:r>
          </w:p>
          <w:p w14:paraId="4488B922" w14:textId="77777777" w:rsidR="001D30F0" w:rsidRPr="00AF3DFD" w:rsidRDefault="001D30F0" w:rsidP="001D30F0">
            <w:pPr>
              <w:contextualSpacing/>
            </w:pPr>
            <w:r w:rsidRPr="00AF3DFD">
              <w:t>Bond prioritises personalised, authentic, and situated learning experiences delivered across a variety of modes. Embedding</w:t>
            </w:r>
            <w:r>
              <w:t xml:space="preserve"> our</w:t>
            </w:r>
            <w:r w:rsidRPr="00AF3DFD">
              <w:t xml:space="preserve"> </w:t>
            </w:r>
            <w:hyperlink r:id="rId47" w:history="1">
              <w:r w:rsidRPr="00E86EC5">
                <w:rPr>
                  <w:rStyle w:val="Hyperlink"/>
                </w:rPr>
                <w:t>Graduate Attributes</w:t>
              </w:r>
            </w:hyperlink>
            <w:r>
              <w:t xml:space="preserve">, </w:t>
            </w:r>
            <w:r w:rsidRPr="00AF3DFD">
              <w:t xml:space="preserve">the </w:t>
            </w:r>
            <w:hyperlink r:id="rId48" w:history="1">
              <w:r w:rsidRPr="003F6D74">
                <w:rPr>
                  <w:rStyle w:val="Hyperlink"/>
                </w:rPr>
                <w:t>U</w:t>
              </w:r>
              <w:r>
                <w:rPr>
                  <w:rStyle w:val="Hyperlink"/>
                </w:rPr>
                <w:t>N</w:t>
              </w:r>
              <w:r w:rsidRPr="003F6D74">
                <w:rPr>
                  <w:rStyle w:val="Hyperlink"/>
                </w:rPr>
                <w:t xml:space="preserve"> Sustainab</w:t>
              </w:r>
              <w:r>
                <w:rPr>
                  <w:rStyle w:val="Hyperlink"/>
                </w:rPr>
                <w:t>le Development</w:t>
              </w:r>
              <w:r w:rsidRPr="003F6D74">
                <w:rPr>
                  <w:rStyle w:val="Hyperlink"/>
                </w:rPr>
                <w:t xml:space="preserve"> Goals</w:t>
              </w:r>
            </w:hyperlink>
            <w:r>
              <w:t xml:space="preserve">, </w:t>
            </w:r>
            <w:hyperlink r:id="rId49" w:history="1">
              <w:r w:rsidRPr="00B818FC">
                <w:rPr>
                  <w:rStyle w:val="Hyperlink"/>
                </w:rPr>
                <w:t>Indigenous ways of knowing, doing and being</w:t>
              </w:r>
            </w:hyperlink>
            <w:r w:rsidRPr="00AF3DFD">
              <w:t xml:space="preserve">, </w:t>
            </w:r>
            <w:r>
              <w:t xml:space="preserve">and </w:t>
            </w:r>
            <w:r w:rsidRPr="00AF3DFD">
              <w:t xml:space="preserve">digital and </w:t>
            </w:r>
            <w:hyperlink r:id="rId50" w:history="1">
              <w:r w:rsidRPr="00CF584F">
                <w:rPr>
                  <w:rStyle w:val="Hyperlink"/>
                </w:rPr>
                <w:t>Generative AI</w:t>
              </w:r>
            </w:hyperlink>
            <w:r w:rsidRPr="00DD1BB1">
              <w:t xml:space="preserve"> technologies</w:t>
            </w:r>
            <w:r>
              <w:t xml:space="preserve"> </w:t>
            </w:r>
            <w:r w:rsidRPr="00AF3DFD">
              <w:t xml:space="preserve">meaningfully into Bond programs, subjects, learning experiences and assessments is central to the short and long-term success of our students. </w:t>
            </w:r>
          </w:p>
          <w:p w14:paraId="4C331F66" w14:textId="77777777" w:rsidR="001D30F0" w:rsidRPr="00AF3DFD" w:rsidRDefault="001D30F0" w:rsidP="001D30F0">
            <w:pPr>
              <w:contextualSpacing/>
            </w:pPr>
          </w:p>
          <w:p w14:paraId="604861EC" w14:textId="77777777" w:rsidR="001D30F0" w:rsidRPr="00AF3DFD" w:rsidRDefault="001D30F0" w:rsidP="001D30F0">
            <w:pPr>
              <w:contextualSpacing/>
            </w:pPr>
            <w:r>
              <w:t xml:space="preserve">We have </w:t>
            </w:r>
            <w:r w:rsidRPr="00AF3DFD">
              <w:t>strategies in place to proactively identify students who may be in greater need of</w:t>
            </w:r>
            <w:r>
              <w:t xml:space="preserve"> assistance</w:t>
            </w:r>
            <w:r w:rsidRPr="00AF3DFD">
              <w:t xml:space="preserve"> in </w:t>
            </w:r>
            <w:r>
              <w:t xml:space="preserve">terms of </w:t>
            </w:r>
            <w:r w:rsidRPr="00AF3DFD">
              <w:t xml:space="preserve">retention </w:t>
            </w:r>
            <w:r>
              <w:t xml:space="preserve">and </w:t>
            </w:r>
            <w:r w:rsidRPr="00AF3DFD">
              <w:t>progression</w:t>
            </w:r>
            <w:r>
              <w:t xml:space="preserve"> concerns</w:t>
            </w:r>
            <w:r w:rsidRPr="00AF3DFD">
              <w:t xml:space="preserve"> and connect </w:t>
            </w:r>
            <w:r>
              <w:t>them</w:t>
            </w:r>
            <w:r w:rsidRPr="00AF3DFD">
              <w:t xml:space="preserve"> to personalised support and intervention. </w:t>
            </w:r>
            <w:r>
              <w:t xml:space="preserve">Such supports include the </w:t>
            </w:r>
            <w:hyperlink r:id="rId51" w:history="1">
              <w:r w:rsidRPr="00BF0EE4">
                <w:rPr>
                  <w:rStyle w:val="Hyperlink"/>
                </w:rPr>
                <w:t>Academic Skills Centre</w:t>
              </w:r>
            </w:hyperlink>
            <w:r>
              <w:t xml:space="preserve"> and </w:t>
            </w:r>
            <w:hyperlink r:id="rId52" w:history="1">
              <w:r w:rsidRPr="007F7406">
                <w:rPr>
                  <w:rStyle w:val="Hyperlink"/>
                </w:rPr>
                <w:t>Student Wellbeing Services</w:t>
              </w:r>
            </w:hyperlink>
            <w:r w:rsidRPr="00AF3DFD">
              <w:t xml:space="preserve">. </w:t>
            </w:r>
          </w:p>
          <w:p w14:paraId="53E17AB7" w14:textId="77777777" w:rsidR="001D30F0" w:rsidRPr="00AF3DFD" w:rsidRDefault="001D30F0" w:rsidP="001D30F0">
            <w:pPr>
              <w:contextualSpacing/>
            </w:pPr>
          </w:p>
          <w:p w14:paraId="0C2DB279" w14:textId="77777777" w:rsidR="001D30F0" w:rsidRDefault="001D30F0" w:rsidP="001D30F0">
            <w:pPr>
              <w:contextualSpacing/>
            </w:pPr>
            <w:r w:rsidRPr="000D115F">
              <w:t xml:space="preserve">In addition, a specialist </w:t>
            </w:r>
            <w:r>
              <w:t>t</w:t>
            </w:r>
            <w:r w:rsidRPr="001E5F75">
              <w:t>eam</w:t>
            </w:r>
            <w:r w:rsidRPr="000D115F">
              <w:t xml:space="preserve"> provides</w:t>
            </w:r>
            <w:r>
              <w:t xml:space="preserve"> </w:t>
            </w:r>
            <w:hyperlink r:id="rId53" w:history="1">
              <w:r w:rsidRPr="00367EE3">
                <w:rPr>
                  <w:rStyle w:val="Hyperlink"/>
                </w:rPr>
                <w:t>International Student Support</w:t>
              </w:r>
            </w:hyperlink>
            <w:r>
              <w:t xml:space="preserve"> </w:t>
            </w:r>
            <w:r w:rsidRPr="000D115F">
              <w:t>to our international student body</w:t>
            </w:r>
            <w:r>
              <w:t>.</w:t>
            </w:r>
            <w:r w:rsidRPr="000D115F">
              <w:t xml:space="preserve"> </w:t>
            </w:r>
            <w:r>
              <w:t>We also deliver a</w:t>
            </w:r>
            <w:r w:rsidRPr="000D115F">
              <w:t xml:space="preserve"> </w:t>
            </w:r>
            <w:r>
              <w:t xml:space="preserve">specific program to assist international students to transition into Bond and the wider community. These measures are supplemented by regular </w:t>
            </w:r>
            <w:r w:rsidRPr="000D115F">
              <w:t xml:space="preserve">social and </w:t>
            </w:r>
            <w:r>
              <w:t>student</w:t>
            </w:r>
            <w:r w:rsidRPr="000D115F">
              <w:t xml:space="preserve"> </w:t>
            </w:r>
            <w:r>
              <w:t xml:space="preserve">club activities </w:t>
            </w:r>
            <w:r w:rsidRPr="000D115F">
              <w:t>to maintain cultural connections and provide valuable support networks</w:t>
            </w:r>
            <w:r>
              <w:t>.</w:t>
            </w:r>
          </w:p>
          <w:p w14:paraId="04EBA31B" w14:textId="77777777" w:rsidR="008C7E65" w:rsidRPr="004B24A7" w:rsidRDefault="008C7E65" w:rsidP="008C7E65">
            <w:pPr>
              <w:pStyle w:val="ListParagraph"/>
              <w:numPr>
                <w:ilvl w:val="1"/>
                <w:numId w:val="22"/>
              </w:numPr>
              <w:spacing w:after="0" w:line="240" w:lineRule="auto"/>
              <w:ind w:left="447" w:hanging="447"/>
              <w:rPr>
                <w:b/>
                <w:bCs/>
                <w:i/>
                <w:iCs/>
              </w:rPr>
            </w:pPr>
            <w:r>
              <w:rPr>
                <w:b/>
                <w:bCs/>
                <w:i/>
                <w:iCs/>
              </w:rPr>
              <w:t>Developing t</w:t>
            </w:r>
            <w:r w:rsidRPr="004B24A7">
              <w:rPr>
                <w:b/>
                <w:bCs/>
                <w:i/>
                <w:iCs/>
              </w:rPr>
              <w:t>ransferable employability skills that</w:t>
            </w:r>
            <w:r>
              <w:rPr>
                <w:b/>
                <w:bCs/>
                <w:i/>
                <w:iCs/>
              </w:rPr>
              <w:t xml:space="preserve"> </w:t>
            </w:r>
            <w:r w:rsidRPr="004B24A7">
              <w:rPr>
                <w:b/>
                <w:bCs/>
                <w:i/>
                <w:iCs/>
              </w:rPr>
              <w:t>enable critical thinking in a rapidly changing world.</w:t>
            </w:r>
          </w:p>
          <w:p w14:paraId="5EDCE44D" w14:textId="77777777" w:rsidR="008C7E65" w:rsidRDefault="008C7E65" w:rsidP="008C7E65">
            <w:pPr>
              <w:pStyle w:val="NormalIndent"/>
              <w:spacing w:before="0" w:after="0" w:line="240" w:lineRule="auto"/>
              <w:ind w:left="0"/>
              <w:rPr>
                <w:rStyle w:val="Hyperlink"/>
              </w:rPr>
            </w:pPr>
            <w:r w:rsidRPr="008C7E65">
              <w:rPr>
                <w:rStyle w:val="Hyperlink"/>
                <w:color w:val="auto"/>
                <w:u w:val="none"/>
              </w:rPr>
              <w:t>Bond recognises the need for graduates to be highly knowledgeable in their chosen field and possess a range of transferable skills and attributes</w:t>
            </w:r>
            <w:r w:rsidRPr="003C3870">
              <w:rPr>
                <w:rStyle w:val="Hyperlink"/>
              </w:rPr>
              <w:t xml:space="preserve">. </w:t>
            </w:r>
          </w:p>
          <w:p w14:paraId="5B2F3F3A" w14:textId="77777777" w:rsidR="008C7E65" w:rsidRDefault="008C7E65" w:rsidP="008C7E65">
            <w:pPr>
              <w:pStyle w:val="NormalIndent"/>
              <w:spacing w:before="0" w:after="0" w:line="240" w:lineRule="auto"/>
              <w:ind w:left="0"/>
              <w:rPr>
                <w:rStyle w:val="Hyperlink"/>
              </w:rPr>
            </w:pPr>
          </w:p>
          <w:p w14:paraId="3E998B6E" w14:textId="77777777" w:rsidR="008C7E65" w:rsidRDefault="008C7E65" w:rsidP="008C7E65">
            <w:pPr>
              <w:pStyle w:val="NormalIndent"/>
              <w:spacing w:before="0" w:after="0" w:line="240" w:lineRule="auto"/>
              <w:ind w:left="0"/>
            </w:pPr>
            <w:r>
              <w:t xml:space="preserve">Undergraduate students benefit from </w:t>
            </w:r>
            <w:r w:rsidRPr="00070D95">
              <w:t>the</w:t>
            </w:r>
            <w:r w:rsidRPr="00DF128B">
              <w:t xml:space="preserve"> </w:t>
            </w:r>
            <w:hyperlink r:id="rId54" w:history="1">
              <w:r w:rsidRPr="00164C21">
                <w:rPr>
                  <w:rStyle w:val="Hyperlink"/>
                </w:rPr>
                <w:t>Beyond Bond and Core Curriculum</w:t>
              </w:r>
            </w:hyperlink>
            <w:r>
              <w:t xml:space="preserve"> program which </w:t>
            </w:r>
            <w:r w:rsidRPr="00070D95">
              <w:t>focuses on developing attributes</w:t>
            </w:r>
            <w:r>
              <w:t xml:space="preserve"> that enhance their employability</w:t>
            </w:r>
            <w:r w:rsidRPr="00070D95">
              <w:t xml:space="preserve"> </w:t>
            </w:r>
            <w:r>
              <w:t xml:space="preserve">including </w:t>
            </w:r>
            <w:r w:rsidRPr="00070D95">
              <w:t>critical thinking, problem-solving and effective communication</w:t>
            </w:r>
            <w:r>
              <w:t>,</w:t>
            </w:r>
            <w:r w:rsidRPr="00070D95">
              <w:t xml:space="preserve"> </w:t>
            </w:r>
            <w:r>
              <w:t xml:space="preserve">and </w:t>
            </w:r>
            <w:r w:rsidRPr="00070D95">
              <w:t xml:space="preserve">prepares students to transition into the workforce.  </w:t>
            </w:r>
          </w:p>
          <w:p w14:paraId="4DDB00D7" w14:textId="77777777" w:rsidR="006E5F3D" w:rsidRDefault="006E5F3D" w:rsidP="008C7E65">
            <w:pPr>
              <w:pStyle w:val="NormalIndent"/>
              <w:spacing w:before="0" w:after="0" w:line="240" w:lineRule="auto"/>
              <w:ind w:left="0"/>
              <w:rPr>
                <w:rStyle w:val="Hyperlink"/>
                <w:color w:val="auto"/>
                <w:u w:val="none"/>
              </w:rPr>
            </w:pPr>
          </w:p>
          <w:p w14:paraId="79DB251C" w14:textId="77777777" w:rsidR="006E5F3D" w:rsidRDefault="006E5F3D" w:rsidP="008C7E65">
            <w:pPr>
              <w:pStyle w:val="NormalIndent"/>
              <w:spacing w:before="0" w:after="0" w:line="240" w:lineRule="auto"/>
              <w:ind w:left="0"/>
              <w:rPr>
                <w:rStyle w:val="Hyperlink"/>
              </w:rPr>
            </w:pPr>
          </w:p>
          <w:p w14:paraId="10750835" w14:textId="77777777" w:rsidR="006E5F3D" w:rsidRDefault="006E5F3D" w:rsidP="008C7E65">
            <w:pPr>
              <w:pStyle w:val="NormalIndent"/>
              <w:spacing w:before="0" w:after="0" w:line="240" w:lineRule="auto"/>
              <w:ind w:left="0"/>
              <w:rPr>
                <w:rStyle w:val="Hyperlink"/>
              </w:rPr>
            </w:pPr>
          </w:p>
          <w:p w14:paraId="356EDE6D" w14:textId="080A51F7" w:rsidR="008C7E65" w:rsidRDefault="008C7E65" w:rsidP="008C7E65">
            <w:pPr>
              <w:pStyle w:val="NormalIndent"/>
              <w:spacing w:before="0" w:after="0" w:line="240" w:lineRule="auto"/>
              <w:ind w:left="0"/>
            </w:pPr>
            <w:r w:rsidRPr="008C7E65">
              <w:rPr>
                <w:rStyle w:val="Hyperlink"/>
                <w:color w:val="auto"/>
                <w:u w:val="none"/>
              </w:rPr>
              <w:lastRenderedPageBreak/>
              <w:t xml:space="preserve">All students have access to </w:t>
            </w:r>
            <w:r w:rsidR="006E5F3D" w:rsidRPr="006E5F3D">
              <w:rPr>
                <w:rStyle w:val="Hyperlink"/>
                <w:color w:val="auto"/>
                <w:u w:val="none"/>
              </w:rPr>
              <w:t>the</w:t>
            </w:r>
            <w:r w:rsidRPr="008C7E65">
              <w:rPr>
                <w:rStyle w:val="Hyperlink"/>
                <w:color w:val="auto"/>
                <w:u w:val="none"/>
              </w:rPr>
              <w:t xml:space="preserve"> </w:t>
            </w:r>
            <w:hyperlink r:id="rId55" w:history="1">
              <w:r w:rsidRPr="008C7E65">
                <w:rPr>
                  <w:rStyle w:val="Hyperlink"/>
                  <w:color w:val="auto"/>
                  <w:u w:val="none"/>
                </w:rPr>
                <w:t>Career Development Centre</w:t>
              </w:r>
            </w:hyperlink>
            <w:r w:rsidRPr="008C7E65">
              <w:rPr>
                <w:rStyle w:val="Hyperlink"/>
                <w:color w:val="auto"/>
                <w:u w:val="none"/>
              </w:rPr>
              <w:t xml:space="preserve"> and are encouraged to pursue internships, work experience opportunities, or other </w:t>
            </w:r>
            <w:hyperlink r:id="rId56" w:history="1">
              <w:r w:rsidRPr="00243E69">
                <w:rPr>
                  <w:rStyle w:val="Hyperlink"/>
                  <w:color w:val="auto"/>
                  <w:u w:val="none"/>
                </w:rPr>
                <w:t>Career Development Support</w:t>
              </w:r>
            </w:hyperlink>
            <w:r w:rsidRPr="00243E69">
              <w:rPr>
                <w:rStyle w:val="Hyperlink"/>
                <w:u w:val="none"/>
              </w:rPr>
              <w:t xml:space="preserve">. </w:t>
            </w:r>
            <w:r w:rsidRPr="00243E69">
              <w:rPr>
                <w:rFonts w:cstheme="minorHAnsi"/>
              </w:rPr>
              <w:t>Furthermore</w:t>
            </w:r>
            <w:r w:rsidRPr="004B7F03">
              <w:rPr>
                <w:rFonts w:cstheme="minorHAnsi"/>
              </w:rPr>
              <w:t>,</w:t>
            </w:r>
            <w:r w:rsidRPr="004B7F03">
              <w:t xml:space="preserve"> the </w:t>
            </w:r>
            <w:hyperlink r:id="rId57" w:history="1">
              <w:r w:rsidRPr="004B7F03">
                <w:rPr>
                  <w:rStyle w:val="Hyperlink"/>
                </w:rPr>
                <w:t>Transformer</w:t>
              </w:r>
            </w:hyperlink>
            <w:r w:rsidRPr="004B7F03">
              <w:t xml:space="preserve"> entrepreneurship program brings together students from all disciplines to nurture entrepreneurial capacity through skills development, mentoring and collaboration. </w:t>
            </w:r>
          </w:p>
          <w:p w14:paraId="4E639FFA" w14:textId="77777777" w:rsidR="00862A1C" w:rsidRPr="004B7F03" w:rsidRDefault="00862A1C" w:rsidP="008C7E65">
            <w:pPr>
              <w:pStyle w:val="NormalIndent"/>
              <w:spacing w:before="0" w:after="0" w:line="240" w:lineRule="auto"/>
              <w:ind w:left="0"/>
              <w:rPr>
                <w:rStyle w:val="Hyperlink"/>
                <w:i/>
                <w:iCs/>
              </w:rPr>
            </w:pPr>
          </w:p>
          <w:p w14:paraId="0388E2BB" w14:textId="4C4B1419" w:rsidR="008C7E65" w:rsidRDefault="008C7E65" w:rsidP="008C7E65">
            <w:r w:rsidRPr="004B7F03">
              <w:rPr>
                <w:rFonts w:cstheme="minorHAnsi"/>
                <w:iCs/>
              </w:rPr>
              <w:t>Bond has also established a specialised Microcredentials Unit which has developed a range of</w:t>
            </w:r>
            <w:r w:rsidRPr="004B7F03">
              <w:t xml:space="preserve"> </w:t>
            </w:r>
            <w:hyperlink r:id="rId58" w:history="1">
              <w:r w:rsidRPr="004B7F03">
                <w:rPr>
                  <w:rStyle w:val="Hyperlink"/>
                </w:rPr>
                <w:t>Microcredentials</w:t>
              </w:r>
            </w:hyperlink>
            <w:r w:rsidRPr="004B7F03">
              <w:rPr>
                <w:rFonts w:cstheme="minorHAnsi"/>
                <w:iCs/>
              </w:rPr>
              <w:t xml:space="preserve"> that are offered in various modes including self-paced, online and on-campus</w:t>
            </w:r>
            <w:r w:rsidR="00003EAC">
              <w:rPr>
                <w:rFonts w:cstheme="minorHAnsi"/>
                <w:iCs/>
              </w:rPr>
              <w:t>.</w:t>
            </w:r>
          </w:p>
          <w:p w14:paraId="709F9465" w14:textId="77777777" w:rsidR="004F65E7" w:rsidRDefault="004F65E7" w:rsidP="004F65E7">
            <w:pPr>
              <w:contextualSpacing/>
            </w:pPr>
            <w:r w:rsidRPr="00916265">
              <w:t>Bond University’s</w:t>
            </w:r>
            <w:r>
              <w:t xml:space="preserve"> recent</w:t>
            </w:r>
            <w:r w:rsidRPr="00916265">
              <w:t xml:space="preserve"> </w:t>
            </w:r>
            <w:hyperlink r:id="rId59" w:history="1">
              <w:r w:rsidRPr="00726A9C">
                <w:rPr>
                  <w:rStyle w:val="Hyperlink"/>
                </w:rPr>
                <w:t>Rankings and Ratings</w:t>
              </w:r>
            </w:hyperlink>
            <w:r>
              <w:t xml:space="preserve"> </w:t>
            </w:r>
            <w:r w:rsidRPr="00916265">
              <w:t>a</w:t>
            </w:r>
            <w:r>
              <w:t>s a higher education provider</w:t>
            </w:r>
            <w:r w:rsidRPr="00916265">
              <w:t xml:space="preserve"> are testament to the impact of these strategies.</w:t>
            </w:r>
            <w:r>
              <w:t xml:space="preserve"> </w:t>
            </w:r>
          </w:p>
          <w:p w14:paraId="350CEA1E" w14:textId="77777777" w:rsidR="004F65E7" w:rsidRDefault="004F65E7" w:rsidP="004F65E7">
            <w:pPr>
              <w:contextualSpacing/>
            </w:pPr>
          </w:p>
          <w:p w14:paraId="4B7E4B74" w14:textId="77777777" w:rsidR="004F65E7" w:rsidRDefault="004F65E7" w:rsidP="004F65E7">
            <w:pPr>
              <w:spacing w:after="0"/>
              <w:contextualSpacing/>
            </w:pPr>
            <w:r>
              <w:t>Key measures for monitoring Learning and Teaching performance include:</w:t>
            </w:r>
          </w:p>
          <w:p w14:paraId="472170B7" w14:textId="77777777" w:rsidR="004F65E7" w:rsidRDefault="004F65E7" w:rsidP="004F65E7">
            <w:pPr>
              <w:pStyle w:val="ListParagraph"/>
              <w:numPr>
                <w:ilvl w:val="0"/>
                <w:numId w:val="24"/>
              </w:numPr>
              <w:spacing w:after="0" w:line="240" w:lineRule="auto"/>
            </w:pPr>
            <w:r>
              <w:t>Overall satisfaction from the Student Experience Survey (SES);</w:t>
            </w:r>
          </w:p>
          <w:p w14:paraId="68EDF292" w14:textId="77777777" w:rsidR="004F65E7" w:rsidRDefault="004F65E7" w:rsidP="004F65E7">
            <w:pPr>
              <w:pStyle w:val="ListParagraph"/>
              <w:numPr>
                <w:ilvl w:val="0"/>
                <w:numId w:val="24"/>
              </w:numPr>
              <w:spacing w:after="0" w:line="240" w:lineRule="auto"/>
            </w:pPr>
            <w:r>
              <w:t>Internal Student Satisfaction and Feedback Surveys (SSAFS); and</w:t>
            </w:r>
          </w:p>
          <w:p w14:paraId="5E8BF11E" w14:textId="0B7FBFEE" w:rsidR="003D76E2" w:rsidRPr="003D76E2" w:rsidRDefault="004F65E7" w:rsidP="004F65E7">
            <w:pPr>
              <w:pStyle w:val="ListParagraph"/>
              <w:numPr>
                <w:ilvl w:val="0"/>
                <w:numId w:val="24"/>
              </w:numPr>
              <w:spacing w:after="0" w:line="240" w:lineRule="auto"/>
            </w:pPr>
            <w:r>
              <w:t>Number of students with an internship, work-based projects, or experience</w:t>
            </w: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36FF15B2" w14:textId="77777777" w:rsidR="003A2636" w:rsidRPr="004B7F03" w:rsidRDefault="003A2636" w:rsidP="003A2636">
            <w:pPr>
              <w:contextualSpacing/>
            </w:pPr>
            <w:r w:rsidRPr="004B7F03">
              <w:t xml:space="preserve">The </w:t>
            </w:r>
            <w:hyperlink r:id="rId60" w:history="1">
              <w:r w:rsidRPr="004B7F03">
                <w:rPr>
                  <w:rStyle w:val="Hyperlink"/>
                </w:rPr>
                <w:t>Bond University Research Plan 2023-2027</w:t>
              </w:r>
            </w:hyperlink>
            <w:r w:rsidRPr="004B7F03">
              <w:t xml:space="preserve"> is aligned to the current </w:t>
            </w:r>
            <w:hyperlink r:id="rId61" w:history="1">
              <w:r w:rsidRPr="004B7F03">
                <w:rPr>
                  <w:rStyle w:val="Hyperlink"/>
                </w:rPr>
                <w:t>Strategic Plan</w:t>
              </w:r>
            </w:hyperlink>
            <w:r w:rsidRPr="004B7F03">
              <w:t xml:space="preserve"> and ensures the continuing improvement and sustenance of our vibrant and world-class </w:t>
            </w:r>
            <w:hyperlink r:id="rId62" w:history="1">
              <w:r w:rsidRPr="004B7F03">
                <w:rPr>
                  <w:rStyle w:val="Hyperlink"/>
                </w:rPr>
                <w:t>Research</w:t>
              </w:r>
            </w:hyperlink>
            <w:r w:rsidRPr="004B7F03">
              <w:t xml:space="preserve"> environment by focusing on:</w:t>
            </w:r>
          </w:p>
          <w:p w14:paraId="01453BC2" w14:textId="77777777" w:rsidR="003A2636" w:rsidRPr="004B7F03" w:rsidRDefault="003A2636" w:rsidP="003A2636">
            <w:pPr>
              <w:pStyle w:val="NormalIndent"/>
              <w:numPr>
                <w:ilvl w:val="0"/>
                <w:numId w:val="20"/>
              </w:numPr>
              <w:spacing w:before="0" w:after="0" w:line="240" w:lineRule="auto"/>
              <w:ind w:left="447" w:hanging="425"/>
              <w:rPr>
                <w:rFonts w:cstheme="minorHAnsi"/>
                <w:b/>
                <w:bCs/>
                <w:i/>
                <w:iCs/>
              </w:rPr>
            </w:pPr>
            <w:r w:rsidRPr="004B7F03">
              <w:rPr>
                <w:rFonts w:cstheme="minorHAnsi"/>
                <w:b/>
                <w:bCs/>
                <w:i/>
                <w:iCs/>
              </w:rPr>
              <w:t>Building and Sustaining a Strong Research Workforce and Culture</w:t>
            </w:r>
          </w:p>
          <w:p w14:paraId="581220DF" w14:textId="77777777" w:rsidR="003A2636" w:rsidRPr="004B7F03" w:rsidRDefault="003A2636" w:rsidP="003A2636">
            <w:pPr>
              <w:pStyle w:val="NormalIndent"/>
              <w:spacing w:before="0" w:after="0" w:line="240" w:lineRule="auto"/>
              <w:ind w:left="0"/>
              <w:rPr>
                <w:rFonts w:cstheme="minorHAnsi"/>
                <w:b/>
                <w:bCs/>
                <w:iCs/>
              </w:rPr>
            </w:pPr>
            <w:r w:rsidRPr="004B7F03">
              <w:rPr>
                <w:rFonts w:cstheme="minorHAnsi"/>
                <w:iCs/>
              </w:rPr>
              <w:t xml:space="preserve">Bond is focused on recruiting and retaining research-active academics and ensuring they are recognised and rewarded for their contributions. Through targeted </w:t>
            </w:r>
            <w:hyperlink r:id="rId63" w:history="1">
              <w:r w:rsidRPr="004B7F03">
                <w:rPr>
                  <w:rStyle w:val="Hyperlink"/>
                  <w:rFonts w:cstheme="minorHAnsi"/>
                  <w:iCs/>
                </w:rPr>
                <w:t>support</w:t>
              </w:r>
            </w:hyperlink>
            <w:r w:rsidRPr="004B7F03">
              <w:rPr>
                <w:rFonts w:cstheme="minorHAnsi"/>
                <w:iCs/>
              </w:rPr>
              <w:t xml:space="preserve"> initiatives, we promote skill development in grant writing, supervision, and collaboration. Expectations for research outputs are clearly articulated and embedded into Performance and Development Reviews (PDR).</w:t>
            </w:r>
          </w:p>
          <w:p w14:paraId="4A83E8F9" w14:textId="77777777" w:rsidR="003A2636" w:rsidRPr="004B7F03" w:rsidRDefault="003A2636" w:rsidP="003A2636">
            <w:pPr>
              <w:pStyle w:val="NormalIndent"/>
              <w:spacing w:before="0" w:after="0"/>
              <w:ind w:left="306" w:hanging="284"/>
              <w:rPr>
                <w:rFonts w:cstheme="minorHAnsi"/>
                <w:b/>
                <w:bCs/>
                <w:iCs/>
              </w:rPr>
            </w:pPr>
          </w:p>
          <w:p w14:paraId="418D7538" w14:textId="77777777" w:rsidR="003A2636" w:rsidRPr="004B7F03" w:rsidRDefault="003A2636" w:rsidP="003A2636">
            <w:pPr>
              <w:pStyle w:val="NormalIndent"/>
              <w:numPr>
                <w:ilvl w:val="0"/>
                <w:numId w:val="26"/>
              </w:numPr>
              <w:spacing w:before="0" w:after="0"/>
              <w:ind w:left="447" w:hanging="425"/>
              <w:rPr>
                <w:rFonts w:cstheme="minorHAnsi"/>
                <w:i/>
              </w:rPr>
            </w:pPr>
            <w:r w:rsidRPr="004B7F03">
              <w:rPr>
                <w:rFonts w:cstheme="minorHAnsi"/>
                <w:b/>
                <w:bCs/>
                <w:i/>
              </w:rPr>
              <w:t>Enhancing the Research Training Environment</w:t>
            </w:r>
          </w:p>
          <w:p w14:paraId="6AD6BA3C" w14:textId="74C574BB" w:rsidR="003A2636" w:rsidRPr="004B7F03" w:rsidRDefault="00E0301D" w:rsidP="003A2636">
            <w:pPr>
              <w:pStyle w:val="NormalIndent"/>
              <w:spacing w:before="0" w:after="0"/>
              <w:ind w:left="22"/>
              <w:rPr>
                <w:rFonts w:cstheme="minorHAnsi"/>
                <w:iCs/>
              </w:rPr>
            </w:pPr>
            <w:r>
              <w:rPr>
                <w:rFonts w:cstheme="minorHAnsi"/>
                <w:iCs/>
              </w:rPr>
              <w:t xml:space="preserve">Through training </w:t>
            </w:r>
            <w:r w:rsidR="009467D6">
              <w:rPr>
                <w:rFonts w:cstheme="minorHAnsi"/>
                <w:iCs/>
              </w:rPr>
              <w:t>initiatives,</w:t>
            </w:r>
            <w:r>
              <w:rPr>
                <w:rFonts w:cstheme="minorHAnsi"/>
                <w:iCs/>
              </w:rPr>
              <w:t xml:space="preserve"> w</w:t>
            </w:r>
            <w:r w:rsidR="003A2636" w:rsidRPr="004B7F03">
              <w:rPr>
                <w:rFonts w:cstheme="minorHAnsi"/>
                <w:iCs/>
              </w:rPr>
              <w:t xml:space="preserve">e are </w:t>
            </w:r>
            <w:r>
              <w:rPr>
                <w:rFonts w:cstheme="minorHAnsi"/>
                <w:iCs/>
              </w:rPr>
              <w:t>expanding the</w:t>
            </w:r>
            <w:r w:rsidR="00EE40F7">
              <w:rPr>
                <w:rFonts w:cstheme="minorHAnsi"/>
                <w:iCs/>
              </w:rPr>
              <w:t xml:space="preserve"> number of</w:t>
            </w:r>
            <w:r w:rsidR="003A2636" w:rsidRPr="004B7F03">
              <w:rPr>
                <w:rFonts w:cstheme="minorHAnsi"/>
                <w:iCs/>
              </w:rPr>
              <w:t xml:space="preserve"> qualified supervisors and encouraging team supervision models to include diversity of expertise. </w:t>
            </w:r>
            <w:hyperlink r:id="rId64" w:history="1">
              <w:r w:rsidR="003A2636" w:rsidRPr="004B7F03">
                <w:rPr>
                  <w:rStyle w:val="Hyperlink"/>
                  <w:rFonts w:cstheme="minorHAnsi"/>
                  <w:iCs/>
                </w:rPr>
                <w:t>Higher Degree by Research (HDR)</w:t>
              </w:r>
            </w:hyperlink>
            <w:r w:rsidR="003A2636" w:rsidRPr="004B7F03">
              <w:rPr>
                <w:rFonts w:cstheme="minorHAnsi"/>
                <w:iCs/>
              </w:rPr>
              <w:t xml:space="preserve"> programs are designed to meet the evolving needs of industry, with embedded internships preparing graduates for careers in and beyond academia. Each year, the University hosts an interdisciplinary HDR conference to further develop student research. </w:t>
            </w:r>
          </w:p>
          <w:p w14:paraId="4AB38848" w14:textId="77777777" w:rsidR="003A2636" w:rsidRPr="004B7F03" w:rsidRDefault="003A2636" w:rsidP="003A2636">
            <w:pPr>
              <w:pStyle w:val="NormalIndent"/>
              <w:spacing w:before="0" w:after="0"/>
              <w:ind w:left="306" w:hanging="284"/>
              <w:rPr>
                <w:rFonts w:cstheme="minorHAnsi"/>
                <w:b/>
                <w:bCs/>
                <w:iCs/>
              </w:rPr>
            </w:pPr>
          </w:p>
          <w:p w14:paraId="64800EFE" w14:textId="77777777" w:rsidR="003A2636" w:rsidRPr="004B7F03" w:rsidRDefault="003A2636" w:rsidP="003A2636">
            <w:pPr>
              <w:pStyle w:val="NormalIndent"/>
              <w:numPr>
                <w:ilvl w:val="0"/>
                <w:numId w:val="26"/>
              </w:numPr>
              <w:spacing w:before="0" w:after="0"/>
              <w:ind w:left="447" w:hanging="425"/>
              <w:rPr>
                <w:rFonts w:cstheme="minorHAnsi"/>
                <w:b/>
                <w:bCs/>
                <w:i/>
              </w:rPr>
            </w:pPr>
            <w:r w:rsidRPr="004B7F03">
              <w:rPr>
                <w:rFonts w:cstheme="minorHAnsi"/>
                <w:b/>
                <w:bCs/>
                <w:i/>
              </w:rPr>
              <w:t>Meaningful Engagement and Partnerships with Industry, Government, and Community</w:t>
            </w:r>
          </w:p>
          <w:p w14:paraId="1FCC0223" w14:textId="77777777" w:rsidR="003A2636" w:rsidRPr="004B7F03" w:rsidRDefault="003A2636" w:rsidP="003A2636">
            <w:pPr>
              <w:pStyle w:val="NormalIndent"/>
              <w:spacing w:before="0" w:after="0"/>
              <w:ind w:left="22"/>
              <w:rPr>
                <w:rFonts w:cstheme="minorHAnsi"/>
                <w:b/>
                <w:bCs/>
                <w:iCs/>
              </w:rPr>
            </w:pPr>
            <w:r w:rsidRPr="004B7F03">
              <w:rPr>
                <w:rFonts w:cstheme="minorHAnsi"/>
                <w:iCs/>
              </w:rPr>
              <w:t xml:space="preserve">We have adopted a portfolio approach to partnerships, aligning our research with pressing societal issues and sustainability priorities. We provide targeted </w:t>
            </w:r>
            <w:hyperlink r:id="rId65" w:history="1">
              <w:r w:rsidRPr="004B7F03">
                <w:rPr>
                  <w:rStyle w:val="Hyperlink"/>
                  <w:rFonts w:cstheme="minorHAnsi"/>
                  <w:iCs/>
                </w:rPr>
                <w:t>support</w:t>
              </w:r>
            </w:hyperlink>
            <w:r w:rsidRPr="004B7F03">
              <w:rPr>
                <w:rFonts w:cstheme="minorHAnsi"/>
                <w:iCs/>
              </w:rPr>
              <w:t xml:space="preserve"> to help researchers develop commercial activities and deliver training to build capability and confidence in engaging with external partners. </w:t>
            </w:r>
          </w:p>
          <w:p w14:paraId="707AC6B6" w14:textId="77777777" w:rsidR="003A2636" w:rsidRPr="004B7F03" w:rsidRDefault="003A2636" w:rsidP="003A2636">
            <w:pPr>
              <w:pStyle w:val="NormalIndent"/>
              <w:spacing w:before="0" w:after="0"/>
              <w:ind w:left="306" w:hanging="284"/>
              <w:rPr>
                <w:rFonts w:cstheme="minorHAnsi"/>
                <w:iCs/>
              </w:rPr>
            </w:pPr>
          </w:p>
          <w:p w14:paraId="312637B1" w14:textId="77777777" w:rsidR="003A2636" w:rsidRPr="004B7F03" w:rsidRDefault="003A2636" w:rsidP="003A2636">
            <w:pPr>
              <w:pStyle w:val="NormalIndent"/>
              <w:numPr>
                <w:ilvl w:val="0"/>
                <w:numId w:val="26"/>
              </w:numPr>
              <w:spacing w:before="0" w:after="0"/>
              <w:ind w:left="447" w:hanging="425"/>
              <w:rPr>
                <w:rFonts w:cstheme="minorHAnsi"/>
                <w:b/>
                <w:bCs/>
                <w:i/>
              </w:rPr>
            </w:pPr>
            <w:r w:rsidRPr="004B7F03">
              <w:rPr>
                <w:rFonts w:cstheme="minorHAnsi"/>
                <w:b/>
                <w:bCs/>
                <w:i/>
              </w:rPr>
              <w:t>Access to Infrastructure, Support and Governance that Underpin Excellence</w:t>
            </w:r>
          </w:p>
          <w:p w14:paraId="223359A5" w14:textId="77777777" w:rsidR="003A2636" w:rsidRPr="004B7F03" w:rsidRDefault="003A2636" w:rsidP="003A2636">
            <w:pPr>
              <w:pStyle w:val="NormalIndent"/>
              <w:spacing w:before="0" w:after="0"/>
              <w:ind w:left="22"/>
              <w:rPr>
                <w:rFonts w:cstheme="minorHAnsi"/>
                <w:b/>
                <w:bCs/>
                <w:iCs/>
              </w:rPr>
            </w:pPr>
            <w:r w:rsidRPr="004B7F03">
              <w:rPr>
                <w:rFonts w:cstheme="minorHAnsi"/>
                <w:iCs/>
              </w:rPr>
              <w:t xml:space="preserve">We continue to invest in laboratories, equipment, data analytics platforms, and other resources that </w:t>
            </w:r>
            <w:hyperlink r:id="rId66" w:history="1">
              <w:r w:rsidRPr="004B7F03">
                <w:rPr>
                  <w:rStyle w:val="Hyperlink"/>
                  <w:rFonts w:cstheme="minorHAnsi"/>
                  <w:iCs/>
                </w:rPr>
                <w:t>support</w:t>
              </w:r>
            </w:hyperlink>
            <w:r w:rsidRPr="004B7F03">
              <w:rPr>
                <w:rFonts w:cstheme="minorHAnsi"/>
                <w:iCs/>
              </w:rPr>
              <w:t xml:space="preserve"> and enable high-quality research. </w:t>
            </w:r>
            <w:hyperlink r:id="rId67" w:history="1">
              <w:r w:rsidRPr="004B7F03">
                <w:rPr>
                  <w:rStyle w:val="Hyperlink"/>
                  <w:rFonts w:cstheme="minorHAnsi"/>
                  <w:iCs/>
                </w:rPr>
                <w:t>Research governance</w:t>
              </w:r>
            </w:hyperlink>
            <w:r w:rsidRPr="004B7F03">
              <w:rPr>
                <w:rFonts w:cstheme="minorHAnsi"/>
                <w:iCs/>
              </w:rPr>
              <w:t xml:space="preserve"> frameworks safeguard </w:t>
            </w:r>
            <w:hyperlink r:id="rId68" w:history="1">
              <w:r w:rsidRPr="004B7F03">
                <w:rPr>
                  <w:rStyle w:val="Hyperlink"/>
                  <w:rFonts w:cstheme="minorHAnsi"/>
                  <w:iCs/>
                </w:rPr>
                <w:t>research integrity</w:t>
              </w:r>
            </w:hyperlink>
            <w:r w:rsidRPr="004B7F03">
              <w:rPr>
                <w:rFonts w:cstheme="minorHAnsi"/>
                <w:iCs/>
              </w:rPr>
              <w:t xml:space="preserve">, </w:t>
            </w:r>
            <w:hyperlink r:id="rId69" w:history="1">
              <w:r w:rsidRPr="004B7F03">
                <w:rPr>
                  <w:rStyle w:val="Hyperlink"/>
                  <w:rFonts w:cstheme="minorHAnsi"/>
                  <w:iCs/>
                </w:rPr>
                <w:t>ethics</w:t>
              </w:r>
            </w:hyperlink>
            <w:r w:rsidRPr="004B7F03">
              <w:rPr>
                <w:rFonts w:cstheme="minorHAnsi"/>
                <w:iCs/>
              </w:rPr>
              <w:t xml:space="preserve">, and </w:t>
            </w:r>
            <w:hyperlink r:id="rId70" w:history="1">
              <w:r w:rsidRPr="004B7F03">
                <w:rPr>
                  <w:rStyle w:val="Hyperlink"/>
                  <w:rFonts w:cstheme="minorHAnsi"/>
                  <w:iCs/>
                </w:rPr>
                <w:t>compliance</w:t>
              </w:r>
            </w:hyperlink>
            <w:r w:rsidRPr="004B7F03">
              <w:rPr>
                <w:rFonts w:cstheme="minorHAnsi"/>
                <w:iCs/>
              </w:rPr>
              <w:t xml:space="preserve">, while policies recognise and support commercialisation. </w:t>
            </w:r>
          </w:p>
          <w:p w14:paraId="2702C857" w14:textId="77777777" w:rsidR="003A2636" w:rsidRPr="004B7F03" w:rsidRDefault="003A2636" w:rsidP="003A2636">
            <w:pPr>
              <w:pStyle w:val="NormalIndent"/>
              <w:spacing w:before="0" w:after="0"/>
              <w:ind w:left="306" w:hanging="284"/>
              <w:rPr>
                <w:rFonts w:cstheme="minorHAnsi"/>
                <w:b/>
                <w:bCs/>
                <w:iCs/>
              </w:rPr>
            </w:pPr>
          </w:p>
          <w:p w14:paraId="0AE8EAE2" w14:textId="77777777" w:rsidR="00FE293C" w:rsidRPr="004B7F03" w:rsidRDefault="00FE293C" w:rsidP="00FE293C">
            <w:pPr>
              <w:pStyle w:val="NormalIndent"/>
              <w:numPr>
                <w:ilvl w:val="0"/>
                <w:numId w:val="26"/>
              </w:numPr>
              <w:spacing w:before="0" w:after="0"/>
              <w:ind w:left="447" w:hanging="425"/>
              <w:rPr>
                <w:rFonts w:cstheme="minorHAnsi"/>
                <w:b/>
                <w:bCs/>
                <w:i/>
              </w:rPr>
            </w:pPr>
            <w:r w:rsidRPr="004B7F03">
              <w:rPr>
                <w:rFonts w:cstheme="minorHAnsi"/>
                <w:b/>
                <w:bCs/>
                <w:i/>
              </w:rPr>
              <w:t>Commercialisation and Innovation</w:t>
            </w:r>
          </w:p>
          <w:p w14:paraId="2487A6E9" w14:textId="39C29FA2" w:rsidR="00FE293C" w:rsidRDefault="00FE293C" w:rsidP="00FE293C">
            <w:pPr>
              <w:pStyle w:val="NormalIndent"/>
              <w:spacing w:before="0" w:after="0"/>
              <w:ind w:left="22"/>
              <w:rPr>
                <w:rFonts w:cstheme="minorHAnsi"/>
                <w:iCs/>
              </w:rPr>
            </w:pPr>
            <w:r w:rsidRPr="004B7F03">
              <w:rPr>
                <w:rFonts w:cstheme="minorHAnsi"/>
                <w:iCs/>
              </w:rPr>
              <w:t xml:space="preserve">We are committed to translating research into tangible impact. We identify and </w:t>
            </w:r>
            <w:r w:rsidR="00961D6D">
              <w:rPr>
                <w:rFonts w:cstheme="minorHAnsi"/>
                <w:iCs/>
              </w:rPr>
              <w:t xml:space="preserve">nurture </w:t>
            </w:r>
            <w:r w:rsidRPr="004B7F03">
              <w:rPr>
                <w:rFonts w:cstheme="minorHAnsi"/>
                <w:iCs/>
              </w:rPr>
              <w:t xml:space="preserve">research with commercial potential, encourage invention disclosures, and protect intellectual property. Our </w:t>
            </w:r>
            <w:hyperlink r:id="rId71" w:history="1">
              <w:r w:rsidRPr="004B7F03">
                <w:rPr>
                  <w:rStyle w:val="Hyperlink"/>
                  <w:rFonts w:cstheme="minorHAnsi"/>
                  <w:iCs/>
                </w:rPr>
                <w:t>Research Centres and Institute</w:t>
              </w:r>
            </w:hyperlink>
            <w:r w:rsidRPr="004B7F03">
              <w:rPr>
                <w:rFonts w:cstheme="minorHAnsi"/>
                <w:iCs/>
              </w:rPr>
              <w:t xml:space="preserve">, including the Centre for Data Analytics, the Clem Jones Centre for Regenerative Medicine and the Institute for Evidence-Based Healthcare, explicitly drive commercial outcomes. </w:t>
            </w:r>
          </w:p>
          <w:p w14:paraId="09EA3B13" w14:textId="77777777" w:rsidR="000D6ACA" w:rsidRPr="004B7F03" w:rsidRDefault="000D6ACA" w:rsidP="00FE293C">
            <w:pPr>
              <w:pStyle w:val="NormalIndent"/>
              <w:spacing w:before="0" w:after="0"/>
              <w:ind w:left="22"/>
              <w:rPr>
                <w:rFonts w:cstheme="minorHAnsi"/>
                <w:b/>
                <w:bCs/>
                <w:iCs/>
              </w:rPr>
            </w:pPr>
          </w:p>
          <w:p w14:paraId="7E5F3A8E" w14:textId="77777777" w:rsidR="000D6ACA" w:rsidRPr="004B7F03" w:rsidRDefault="000D6ACA" w:rsidP="000D6ACA">
            <w:pPr>
              <w:contextualSpacing/>
            </w:pPr>
            <w:r w:rsidRPr="004B7F03">
              <w:t xml:space="preserve">The University ensures that world class research underpins the fields of education in which our programs are offered. As part of our TEQSA re-registration, a </w:t>
            </w:r>
            <w:hyperlink r:id="rId72" w:history="1">
              <w:r w:rsidRPr="004B7F03">
                <w:rPr>
                  <w:rStyle w:val="Hyperlink"/>
                </w:rPr>
                <w:t>quality assessment</w:t>
              </w:r>
            </w:hyperlink>
            <w:r w:rsidRPr="004B7F03">
              <w:t xml:space="preserve"> of research was undertaken which established that more than 50% of our taught Fields of Education were supported by excellence in research.</w:t>
            </w:r>
          </w:p>
          <w:p w14:paraId="26565D16" w14:textId="77777777" w:rsidR="000D6ACA" w:rsidRPr="004B7F03" w:rsidRDefault="000D6ACA" w:rsidP="000D6ACA">
            <w:pPr>
              <w:contextualSpacing/>
            </w:pPr>
          </w:p>
          <w:p w14:paraId="5A3DE670" w14:textId="77777777" w:rsidR="000D6ACA" w:rsidRPr="004B7F03" w:rsidRDefault="000D6ACA" w:rsidP="0021247F">
            <w:pPr>
              <w:spacing w:after="0"/>
              <w:contextualSpacing/>
            </w:pPr>
            <w:r w:rsidRPr="004B7F03">
              <w:t>Key measures for monitoring Research performance include:</w:t>
            </w:r>
          </w:p>
          <w:p w14:paraId="13BE418A" w14:textId="77777777" w:rsidR="000D6ACA" w:rsidRPr="004B7F03" w:rsidRDefault="000D6ACA" w:rsidP="0021247F">
            <w:pPr>
              <w:pStyle w:val="ListParagraph"/>
              <w:numPr>
                <w:ilvl w:val="0"/>
                <w:numId w:val="25"/>
              </w:numPr>
              <w:spacing w:after="0" w:line="240" w:lineRule="auto"/>
              <w:ind w:left="447" w:hanging="283"/>
            </w:pPr>
            <w:r w:rsidRPr="004B7F03">
              <w:t>Increase in external research income, and improved grant success rates;</w:t>
            </w:r>
          </w:p>
          <w:p w14:paraId="04E4FF5D" w14:textId="77777777" w:rsidR="000D6ACA" w:rsidRPr="004B7F03" w:rsidRDefault="000D6ACA" w:rsidP="0021247F">
            <w:pPr>
              <w:pStyle w:val="ListParagraph"/>
              <w:numPr>
                <w:ilvl w:val="0"/>
                <w:numId w:val="25"/>
              </w:numPr>
              <w:spacing w:after="0" w:line="240" w:lineRule="auto"/>
              <w:ind w:left="447" w:hanging="283"/>
            </w:pPr>
            <w:r w:rsidRPr="004B7F03">
              <w:t>Percentage of research outputs published in high quality journals;</w:t>
            </w:r>
          </w:p>
          <w:p w14:paraId="6025370C" w14:textId="77777777" w:rsidR="000D6ACA" w:rsidRPr="004B7F03" w:rsidRDefault="000D6ACA" w:rsidP="0021247F">
            <w:pPr>
              <w:pStyle w:val="ListParagraph"/>
              <w:numPr>
                <w:ilvl w:val="0"/>
                <w:numId w:val="25"/>
              </w:numPr>
              <w:spacing w:after="0" w:line="240" w:lineRule="auto"/>
              <w:ind w:left="447" w:hanging="283"/>
            </w:pPr>
            <w:r w:rsidRPr="004B7F03">
              <w:t>Number of qualified HR supervisors and HDR completion rates; and</w:t>
            </w:r>
          </w:p>
          <w:p w14:paraId="0EBDC445" w14:textId="77777777" w:rsidR="000D6ACA" w:rsidRPr="004B7F03" w:rsidRDefault="000D6ACA" w:rsidP="0021247F">
            <w:pPr>
              <w:pStyle w:val="ListParagraph"/>
              <w:numPr>
                <w:ilvl w:val="0"/>
                <w:numId w:val="25"/>
              </w:numPr>
              <w:spacing w:after="0" w:line="240" w:lineRule="auto"/>
              <w:ind w:left="447" w:hanging="283"/>
            </w:pPr>
            <w:r w:rsidRPr="004B7F03">
              <w:t>Revenue from commercialisation activities.</w:t>
            </w:r>
          </w:p>
          <w:p w14:paraId="40DA31C2" w14:textId="77777777" w:rsidR="001B109C" w:rsidRPr="00583B49" w:rsidRDefault="001B109C" w:rsidP="00B84070">
            <w:pPr>
              <w:pStyle w:val="NormalIndent"/>
              <w:spacing w:before="0" w:after="0"/>
              <w:ind w:left="0"/>
              <w:rPr>
                <w:rFonts w:asciiTheme="minorHAnsi" w:hAnsiTheme="minorHAnsi" w:cstheme="minorHAnsi"/>
                <w:i/>
                <w:color w:val="FF0000"/>
                <w:szCs w:val="22"/>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19A86F2E" w14:textId="77777777" w:rsidR="00CC4848" w:rsidRPr="004B7F03" w:rsidRDefault="00CC4848" w:rsidP="00CC4848">
            <w:pPr>
              <w:rPr>
                <w:rFonts w:ascii="Calibri" w:eastAsia="Calibri" w:hAnsi="Calibri" w:cs="Times New Roman"/>
                <w:kern w:val="2"/>
                <w14:ligatures w14:val="standardContextual"/>
              </w:rPr>
            </w:pPr>
            <w:r w:rsidRPr="004B7F03">
              <w:rPr>
                <w:rFonts w:ascii="Calibri" w:eastAsia="Calibri" w:hAnsi="Calibri" w:cs="Times New Roman"/>
                <w:kern w:val="2"/>
                <w14:ligatures w14:val="standardContextual"/>
              </w:rPr>
              <w:t xml:space="preserve">Bond University’s industry engagement strategies seek to drive innovation and achieve shared success through impactful, mutually enriching partnerships: see </w:t>
            </w:r>
            <w:hyperlink r:id="rId73" w:history="1">
              <w:r w:rsidRPr="004B7F03">
                <w:rPr>
                  <w:rStyle w:val="Hyperlink"/>
                  <w:rFonts w:ascii="Calibri" w:eastAsia="Calibri" w:hAnsi="Calibri" w:cs="Times New Roman"/>
                  <w:kern w:val="2"/>
                  <w14:ligatures w14:val="standardContextual"/>
                </w:rPr>
                <w:t>Industry and Partners</w:t>
              </w:r>
            </w:hyperlink>
            <w:r w:rsidRPr="004B7F03">
              <w:rPr>
                <w:rFonts w:ascii="Calibri" w:eastAsia="Calibri" w:hAnsi="Calibri" w:cs="Times New Roman"/>
                <w:kern w:val="2"/>
                <w14:ligatures w14:val="standardContextual"/>
              </w:rPr>
              <w:t xml:space="preserve">. </w:t>
            </w:r>
          </w:p>
          <w:p w14:paraId="29EEA25F" w14:textId="77777777" w:rsidR="00CC4848" w:rsidRPr="004B7F03" w:rsidRDefault="00CC4848" w:rsidP="00CC4848">
            <w:pPr>
              <w:rPr>
                <w:rFonts w:ascii="Calibri" w:eastAsia="Calibri" w:hAnsi="Calibri" w:cs="Times New Roman"/>
                <w:kern w:val="2"/>
                <w14:ligatures w14:val="standardContextual"/>
              </w:rPr>
            </w:pPr>
            <w:r w:rsidRPr="004B7F03">
              <w:rPr>
                <w:rFonts w:ascii="Calibri" w:eastAsia="Calibri" w:hAnsi="Calibri" w:cs="Times New Roman"/>
                <w:kern w:val="2"/>
                <w14:ligatures w14:val="standardContextual"/>
              </w:rPr>
              <w:t>In this regard, our focus is on:</w:t>
            </w:r>
          </w:p>
          <w:p w14:paraId="42D7D1C8"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Continuing to support ongoing partnerships and streamlining communications between Bond and industry partners through a range of activities including Industry Advisory Boards;</w:t>
            </w:r>
          </w:p>
          <w:p w14:paraId="6C97B321"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Identifying and capitalising on partnership opportunities that yield mutual benefits for all entities involved; </w:t>
            </w:r>
          </w:p>
          <w:p w14:paraId="12BFF227"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Pursuing and enhancing opportunities related to sponsorship, research, and commercialisation within the industry; </w:t>
            </w:r>
          </w:p>
          <w:p w14:paraId="68B96AB4"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Recognising partnership agreements that offer both traditional and commercial advantages and opportunities for value exchange; </w:t>
            </w:r>
          </w:p>
          <w:p w14:paraId="2C3F5F7F" w14:textId="77777777" w:rsidR="00CC4848" w:rsidRPr="00CC4848" w:rsidRDefault="00CC4848" w:rsidP="00CC4848">
            <w:pPr>
              <w:pStyle w:val="ListParagraph"/>
              <w:numPr>
                <w:ilvl w:val="0"/>
                <w:numId w:val="28"/>
              </w:numPr>
              <w:spacing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Continuing to develop tailored internship programs in collaboration with industry partners, offering students hands-on experience and contributing to workforce readiness;</w:t>
            </w:r>
          </w:p>
          <w:p w14:paraId="163F5864"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Designing and implementing an events campaign to create avenues for discovering and enhancing executive education opportunities, which Faculties can further cultivate; </w:t>
            </w:r>
          </w:p>
          <w:p w14:paraId="172EB239"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Amplifying the brand image and reputation of Bond University within the broader industry through proactive involvement in local and regional influential boards; </w:t>
            </w:r>
          </w:p>
          <w:p w14:paraId="7577E987" w14:textId="77777777" w:rsid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 xml:space="preserve">Organising regular Executive Round Tables to engage high profile industry leaders in discussions about significant and contemporary issues impacting the Southeast Queensland region; </w:t>
            </w:r>
          </w:p>
          <w:p w14:paraId="57681262" w14:textId="4EB60F00" w:rsidR="00E912AC" w:rsidRPr="00CC4848" w:rsidRDefault="00DF3B16"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Pr>
                <w:rFonts w:ascii="Calibri" w:eastAsia="Calibri" w:hAnsi="Calibri" w:cs="Times New Roman"/>
                <w:kern w:val="2"/>
                <w14:ligatures w14:val="standardContextual"/>
              </w:rPr>
              <w:t>Facilitate industry engagement through incubators, accelerators, and innovation hubs that support student and faculty-led startups;</w:t>
            </w:r>
          </w:p>
          <w:p w14:paraId="1446E26C" w14:textId="77777777" w:rsidR="00CC4848" w:rsidRPr="00CC4848" w:rsidRDefault="00CC4848" w:rsidP="00CC4848">
            <w:pPr>
              <w:pStyle w:val="ListParagraph"/>
              <w:numPr>
                <w:ilvl w:val="0"/>
                <w:numId w:val="28"/>
              </w:numPr>
              <w:spacing w:before="240" w:after="0" w:line="240" w:lineRule="auto"/>
              <w:rPr>
                <w:rFonts w:ascii="Calibri" w:eastAsia="Calibri" w:hAnsi="Calibri" w:cs="Times New Roman"/>
                <w:kern w:val="2"/>
                <w14:ligatures w14:val="standardContextual"/>
              </w:rPr>
            </w:pPr>
            <w:r w:rsidRPr="00CC4848">
              <w:rPr>
                <w:rFonts w:ascii="Calibri" w:eastAsia="Calibri" w:hAnsi="Calibri" w:cs="Times New Roman"/>
                <w:kern w:val="2"/>
                <w14:ligatures w14:val="standardContextual"/>
              </w:rPr>
              <w:t>Sustaining a robust industry-engaging media presence by generating opinion-based reports on crucial current topics; and</w:t>
            </w:r>
          </w:p>
          <w:p w14:paraId="2F94CC18" w14:textId="7EB74EC8" w:rsidR="001B109C" w:rsidRDefault="00CC4848" w:rsidP="00CC4848">
            <w:pPr>
              <w:pStyle w:val="NormalIndent"/>
              <w:numPr>
                <w:ilvl w:val="0"/>
                <w:numId w:val="28"/>
              </w:numPr>
              <w:spacing w:before="0" w:after="0"/>
              <w:rPr>
                <w:rFonts w:asciiTheme="minorHAnsi" w:hAnsiTheme="minorHAnsi" w:cstheme="minorHAnsi"/>
                <w:i/>
                <w:color w:val="FF0000"/>
                <w:szCs w:val="22"/>
              </w:rPr>
            </w:pPr>
            <w:r w:rsidRPr="004B7F03">
              <w:rPr>
                <w:rFonts w:asciiTheme="minorHAnsi" w:hAnsiTheme="minorHAnsi" w:cstheme="minorHAnsi"/>
                <w:iCs/>
                <w:szCs w:val="22"/>
              </w:rPr>
              <w:t xml:space="preserve">Designing </w:t>
            </w:r>
            <w:hyperlink r:id="rId74" w:history="1">
              <w:r w:rsidRPr="004B7F03">
                <w:rPr>
                  <w:rStyle w:val="Hyperlink"/>
                  <w:rFonts w:asciiTheme="minorHAnsi" w:hAnsiTheme="minorHAnsi" w:cstheme="minorHAnsi"/>
                  <w:iCs/>
                  <w:szCs w:val="22"/>
                </w:rPr>
                <w:t>Microcredentials</w:t>
              </w:r>
            </w:hyperlink>
            <w:r w:rsidRPr="004B7F03">
              <w:rPr>
                <w:rFonts w:asciiTheme="minorHAnsi" w:hAnsiTheme="minorHAnsi" w:cstheme="minorHAnsi"/>
                <w:iCs/>
                <w:szCs w:val="22"/>
              </w:rPr>
              <w:t xml:space="preserve"> in collaboration with industry partners to respond to market needs</w:t>
            </w:r>
            <w:r w:rsidR="009B089E">
              <w:rPr>
                <w:rFonts w:asciiTheme="minorHAnsi" w:hAnsiTheme="minorHAnsi" w:cstheme="minorHAnsi"/>
                <w:iCs/>
                <w:szCs w:val="22"/>
              </w:rPr>
              <w:t>.</w:t>
            </w:r>
          </w:p>
          <w:p w14:paraId="6465FC91" w14:textId="77777777" w:rsidR="001B109C" w:rsidRPr="007E3E37" w:rsidRDefault="001B109C" w:rsidP="00962F05">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1DCF2E13" w:rsidR="001B109C" w:rsidRPr="00E114B4" w:rsidRDefault="00CD0850"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5C44A948" w:rsidR="001B109C" w:rsidRPr="00E114B4" w:rsidRDefault="00672B4C"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529EA529" w:rsidR="001B109C" w:rsidRPr="00E114B4" w:rsidRDefault="009830C6"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64811C63" w:rsidR="001B109C" w:rsidRPr="00E114B4" w:rsidRDefault="006F687E"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5C61BC80" w:rsidR="001B109C" w:rsidRPr="00EF26B2" w:rsidRDefault="00EF26B2" w:rsidP="00962F05">
            <w:pPr>
              <w:pBdr>
                <w:bottom w:val="single" w:sz="12" w:space="1" w:color="auto"/>
              </w:pBdr>
              <w:rPr>
                <w:rFonts w:cstheme="minorHAnsi"/>
              </w:rPr>
            </w:pPr>
            <w:r w:rsidRPr="00EF26B2">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C6E7CF5" w:rsidR="001B109C" w:rsidRPr="00E169EE" w:rsidRDefault="00FA3207"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Bond University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08AA11BC" w:rsidR="001B109C" w:rsidRPr="00E169EE" w:rsidRDefault="00FA3207" w:rsidP="00962F05">
            <w:pPr>
              <w:pBdr>
                <w:bottom w:val="single" w:sz="12" w:space="1" w:color="auto"/>
              </w:pBdr>
              <w:rPr>
                <w:rFonts w:cstheme="minorHAnsi"/>
                <w:b/>
                <w:bCs/>
              </w:rPr>
            </w:pPr>
            <w:r>
              <w:rPr>
                <w:rFonts w:cstheme="minorHAnsi"/>
                <w:b/>
                <w:bCs/>
              </w:rPr>
              <w:t>Professor Tim Brailsford</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74E1B58C" w:rsidR="001B109C" w:rsidRPr="002F4604" w:rsidRDefault="00FA3207" w:rsidP="00962F05">
            <w:pPr>
              <w:pBdr>
                <w:bottom w:val="single" w:sz="12" w:space="1" w:color="auto"/>
              </w:pBdr>
              <w:rPr>
                <w:rFonts w:cstheme="minorHAnsi"/>
                <w:b/>
                <w:bCs/>
              </w:rPr>
            </w:pPr>
            <w:r>
              <w:rPr>
                <w:rFonts w:cstheme="minorHAnsi"/>
                <w:b/>
                <w:bCs/>
              </w:rPr>
              <w:t>Rachel Davis</w:t>
            </w: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11D5F8E1" w:rsidR="001B109C" w:rsidRPr="00E169EE" w:rsidRDefault="00FA3207" w:rsidP="00962F05">
            <w:pPr>
              <w:pBdr>
                <w:bottom w:val="single" w:sz="12" w:space="1" w:color="auto"/>
              </w:pBdr>
              <w:spacing w:after="0"/>
              <w:rPr>
                <w:rFonts w:cstheme="minorHAnsi"/>
                <w:b/>
                <w:bCs/>
              </w:rPr>
            </w:pPr>
            <w:r>
              <w:rPr>
                <w:rFonts w:cstheme="minorHAnsi"/>
                <w:b/>
                <w:bCs/>
              </w:rPr>
              <w:t>Vice Chancellor and President</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76B47866" w:rsidR="001B109C" w:rsidRPr="002F4604" w:rsidRDefault="00FA3207" w:rsidP="00962F05">
            <w:pPr>
              <w:pBdr>
                <w:bottom w:val="single" w:sz="12" w:space="1" w:color="auto"/>
              </w:pBdr>
              <w:spacing w:after="0"/>
              <w:rPr>
                <w:rFonts w:cstheme="minorHAnsi"/>
                <w:b/>
                <w:bCs/>
              </w:rPr>
            </w:pPr>
            <w:r>
              <w:rPr>
                <w:rFonts w:cstheme="minorHAnsi"/>
                <w:b/>
                <w:bCs/>
              </w:rPr>
              <w:t>Executive Officer</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77777777"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77777777"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75"/>
      <w:footerReference w:type="first" r:id="rId7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F1AB" w14:textId="77777777" w:rsidR="00917C8D" w:rsidRDefault="00917C8D" w:rsidP="000A6228">
      <w:pPr>
        <w:spacing w:after="0" w:line="240" w:lineRule="auto"/>
      </w:pPr>
      <w:r>
        <w:separator/>
      </w:r>
    </w:p>
  </w:endnote>
  <w:endnote w:type="continuationSeparator" w:id="0">
    <w:p w14:paraId="6FA7EEAE" w14:textId="77777777" w:rsidR="00917C8D" w:rsidRDefault="00917C8D" w:rsidP="000A6228">
      <w:pPr>
        <w:spacing w:after="0" w:line="240" w:lineRule="auto"/>
      </w:pPr>
      <w:r>
        <w:continuationSeparator/>
      </w:r>
    </w:p>
  </w:endnote>
  <w:endnote w:type="continuationNotice" w:id="1">
    <w:p w14:paraId="7D0F54E9" w14:textId="77777777" w:rsidR="00917C8D" w:rsidRDefault="00917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3F2F" w14:textId="77777777" w:rsidR="00917C8D" w:rsidRDefault="00917C8D" w:rsidP="000A6228">
      <w:pPr>
        <w:spacing w:after="0" w:line="240" w:lineRule="auto"/>
      </w:pPr>
      <w:r>
        <w:separator/>
      </w:r>
    </w:p>
  </w:footnote>
  <w:footnote w:type="continuationSeparator" w:id="0">
    <w:p w14:paraId="283E9469" w14:textId="77777777" w:rsidR="00917C8D" w:rsidRDefault="00917C8D" w:rsidP="000A6228">
      <w:pPr>
        <w:spacing w:after="0" w:line="240" w:lineRule="auto"/>
      </w:pPr>
      <w:r>
        <w:continuationSeparator/>
      </w:r>
    </w:p>
  </w:footnote>
  <w:footnote w:type="continuationNotice" w:id="1">
    <w:p w14:paraId="6602C4CD" w14:textId="77777777" w:rsidR="00917C8D" w:rsidRDefault="00917C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CD5DD2"/>
    <w:multiLevelType w:val="hybridMultilevel"/>
    <w:tmpl w:val="0E62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CD2EE0"/>
    <w:multiLevelType w:val="hybridMultilevel"/>
    <w:tmpl w:val="BDE48F28"/>
    <w:lvl w:ilvl="0" w:tplc="A40CDE1E">
      <w:start w:val="1"/>
      <w:numFmt w:val="bullet"/>
      <w:lvlText w:val="-"/>
      <w:lvlJc w:val="left"/>
      <w:pPr>
        <w:ind w:left="720" w:hanging="360"/>
      </w:pPr>
      <w:rPr>
        <w:rFonts w:ascii="Calibri" w:eastAsiaTheme="minorEastAsia"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ED3E49"/>
    <w:multiLevelType w:val="multilevel"/>
    <w:tmpl w:val="1BE0E16A"/>
    <w:lvl w:ilvl="0">
      <w:start w:val="1"/>
      <w:numFmt w:val="none"/>
      <w:suff w:val="nothing"/>
      <w:lvlText w:val=""/>
      <w:lvlJc w:val="left"/>
      <w:pPr>
        <w:ind w:left="0" w:firstLine="0"/>
      </w:pPr>
    </w:lvl>
    <w:lvl w:ilvl="1">
      <w:start w:val="1"/>
      <w:numFmt w:val="bullet"/>
      <w:lvlText w:val=""/>
      <w:lvlJc w:val="left"/>
      <w:pPr>
        <w:ind w:left="360" w:hanging="360"/>
      </w:pPr>
      <w:rPr>
        <w:rFonts w:ascii="Symbol" w:hAnsi="Symbol" w:hint="default"/>
      </w:r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15:restartNumberingAfterBreak="0">
    <w:nsid w:val="2D8A36A6"/>
    <w:multiLevelType w:val="hybridMultilevel"/>
    <w:tmpl w:val="BD20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9E6BFB"/>
    <w:multiLevelType w:val="hybridMultilevel"/>
    <w:tmpl w:val="CA34A1C2"/>
    <w:lvl w:ilvl="0" w:tplc="6804CD76">
      <w:numFmt w:val="bullet"/>
      <w:lvlText w:val="•"/>
      <w:lvlJc w:val="left"/>
      <w:pPr>
        <w:ind w:left="72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C365B8"/>
    <w:multiLevelType w:val="hybridMultilevel"/>
    <w:tmpl w:val="A34E6A72"/>
    <w:lvl w:ilvl="0" w:tplc="A40CDE1E">
      <w:start w:val="1"/>
      <w:numFmt w:val="bullet"/>
      <w:lvlText w:val="-"/>
      <w:lvlJc w:val="left"/>
      <w:pPr>
        <w:ind w:left="360" w:hanging="360"/>
      </w:pPr>
      <w:rPr>
        <w:rFonts w:ascii="Calibri" w:eastAsiaTheme="minorEastAsia" w:hAnsi="Calibri" w:cs="Calibr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4A21EF1"/>
    <w:multiLevelType w:val="hybridMultilevel"/>
    <w:tmpl w:val="7DCA3EBA"/>
    <w:lvl w:ilvl="0" w:tplc="6804CD76">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D155BC"/>
    <w:multiLevelType w:val="hybridMultilevel"/>
    <w:tmpl w:val="CD7478FA"/>
    <w:lvl w:ilvl="0" w:tplc="A40CDE1E">
      <w:start w:val="1"/>
      <w:numFmt w:val="bullet"/>
      <w:lvlText w:val="-"/>
      <w:lvlJc w:val="left"/>
      <w:pPr>
        <w:ind w:left="360" w:hanging="360"/>
      </w:pPr>
      <w:rPr>
        <w:rFonts w:ascii="Calibri" w:eastAsiaTheme="minorEastAsia" w:hAnsi="Calibri" w:cs="Calibr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69024D"/>
    <w:multiLevelType w:val="hybridMultilevel"/>
    <w:tmpl w:val="E272C934"/>
    <w:lvl w:ilvl="0" w:tplc="A40CDE1E">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7"/>
  </w:num>
  <w:num w:numId="11" w16cid:durableId="419833051">
    <w:abstractNumId w:val="24"/>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6"/>
  </w:num>
  <w:num w:numId="17" w16cid:durableId="1022434231">
    <w:abstractNumId w:val="18"/>
  </w:num>
  <w:num w:numId="18" w16cid:durableId="618417265">
    <w:abstractNumId w:val="9"/>
  </w:num>
  <w:num w:numId="19" w16cid:durableId="271010807">
    <w:abstractNumId w:val="22"/>
  </w:num>
  <w:num w:numId="20" w16cid:durableId="1382097716">
    <w:abstractNumId w:val="15"/>
  </w:num>
  <w:num w:numId="21" w16cid:durableId="2122263429">
    <w:abstractNumId w:val="20"/>
  </w:num>
  <w:num w:numId="22" w16cid:durableId="1020279797">
    <w:abstractNumId w:val="14"/>
  </w:num>
  <w:num w:numId="23" w16cid:durableId="2052728254">
    <w:abstractNumId w:val="13"/>
  </w:num>
  <w:num w:numId="24" w16cid:durableId="1680307323">
    <w:abstractNumId w:val="23"/>
  </w:num>
  <w:num w:numId="25" w16cid:durableId="21178532">
    <w:abstractNumId w:val="25"/>
  </w:num>
  <w:num w:numId="26" w16cid:durableId="1700930845">
    <w:abstractNumId w:val="8"/>
  </w:num>
  <w:num w:numId="27" w16cid:durableId="121654824">
    <w:abstractNumId w:val="19"/>
  </w:num>
  <w:num w:numId="28" w16cid:durableId="1467233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EAC"/>
    <w:rsid w:val="00012366"/>
    <w:rsid w:val="00021FBE"/>
    <w:rsid w:val="00045E1D"/>
    <w:rsid w:val="0004699F"/>
    <w:rsid w:val="000521B0"/>
    <w:rsid w:val="000521D7"/>
    <w:rsid w:val="000960CF"/>
    <w:rsid w:val="000A0B58"/>
    <w:rsid w:val="000A3598"/>
    <w:rsid w:val="000A3A19"/>
    <w:rsid w:val="000A6228"/>
    <w:rsid w:val="000B5D40"/>
    <w:rsid w:val="000B7EC6"/>
    <w:rsid w:val="000D5788"/>
    <w:rsid w:val="000D6ACA"/>
    <w:rsid w:val="00100362"/>
    <w:rsid w:val="00107D87"/>
    <w:rsid w:val="00107DD5"/>
    <w:rsid w:val="0012343A"/>
    <w:rsid w:val="00133B8D"/>
    <w:rsid w:val="0013611E"/>
    <w:rsid w:val="00144448"/>
    <w:rsid w:val="001474A7"/>
    <w:rsid w:val="001515BF"/>
    <w:rsid w:val="0015549C"/>
    <w:rsid w:val="00156135"/>
    <w:rsid w:val="0017134D"/>
    <w:rsid w:val="00176008"/>
    <w:rsid w:val="00196CDA"/>
    <w:rsid w:val="001B109C"/>
    <w:rsid w:val="001B2549"/>
    <w:rsid w:val="001C1523"/>
    <w:rsid w:val="001D30F0"/>
    <w:rsid w:val="001D347D"/>
    <w:rsid w:val="001D5A6A"/>
    <w:rsid w:val="001D743F"/>
    <w:rsid w:val="001E1C55"/>
    <w:rsid w:val="001E3BF1"/>
    <w:rsid w:val="001E6DBC"/>
    <w:rsid w:val="001F35C4"/>
    <w:rsid w:val="0021247F"/>
    <w:rsid w:val="00217414"/>
    <w:rsid w:val="00221D8F"/>
    <w:rsid w:val="002272DB"/>
    <w:rsid w:val="00235752"/>
    <w:rsid w:val="00241CF3"/>
    <w:rsid w:val="00243E69"/>
    <w:rsid w:val="002507F2"/>
    <w:rsid w:val="002631EE"/>
    <w:rsid w:val="00263F5A"/>
    <w:rsid w:val="00276047"/>
    <w:rsid w:val="002775F3"/>
    <w:rsid w:val="0029618B"/>
    <w:rsid w:val="002A4458"/>
    <w:rsid w:val="002B3E51"/>
    <w:rsid w:val="002C1F0F"/>
    <w:rsid w:val="002D3EFA"/>
    <w:rsid w:val="002D52B4"/>
    <w:rsid w:val="002D589A"/>
    <w:rsid w:val="002E24CC"/>
    <w:rsid w:val="002E491A"/>
    <w:rsid w:val="002E6F33"/>
    <w:rsid w:val="002F4604"/>
    <w:rsid w:val="002F485E"/>
    <w:rsid w:val="00304890"/>
    <w:rsid w:val="00307BE7"/>
    <w:rsid w:val="00312A19"/>
    <w:rsid w:val="00314F35"/>
    <w:rsid w:val="0033537D"/>
    <w:rsid w:val="00336A11"/>
    <w:rsid w:val="0034001C"/>
    <w:rsid w:val="003A2636"/>
    <w:rsid w:val="003A6E18"/>
    <w:rsid w:val="003C51FA"/>
    <w:rsid w:val="003D76E2"/>
    <w:rsid w:val="0040155D"/>
    <w:rsid w:val="004070A7"/>
    <w:rsid w:val="0041713E"/>
    <w:rsid w:val="00421D3F"/>
    <w:rsid w:val="00423785"/>
    <w:rsid w:val="0042692C"/>
    <w:rsid w:val="00447584"/>
    <w:rsid w:val="00452D26"/>
    <w:rsid w:val="00462848"/>
    <w:rsid w:val="00463568"/>
    <w:rsid w:val="00467CA4"/>
    <w:rsid w:val="0048142D"/>
    <w:rsid w:val="0049333E"/>
    <w:rsid w:val="004A06CD"/>
    <w:rsid w:val="004A4B6F"/>
    <w:rsid w:val="004A4CF9"/>
    <w:rsid w:val="004A5665"/>
    <w:rsid w:val="004D2965"/>
    <w:rsid w:val="004D2D9D"/>
    <w:rsid w:val="004E6C1C"/>
    <w:rsid w:val="004F63EA"/>
    <w:rsid w:val="004F65E7"/>
    <w:rsid w:val="00503A15"/>
    <w:rsid w:val="00520BA6"/>
    <w:rsid w:val="005210CB"/>
    <w:rsid w:val="00541139"/>
    <w:rsid w:val="005437B4"/>
    <w:rsid w:val="00547FB7"/>
    <w:rsid w:val="0057028F"/>
    <w:rsid w:val="00574035"/>
    <w:rsid w:val="00591F57"/>
    <w:rsid w:val="005A75C9"/>
    <w:rsid w:val="005B187D"/>
    <w:rsid w:val="005E4BFD"/>
    <w:rsid w:val="005F015E"/>
    <w:rsid w:val="005F35D6"/>
    <w:rsid w:val="006007DE"/>
    <w:rsid w:val="006232DC"/>
    <w:rsid w:val="0063094F"/>
    <w:rsid w:val="00652E29"/>
    <w:rsid w:val="00672B4C"/>
    <w:rsid w:val="00696261"/>
    <w:rsid w:val="006A56D9"/>
    <w:rsid w:val="006B2B77"/>
    <w:rsid w:val="006C1BBB"/>
    <w:rsid w:val="006C2833"/>
    <w:rsid w:val="006D2C42"/>
    <w:rsid w:val="006D67F3"/>
    <w:rsid w:val="006E5F3D"/>
    <w:rsid w:val="006E6078"/>
    <w:rsid w:val="006F1FFF"/>
    <w:rsid w:val="006F2406"/>
    <w:rsid w:val="006F687E"/>
    <w:rsid w:val="006F6D10"/>
    <w:rsid w:val="00710258"/>
    <w:rsid w:val="00712B94"/>
    <w:rsid w:val="007147CD"/>
    <w:rsid w:val="00715A20"/>
    <w:rsid w:val="00717352"/>
    <w:rsid w:val="0073028D"/>
    <w:rsid w:val="007517BA"/>
    <w:rsid w:val="00765BA6"/>
    <w:rsid w:val="0077782B"/>
    <w:rsid w:val="00785B58"/>
    <w:rsid w:val="007B2CA1"/>
    <w:rsid w:val="007D0ABC"/>
    <w:rsid w:val="007E1B20"/>
    <w:rsid w:val="007E1D68"/>
    <w:rsid w:val="007F55CB"/>
    <w:rsid w:val="007F58E8"/>
    <w:rsid w:val="007F5ECA"/>
    <w:rsid w:val="00801867"/>
    <w:rsid w:val="008034C4"/>
    <w:rsid w:val="008042F5"/>
    <w:rsid w:val="008424CA"/>
    <w:rsid w:val="00861B08"/>
    <w:rsid w:val="00862A1C"/>
    <w:rsid w:val="0086428D"/>
    <w:rsid w:val="00886959"/>
    <w:rsid w:val="00893A34"/>
    <w:rsid w:val="008974C4"/>
    <w:rsid w:val="008A36E1"/>
    <w:rsid w:val="008A37A7"/>
    <w:rsid w:val="008A7AB4"/>
    <w:rsid w:val="008B0736"/>
    <w:rsid w:val="008C1F5A"/>
    <w:rsid w:val="008C69E9"/>
    <w:rsid w:val="008C7E65"/>
    <w:rsid w:val="008D4FA9"/>
    <w:rsid w:val="00907DF7"/>
    <w:rsid w:val="00907EBF"/>
    <w:rsid w:val="00913D0F"/>
    <w:rsid w:val="00917C8D"/>
    <w:rsid w:val="009354D0"/>
    <w:rsid w:val="00944E54"/>
    <w:rsid w:val="0094540F"/>
    <w:rsid w:val="009467D6"/>
    <w:rsid w:val="00950B06"/>
    <w:rsid w:val="00961D6D"/>
    <w:rsid w:val="00970069"/>
    <w:rsid w:val="009721EB"/>
    <w:rsid w:val="009741FE"/>
    <w:rsid w:val="009769D1"/>
    <w:rsid w:val="00980B05"/>
    <w:rsid w:val="009830C6"/>
    <w:rsid w:val="00992207"/>
    <w:rsid w:val="00994D60"/>
    <w:rsid w:val="009A08CE"/>
    <w:rsid w:val="009B089E"/>
    <w:rsid w:val="009B706E"/>
    <w:rsid w:val="009C1E72"/>
    <w:rsid w:val="009C423A"/>
    <w:rsid w:val="009D2E97"/>
    <w:rsid w:val="009E220E"/>
    <w:rsid w:val="009E79ED"/>
    <w:rsid w:val="009F0A92"/>
    <w:rsid w:val="00A07596"/>
    <w:rsid w:val="00A14192"/>
    <w:rsid w:val="00A17A08"/>
    <w:rsid w:val="00A2072C"/>
    <w:rsid w:val="00A25586"/>
    <w:rsid w:val="00A26E98"/>
    <w:rsid w:val="00A314D3"/>
    <w:rsid w:val="00A55604"/>
    <w:rsid w:val="00A60673"/>
    <w:rsid w:val="00A64916"/>
    <w:rsid w:val="00A818DE"/>
    <w:rsid w:val="00A84460"/>
    <w:rsid w:val="00AA2E14"/>
    <w:rsid w:val="00AB2A61"/>
    <w:rsid w:val="00AC1872"/>
    <w:rsid w:val="00AC21EE"/>
    <w:rsid w:val="00AD13D0"/>
    <w:rsid w:val="00AD372D"/>
    <w:rsid w:val="00AD631F"/>
    <w:rsid w:val="00AE0334"/>
    <w:rsid w:val="00AE21FF"/>
    <w:rsid w:val="00AF1F18"/>
    <w:rsid w:val="00B04FA8"/>
    <w:rsid w:val="00B0726E"/>
    <w:rsid w:val="00B219D1"/>
    <w:rsid w:val="00B24DA1"/>
    <w:rsid w:val="00B37F99"/>
    <w:rsid w:val="00B41B8B"/>
    <w:rsid w:val="00B429C3"/>
    <w:rsid w:val="00B64B3D"/>
    <w:rsid w:val="00B72125"/>
    <w:rsid w:val="00B768A9"/>
    <w:rsid w:val="00B7742D"/>
    <w:rsid w:val="00B81FA4"/>
    <w:rsid w:val="00B84070"/>
    <w:rsid w:val="00B8794C"/>
    <w:rsid w:val="00B91B28"/>
    <w:rsid w:val="00B95EF4"/>
    <w:rsid w:val="00BA4412"/>
    <w:rsid w:val="00BA5305"/>
    <w:rsid w:val="00BA7DC9"/>
    <w:rsid w:val="00BB5BEB"/>
    <w:rsid w:val="00BB6509"/>
    <w:rsid w:val="00BB79E4"/>
    <w:rsid w:val="00BC248C"/>
    <w:rsid w:val="00BC5153"/>
    <w:rsid w:val="00C01EC0"/>
    <w:rsid w:val="00C13A5F"/>
    <w:rsid w:val="00C212D2"/>
    <w:rsid w:val="00C2270F"/>
    <w:rsid w:val="00C244EE"/>
    <w:rsid w:val="00C319A4"/>
    <w:rsid w:val="00C32AE5"/>
    <w:rsid w:val="00C41F9A"/>
    <w:rsid w:val="00C629ED"/>
    <w:rsid w:val="00C72224"/>
    <w:rsid w:val="00C75706"/>
    <w:rsid w:val="00C811CC"/>
    <w:rsid w:val="00CA4815"/>
    <w:rsid w:val="00CC1725"/>
    <w:rsid w:val="00CC23A3"/>
    <w:rsid w:val="00CC4848"/>
    <w:rsid w:val="00CD0850"/>
    <w:rsid w:val="00CF6562"/>
    <w:rsid w:val="00D022AF"/>
    <w:rsid w:val="00D22F93"/>
    <w:rsid w:val="00D23208"/>
    <w:rsid w:val="00D23ABC"/>
    <w:rsid w:val="00D260A7"/>
    <w:rsid w:val="00D319DF"/>
    <w:rsid w:val="00D5688A"/>
    <w:rsid w:val="00D65E8B"/>
    <w:rsid w:val="00D7558A"/>
    <w:rsid w:val="00D81063"/>
    <w:rsid w:val="00D82BFE"/>
    <w:rsid w:val="00D86284"/>
    <w:rsid w:val="00D87809"/>
    <w:rsid w:val="00DB2992"/>
    <w:rsid w:val="00DC5980"/>
    <w:rsid w:val="00DD2B46"/>
    <w:rsid w:val="00DD3400"/>
    <w:rsid w:val="00DD3642"/>
    <w:rsid w:val="00DD6E40"/>
    <w:rsid w:val="00DF3B16"/>
    <w:rsid w:val="00DF3F63"/>
    <w:rsid w:val="00DF4014"/>
    <w:rsid w:val="00E0301D"/>
    <w:rsid w:val="00E06ED6"/>
    <w:rsid w:val="00E0752E"/>
    <w:rsid w:val="00E114B4"/>
    <w:rsid w:val="00E30B4D"/>
    <w:rsid w:val="00E529E5"/>
    <w:rsid w:val="00E55C8C"/>
    <w:rsid w:val="00E912AC"/>
    <w:rsid w:val="00E95785"/>
    <w:rsid w:val="00EB2CCB"/>
    <w:rsid w:val="00EB4C2F"/>
    <w:rsid w:val="00ED0DDF"/>
    <w:rsid w:val="00ED3DDC"/>
    <w:rsid w:val="00EE2E52"/>
    <w:rsid w:val="00EE40F7"/>
    <w:rsid w:val="00EF0D4C"/>
    <w:rsid w:val="00EF26B2"/>
    <w:rsid w:val="00EF5C61"/>
    <w:rsid w:val="00F07246"/>
    <w:rsid w:val="00F1000D"/>
    <w:rsid w:val="00F11041"/>
    <w:rsid w:val="00F23373"/>
    <w:rsid w:val="00F30BFA"/>
    <w:rsid w:val="00F311A4"/>
    <w:rsid w:val="00F54386"/>
    <w:rsid w:val="00F60B66"/>
    <w:rsid w:val="00F62F3A"/>
    <w:rsid w:val="00F81D5D"/>
    <w:rsid w:val="00F82C2C"/>
    <w:rsid w:val="00F85913"/>
    <w:rsid w:val="00FA3207"/>
    <w:rsid w:val="00FA7392"/>
    <w:rsid w:val="00FC016D"/>
    <w:rsid w:val="00FC2B31"/>
    <w:rsid w:val="00FD3EED"/>
    <w:rsid w:val="00FD4D6E"/>
    <w:rsid w:val="00FD5A0F"/>
    <w:rsid w:val="00FD6383"/>
    <w:rsid w:val="00FD7A94"/>
    <w:rsid w:val="00FE293C"/>
    <w:rsid w:val="00FF4121"/>
    <w:rsid w:val="00FF5BC8"/>
    <w:rsid w:val="61E1FA57"/>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FollowedHyperlink">
    <w:name w:val="FollowedHyperlink"/>
    <w:basedOn w:val="DefaultParagraphFont"/>
    <w:uiPriority w:val="99"/>
    <w:semiHidden/>
    <w:unhideWhenUsed/>
    <w:rsid w:val="002E6F33"/>
    <w:rPr>
      <w:color w:val="CE372F" w:themeColor="followedHyperlink"/>
      <w:u w:val="single"/>
    </w:rPr>
  </w:style>
  <w:style w:type="paragraph" w:styleId="ListParagraph">
    <w:name w:val="List Paragraph"/>
    <w:basedOn w:val="Normal"/>
    <w:uiPriority w:val="34"/>
    <w:qFormat/>
    <w:rsid w:val="003D76E2"/>
    <w:pPr>
      <w:spacing w:after="200" w:line="276" w:lineRule="auto"/>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nd.edu.au/sites/default/files/2022-11/Freedom%20of%20Speech%20and%20Academic%20Freedom%20Policy%20GOV%201.1.1.pdf" TargetMode="External"/><Relationship Id="rId21" Type="http://schemas.openxmlformats.org/officeDocument/2006/relationships/hyperlink" Target="https://bond.edu.au/current-students/services-support/wellbeing" TargetMode="External"/><Relationship Id="rId42" Type="http://schemas.openxmlformats.org/officeDocument/2006/relationships/hyperlink" Target="https://bond.edu.au/future-students/study-bond/how-apply/undergraduate-admissions-criteria" TargetMode="External"/><Relationship Id="rId47" Type="http://schemas.openxmlformats.org/officeDocument/2006/relationships/hyperlink" Target="https://bond.edu.au/our-university/bond-difference/graduate-attributes" TargetMode="External"/><Relationship Id="rId63" Type="http://schemas.openxmlformats.org/officeDocument/2006/relationships/hyperlink" Target="https://bond.edu.au/research/research-support" TargetMode="External"/><Relationship Id="rId68" Type="http://schemas.openxmlformats.org/officeDocument/2006/relationships/hyperlink" Target="https://bond.edu.au/research/research-governance-and-compliance/research-integrity" TargetMode="External"/><Relationship Id="rId16" Type="http://schemas.openxmlformats.org/officeDocument/2006/relationships/hyperlink" Target="https://bond.edu.au/current-students/services-support/wellbeing/counselling-service" TargetMode="External"/><Relationship Id="rId11" Type="http://schemas.openxmlformats.org/officeDocument/2006/relationships/image" Target="media/image1.jpeg"/><Relationship Id="rId24" Type="http://schemas.openxmlformats.org/officeDocument/2006/relationships/hyperlink" Target="https://bond.edu.au/our-university/leadership-and-governance/office-of-integrity" TargetMode="External"/><Relationship Id="rId32" Type="http://schemas.openxmlformats.org/officeDocument/2006/relationships/hyperlink" Target="https://bond.edu.au/our-university/supporting-diversity-at-bond" TargetMode="External"/><Relationship Id="rId37" Type="http://schemas.openxmlformats.org/officeDocument/2006/relationships/hyperlink" Target="https://bond.edu.au/life-at-bond/supporting-student-success/indigenous-student-support" TargetMode="External"/><Relationship Id="rId40" Type="http://schemas.openxmlformats.org/officeDocument/2006/relationships/hyperlink" Target="https://bond.edu.au/entry-to-bond/entry-requirements" TargetMode="External"/><Relationship Id="rId45" Type="http://schemas.openxmlformats.org/officeDocument/2006/relationships/hyperlink" Target="https://bond.edu.au/our-university/bond-difference/learning-and-teaching-at-bond" TargetMode="External"/><Relationship Id="rId53" Type="http://schemas.openxmlformats.org/officeDocument/2006/relationships/hyperlink" Target="https://bond.edu.au/current-students/services-support/student-support/international-students-support" TargetMode="External"/><Relationship Id="rId58" Type="http://schemas.openxmlformats.org/officeDocument/2006/relationships/hyperlink" Target="https://bond.edu.au/study/microcredentials" TargetMode="External"/><Relationship Id="rId66" Type="http://schemas.openxmlformats.org/officeDocument/2006/relationships/hyperlink" Target="https://bond.edu.au/research/research-support" TargetMode="External"/><Relationship Id="rId74" Type="http://schemas.openxmlformats.org/officeDocument/2006/relationships/hyperlink" Target="https://bond.edu.au/study/microcredentials" TargetMode="External"/><Relationship Id="rId5" Type="http://schemas.openxmlformats.org/officeDocument/2006/relationships/numbering" Target="numbering.xml"/><Relationship Id="rId61" Type="http://schemas.openxmlformats.org/officeDocument/2006/relationships/hyperlink" Target="https://issuu.com/bonduniversity/docs/mb10952_bond_university_strat_plan_2023_-_2027_lrv?fr=sYTkxYjc0MTcyOA" TargetMode="External"/><Relationship Id="rId19" Type="http://schemas.openxmlformats.org/officeDocument/2006/relationships/hyperlink" Target="https://bond.edu.au/cyber" TargetMode="External"/><Relationship Id="rId14" Type="http://schemas.openxmlformats.org/officeDocument/2006/relationships/hyperlink" Target="https://issuu.com/bonduniversity/docs/mb10952_bond_university_strat_plan_2023_-_2027_lrv?fr=sYTkxYjc0MTcyOA" TargetMode="External"/><Relationship Id="rId22" Type="http://schemas.openxmlformats.org/officeDocument/2006/relationships/hyperlink" Target="https://bond.edu.au/current-students/services-support/safe-respectful-communities" TargetMode="External"/><Relationship Id="rId27" Type="http://schemas.openxmlformats.org/officeDocument/2006/relationships/hyperlink" Target="https://bond.edu.au/sites/default/files/2024-05/Anti-discrimination%20Policy%20GOV%201.1.6%20%20V1.1.pdf" TargetMode="External"/><Relationship Id="rId30" Type="http://schemas.openxmlformats.org/officeDocument/2006/relationships/hyperlink" Target="https://bond.edu.au/current-students/study-information/integrity-at-bond/academic-integrity/academic-integrity-and-artificial-intelligence" TargetMode="External"/><Relationship Id="rId35" Type="http://schemas.openxmlformats.org/officeDocument/2006/relationships/hyperlink" Target="https://bond.edu.au/life-at-bond/supporting-student-success" TargetMode="External"/><Relationship Id="rId43" Type="http://schemas.openxmlformats.org/officeDocument/2006/relationships/hyperlink" Target="https://bond.edu.au/postgraduate" TargetMode="External"/><Relationship Id="rId48" Type="http://schemas.openxmlformats.org/officeDocument/2006/relationships/hyperlink" Target="https://bond.edu.au/our-university/sustainability-at-bond/united-nations-sustainable-development-goals" TargetMode="External"/><Relationship Id="rId56" Type="http://schemas.openxmlformats.org/officeDocument/2006/relationships/hyperlink" Target="https://bond.edu.au/study/why-study-at-bond/career-ready/career-development-support" TargetMode="External"/><Relationship Id="rId64" Type="http://schemas.openxmlformats.org/officeDocument/2006/relationships/hyperlink" Target="https://bond.edu.au/research/research-degrees" TargetMode="External"/><Relationship Id="rId69" Type="http://schemas.openxmlformats.org/officeDocument/2006/relationships/hyperlink" Target="https://bond.edu.au/research/research-governance-and-compliance/research-ethic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bond.edu.au/life-at-bond/supporting-student-success/developing-academic-skills" TargetMode="External"/><Relationship Id="rId72" Type="http://schemas.openxmlformats.org/officeDocument/2006/relationships/hyperlink" Target="https://bond.edu.au/research/research-governance-and-compliance/research-quality-assur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ond.edu.au/current-students/services-support/wellbeing/medical-clinic" TargetMode="External"/><Relationship Id="rId25" Type="http://schemas.openxmlformats.org/officeDocument/2006/relationships/hyperlink" Target="https://bond.edu.au/cyber" TargetMode="External"/><Relationship Id="rId33" Type="http://schemas.openxmlformats.org/officeDocument/2006/relationships/hyperlink" Target="https://bond.edu.au/our-university/supporting-diversity-at-bond" TargetMode="External"/><Relationship Id="rId38" Type="http://schemas.openxmlformats.org/officeDocument/2006/relationships/hyperlink" Target="https://bond.edu.au/current-students/services-support/accessibility-inclusion" TargetMode="External"/><Relationship Id="rId46" Type="http://schemas.openxmlformats.org/officeDocument/2006/relationships/hyperlink" Target="https://bond.edu.au/current-students/study-information/integrity-at-bond/academic-integrity/academic-integrity-and-artificial-intelligence" TargetMode="External"/><Relationship Id="rId59" Type="http://schemas.openxmlformats.org/officeDocument/2006/relationships/hyperlink" Target="https://bond.edu.au/our-university/bond-difference/rankings-and-ratings" TargetMode="External"/><Relationship Id="rId67" Type="http://schemas.openxmlformats.org/officeDocument/2006/relationships/hyperlink" Target="https://bond.edu.au/research/research-governance-and-compliance/research-governance" TargetMode="External"/><Relationship Id="rId20" Type="http://schemas.openxmlformats.org/officeDocument/2006/relationships/hyperlink" Target="https://bond.edu.au/current-students/services-support" TargetMode="External"/><Relationship Id="rId41" Type="http://schemas.openxmlformats.org/officeDocument/2006/relationships/hyperlink" Target="https://bond.edu.au/entry-to-bond/how-to-apply/credit-at-bond" TargetMode="External"/><Relationship Id="rId54" Type="http://schemas.openxmlformats.org/officeDocument/2006/relationships/hyperlink" Target="https://bond.edu.au/study/why-study-at-bond/career-ready/beyond-bond-and-core-curriculum" TargetMode="External"/><Relationship Id="rId62" Type="http://schemas.openxmlformats.org/officeDocument/2006/relationships/hyperlink" Target="https://bond.edu.au/research" TargetMode="External"/><Relationship Id="rId70" Type="http://schemas.openxmlformats.org/officeDocument/2006/relationships/hyperlink" Target="https://bond.edu.au/research/research-governance-and-compliance/research-complianc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ond.edu.au/our-university/bond-difference/graduate-attributes" TargetMode="External"/><Relationship Id="rId23" Type="http://schemas.openxmlformats.org/officeDocument/2006/relationships/hyperlink" Target="https://bond.edu.au/current-students/services-support/student-support/bondcare" TargetMode="External"/><Relationship Id="rId28" Type="http://schemas.openxmlformats.org/officeDocument/2006/relationships/hyperlink" Target="https://bond.edu.au/current-students/study-information/academic-integrity" TargetMode="External"/><Relationship Id="rId36" Type="http://schemas.openxmlformats.org/officeDocument/2006/relationships/hyperlink" Target="https://bond.edu.au/current-students/services-support/student-support/indigenous-students" TargetMode="External"/><Relationship Id="rId49" Type="http://schemas.openxmlformats.org/officeDocument/2006/relationships/hyperlink" Target="https://bond.edu.au/news/universitys-vision-for-true-reconciliation" TargetMode="External"/><Relationship Id="rId57" Type="http://schemas.openxmlformats.org/officeDocument/2006/relationships/hyperlink" Target="https://bond.edu.au/study/why-study-at-bond/career-ready/transformer" TargetMode="External"/><Relationship Id="rId10" Type="http://schemas.openxmlformats.org/officeDocument/2006/relationships/endnotes" Target="endnotes.xml"/><Relationship Id="rId31" Type="http://schemas.openxmlformats.org/officeDocument/2006/relationships/hyperlink" Target="https://bond.edu.au/sites/default/files/2023-11/Bond%20University%20Innovate%202023-2025_FINAL.pdf" TargetMode="External"/><Relationship Id="rId44" Type="http://schemas.openxmlformats.org/officeDocument/2006/relationships/hyperlink" Target="https://issuu.com/bonduniversity/docs/mb10952_bond_university_strat_plan_2023_-_2027_lrv?fr=sYTkxYjc0MTcyOA" TargetMode="External"/><Relationship Id="rId52" Type="http://schemas.openxmlformats.org/officeDocument/2006/relationships/hyperlink" Target="https://bond.edu.au/current-students/services-support/wellbeing" TargetMode="External"/><Relationship Id="rId60" Type="http://schemas.openxmlformats.org/officeDocument/2006/relationships/hyperlink" Target="https://bond.edu.au/sites/default/files/2024-06/Bond%20University%20Research%20Plan%202023-2027_Final.pdf" TargetMode="External"/><Relationship Id="rId65" Type="http://schemas.openxmlformats.org/officeDocument/2006/relationships/hyperlink" Target="https://bond.edu.au/research/research-support" TargetMode="External"/><Relationship Id="rId73" Type="http://schemas.openxmlformats.org/officeDocument/2006/relationships/hyperlink" Target="https://bond.edu.au/industry-and-partner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bond.edu.au/current-students/services-support/university-safety-and-security" TargetMode="External"/><Relationship Id="rId39" Type="http://schemas.openxmlformats.org/officeDocument/2006/relationships/hyperlink" Target="https://bond.edu.au/sites/default/files/2022-11/Accessibility%20and%20Inclusion%20Policy%20SS%205.8.6%20_1.pdf" TargetMode="External"/><Relationship Id="rId34" Type="http://schemas.openxmlformats.org/officeDocument/2006/relationships/hyperlink" Target="https://bond.edu.au/entry-to-bond/scholarships" TargetMode="External"/><Relationship Id="rId50" Type="http://schemas.openxmlformats.org/officeDocument/2006/relationships/hyperlink" Target="https://bond.edu.au/current-students/study-information/integrity-at-bond/academic-integrity/academic-integrity-and-artificial-intelligence" TargetMode="External"/><Relationship Id="rId55" Type="http://schemas.openxmlformats.org/officeDocument/2006/relationships/hyperlink" Target="https://bond.edu.au/current-students/services-support/student-support/career-development-centre"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bond.edu.au/research/research-centres-and-institute" TargetMode="External"/><Relationship Id="rId2" Type="http://schemas.openxmlformats.org/officeDocument/2006/relationships/customXml" Target="../customXml/item2.xml"/><Relationship Id="rId29" Type="http://schemas.openxmlformats.org/officeDocument/2006/relationships/hyperlink" Target="https://bond.edu.au/research/research-governance-and-compliance/research-integrity"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7822D-1A33-457E-A42F-C3AD8EE1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836FB-0FEA-4EB6-8C1F-B6512B7A70B1}">
  <ds:schemaRefs>
    <ds:schemaRef ds:uri="fea52c8c-9806-4a1c-8ca9-6928160f6c09"/>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6e75ac5a-1f9e-40aa-9df5-998dd543a947"/>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3524</Words>
  <Characters>18609</Characters>
  <Application>Microsoft Office Word</Application>
  <DocSecurity>0</DocSecurity>
  <Lines>547</Lines>
  <Paragraphs>283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21850</CharactersWithSpaces>
  <SharedDoc>false</SharedDoc>
  <HLinks>
    <vt:vector size="366" baseType="variant">
      <vt:variant>
        <vt:i4>6619198</vt:i4>
      </vt:variant>
      <vt:variant>
        <vt:i4>180</vt:i4>
      </vt:variant>
      <vt:variant>
        <vt:i4>0</vt:i4>
      </vt:variant>
      <vt:variant>
        <vt:i4>5</vt:i4>
      </vt:variant>
      <vt:variant>
        <vt:lpwstr>https://bond.edu.au/study/microcredentials</vt:lpwstr>
      </vt:variant>
      <vt:variant>
        <vt:lpwstr/>
      </vt:variant>
      <vt:variant>
        <vt:i4>4784207</vt:i4>
      </vt:variant>
      <vt:variant>
        <vt:i4>177</vt:i4>
      </vt:variant>
      <vt:variant>
        <vt:i4>0</vt:i4>
      </vt:variant>
      <vt:variant>
        <vt:i4>5</vt:i4>
      </vt:variant>
      <vt:variant>
        <vt:lpwstr>https://bond.edu.au/industry-and-partners</vt:lpwstr>
      </vt:variant>
      <vt:variant>
        <vt:lpwstr/>
      </vt:variant>
      <vt:variant>
        <vt:i4>2359411</vt:i4>
      </vt:variant>
      <vt:variant>
        <vt:i4>174</vt:i4>
      </vt:variant>
      <vt:variant>
        <vt:i4>0</vt:i4>
      </vt:variant>
      <vt:variant>
        <vt:i4>5</vt:i4>
      </vt:variant>
      <vt:variant>
        <vt:lpwstr>https://bond.edu.au/research/research-governance-and-compliance/research-quality-assurance</vt:lpwstr>
      </vt:variant>
      <vt:variant>
        <vt:lpwstr/>
      </vt:variant>
      <vt:variant>
        <vt:i4>7340132</vt:i4>
      </vt:variant>
      <vt:variant>
        <vt:i4>171</vt:i4>
      </vt:variant>
      <vt:variant>
        <vt:i4>0</vt:i4>
      </vt:variant>
      <vt:variant>
        <vt:i4>5</vt:i4>
      </vt:variant>
      <vt:variant>
        <vt:lpwstr>https://bond.edu.au/research/research-centres-and-institute</vt:lpwstr>
      </vt:variant>
      <vt:variant>
        <vt:lpwstr/>
      </vt:variant>
      <vt:variant>
        <vt:i4>3080239</vt:i4>
      </vt:variant>
      <vt:variant>
        <vt:i4>168</vt:i4>
      </vt:variant>
      <vt:variant>
        <vt:i4>0</vt:i4>
      </vt:variant>
      <vt:variant>
        <vt:i4>5</vt:i4>
      </vt:variant>
      <vt:variant>
        <vt:lpwstr>https://bond.edu.au/research/research-governance-and-compliance/research-compliance</vt:lpwstr>
      </vt:variant>
      <vt:variant>
        <vt:lpwstr/>
      </vt:variant>
      <vt:variant>
        <vt:i4>2162730</vt:i4>
      </vt:variant>
      <vt:variant>
        <vt:i4>165</vt:i4>
      </vt:variant>
      <vt:variant>
        <vt:i4>0</vt:i4>
      </vt:variant>
      <vt:variant>
        <vt:i4>5</vt:i4>
      </vt:variant>
      <vt:variant>
        <vt:lpwstr>https://bond.edu.au/research/research-governance-and-compliance/research-ethics</vt:lpwstr>
      </vt:variant>
      <vt:variant>
        <vt:lpwstr/>
      </vt:variant>
      <vt:variant>
        <vt:i4>2424890</vt:i4>
      </vt:variant>
      <vt:variant>
        <vt:i4>162</vt:i4>
      </vt:variant>
      <vt:variant>
        <vt:i4>0</vt:i4>
      </vt:variant>
      <vt:variant>
        <vt:i4>5</vt:i4>
      </vt:variant>
      <vt:variant>
        <vt:lpwstr>https://bond.edu.au/research/research-governance-and-compliance/research-integrity</vt:lpwstr>
      </vt:variant>
      <vt:variant>
        <vt:lpwstr/>
      </vt:variant>
      <vt:variant>
        <vt:i4>3014717</vt:i4>
      </vt:variant>
      <vt:variant>
        <vt:i4>159</vt:i4>
      </vt:variant>
      <vt:variant>
        <vt:i4>0</vt:i4>
      </vt:variant>
      <vt:variant>
        <vt:i4>5</vt:i4>
      </vt:variant>
      <vt:variant>
        <vt:lpwstr>https://bond.edu.au/research/research-governance-and-compliance/research-governance</vt:lpwstr>
      </vt:variant>
      <vt:variant>
        <vt:lpwstr/>
      </vt:variant>
      <vt:variant>
        <vt:i4>458759</vt:i4>
      </vt:variant>
      <vt:variant>
        <vt:i4>156</vt:i4>
      </vt:variant>
      <vt:variant>
        <vt:i4>0</vt:i4>
      </vt:variant>
      <vt:variant>
        <vt:i4>5</vt:i4>
      </vt:variant>
      <vt:variant>
        <vt:lpwstr>https://bond.edu.au/research/research-support</vt:lpwstr>
      </vt:variant>
      <vt:variant>
        <vt:lpwstr/>
      </vt:variant>
      <vt:variant>
        <vt:i4>458759</vt:i4>
      </vt:variant>
      <vt:variant>
        <vt:i4>153</vt:i4>
      </vt:variant>
      <vt:variant>
        <vt:i4>0</vt:i4>
      </vt:variant>
      <vt:variant>
        <vt:i4>5</vt:i4>
      </vt:variant>
      <vt:variant>
        <vt:lpwstr>https://bond.edu.au/research/research-support</vt:lpwstr>
      </vt:variant>
      <vt:variant>
        <vt:lpwstr/>
      </vt:variant>
      <vt:variant>
        <vt:i4>131085</vt:i4>
      </vt:variant>
      <vt:variant>
        <vt:i4>150</vt:i4>
      </vt:variant>
      <vt:variant>
        <vt:i4>0</vt:i4>
      </vt:variant>
      <vt:variant>
        <vt:i4>5</vt:i4>
      </vt:variant>
      <vt:variant>
        <vt:lpwstr>https://bond.edu.au/research/research-degrees</vt:lpwstr>
      </vt:variant>
      <vt:variant>
        <vt:lpwstr/>
      </vt:variant>
      <vt:variant>
        <vt:i4>458759</vt:i4>
      </vt:variant>
      <vt:variant>
        <vt:i4>147</vt:i4>
      </vt:variant>
      <vt:variant>
        <vt:i4>0</vt:i4>
      </vt:variant>
      <vt:variant>
        <vt:i4>5</vt:i4>
      </vt:variant>
      <vt:variant>
        <vt:lpwstr>https://bond.edu.au/research/research-support</vt:lpwstr>
      </vt:variant>
      <vt:variant>
        <vt:lpwstr/>
      </vt:variant>
      <vt:variant>
        <vt:i4>6160478</vt:i4>
      </vt:variant>
      <vt:variant>
        <vt:i4>144</vt:i4>
      </vt:variant>
      <vt:variant>
        <vt:i4>0</vt:i4>
      </vt:variant>
      <vt:variant>
        <vt:i4>5</vt:i4>
      </vt:variant>
      <vt:variant>
        <vt:lpwstr>https://bond.edu.au/research</vt:lpwstr>
      </vt:variant>
      <vt:variant>
        <vt:lpwstr/>
      </vt:variant>
      <vt:variant>
        <vt:i4>5570627</vt:i4>
      </vt:variant>
      <vt:variant>
        <vt:i4>141</vt:i4>
      </vt:variant>
      <vt:variant>
        <vt:i4>0</vt:i4>
      </vt:variant>
      <vt:variant>
        <vt:i4>5</vt:i4>
      </vt:variant>
      <vt:variant>
        <vt:lpwstr>https://issuu.com/bonduniversity/docs/mb10952_bond_university_strat_plan_2023_-_2027_lrv?fr=sYTkxYjc0MTcyOA</vt:lpwstr>
      </vt:variant>
      <vt:variant>
        <vt:lpwstr/>
      </vt:variant>
      <vt:variant>
        <vt:i4>7864321</vt:i4>
      </vt:variant>
      <vt:variant>
        <vt:i4>138</vt:i4>
      </vt:variant>
      <vt:variant>
        <vt:i4>0</vt:i4>
      </vt:variant>
      <vt:variant>
        <vt:i4>5</vt:i4>
      </vt:variant>
      <vt:variant>
        <vt:lpwstr>https://bond.edu.au/sites/default/files/2024-06/Bond University Research Plan 2023-2027_Final.pdf</vt:lpwstr>
      </vt:variant>
      <vt:variant>
        <vt:lpwstr/>
      </vt:variant>
      <vt:variant>
        <vt:i4>2228270</vt:i4>
      </vt:variant>
      <vt:variant>
        <vt:i4>135</vt:i4>
      </vt:variant>
      <vt:variant>
        <vt:i4>0</vt:i4>
      </vt:variant>
      <vt:variant>
        <vt:i4>5</vt:i4>
      </vt:variant>
      <vt:variant>
        <vt:lpwstr>https://bond.edu.au/our-university/bond-difference/rankings-and-ratings</vt:lpwstr>
      </vt:variant>
      <vt:variant>
        <vt:lpwstr/>
      </vt:variant>
      <vt:variant>
        <vt:i4>6619198</vt:i4>
      </vt:variant>
      <vt:variant>
        <vt:i4>132</vt:i4>
      </vt:variant>
      <vt:variant>
        <vt:i4>0</vt:i4>
      </vt:variant>
      <vt:variant>
        <vt:i4>5</vt:i4>
      </vt:variant>
      <vt:variant>
        <vt:lpwstr>https://bond.edu.au/study/microcredentials</vt:lpwstr>
      </vt:variant>
      <vt:variant>
        <vt:lpwstr/>
      </vt:variant>
      <vt:variant>
        <vt:i4>6160398</vt:i4>
      </vt:variant>
      <vt:variant>
        <vt:i4>129</vt:i4>
      </vt:variant>
      <vt:variant>
        <vt:i4>0</vt:i4>
      </vt:variant>
      <vt:variant>
        <vt:i4>5</vt:i4>
      </vt:variant>
      <vt:variant>
        <vt:lpwstr>https://bond.edu.au/study/why-study-at-bond/career-ready/transformer</vt:lpwstr>
      </vt:variant>
      <vt:variant>
        <vt:lpwstr/>
      </vt:variant>
      <vt:variant>
        <vt:i4>2556006</vt:i4>
      </vt:variant>
      <vt:variant>
        <vt:i4>126</vt:i4>
      </vt:variant>
      <vt:variant>
        <vt:i4>0</vt:i4>
      </vt:variant>
      <vt:variant>
        <vt:i4>5</vt:i4>
      </vt:variant>
      <vt:variant>
        <vt:lpwstr>https://bond.edu.au/study/why-study-at-bond/career-ready/career-development-support</vt:lpwstr>
      </vt:variant>
      <vt:variant>
        <vt:lpwstr/>
      </vt:variant>
      <vt:variant>
        <vt:i4>6815864</vt:i4>
      </vt:variant>
      <vt:variant>
        <vt:i4>123</vt:i4>
      </vt:variant>
      <vt:variant>
        <vt:i4>0</vt:i4>
      </vt:variant>
      <vt:variant>
        <vt:i4>5</vt:i4>
      </vt:variant>
      <vt:variant>
        <vt:lpwstr>https://bond.edu.au/current-students/services-support/student-support/career-development-centre</vt:lpwstr>
      </vt:variant>
      <vt:variant>
        <vt:lpwstr/>
      </vt:variant>
      <vt:variant>
        <vt:i4>4653085</vt:i4>
      </vt:variant>
      <vt:variant>
        <vt:i4>120</vt:i4>
      </vt:variant>
      <vt:variant>
        <vt:i4>0</vt:i4>
      </vt:variant>
      <vt:variant>
        <vt:i4>5</vt:i4>
      </vt:variant>
      <vt:variant>
        <vt:lpwstr>https://bond.edu.au/study/why-study-at-bond/career-ready/beyond-bond-and-core-curriculum</vt:lpwstr>
      </vt:variant>
      <vt:variant>
        <vt:lpwstr/>
      </vt:variant>
      <vt:variant>
        <vt:i4>5832793</vt:i4>
      </vt:variant>
      <vt:variant>
        <vt:i4>117</vt:i4>
      </vt:variant>
      <vt:variant>
        <vt:i4>0</vt:i4>
      </vt:variant>
      <vt:variant>
        <vt:i4>5</vt:i4>
      </vt:variant>
      <vt:variant>
        <vt:lpwstr>https://bond.edu.au/current-students/services-support/student-support/international-students-support</vt:lpwstr>
      </vt:variant>
      <vt:variant>
        <vt:lpwstr/>
      </vt:variant>
      <vt:variant>
        <vt:i4>7798894</vt:i4>
      </vt:variant>
      <vt:variant>
        <vt:i4>114</vt:i4>
      </vt:variant>
      <vt:variant>
        <vt:i4>0</vt:i4>
      </vt:variant>
      <vt:variant>
        <vt:i4>5</vt:i4>
      </vt:variant>
      <vt:variant>
        <vt:lpwstr>https://bond.edu.au/current-students/services-support/wellbeing</vt:lpwstr>
      </vt:variant>
      <vt:variant>
        <vt:lpwstr/>
      </vt:variant>
      <vt:variant>
        <vt:i4>7929975</vt:i4>
      </vt:variant>
      <vt:variant>
        <vt:i4>111</vt:i4>
      </vt:variant>
      <vt:variant>
        <vt:i4>0</vt:i4>
      </vt:variant>
      <vt:variant>
        <vt:i4>5</vt:i4>
      </vt:variant>
      <vt:variant>
        <vt:lpwstr>https://bond.edu.au/life-at-bond/supporting-student-success/developing-academic-skills</vt:lpwstr>
      </vt:variant>
      <vt:variant>
        <vt:lpwstr/>
      </vt:variant>
      <vt:variant>
        <vt:i4>7733311</vt:i4>
      </vt:variant>
      <vt:variant>
        <vt:i4>108</vt:i4>
      </vt:variant>
      <vt:variant>
        <vt:i4>0</vt:i4>
      </vt:variant>
      <vt:variant>
        <vt:i4>5</vt:i4>
      </vt:variant>
      <vt:variant>
        <vt:lpwstr>https://bond.edu.au/current-students/study-information/integrity-at-bond/academic-integrity/academic-integrity-and-artificial-intelligence</vt:lpwstr>
      </vt:variant>
      <vt:variant>
        <vt:lpwstr/>
      </vt:variant>
      <vt:variant>
        <vt:i4>2687079</vt:i4>
      </vt:variant>
      <vt:variant>
        <vt:i4>105</vt:i4>
      </vt:variant>
      <vt:variant>
        <vt:i4>0</vt:i4>
      </vt:variant>
      <vt:variant>
        <vt:i4>5</vt:i4>
      </vt:variant>
      <vt:variant>
        <vt:lpwstr>https://bond.edu.au/news/universitys-vision-for-true-reconciliation</vt:lpwstr>
      </vt:variant>
      <vt:variant>
        <vt:lpwstr/>
      </vt:variant>
      <vt:variant>
        <vt:i4>7536691</vt:i4>
      </vt:variant>
      <vt:variant>
        <vt:i4>102</vt:i4>
      </vt:variant>
      <vt:variant>
        <vt:i4>0</vt:i4>
      </vt:variant>
      <vt:variant>
        <vt:i4>5</vt:i4>
      </vt:variant>
      <vt:variant>
        <vt:lpwstr>https://bond.edu.au/our-university/sustainability-at-bond/united-nations-sustainable-development-goals</vt:lpwstr>
      </vt:variant>
      <vt:variant>
        <vt:lpwstr/>
      </vt:variant>
      <vt:variant>
        <vt:i4>7864362</vt:i4>
      </vt:variant>
      <vt:variant>
        <vt:i4>99</vt:i4>
      </vt:variant>
      <vt:variant>
        <vt:i4>0</vt:i4>
      </vt:variant>
      <vt:variant>
        <vt:i4>5</vt:i4>
      </vt:variant>
      <vt:variant>
        <vt:lpwstr>https://bond.edu.au/our-university/bond-difference/graduate-attributes</vt:lpwstr>
      </vt:variant>
      <vt:variant>
        <vt:lpwstr/>
      </vt:variant>
      <vt:variant>
        <vt:i4>7733311</vt:i4>
      </vt:variant>
      <vt:variant>
        <vt:i4>96</vt:i4>
      </vt:variant>
      <vt:variant>
        <vt:i4>0</vt:i4>
      </vt:variant>
      <vt:variant>
        <vt:i4>5</vt:i4>
      </vt:variant>
      <vt:variant>
        <vt:lpwstr>https://bond.edu.au/current-students/study-information/integrity-at-bond/academic-integrity/academic-integrity-and-artificial-intelligence</vt:lpwstr>
      </vt:variant>
      <vt:variant>
        <vt:lpwstr/>
      </vt:variant>
      <vt:variant>
        <vt:i4>1900558</vt:i4>
      </vt:variant>
      <vt:variant>
        <vt:i4>93</vt:i4>
      </vt:variant>
      <vt:variant>
        <vt:i4>0</vt:i4>
      </vt:variant>
      <vt:variant>
        <vt:i4>5</vt:i4>
      </vt:variant>
      <vt:variant>
        <vt:lpwstr>https://bond.edu.au/our-university/bond-difference/learning-and-teaching-at-bond</vt:lpwstr>
      </vt:variant>
      <vt:variant>
        <vt:lpwstr/>
      </vt:variant>
      <vt:variant>
        <vt:i4>5570627</vt:i4>
      </vt:variant>
      <vt:variant>
        <vt:i4>90</vt:i4>
      </vt:variant>
      <vt:variant>
        <vt:i4>0</vt:i4>
      </vt:variant>
      <vt:variant>
        <vt:i4>5</vt:i4>
      </vt:variant>
      <vt:variant>
        <vt:lpwstr>https://issuu.com/bonduniversity/docs/mb10952_bond_university_strat_plan_2023_-_2027_lrv?fr=sYTkxYjc0MTcyOA</vt:lpwstr>
      </vt:variant>
      <vt:variant>
        <vt:lpwstr/>
      </vt:variant>
      <vt:variant>
        <vt:i4>5046361</vt:i4>
      </vt:variant>
      <vt:variant>
        <vt:i4>87</vt:i4>
      </vt:variant>
      <vt:variant>
        <vt:i4>0</vt:i4>
      </vt:variant>
      <vt:variant>
        <vt:i4>5</vt:i4>
      </vt:variant>
      <vt:variant>
        <vt:lpwstr>https://bond.edu.au/postgraduate</vt:lpwstr>
      </vt:variant>
      <vt:variant>
        <vt:lpwstr/>
      </vt:variant>
      <vt:variant>
        <vt:i4>6881397</vt:i4>
      </vt:variant>
      <vt:variant>
        <vt:i4>84</vt:i4>
      </vt:variant>
      <vt:variant>
        <vt:i4>0</vt:i4>
      </vt:variant>
      <vt:variant>
        <vt:i4>5</vt:i4>
      </vt:variant>
      <vt:variant>
        <vt:lpwstr>https://bond.edu.au/future-students/study-bond/how-apply/undergraduate-admissions-criteria</vt:lpwstr>
      </vt:variant>
      <vt:variant>
        <vt:lpwstr/>
      </vt:variant>
      <vt:variant>
        <vt:i4>4587603</vt:i4>
      </vt:variant>
      <vt:variant>
        <vt:i4>81</vt:i4>
      </vt:variant>
      <vt:variant>
        <vt:i4>0</vt:i4>
      </vt:variant>
      <vt:variant>
        <vt:i4>5</vt:i4>
      </vt:variant>
      <vt:variant>
        <vt:lpwstr>https://bond.edu.au/entry-to-bond/how-to-apply/credit-at-bond</vt:lpwstr>
      </vt:variant>
      <vt:variant>
        <vt:lpwstr/>
      </vt:variant>
      <vt:variant>
        <vt:i4>1703953</vt:i4>
      </vt:variant>
      <vt:variant>
        <vt:i4>78</vt:i4>
      </vt:variant>
      <vt:variant>
        <vt:i4>0</vt:i4>
      </vt:variant>
      <vt:variant>
        <vt:i4>5</vt:i4>
      </vt:variant>
      <vt:variant>
        <vt:lpwstr>https://bond.edu.au/entry-to-bond/entry-requirements</vt:lpwstr>
      </vt:variant>
      <vt:variant>
        <vt:lpwstr/>
      </vt:variant>
      <vt:variant>
        <vt:i4>7012433</vt:i4>
      </vt:variant>
      <vt:variant>
        <vt:i4>75</vt:i4>
      </vt:variant>
      <vt:variant>
        <vt:i4>0</vt:i4>
      </vt:variant>
      <vt:variant>
        <vt:i4>5</vt:i4>
      </vt:variant>
      <vt:variant>
        <vt:lpwstr>https://bond.edu.au/sites/default/files/2022-11/Accessibility and Inclusion Policy SS 5.8.6 _1.pdf</vt:lpwstr>
      </vt:variant>
      <vt:variant>
        <vt:lpwstr/>
      </vt:variant>
      <vt:variant>
        <vt:i4>4784137</vt:i4>
      </vt:variant>
      <vt:variant>
        <vt:i4>72</vt:i4>
      </vt:variant>
      <vt:variant>
        <vt:i4>0</vt:i4>
      </vt:variant>
      <vt:variant>
        <vt:i4>5</vt:i4>
      </vt:variant>
      <vt:variant>
        <vt:lpwstr>https://bond.edu.au/current-students/services-support/accessibility-inclusion</vt:lpwstr>
      </vt:variant>
      <vt:variant>
        <vt:lpwstr/>
      </vt:variant>
      <vt:variant>
        <vt:i4>3932221</vt:i4>
      </vt:variant>
      <vt:variant>
        <vt:i4>69</vt:i4>
      </vt:variant>
      <vt:variant>
        <vt:i4>0</vt:i4>
      </vt:variant>
      <vt:variant>
        <vt:i4>5</vt:i4>
      </vt:variant>
      <vt:variant>
        <vt:lpwstr>https://bond.edu.au/life-at-bond/supporting-student-success/indigenous-student-support</vt:lpwstr>
      </vt:variant>
      <vt:variant>
        <vt:lpwstr/>
      </vt:variant>
      <vt:variant>
        <vt:i4>1507411</vt:i4>
      </vt:variant>
      <vt:variant>
        <vt:i4>66</vt:i4>
      </vt:variant>
      <vt:variant>
        <vt:i4>0</vt:i4>
      </vt:variant>
      <vt:variant>
        <vt:i4>5</vt:i4>
      </vt:variant>
      <vt:variant>
        <vt:lpwstr>https://bond.edu.au/current-students/services-support/student-support/indigenous-students</vt:lpwstr>
      </vt:variant>
      <vt:variant>
        <vt:lpwstr/>
      </vt:variant>
      <vt:variant>
        <vt:i4>6422582</vt:i4>
      </vt:variant>
      <vt:variant>
        <vt:i4>63</vt:i4>
      </vt:variant>
      <vt:variant>
        <vt:i4>0</vt:i4>
      </vt:variant>
      <vt:variant>
        <vt:i4>5</vt:i4>
      </vt:variant>
      <vt:variant>
        <vt:lpwstr>https://bond.edu.au/life-at-bond/supporting-student-success</vt:lpwstr>
      </vt:variant>
      <vt:variant>
        <vt:lpwstr/>
      </vt:variant>
      <vt:variant>
        <vt:i4>3997818</vt:i4>
      </vt:variant>
      <vt:variant>
        <vt:i4>60</vt:i4>
      </vt:variant>
      <vt:variant>
        <vt:i4>0</vt:i4>
      </vt:variant>
      <vt:variant>
        <vt:i4>5</vt:i4>
      </vt:variant>
      <vt:variant>
        <vt:lpwstr>https://bond.edu.au/entry-to-bond/scholarships</vt:lpwstr>
      </vt:variant>
      <vt:variant>
        <vt:lpwstr/>
      </vt:variant>
      <vt:variant>
        <vt:i4>6488123</vt:i4>
      </vt:variant>
      <vt:variant>
        <vt:i4>57</vt:i4>
      </vt:variant>
      <vt:variant>
        <vt:i4>0</vt:i4>
      </vt:variant>
      <vt:variant>
        <vt:i4>5</vt:i4>
      </vt:variant>
      <vt:variant>
        <vt:lpwstr>https://bond.edu.au/our-university/supporting-diversity-at-bond</vt:lpwstr>
      </vt:variant>
      <vt:variant>
        <vt:lpwstr/>
      </vt:variant>
      <vt:variant>
        <vt:i4>6488123</vt:i4>
      </vt:variant>
      <vt:variant>
        <vt:i4>54</vt:i4>
      </vt:variant>
      <vt:variant>
        <vt:i4>0</vt:i4>
      </vt:variant>
      <vt:variant>
        <vt:i4>5</vt:i4>
      </vt:variant>
      <vt:variant>
        <vt:lpwstr>https://bond.edu.au/our-university/supporting-diversity-at-bond</vt:lpwstr>
      </vt:variant>
      <vt:variant>
        <vt:lpwstr/>
      </vt:variant>
      <vt:variant>
        <vt:i4>1310754</vt:i4>
      </vt:variant>
      <vt:variant>
        <vt:i4>51</vt:i4>
      </vt:variant>
      <vt:variant>
        <vt:i4>0</vt:i4>
      </vt:variant>
      <vt:variant>
        <vt:i4>5</vt:i4>
      </vt:variant>
      <vt:variant>
        <vt:lpwstr>https://bond.edu.au/sites/default/files/2023-11/Bond University Innovate 2023-2025_FINAL.pdf</vt:lpwstr>
      </vt:variant>
      <vt:variant>
        <vt:lpwstr/>
      </vt:variant>
      <vt:variant>
        <vt:i4>7733311</vt:i4>
      </vt:variant>
      <vt:variant>
        <vt:i4>48</vt:i4>
      </vt:variant>
      <vt:variant>
        <vt:i4>0</vt:i4>
      </vt:variant>
      <vt:variant>
        <vt:i4>5</vt:i4>
      </vt:variant>
      <vt:variant>
        <vt:lpwstr>https://bond.edu.au/current-students/study-information/integrity-at-bond/academic-integrity/academic-integrity-and-artificial-intelligence</vt:lpwstr>
      </vt:variant>
      <vt:variant>
        <vt:lpwstr/>
      </vt:variant>
      <vt:variant>
        <vt:i4>2424890</vt:i4>
      </vt:variant>
      <vt:variant>
        <vt:i4>45</vt:i4>
      </vt:variant>
      <vt:variant>
        <vt:i4>0</vt:i4>
      </vt:variant>
      <vt:variant>
        <vt:i4>5</vt:i4>
      </vt:variant>
      <vt:variant>
        <vt:lpwstr>https://bond.edu.au/research/research-governance-and-compliance/research-integrity</vt:lpwstr>
      </vt:variant>
      <vt:variant>
        <vt:lpwstr/>
      </vt:variant>
      <vt:variant>
        <vt:i4>4522010</vt:i4>
      </vt:variant>
      <vt:variant>
        <vt:i4>42</vt:i4>
      </vt:variant>
      <vt:variant>
        <vt:i4>0</vt:i4>
      </vt:variant>
      <vt:variant>
        <vt:i4>5</vt:i4>
      </vt:variant>
      <vt:variant>
        <vt:lpwstr>https://bond.edu.au/current-students/study-information/academic-integrity</vt:lpwstr>
      </vt:variant>
      <vt:variant>
        <vt:lpwstr/>
      </vt:variant>
      <vt:variant>
        <vt:i4>2883645</vt:i4>
      </vt:variant>
      <vt:variant>
        <vt:i4>39</vt:i4>
      </vt:variant>
      <vt:variant>
        <vt:i4>0</vt:i4>
      </vt:variant>
      <vt:variant>
        <vt:i4>5</vt:i4>
      </vt:variant>
      <vt:variant>
        <vt:lpwstr>https://bond.edu.au/sites/default/files/2024-05/Anti-discrimination Policy GOV 1.1.6  V1.1.pdf</vt:lpwstr>
      </vt:variant>
      <vt:variant>
        <vt:lpwstr/>
      </vt:variant>
      <vt:variant>
        <vt:i4>6488105</vt:i4>
      </vt:variant>
      <vt:variant>
        <vt:i4>36</vt:i4>
      </vt:variant>
      <vt:variant>
        <vt:i4>0</vt:i4>
      </vt:variant>
      <vt:variant>
        <vt:i4>5</vt:i4>
      </vt:variant>
      <vt:variant>
        <vt:lpwstr>https://bond.edu.au/sites/default/files/2022-11/Freedom of Speech and Academic Freedom Policy GOV 1.1.1.pdf</vt:lpwstr>
      </vt:variant>
      <vt:variant>
        <vt:lpwstr/>
      </vt:variant>
      <vt:variant>
        <vt:i4>5767260</vt:i4>
      </vt:variant>
      <vt:variant>
        <vt:i4>33</vt:i4>
      </vt:variant>
      <vt:variant>
        <vt:i4>0</vt:i4>
      </vt:variant>
      <vt:variant>
        <vt:i4>5</vt:i4>
      </vt:variant>
      <vt:variant>
        <vt:lpwstr>https://bond.edu.au/cyber</vt:lpwstr>
      </vt:variant>
      <vt:variant>
        <vt:lpwstr/>
      </vt:variant>
      <vt:variant>
        <vt:i4>6160404</vt:i4>
      </vt:variant>
      <vt:variant>
        <vt:i4>30</vt:i4>
      </vt:variant>
      <vt:variant>
        <vt:i4>0</vt:i4>
      </vt:variant>
      <vt:variant>
        <vt:i4>5</vt:i4>
      </vt:variant>
      <vt:variant>
        <vt:lpwstr>https://bond.edu.au/our-university/leadership-and-governance/office-of-integrity</vt:lpwstr>
      </vt:variant>
      <vt:variant>
        <vt:lpwstr/>
      </vt:variant>
      <vt:variant>
        <vt:i4>7405676</vt:i4>
      </vt:variant>
      <vt:variant>
        <vt:i4>27</vt:i4>
      </vt:variant>
      <vt:variant>
        <vt:i4>0</vt:i4>
      </vt:variant>
      <vt:variant>
        <vt:i4>5</vt:i4>
      </vt:variant>
      <vt:variant>
        <vt:lpwstr>https://bond.edu.au/current-students/services-support/student-support/bondcare</vt:lpwstr>
      </vt:variant>
      <vt:variant>
        <vt:lpwstr/>
      </vt:variant>
      <vt:variant>
        <vt:i4>4456513</vt:i4>
      </vt:variant>
      <vt:variant>
        <vt:i4>24</vt:i4>
      </vt:variant>
      <vt:variant>
        <vt:i4>0</vt:i4>
      </vt:variant>
      <vt:variant>
        <vt:i4>5</vt:i4>
      </vt:variant>
      <vt:variant>
        <vt:lpwstr>https://bond.edu.au/current-students/services-support/safe-respectful-communities</vt:lpwstr>
      </vt:variant>
      <vt:variant>
        <vt:lpwstr/>
      </vt:variant>
      <vt:variant>
        <vt:i4>7798894</vt:i4>
      </vt:variant>
      <vt:variant>
        <vt:i4>21</vt:i4>
      </vt:variant>
      <vt:variant>
        <vt:i4>0</vt:i4>
      </vt:variant>
      <vt:variant>
        <vt:i4>5</vt:i4>
      </vt:variant>
      <vt:variant>
        <vt:lpwstr>https://bond.edu.au/current-students/services-support/wellbeing</vt:lpwstr>
      </vt:variant>
      <vt:variant>
        <vt:lpwstr/>
      </vt:variant>
      <vt:variant>
        <vt:i4>5898250</vt:i4>
      </vt:variant>
      <vt:variant>
        <vt:i4>18</vt:i4>
      </vt:variant>
      <vt:variant>
        <vt:i4>0</vt:i4>
      </vt:variant>
      <vt:variant>
        <vt:i4>5</vt:i4>
      </vt:variant>
      <vt:variant>
        <vt:lpwstr>https://bond.edu.au/current-students/services-support</vt:lpwstr>
      </vt:variant>
      <vt:variant>
        <vt:lpwstr/>
      </vt:variant>
      <vt:variant>
        <vt:i4>5767260</vt:i4>
      </vt:variant>
      <vt:variant>
        <vt:i4>15</vt:i4>
      </vt:variant>
      <vt:variant>
        <vt:i4>0</vt:i4>
      </vt:variant>
      <vt:variant>
        <vt:i4>5</vt:i4>
      </vt:variant>
      <vt:variant>
        <vt:lpwstr>https://bond.edu.au/cyber</vt:lpwstr>
      </vt:variant>
      <vt:variant>
        <vt:lpwstr/>
      </vt:variant>
      <vt:variant>
        <vt:i4>67</vt:i4>
      </vt:variant>
      <vt:variant>
        <vt:i4>12</vt:i4>
      </vt:variant>
      <vt:variant>
        <vt:i4>0</vt:i4>
      </vt:variant>
      <vt:variant>
        <vt:i4>5</vt:i4>
      </vt:variant>
      <vt:variant>
        <vt:lpwstr>https://bond.edu.au/current-students/services-support/university-safety-and-security</vt:lpwstr>
      </vt:variant>
      <vt:variant>
        <vt:lpwstr/>
      </vt:variant>
      <vt:variant>
        <vt:i4>7929964</vt:i4>
      </vt:variant>
      <vt:variant>
        <vt:i4>9</vt:i4>
      </vt:variant>
      <vt:variant>
        <vt:i4>0</vt:i4>
      </vt:variant>
      <vt:variant>
        <vt:i4>5</vt:i4>
      </vt:variant>
      <vt:variant>
        <vt:lpwstr>https://bond.edu.au/current-students/services-support/wellbeing/medical-clinic</vt:lpwstr>
      </vt:variant>
      <vt:variant>
        <vt:lpwstr/>
      </vt:variant>
      <vt:variant>
        <vt:i4>6488166</vt:i4>
      </vt:variant>
      <vt:variant>
        <vt:i4>6</vt:i4>
      </vt:variant>
      <vt:variant>
        <vt:i4>0</vt:i4>
      </vt:variant>
      <vt:variant>
        <vt:i4>5</vt:i4>
      </vt:variant>
      <vt:variant>
        <vt:lpwstr>https://bond.edu.au/current-students/services-support/wellbeing/counselling-service</vt:lpwstr>
      </vt:variant>
      <vt:variant>
        <vt:lpwstr/>
      </vt:variant>
      <vt:variant>
        <vt:i4>7864362</vt:i4>
      </vt:variant>
      <vt:variant>
        <vt:i4>3</vt:i4>
      </vt:variant>
      <vt:variant>
        <vt:i4>0</vt:i4>
      </vt:variant>
      <vt:variant>
        <vt:i4>5</vt:i4>
      </vt:variant>
      <vt:variant>
        <vt:lpwstr>https://bond.edu.au/our-university/bond-difference/graduate-attributes</vt:lpwstr>
      </vt:variant>
      <vt:variant>
        <vt:lpwstr/>
      </vt:variant>
      <vt:variant>
        <vt:i4>5570627</vt:i4>
      </vt:variant>
      <vt:variant>
        <vt:i4>0</vt:i4>
      </vt:variant>
      <vt:variant>
        <vt:i4>0</vt:i4>
      </vt:variant>
      <vt:variant>
        <vt:i4>5</vt:i4>
      </vt:variant>
      <vt:variant>
        <vt:lpwstr>https://issuu.com/bonduniversity/docs/mb10952_bond_university_strat_plan_2023_-_2027_lrv?fr=sYTkxYjc0MTcyOA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2025-12-01T04:53:00Z</cp:lastPrinted>
  <dcterms:created xsi:type="dcterms:W3CDTF">2025-11-23T22:13:00Z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ContentTypeId">
    <vt:lpwstr>0x0101001E36138AF4CB284D930A08DC3809C1D3</vt:lpwstr>
  </property>
</Properties>
</file>