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6DCF43EC">
        <w:trPr>
          <w:cantSplit/>
        </w:trPr>
        <w:tc>
          <w:tcPr>
            <w:tcW w:w="5000" w:type="pct"/>
            <w:tcBorders>
              <w:bottom w:val="single" w:sz="4" w:space="0" w:color="auto"/>
            </w:tcBorders>
          </w:tcPr>
          <w:p w14:paraId="2DC984E7" w14:textId="33B8A1D1" w:rsidR="001B109C" w:rsidRPr="00F34B1E" w:rsidRDefault="001B109C" w:rsidP="00962F05">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6369D4">
              <w:t>Ba</w:t>
            </w:r>
            <w:r w:rsidR="00A440F2">
              <w:t>tchelor Institute of Indigenous Tertiary Education</w:t>
            </w:r>
          </w:p>
          <w:p w14:paraId="26FC6577" w14:textId="7B521A07" w:rsidR="001B109C" w:rsidRPr="0007338F" w:rsidRDefault="001B109C" w:rsidP="00962F05">
            <w:pPr>
              <w:rPr>
                <w:rFonts w:cstheme="minorHAnsi"/>
                <w:i/>
                <w:iCs/>
                <w:sz w:val="24"/>
                <w:szCs w:val="24"/>
              </w:rPr>
            </w:pPr>
          </w:p>
        </w:tc>
      </w:tr>
      <w:tr w:rsidR="001B109C" w:rsidRPr="00E41388" w14:paraId="2126955C" w14:textId="77777777" w:rsidTr="6DCF43EC">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6DCF43EC">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962F05">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6DCF43EC">
        <w:trPr>
          <w:cantSplit/>
        </w:trPr>
        <w:tc>
          <w:tcPr>
            <w:tcW w:w="5000" w:type="pct"/>
          </w:tcPr>
          <w:p w14:paraId="43C124C8" w14:textId="55208677" w:rsidR="001B109C" w:rsidRPr="00E169EE" w:rsidRDefault="00F30BFA" w:rsidP="00F30BFA">
            <w:pPr>
              <w:pStyle w:val="Heading4"/>
              <w:keepLines w:val="0"/>
              <w:spacing w:before="180" w:after="60"/>
            </w:pPr>
            <w:r w:rsidRPr="00F30BFA">
              <w:lastRenderedPageBreak/>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6DCF43EC">
        <w:trPr>
          <w:cantSplit/>
          <w:trHeight w:val="1123"/>
        </w:trPr>
        <w:tc>
          <w:tcPr>
            <w:tcW w:w="5000" w:type="pct"/>
            <w:tcBorders>
              <w:bottom w:val="single" w:sz="4" w:space="0" w:color="auto"/>
            </w:tcBorders>
          </w:tcPr>
          <w:p w14:paraId="42A5E17D" w14:textId="53B5F596" w:rsidR="00D556B2" w:rsidRDefault="00D556B2" w:rsidP="00B93CE5">
            <w:pPr>
              <w:pStyle w:val="NormalIndent"/>
              <w:spacing w:before="0" w:line="240" w:lineRule="auto"/>
              <w:ind w:left="0"/>
              <w:jc w:val="both"/>
              <w:rPr>
                <w:sz w:val="20"/>
                <w:szCs w:val="20"/>
                <w:lang w:eastAsia="en-GB"/>
              </w:rPr>
            </w:pPr>
            <w:r w:rsidRPr="007D73BF">
              <w:rPr>
                <w:sz w:val="20"/>
                <w:szCs w:val="20"/>
                <w:lang w:eastAsia="en-GB"/>
              </w:rPr>
              <w:t xml:space="preserve">As a specialist institute and the only </w:t>
            </w:r>
            <w:r w:rsidR="001F6D97" w:rsidRPr="007D73BF">
              <w:rPr>
                <w:sz w:val="20"/>
                <w:szCs w:val="20"/>
                <w:lang w:eastAsia="en-GB"/>
              </w:rPr>
              <w:t>Indigenous Australians</w:t>
            </w:r>
            <w:r w:rsidRPr="007D73BF">
              <w:rPr>
                <w:sz w:val="20"/>
                <w:szCs w:val="20"/>
                <w:lang w:eastAsia="en-GB"/>
              </w:rPr>
              <w:t xml:space="preserve"> dual sector tertiary education provider in Australia, Batchelor Institute serves a unique role in providing education, training programs and courses for </w:t>
            </w:r>
            <w:r w:rsidR="000815B2" w:rsidRPr="007D73BF">
              <w:rPr>
                <w:sz w:val="20"/>
                <w:szCs w:val="20"/>
                <w:lang w:eastAsia="en-GB"/>
              </w:rPr>
              <w:t>Indigenous Australians</w:t>
            </w:r>
            <w:r w:rsidRPr="007D73BF">
              <w:rPr>
                <w:sz w:val="20"/>
                <w:szCs w:val="20"/>
                <w:lang w:eastAsia="en-GB"/>
              </w:rPr>
              <w:t xml:space="preserve">. Council determines our vision as being the education provider of choice for </w:t>
            </w:r>
            <w:r w:rsidR="001F6D97" w:rsidRPr="007D73BF">
              <w:rPr>
                <w:sz w:val="20"/>
                <w:szCs w:val="20"/>
                <w:lang w:eastAsia="en-GB"/>
              </w:rPr>
              <w:t>Indigenous Australians</w:t>
            </w:r>
            <w:r w:rsidRPr="007D73BF">
              <w:rPr>
                <w:sz w:val="20"/>
                <w:szCs w:val="20"/>
                <w:lang w:eastAsia="en-GB"/>
              </w:rPr>
              <w:t xml:space="preserve"> people. The Institute</w:t>
            </w:r>
            <w:r w:rsidR="00BF60F4" w:rsidRPr="007D73BF">
              <w:rPr>
                <w:sz w:val="20"/>
                <w:szCs w:val="20"/>
                <w:lang w:eastAsia="en-GB"/>
              </w:rPr>
              <w:t xml:space="preserve"> is guided by the </w:t>
            </w:r>
            <w:r w:rsidRPr="007D73BF">
              <w:rPr>
                <w:sz w:val="20"/>
                <w:szCs w:val="20"/>
                <w:lang w:eastAsia="en-GB"/>
              </w:rPr>
              <w:t>Strategic Plan 202</w:t>
            </w:r>
            <w:r w:rsidR="00A34508" w:rsidRPr="007D73BF">
              <w:rPr>
                <w:sz w:val="20"/>
                <w:szCs w:val="20"/>
                <w:lang w:eastAsia="en-GB"/>
              </w:rPr>
              <w:t>5</w:t>
            </w:r>
            <w:r w:rsidRPr="007D73BF">
              <w:rPr>
                <w:sz w:val="20"/>
                <w:szCs w:val="20"/>
                <w:lang w:eastAsia="en-GB"/>
              </w:rPr>
              <w:t>-202</w:t>
            </w:r>
            <w:r w:rsidR="00A34508" w:rsidRPr="007D73BF">
              <w:rPr>
                <w:sz w:val="20"/>
                <w:szCs w:val="20"/>
                <w:lang w:eastAsia="en-GB"/>
              </w:rPr>
              <w:t>7</w:t>
            </w:r>
            <w:r w:rsidR="00B74A57" w:rsidRPr="007D73BF">
              <w:rPr>
                <w:sz w:val="20"/>
                <w:szCs w:val="20"/>
                <w:lang w:eastAsia="en-GB"/>
              </w:rPr>
              <w:t>,</w:t>
            </w:r>
            <w:r w:rsidR="00466FA6" w:rsidRPr="007D73BF">
              <w:rPr>
                <w:sz w:val="20"/>
                <w:szCs w:val="20"/>
                <w:lang w:eastAsia="en-GB"/>
              </w:rPr>
              <w:t xml:space="preserve"> its</w:t>
            </w:r>
            <w:r w:rsidR="00B74A57" w:rsidRPr="007D73BF">
              <w:rPr>
                <w:sz w:val="20"/>
                <w:szCs w:val="20"/>
                <w:lang w:eastAsia="en-GB"/>
              </w:rPr>
              <w:t xml:space="preserve"> </w:t>
            </w:r>
            <w:r w:rsidR="00466FA6" w:rsidRPr="007D73BF">
              <w:rPr>
                <w:sz w:val="20"/>
                <w:szCs w:val="20"/>
                <w:lang w:eastAsia="en-GB"/>
              </w:rPr>
              <w:t>T</w:t>
            </w:r>
            <w:r w:rsidR="00B74A57" w:rsidRPr="007D73BF">
              <w:rPr>
                <w:sz w:val="20"/>
                <w:szCs w:val="20"/>
                <w:lang w:eastAsia="en-GB"/>
              </w:rPr>
              <w:t xml:space="preserve">eaching and Learning and </w:t>
            </w:r>
            <w:r w:rsidR="009B1692" w:rsidRPr="007D73BF">
              <w:rPr>
                <w:sz w:val="20"/>
                <w:szCs w:val="20"/>
                <w:lang w:eastAsia="en-GB"/>
              </w:rPr>
              <w:t>Research Plans</w:t>
            </w:r>
            <w:r w:rsidRPr="007D73BF">
              <w:rPr>
                <w:sz w:val="20"/>
                <w:szCs w:val="20"/>
                <w:lang w:eastAsia="en-GB"/>
              </w:rPr>
              <w:t>.</w:t>
            </w:r>
          </w:p>
          <w:p w14:paraId="491FC756" w14:textId="5229B6EE" w:rsidR="001C553E" w:rsidRPr="001C553E" w:rsidRDefault="00385A54" w:rsidP="00385A54">
            <w:pPr>
              <w:pStyle w:val="NormalIndent"/>
              <w:spacing w:before="0" w:line="240" w:lineRule="auto"/>
              <w:ind w:left="0"/>
              <w:jc w:val="both"/>
              <w:rPr>
                <w:sz w:val="20"/>
                <w:szCs w:val="20"/>
                <w:lang w:eastAsia="en-GB"/>
              </w:rPr>
            </w:pPr>
            <w:r>
              <w:rPr>
                <w:sz w:val="20"/>
                <w:szCs w:val="20"/>
                <w:lang w:eastAsia="en-GB"/>
              </w:rPr>
              <w:t xml:space="preserve">In line with our strategic </w:t>
            </w:r>
            <w:r w:rsidR="00E96F73">
              <w:rPr>
                <w:sz w:val="20"/>
                <w:szCs w:val="20"/>
                <w:lang w:eastAsia="en-GB"/>
              </w:rPr>
              <w:t>direction,</w:t>
            </w:r>
            <w:r>
              <w:rPr>
                <w:sz w:val="20"/>
                <w:szCs w:val="20"/>
                <w:lang w:eastAsia="en-GB"/>
              </w:rPr>
              <w:t xml:space="preserve"> we</w:t>
            </w:r>
            <w:r w:rsidR="001C553E" w:rsidRPr="001C553E">
              <w:rPr>
                <w:sz w:val="20"/>
                <w:szCs w:val="20"/>
                <w:lang w:eastAsia="en-GB"/>
              </w:rPr>
              <w:t xml:space="preserve"> are working with TEQSA to recommence the delivery of undergraduate degree course. We are confident that we will be prepared to deliver a high-quality undergraduate course commencing in 2027</w:t>
            </w:r>
            <w:r w:rsidR="00E96F73">
              <w:rPr>
                <w:sz w:val="20"/>
                <w:szCs w:val="20"/>
                <w:lang w:eastAsia="en-GB"/>
              </w:rPr>
              <w:t>, should our application for re-registration be approved.</w:t>
            </w:r>
          </w:p>
          <w:p w14:paraId="6E16B0DE" w14:textId="7C587AEE" w:rsidR="00A021E1" w:rsidRPr="005B7512" w:rsidRDefault="006101FE" w:rsidP="005B7512">
            <w:pPr>
              <w:pStyle w:val="NormalIndent"/>
              <w:spacing w:before="0" w:line="240" w:lineRule="auto"/>
              <w:ind w:left="0"/>
              <w:jc w:val="both"/>
              <w:rPr>
                <w:sz w:val="20"/>
                <w:szCs w:val="20"/>
                <w:lang w:eastAsia="en-GB"/>
              </w:rPr>
            </w:pPr>
            <w:r>
              <w:rPr>
                <w:sz w:val="20"/>
                <w:szCs w:val="20"/>
                <w:lang w:eastAsia="en-GB"/>
              </w:rPr>
              <w:t>Also,</w:t>
            </w:r>
            <w:r w:rsidR="00C63FA5">
              <w:rPr>
                <w:sz w:val="20"/>
                <w:szCs w:val="20"/>
                <w:lang w:eastAsia="en-GB"/>
              </w:rPr>
              <w:t xml:space="preserve"> in line with our strategic direction we are </w:t>
            </w:r>
            <w:r w:rsidR="00A021E1" w:rsidRPr="005B7512">
              <w:rPr>
                <w:sz w:val="20"/>
                <w:szCs w:val="20"/>
                <w:lang w:eastAsia="en-GB"/>
              </w:rPr>
              <w:t xml:space="preserve">working on the delivery of new Graduate Certificate courses and aim to have these offered in semester two 2026. Part of the preparation of these courses will involve seeking input from the industries </w:t>
            </w:r>
            <w:r w:rsidR="003F1BCC">
              <w:rPr>
                <w:sz w:val="20"/>
                <w:szCs w:val="20"/>
                <w:lang w:eastAsia="en-GB"/>
              </w:rPr>
              <w:t>such as</w:t>
            </w:r>
            <w:r w:rsidR="00A021E1" w:rsidRPr="005B7512">
              <w:rPr>
                <w:sz w:val="20"/>
                <w:szCs w:val="20"/>
                <w:lang w:eastAsia="en-GB"/>
              </w:rPr>
              <w:t xml:space="preserve"> the public sector, Indigenous organisations, community organisations, the defence force, the banking industry, the mining industry and national sporting bodies.</w:t>
            </w:r>
          </w:p>
          <w:p w14:paraId="19C29271" w14:textId="77777777" w:rsidR="001477B8" w:rsidRPr="001477B8" w:rsidRDefault="00A021E1" w:rsidP="00786619">
            <w:pPr>
              <w:pStyle w:val="NormalIndent"/>
              <w:spacing w:before="0" w:line="240" w:lineRule="auto"/>
              <w:ind w:left="0"/>
              <w:jc w:val="both"/>
              <w:rPr>
                <w:color w:val="212121"/>
                <w:sz w:val="20"/>
                <w:szCs w:val="20"/>
                <w:lang w:eastAsia="en-GB"/>
              </w:rPr>
            </w:pPr>
            <w:r w:rsidRPr="005B7512">
              <w:rPr>
                <w:sz w:val="20"/>
                <w:szCs w:val="20"/>
                <w:lang w:eastAsia="en-GB"/>
              </w:rPr>
              <w:t xml:space="preserve">One of our aims of these courses is to ensure that Indigenous people in the workforce can develop their skills and qualifications in a culturally safe place learning environment. In a short </w:t>
            </w:r>
            <w:r w:rsidR="001477B8" w:rsidRPr="005B7512">
              <w:rPr>
                <w:sz w:val="20"/>
                <w:szCs w:val="20"/>
                <w:lang w:eastAsia="en-GB"/>
              </w:rPr>
              <w:t>period of time, we believe that Indigenous</w:t>
            </w:r>
            <w:r w:rsidR="001477B8" w:rsidRPr="001477B8">
              <w:rPr>
                <w:color w:val="212121"/>
                <w:sz w:val="20"/>
                <w:szCs w:val="20"/>
                <w:lang w:eastAsia="en-GB"/>
              </w:rPr>
              <w:t xml:space="preserve"> people from all over Australia will enrol in these courses and these courses will provide direct benefit to their career prospects. </w:t>
            </w:r>
          </w:p>
          <w:p w14:paraId="58D5366A" w14:textId="5878A795" w:rsidR="0005619E" w:rsidRPr="00F34DC4" w:rsidRDefault="0005619E" w:rsidP="00A021E1">
            <w:pPr>
              <w:pStyle w:val="NormalIndent"/>
              <w:spacing w:before="0" w:line="240" w:lineRule="auto"/>
              <w:ind w:left="0"/>
              <w:jc w:val="both"/>
              <w:rPr>
                <w:rFonts w:asciiTheme="minorHAnsi" w:hAnsiTheme="minorHAnsi" w:cstheme="minorHAnsi"/>
                <w:i/>
                <w:sz w:val="20"/>
                <w:szCs w:val="20"/>
              </w:rPr>
            </w:pPr>
            <w:r w:rsidRPr="00F34DC4">
              <w:rPr>
                <w:i/>
                <w:sz w:val="20"/>
                <w:szCs w:val="20"/>
              </w:rPr>
              <w:t>Measures of success</w:t>
            </w:r>
          </w:p>
          <w:p w14:paraId="70C845F5" w14:textId="7D195B1C" w:rsidR="00D556B2" w:rsidRPr="007D73BF" w:rsidRDefault="00D556B2" w:rsidP="00B93CE5">
            <w:pPr>
              <w:pStyle w:val="NormalIndent"/>
              <w:spacing w:before="0" w:line="240" w:lineRule="auto"/>
              <w:ind w:left="0"/>
              <w:jc w:val="both"/>
              <w:rPr>
                <w:sz w:val="20"/>
                <w:szCs w:val="20"/>
                <w:lang w:eastAsia="en-GB"/>
              </w:rPr>
            </w:pPr>
            <w:r w:rsidRPr="007D73BF">
              <w:rPr>
                <w:color w:val="212121"/>
                <w:sz w:val="20"/>
                <w:szCs w:val="20"/>
                <w:lang w:eastAsia="en-GB"/>
              </w:rPr>
              <w:t xml:space="preserve">The primary measures of success in our Institution reflect </w:t>
            </w:r>
            <w:r w:rsidR="001F6D97" w:rsidRPr="007D73BF">
              <w:rPr>
                <w:color w:val="212121"/>
                <w:sz w:val="20"/>
                <w:szCs w:val="20"/>
                <w:lang w:eastAsia="en-GB"/>
              </w:rPr>
              <w:t>Indigenous Australians</w:t>
            </w:r>
            <w:r w:rsidRPr="007D73BF">
              <w:rPr>
                <w:color w:val="212121"/>
                <w:sz w:val="20"/>
                <w:szCs w:val="20"/>
                <w:lang w:eastAsia="en-GB"/>
              </w:rPr>
              <w:t xml:space="preserve"> expectations of an Australian Higher Education system which is underpinned by </w:t>
            </w:r>
            <w:r w:rsidR="00BE240D" w:rsidRPr="007D73BF">
              <w:rPr>
                <w:color w:val="212121"/>
                <w:sz w:val="20"/>
                <w:szCs w:val="20"/>
                <w:lang w:eastAsia="en-GB"/>
              </w:rPr>
              <w:t>Indigenous</w:t>
            </w:r>
            <w:r w:rsidR="001F6D97" w:rsidRPr="007D73BF">
              <w:rPr>
                <w:color w:val="212121"/>
                <w:sz w:val="20"/>
                <w:szCs w:val="20"/>
                <w:lang w:eastAsia="en-GB"/>
              </w:rPr>
              <w:t xml:space="preserve"> Australians</w:t>
            </w:r>
            <w:r w:rsidRPr="007D73BF">
              <w:rPr>
                <w:color w:val="212121"/>
                <w:sz w:val="20"/>
                <w:szCs w:val="20"/>
                <w:lang w:eastAsia="en-GB"/>
              </w:rPr>
              <w:t xml:space="preserve"> led and Indigenous Knowledge driven approaches, responses, and measures of success. In taking that position we also differentiate ourselves because we come from and retain the connected cultural knowledge practices embedded in our </w:t>
            </w:r>
            <w:r w:rsidR="003C2D00" w:rsidRPr="007D73BF">
              <w:rPr>
                <w:color w:val="212121"/>
                <w:sz w:val="20"/>
                <w:szCs w:val="20"/>
                <w:lang w:eastAsia="en-GB"/>
              </w:rPr>
              <w:t>Indigen</w:t>
            </w:r>
            <w:r w:rsidR="00E14B70" w:rsidRPr="007D73BF">
              <w:rPr>
                <w:color w:val="212121"/>
                <w:sz w:val="20"/>
                <w:szCs w:val="20"/>
                <w:lang w:eastAsia="en-GB"/>
              </w:rPr>
              <w:t>ous Australian</w:t>
            </w:r>
            <w:r w:rsidRPr="007D73BF">
              <w:rPr>
                <w:color w:val="212121"/>
                <w:sz w:val="20"/>
                <w:szCs w:val="20"/>
                <w:lang w:eastAsia="en-GB"/>
              </w:rPr>
              <w:t xml:space="preserve"> language</w:t>
            </w:r>
            <w:r w:rsidR="00E14B70" w:rsidRPr="007D73BF">
              <w:rPr>
                <w:color w:val="212121"/>
                <w:sz w:val="20"/>
                <w:szCs w:val="20"/>
                <w:lang w:eastAsia="en-GB"/>
              </w:rPr>
              <w:t>s</w:t>
            </w:r>
            <w:r w:rsidRPr="007D73BF">
              <w:rPr>
                <w:color w:val="212121"/>
                <w:sz w:val="20"/>
                <w:szCs w:val="20"/>
                <w:lang w:eastAsia="en-GB"/>
              </w:rPr>
              <w:t>, culture</w:t>
            </w:r>
            <w:r w:rsidR="00E14B70" w:rsidRPr="007D73BF">
              <w:rPr>
                <w:color w:val="212121"/>
                <w:sz w:val="20"/>
                <w:szCs w:val="20"/>
                <w:lang w:eastAsia="en-GB"/>
              </w:rPr>
              <w:t>s</w:t>
            </w:r>
            <w:r w:rsidRPr="007D73BF">
              <w:rPr>
                <w:color w:val="212121"/>
                <w:sz w:val="20"/>
                <w:szCs w:val="20"/>
                <w:lang w:eastAsia="en-GB"/>
              </w:rPr>
              <w:t>, and countr</w:t>
            </w:r>
            <w:r w:rsidR="00E14B70" w:rsidRPr="007D73BF">
              <w:rPr>
                <w:color w:val="212121"/>
                <w:sz w:val="20"/>
                <w:szCs w:val="20"/>
                <w:lang w:eastAsia="en-GB"/>
              </w:rPr>
              <w:t>ies</w:t>
            </w:r>
            <w:r w:rsidRPr="007D73BF">
              <w:rPr>
                <w:color w:val="212121"/>
                <w:sz w:val="20"/>
                <w:szCs w:val="20"/>
                <w:lang w:eastAsia="en-GB"/>
              </w:rPr>
              <w:t>.</w:t>
            </w:r>
          </w:p>
          <w:p w14:paraId="4E30C821" w14:textId="77777777" w:rsidR="00D556B2" w:rsidRPr="007D73BF" w:rsidRDefault="00D556B2" w:rsidP="00B93CE5">
            <w:pPr>
              <w:pStyle w:val="NormalIndent"/>
              <w:spacing w:before="0" w:line="240" w:lineRule="auto"/>
              <w:ind w:left="0"/>
              <w:jc w:val="both"/>
              <w:rPr>
                <w:color w:val="212121"/>
                <w:sz w:val="20"/>
                <w:szCs w:val="20"/>
                <w:lang w:eastAsia="en-GB"/>
              </w:rPr>
            </w:pPr>
            <w:r w:rsidRPr="007D73BF">
              <w:rPr>
                <w:sz w:val="20"/>
                <w:szCs w:val="20"/>
                <w:lang w:eastAsia="en-GB"/>
              </w:rPr>
              <w:t>Sector</w:t>
            </w:r>
            <w:r w:rsidRPr="007D73BF">
              <w:rPr>
                <w:color w:val="212121"/>
                <w:sz w:val="20"/>
                <w:szCs w:val="20"/>
                <w:lang w:eastAsia="en-GB"/>
              </w:rPr>
              <w:t xml:space="preserve"> challenges that are addressed through our underpinning approach include: </w:t>
            </w:r>
          </w:p>
          <w:p w14:paraId="407A8B35" w14:textId="1D7AD135" w:rsidR="00D556B2" w:rsidRPr="007D73BF" w:rsidRDefault="00D556B2" w:rsidP="00B93CE5">
            <w:pPr>
              <w:pStyle w:val="ListParagraph"/>
              <w:numPr>
                <w:ilvl w:val="0"/>
                <w:numId w:val="20"/>
              </w:numPr>
              <w:spacing w:after="0" w:line="240" w:lineRule="auto"/>
              <w:jc w:val="both"/>
              <w:rPr>
                <w:rFonts w:eastAsia="Times New Roman"/>
                <w:color w:val="212121"/>
                <w:sz w:val="20"/>
                <w:szCs w:val="20"/>
                <w:lang w:eastAsia="en-GB"/>
              </w:rPr>
            </w:pPr>
            <w:r w:rsidRPr="007D73BF">
              <w:rPr>
                <w:rFonts w:eastAsia="Times New Roman"/>
                <w:color w:val="212121"/>
                <w:sz w:val="20"/>
                <w:szCs w:val="20"/>
                <w:lang w:eastAsia="en-GB"/>
              </w:rPr>
              <w:t xml:space="preserve">The Institute will be developing a plan in response to TEQSA’s request that addresses AI as an issue that teaching staff will incorporate into their delivery. </w:t>
            </w:r>
          </w:p>
          <w:p w14:paraId="616DA5E7" w14:textId="188225E5" w:rsidR="00D556B2" w:rsidRPr="007D73BF" w:rsidRDefault="00D556B2" w:rsidP="00B93CE5">
            <w:pPr>
              <w:pStyle w:val="ListParagraph"/>
              <w:numPr>
                <w:ilvl w:val="0"/>
                <w:numId w:val="20"/>
              </w:numPr>
              <w:spacing w:after="0" w:line="240" w:lineRule="auto"/>
              <w:jc w:val="both"/>
              <w:rPr>
                <w:rFonts w:eastAsia="Times New Roman"/>
                <w:color w:val="212121"/>
                <w:sz w:val="20"/>
                <w:szCs w:val="20"/>
                <w:lang w:eastAsia="en-GB"/>
              </w:rPr>
            </w:pPr>
            <w:r w:rsidRPr="007D73BF">
              <w:rPr>
                <w:rFonts w:eastAsia="Times New Roman"/>
                <w:color w:val="212121"/>
                <w:sz w:val="20"/>
                <w:szCs w:val="20"/>
                <w:lang w:eastAsia="en-GB"/>
              </w:rPr>
              <w:t xml:space="preserve">Academic integrity risks </w:t>
            </w:r>
            <w:r w:rsidR="001F528D" w:rsidRPr="007D73BF">
              <w:rPr>
                <w:rFonts w:eastAsia="Times New Roman"/>
                <w:color w:val="212121"/>
                <w:sz w:val="20"/>
                <w:szCs w:val="20"/>
                <w:lang w:eastAsia="en-GB"/>
              </w:rPr>
              <w:t>have</w:t>
            </w:r>
            <w:r w:rsidRPr="007D73BF">
              <w:rPr>
                <w:rFonts w:eastAsia="Times New Roman"/>
                <w:color w:val="212121"/>
                <w:sz w:val="20"/>
                <w:szCs w:val="20"/>
                <w:lang w:eastAsia="en-GB"/>
              </w:rPr>
              <w:t xml:space="preserve"> been </w:t>
            </w:r>
            <w:r w:rsidR="00733F19" w:rsidRPr="007D73BF">
              <w:rPr>
                <w:rFonts w:eastAsia="Times New Roman"/>
                <w:color w:val="212121"/>
                <w:sz w:val="20"/>
                <w:szCs w:val="20"/>
                <w:lang w:eastAsia="en-GB"/>
              </w:rPr>
              <w:t xml:space="preserve">identified and </w:t>
            </w:r>
            <w:r w:rsidRPr="007D73BF">
              <w:rPr>
                <w:rFonts w:eastAsia="Times New Roman"/>
                <w:color w:val="212121"/>
                <w:sz w:val="20"/>
                <w:szCs w:val="20"/>
                <w:lang w:eastAsia="en-GB"/>
              </w:rPr>
              <w:t>addressed by recent Academic and Corporate Governance Review</w:t>
            </w:r>
            <w:r w:rsidR="00733F19" w:rsidRPr="007D73BF">
              <w:rPr>
                <w:rFonts w:eastAsia="Times New Roman"/>
                <w:color w:val="212121"/>
                <w:sz w:val="20"/>
                <w:szCs w:val="20"/>
                <w:lang w:eastAsia="en-GB"/>
              </w:rPr>
              <w:t>.</w:t>
            </w:r>
            <w:r w:rsidRPr="007D73BF">
              <w:rPr>
                <w:rFonts w:eastAsia="Times New Roman"/>
                <w:color w:val="212121"/>
                <w:sz w:val="20"/>
                <w:szCs w:val="20"/>
                <w:lang w:eastAsia="en-GB"/>
              </w:rPr>
              <w:t xml:space="preserve"> </w:t>
            </w:r>
          </w:p>
          <w:p w14:paraId="46826B14" w14:textId="77777777" w:rsidR="00D556B2" w:rsidRPr="007D73BF" w:rsidRDefault="00D556B2" w:rsidP="00B93CE5">
            <w:pPr>
              <w:spacing w:after="0"/>
              <w:jc w:val="both"/>
              <w:rPr>
                <w:rFonts w:eastAsia="Times New Roman"/>
                <w:color w:val="212121"/>
                <w:sz w:val="20"/>
                <w:szCs w:val="20"/>
                <w:lang w:eastAsia="en-GB"/>
              </w:rPr>
            </w:pPr>
          </w:p>
          <w:p w14:paraId="1452C824" w14:textId="77777777" w:rsidR="00D556B2" w:rsidRPr="007D73BF" w:rsidRDefault="00D556B2" w:rsidP="00B93CE5">
            <w:pPr>
              <w:keepNext/>
              <w:spacing w:after="0"/>
              <w:jc w:val="both"/>
              <w:rPr>
                <w:rFonts w:eastAsia="Times New Roman"/>
                <w:color w:val="212121"/>
                <w:sz w:val="20"/>
                <w:szCs w:val="20"/>
                <w:lang w:eastAsia="en-GB"/>
              </w:rPr>
            </w:pPr>
            <w:r w:rsidRPr="007D73BF">
              <w:rPr>
                <w:rFonts w:eastAsia="Times New Roman"/>
                <w:color w:val="212121"/>
                <w:sz w:val="20"/>
                <w:szCs w:val="20"/>
                <w:lang w:eastAsia="en-GB"/>
              </w:rPr>
              <w:t xml:space="preserve">In relation to other sector risks: </w:t>
            </w:r>
          </w:p>
          <w:p w14:paraId="46D4D9CE" w14:textId="77777777" w:rsidR="00D556B2" w:rsidRPr="007D73BF" w:rsidRDefault="00D556B2" w:rsidP="00B93CE5">
            <w:pPr>
              <w:keepNext/>
              <w:numPr>
                <w:ilvl w:val="0"/>
                <w:numId w:val="21"/>
              </w:numPr>
              <w:spacing w:after="0" w:line="256" w:lineRule="auto"/>
              <w:jc w:val="both"/>
              <w:rPr>
                <w:rFonts w:eastAsia="Times New Roman"/>
                <w:color w:val="212121"/>
                <w:sz w:val="20"/>
                <w:szCs w:val="20"/>
                <w:lang w:eastAsia="en-GB"/>
              </w:rPr>
            </w:pPr>
            <w:r w:rsidRPr="007D73BF">
              <w:rPr>
                <w:rFonts w:eastAsia="Times New Roman"/>
                <w:color w:val="212121"/>
                <w:sz w:val="20"/>
                <w:szCs w:val="20"/>
                <w:lang w:eastAsia="en-GB"/>
              </w:rPr>
              <w:t>there is no casualisation risk, which is an issue across the wider higher education sector, within the Institute.</w:t>
            </w:r>
          </w:p>
          <w:p w14:paraId="6EB48DAC" w14:textId="77777777" w:rsidR="00D556B2" w:rsidRPr="007D73BF" w:rsidRDefault="00D556B2" w:rsidP="00B93CE5">
            <w:pPr>
              <w:numPr>
                <w:ilvl w:val="0"/>
                <w:numId w:val="21"/>
              </w:numPr>
              <w:spacing w:after="0" w:line="256" w:lineRule="auto"/>
              <w:jc w:val="both"/>
              <w:rPr>
                <w:rFonts w:eastAsia="Times New Roman"/>
                <w:color w:val="212121"/>
                <w:sz w:val="20"/>
                <w:szCs w:val="20"/>
                <w:lang w:eastAsia="en-GB"/>
              </w:rPr>
            </w:pPr>
            <w:r w:rsidRPr="007D73BF">
              <w:rPr>
                <w:rFonts w:eastAsia="Times New Roman"/>
                <w:color w:val="212121"/>
                <w:sz w:val="20"/>
                <w:szCs w:val="20"/>
                <w:lang w:eastAsia="en-GB"/>
              </w:rPr>
              <w:t>changes to the international student market does not impact the Institute, which currently is not CRICOS registered and therefore has no international student delivery.</w:t>
            </w:r>
          </w:p>
          <w:p w14:paraId="1FABF786" w14:textId="77777777" w:rsidR="00D556B2" w:rsidRPr="00F34DC4" w:rsidRDefault="00D556B2" w:rsidP="00B93CE5">
            <w:pPr>
              <w:numPr>
                <w:ilvl w:val="0"/>
                <w:numId w:val="21"/>
              </w:numPr>
              <w:spacing w:after="0" w:line="256" w:lineRule="auto"/>
              <w:jc w:val="both"/>
              <w:rPr>
                <w:rFonts w:eastAsia="Times New Roman"/>
                <w:sz w:val="20"/>
                <w:szCs w:val="20"/>
                <w:lang w:eastAsia="en-GB"/>
              </w:rPr>
            </w:pPr>
            <w:r w:rsidRPr="007D73BF">
              <w:rPr>
                <w:rFonts w:eastAsia="Times New Roman"/>
                <w:color w:val="212121"/>
                <w:sz w:val="20"/>
                <w:szCs w:val="20"/>
                <w:lang w:eastAsia="en-GB"/>
              </w:rPr>
              <w:t xml:space="preserve">our </w:t>
            </w:r>
            <w:r w:rsidRPr="00F34DC4">
              <w:rPr>
                <w:rFonts w:eastAsia="Times New Roman"/>
                <w:sz w:val="20"/>
                <w:szCs w:val="20"/>
                <w:lang w:eastAsia="en-GB"/>
              </w:rPr>
              <w:t>student load is relatively stable and therefore, the impact of fluctuating student load through attrition on the Institute's finances is not relevant.</w:t>
            </w:r>
          </w:p>
          <w:p w14:paraId="245F3621" w14:textId="6B8096B1" w:rsidR="00C56BF3" w:rsidRPr="00891BE3" w:rsidRDefault="0078688C" w:rsidP="00891BE3">
            <w:pPr>
              <w:pStyle w:val="ListParagraph"/>
              <w:numPr>
                <w:ilvl w:val="0"/>
                <w:numId w:val="20"/>
              </w:numPr>
              <w:spacing w:after="0" w:line="240" w:lineRule="auto"/>
              <w:jc w:val="both"/>
              <w:rPr>
                <w:rFonts w:eastAsia="Times New Roman"/>
                <w:color w:val="212121"/>
                <w:sz w:val="20"/>
                <w:szCs w:val="20"/>
                <w:lang w:eastAsia="en-GB"/>
              </w:rPr>
            </w:pPr>
            <w:r w:rsidRPr="00F34DC4">
              <w:rPr>
                <w:rFonts w:eastAsia="Times New Roman"/>
                <w:sz w:val="20"/>
                <w:szCs w:val="20"/>
                <w:lang w:eastAsia="en-GB"/>
              </w:rPr>
              <w:t xml:space="preserve">We have </w:t>
            </w:r>
            <w:r w:rsidR="004B792E" w:rsidRPr="00F34DC4">
              <w:rPr>
                <w:rFonts w:eastAsia="Times New Roman"/>
                <w:sz w:val="20"/>
                <w:szCs w:val="20"/>
                <w:lang w:eastAsia="en-GB"/>
              </w:rPr>
              <w:t xml:space="preserve">undergone IT right fit for risk compliance checks and expect to be signed off on milestone </w:t>
            </w:r>
            <w:r w:rsidR="000E789F" w:rsidRPr="00F34DC4">
              <w:rPr>
                <w:rFonts w:eastAsia="Times New Roman"/>
                <w:sz w:val="20"/>
                <w:szCs w:val="20"/>
                <w:lang w:eastAsia="en-GB"/>
              </w:rPr>
              <w:t>3 by December 2025.</w:t>
            </w:r>
            <w:r w:rsidR="00891BE3" w:rsidRPr="007D73BF">
              <w:rPr>
                <w:rFonts w:eastAsia="Times New Roman"/>
                <w:color w:val="212121"/>
                <w:sz w:val="20"/>
                <w:szCs w:val="20"/>
                <w:lang w:eastAsia="en-GB"/>
              </w:rPr>
              <w:t xml:space="preserve"> Batchelor Institute as of 2024 is a member of CAUDIT and delegates attend regular cyber security briefings.</w:t>
            </w:r>
          </w:p>
          <w:p w14:paraId="6AF816CC" w14:textId="0B961724" w:rsidR="001B109C" w:rsidRPr="00F34DC4" w:rsidRDefault="000E789F" w:rsidP="00B93CE5">
            <w:pPr>
              <w:pStyle w:val="ListParagraph"/>
              <w:numPr>
                <w:ilvl w:val="0"/>
                <w:numId w:val="21"/>
              </w:numPr>
              <w:spacing w:after="0"/>
              <w:jc w:val="both"/>
              <w:rPr>
                <w:rFonts w:asciiTheme="majorHAnsi" w:hAnsiTheme="majorHAnsi" w:cstheme="majorHAnsi"/>
                <w:sz w:val="20"/>
                <w:szCs w:val="20"/>
              </w:rPr>
            </w:pPr>
            <w:r w:rsidRPr="00F34DC4">
              <w:rPr>
                <w:rFonts w:eastAsia="Times New Roman"/>
                <w:sz w:val="20"/>
                <w:szCs w:val="20"/>
                <w:lang w:eastAsia="en-GB"/>
              </w:rPr>
              <w:t xml:space="preserve">We </w:t>
            </w:r>
            <w:r w:rsidR="001435BD" w:rsidRPr="00F34DC4">
              <w:rPr>
                <w:rFonts w:eastAsia="Times New Roman"/>
                <w:sz w:val="20"/>
                <w:szCs w:val="20"/>
                <w:lang w:eastAsia="en-GB"/>
              </w:rPr>
              <w:t xml:space="preserve">are in the process of appointing </w:t>
            </w:r>
            <w:r w:rsidR="001435BD" w:rsidRPr="00F34DC4">
              <w:rPr>
                <w:rFonts w:eastAsia="Times New Roman" w:cstheme="minorHAnsi"/>
                <w:sz w:val="20"/>
                <w:szCs w:val="20"/>
                <w:lang w:eastAsia="en-GB"/>
              </w:rPr>
              <w:t xml:space="preserve">an </w:t>
            </w:r>
            <w:r w:rsidR="00955D0B" w:rsidRPr="00F34DC4">
              <w:rPr>
                <w:rFonts w:eastAsia="Times New Roman" w:cstheme="minorHAnsi"/>
                <w:sz w:val="20"/>
                <w:szCs w:val="20"/>
                <w:lang w:eastAsia="en-AU"/>
              </w:rPr>
              <w:t>E-Learning Coordinator, specialising in instructional design, to support the development of a high-quality learning and teaching platform for our students</w:t>
            </w:r>
            <w:r w:rsidR="00D94E9C" w:rsidRPr="00F34DC4">
              <w:rPr>
                <w:rFonts w:eastAsia="Times New Roman" w:cstheme="minorHAnsi"/>
                <w:sz w:val="20"/>
                <w:szCs w:val="20"/>
                <w:lang w:eastAsia="en-AU"/>
              </w:rPr>
              <w:t xml:space="preserve">, that will </w:t>
            </w:r>
            <w:r w:rsidR="007B6BD9" w:rsidRPr="00F34DC4">
              <w:rPr>
                <w:rFonts w:eastAsia="Times New Roman" w:cstheme="minorHAnsi"/>
                <w:sz w:val="20"/>
                <w:szCs w:val="20"/>
                <w:lang w:eastAsia="en-AU"/>
              </w:rPr>
              <w:t>support</w:t>
            </w:r>
            <w:r w:rsidR="00D94E9C" w:rsidRPr="00F34DC4">
              <w:rPr>
                <w:rFonts w:eastAsia="Times New Roman" w:cstheme="minorHAnsi"/>
                <w:sz w:val="20"/>
                <w:szCs w:val="20"/>
                <w:lang w:eastAsia="en-AU"/>
              </w:rPr>
              <w:t xml:space="preserve"> individual LLND requirements and accessibility needs of the student</w:t>
            </w:r>
            <w:r w:rsidR="00955D0B" w:rsidRPr="00F34DC4">
              <w:rPr>
                <w:rFonts w:eastAsia="Times New Roman" w:cstheme="minorHAnsi"/>
                <w:sz w:val="20"/>
                <w:szCs w:val="20"/>
                <w:lang w:eastAsia="en-AU"/>
              </w:rPr>
              <w:t>.</w:t>
            </w:r>
          </w:p>
          <w:p w14:paraId="2C91A87B" w14:textId="77777777" w:rsidR="001B109C" w:rsidRPr="00D94E9C" w:rsidRDefault="001B109C" w:rsidP="00B93CE5">
            <w:pPr>
              <w:pStyle w:val="NormalIndent"/>
              <w:spacing w:before="0" w:after="0"/>
              <w:ind w:left="0"/>
              <w:jc w:val="both"/>
              <w:rPr>
                <w:rFonts w:asciiTheme="minorHAnsi" w:hAnsiTheme="minorHAnsi" w:cstheme="minorHAnsi"/>
                <w:i/>
                <w:iCs/>
                <w:szCs w:val="22"/>
              </w:rPr>
            </w:pPr>
          </w:p>
        </w:tc>
      </w:tr>
      <w:tr w:rsidR="001B109C" w:rsidRPr="00E41388" w14:paraId="0EA45E0C" w14:textId="77777777" w:rsidTr="6DCF43EC">
        <w:trPr>
          <w:cantSplit/>
        </w:trPr>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6DCF43EC">
        <w:trPr>
          <w:cantSplit/>
        </w:trPr>
        <w:tc>
          <w:tcPr>
            <w:tcW w:w="5000" w:type="pct"/>
          </w:tcPr>
          <w:p w14:paraId="7FA9B0EB" w14:textId="77777777" w:rsidR="00D63EE4" w:rsidRPr="002138B7" w:rsidRDefault="00D63EE4" w:rsidP="002138B7">
            <w:pPr>
              <w:pStyle w:val="NormalIndent"/>
              <w:spacing w:after="0"/>
              <w:ind w:left="0"/>
              <w:jc w:val="both"/>
              <w:rPr>
                <w:rFonts w:asciiTheme="minorHAnsi" w:hAnsiTheme="minorHAnsi" w:cstheme="minorHAnsi"/>
                <w:iCs/>
                <w:sz w:val="20"/>
                <w:szCs w:val="20"/>
              </w:rPr>
            </w:pPr>
            <w:bookmarkStart w:id="0" w:name="_Hlk150338733"/>
            <w:bookmarkStart w:id="1" w:name="_Hlk150338471"/>
            <w:r w:rsidRPr="002138B7">
              <w:rPr>
                <w:rFonts w:asciiTheme="minorHAnsi" w:hAnsiTheme="minorHAnsi" w:cstheme="minorHAnsi"/>
                <w:iCs/>
                <w:sz w:val="20"/>
                <w:szCs w:val="20"/>
              </w:rPr>
              <w:t>Batchelor Institute’s main constituency originates from remote or very remote Northern Territory communities.  However, our Graduate School attracts candidates from around the country.  The reason for our existence is to provide learning opportunities for those who have historically faced many barriers to education. Distance and literacy are two of the major barriers.</w:t>
            </w:r>
          </w:p>
          <w:p w14:paraId="2BF52FE4" w14:textId="729D45C0" w:rsidR="00D63EE4" w:rsidRPr="002138B7" w:rsidRDefault="00D63EE4" w:rsidP="002138B7">
            <w:pPr>
              <w:pStyle w:val="NormalIndent"/>
              <w:spacing w:after="0"/>
              <w:ind w:left="0"/>
              <w:jc w:val="both"/>
              <w:rPr>
                <w:rFonts w:asciiTheme="minorHAnsi" w:hAnsiTheme="minorHAnsi" w:cstheme="minorHAnsi"/>
                <w:iCs/>
                <w:sz w:val="20"/>
                <w:szCs w:val="20"/>
              </w:rPr>
            </w:pPr>
            <w:r w:rsidRPr="002138B7">
              <w:rPr>
                <w:rFonts w:asciiTheme="minorHAnsi" w:hAnsiTheme="minorHAnsi" w:cstheme="minorHAnsi"/>
                <w:iCs/>
                <w:sz w:val="20"/>
                <w:szCs w:val="20"/>
              </w:rPr>
              <w:t xml:space="preserve">The Institute is responding to issue of distance by provision of a mixed mode of learning and a strong Away </w:t>
            </w:r>
            <w:r w:rsidR="0012338C" w:rsidRPr="002138B7">
              <w:rPr>
                <w:rFonts w:asciiTheme="minorHAnsi" w:hAnsiTheme="minorHAnsi" w:cstheme="minorHAnsi"/>
                <w:iCs/>
                <w:sz w:val="20"/>
                <w:szCs w:val="20"/>
              </w:rPr>
              <w:t>from</w:t>
            </w:r>
            <w:r w:rsidRPr="002138B7">
              <w:rPr>
                <w:rFonts w:asciiTheme="minorHAnsi" w:hAnsiTheme="minorHAnsi" w:cstheme="minorHAnsi"/>
                <w:iCs/>
                <w:sz w:val="20"/>
                <w:szCs w:val="20"/>
              </w:rPr>
              <w:t xml:space="preserve"> Base (AFB) residential and reverse block model of delivery.  Masterclasses are held twice a year, with Candidates encouraged and supported to attend in person where possible.  Masterclasses help to reduce isolation of Candidates and assists in building professional networks. </w:t>
            </w:r>
          </w:p>
          <w:p w14:paraId="5DCD15A4" w14:textId="77777777" w:rsidR="00D5537D" w:rsidRPr="002138B7" w:rsidRDefault="00D5537D" w:rsidP="002138B7">
            <w:pPr>
              <w:pStyle w:val="NormalIndent"/>
              <w:spacing w:before="0" w:after="0"/>
              <w:ind w:left="0"/>
              <w:jc w:val="both"/>
              <w:rPr>
                <w:rFonts w:asciiTheme="minorHAnsi" w:hAnsiTheme="minorHAnsi" w:cstheme="minorHAnsi"/>
                <w:iCs/>
                <w:sz w:val="20"/>
                <w:szCs w:val="20"/>
              </w:rPr>
            </w:pPr>
          </w:p>
          <w:p w14:paraId="42466E6B" w14:textId="32D51416" w:rsidR="00A16D87" w:rsidRPr="002138B7" w:rsidRDefault="00A16D87" w:rsidP="002138B7">
            <w:pPr>
              <w:pStyle w:val="NormalIndent"/>
              <w:spacing w:before="0" w:after="0"/>
              <w:ind w:left="0"/>
              <w:jc w:val="both"/>
              <w:rPr>
                <w:rFonts w:asciiTheme="minorHAnsi" w:hAnsiTheme="minorHAnsi" w:cstheme="minorHAnsi"/>
                <w:iCs/>
                <w:sz w:val="20"/>
                <w:szCs w:val="20"/>
              </w:rPr>
            </w:pPr>
            <w:r w:rsidRPr="002138B7">
              <w:rPr>
                <w:rFonts w:asciiTheme="minorHAnsi" w:hAnsiTheme="minorHAnsi" w:cstheme="minorHAnsi"/>
                <w:iCs/>
                <w:sz w:val="20"/>
                <w:szCs w:val="20"/>
              </w:rPr>
              <w:t>We are currently working to recommence delivery of undergraduate degree course</w:t>
            </w:r>
            <w:r w:rsidR="00D5537D" w:rsidRPr="002138B7">
              <w:rPr>
                <w:rFonts w:asciiTheme="minorHAnsi" w:hAnsiTheme="minorHAnsi" w:cstheme="minorHAnsi"/>
                <w:iCs/>
                <w:sz w:val="20"/>
                <w:szCs w:val="20"/>
              </w:rPr>
              <w:t>s</w:t>
            </w:r>
            <w:r w:rsidR="00183AD8" w:rsidRPr="002138B7">
              <w:rPr>
                <w:rFonts w:asciiTheme="minorHAnsi" w:hAnsiTheme="minorHAnsi" w:cstheme="minorHAnsi"/>
                <w:iCs/>
                <w:sz w:val="20"/>
                <w:szCs w:val="20"/>
              </w:rPr>
              <w:t xml:space="preserve"> from 2027</w:t>
            </w:r>
            <w:r w:rsidR="006B6DD0" w:rsidRPr="002138B7">
              <w:rPr>
                <w:rFonts w:asciiTheme="minorHAnsi" w:hAnsiTheme="minorHAnsi" w:cstheme="minorHAnsi"/>
                <w:iCs/>
                <w:sz w:val="20"/>
                <w:szCs w:val="20"/>
              </w:rPr>
              <w:t xml:space="preserve">, which will provide greater opportunity for our student cohorts to undertake </w:t>
            </w:r>
            <w:r w:rsidR="00974ECD" w:rsidRPr="002138B7">
              <w:rPr>
                <w:rFonts w:asciiTheme="minorHAnsi" w:hAnsiTheme="minorHAnsi" w:cstheme="minorHAnsi"/>
                <w:iCs/>
                <w:sz w:val="20"/>
                <w:szCs w:val="20"/>
              </w:rPr>
              <w:t>culturally appropriate education</w:t>
            </w:r>
            <w:r w:rsidRPr="002138B7">
              <w:rPr>
                <w:rFonts w:asciiTheme="minorHAnsi" w:hAnsiTheme="minorHAnsi" w:cstheme="minorHAnsi"/>
                <w:iCs/>
                <w:sz w:val="20"/>
                <w:szCs w:val="20"/>
              </w:rPr>
              <w:t xml:space="preserve">. </w:t>
            </w:r>
          </w:p>
          <w:p w14:paraId="6DE29EE6" w14:textId="379F5A93" w:rsidR="00875192" w:rsidRPr="002138B7" w:rsidRDefault="00183AD8" w:rsidP="002138B7">
            <w:pPr>
              <w:spacing w:before="100" w:beforeAutospacing="1" w:after="100" w:afterAutospacing="1"/>
              <w:jc w:val="both"/>
              <w:rPr>
                <w:rFonts w:cstheme="minorHAnsi"/>
                <w:sz w:val="20"/>
                <w:szCs w:val="20"/>
              </w:rPr>
            </w:pPr>
            <w:r w:rsidRPr="002138B7">
              <w:rPr>
                <w:rFonts w:eastAsia="Times New Roman" w:cstheme="minorHAnsi"/>
                <w:sz w:val="20"/>
                <w:szCs w:val="20"/>
                <w:lang w:eastAsia="en-AU"/>
              </w:rPr>
              <w:t>As a dual sector</w:t>
            </w:r>
            <w:r w:rsidR="008C3F98" w:rsidRPr="002138B7">
              <w:rPr>
                <w:rFonts w:eastAsia="Times New Roman" w:cstheme="minorHAnsi"/>
                <w:sz w:val="20"/>
                <w:szCs w:val="20"/>
                <w:lang w:eastAsia="en-AU"/>
              </w:rPr>
              <w:t xml:space="preserve"> institution, w</w:t>
            </w:r>
            <w:r w:rsidR="00D47004" w:rsidRPr="002138B7">
              <w:rPr>
                <w:rFonts w:eastAsia="Times New Roman" w:cstheme="minorHAnsi"/>
                <w:sz w:val="20"/>
                <w:szCs w:val="20"/>
                <w:lang w:eastAsia="en-AU"/>
              </w:rPr>
              <w:t>e have introduced a</w:t>
            </w:r>
            <w:r w:rsidR="00875192" w:rsidRPr="002138B7">
              <w:rPr>
                <w:rFonts w:eastAsia="Times New Roman" w:cstheme="minorHAnsi"/>
                <w:sz w:val="20"/>
                <w:szCs w:val="20"/>
                <w:lang w:eastAsia="en-AU"/>
              </w:rPr>
              <w:t xml:space="preserve"> student-focused multiple entry and exit system ensur</w:t>
            </w:r>
            <w:r w:rsidR="00D47004" w:rsidRPr="002138B7">
              <w:rPr>
                <w:rFonts w:eastAsia="Times New Roman" w:cstheme="minorHAnsi"/>
                <w:sz w:val="20"/>
                <w:szCs w:val="20"/>
                <w:lang w:eastAsia="en-AU"/>
              </w:rPr>
              <w:t>ing</w:t>
            </w:r>
            <w:r w:rsidR="00875192" w:rsidRPr="002138B7">
              <w:rPr>
                <w:rFonts w:eastAsia="Times New Roman" w:cstheme="minorHAnsi"/>
                <w:sz w:val="20"/>
                <w:szCs w:val="20"/>
                <w:lang w:eastAsia="en-AU"/>
              </w:rPr>
              <w:t xml:space="preserve"> every touchpoint on the learning journey delivers clear, recognised value. Learners can join at different stages, pause, re-enter, or exit with portable credentials that support employment, further study, and community leadership. Every exit is designed to be a positive outcome. </w:t>
            </w:r>
          </w:p>
          <w:p w14:paraId="70840BF9" w14:textId="2A25CC84" w:rsidR="00DF2ADF" w:rsidRPr="002138B7" w:rsidRDefault="00DF2ADF" w:rsidP="002138B7">
            <w:pPr>
              <w:pStyle w:val="NormalIndent"/>
              <w:spacing w:before="0" w:after="0"/>
              <w:ind w:left="0"/>
              <w:jc w:val="both"/>
              <w:rPr>
                <w:rFonts w:asciiTheme="minorHAnsi" w:hAnsiTheme="minorHAnsi" w:cstheme="minorHAnsi"/>
                <w:iCs/>
                <w:sz w:val="20"/>
                <w:szCs w:val="20"/>
              </w:rPr>
            </w:pPr>
            <w:r w:rsidRPr="002138B7">
              <w:rPr>
                <w:rFonts w:asciiTheme="minorHAnsi" w:hAnsiTheme="minorHAnsi" w:cstheme="minorHAnsi"/>
                <w:iCs/>
                <w:sz w:val="20"/>
                <w:szCs w:val="20"/>
              </w:rPr>
              <w:t xml:space="preserve">Our teaching </w:t>
            </w:r>
            <w:r w:rsidR="00741535" w:rsidRPr="002138B7">
              <w:rPr>
                <w:rFonts w:asciiTheme="minorHAnsi" w:hAnsiTheme="minorHAnsi" w:cstheme="minorHAnsi"/>
                <w:iCs/>
                <w:sz w:val="20"/>
                <w:szCs w:val="20"/>
              </w:rPr>
              <w:t>and</w:t>
            </w:r>
            <w:r w:rsidRPr="002138B7">
              <w:rPr>
                <w:rFonts w:asciiTheme="minorHAnsi" w:hAnsiTheme="minorHAnsi" w:cstheme="minorHAnsi"/>
                <w:iCs/>
                <w:sz w:val="20"/>
                <w:szCs w:val="20"/>
              </w:rPr>
              <w:t xml:space="preserve"> learning philosophy </w:t>
            </w:r>
            <w:proofErr w:type="gramStart"/>
            <w:r w:rsidRPr="002138B7">
              <w:rPr>
                <w:rFonts w:asciiTheme="minorHAnsi" w:hAnsiTheme="minorHAnsi" w:cstheme="minorHAnsi"/>
                <w:iCs/>
                <w:sz w:val="20"/>
                <w:szCs w:val="20"/>
              </w:rPr>
              <w:t>is</w:t>
            </w:r>
            <w:proofErr w:type="gramEnd"/>
            <w:r w:rsidRPr="002138B7">
              <w:rPr>
                <w:rFonts w:asciiTheme="minorHAnsi" w:hAnsiTheme="minorHAnsi" w:cstheme="minorHAnsi"/>
                <w:iCs/>
                <w:sz w:val="20"/>
                <w:szCs w:val="20"/>
              </w:rPr>
              <w:t xml:space="preserve"> our both-ways ways approach. This approach allows Indigenous students to use their cultures, histories, experiences and perspectives in their learning. This means that these are included in all coursework, readings, assessments, lectures and tutorial discussions. This allows Indigenous students to develop their skills and confidence by using their own strengths. All higher education teaching staff are either Indigenous or are well versed in Indigenous people and perspectives. This ensures that our two-ways approach is being used to develop students. One important aspect of our two-way philosophy is ensuring that western academic concepts are equally embedded in our courses and delivery.</w:t>
            </w:r>
          </w:p>
          <w:p w14:paraId="14CC48D8" w14:textId="77777777" w:rsidR="00DF2ADF" w:rsidRPr="002138B7" w:rsidRDefault="00DF2ADF" w:rsidP="002138B7">
            <w:pPr>
              <w:pStyle w:val="NormalIndent"/>
              <w:spacing w:before="0" w:after="0"/>
              <w:ind w:left="0"/>
              <w:jc w:val="both"/>
              <w:rPr>
                <w:rFonts w:asciiTheme="minorHAnsi" w:hAnsiTheme="minorHAnsi" w:cstheme="minorHAnsi"/>
                <w:iCs/>
                <w:sz w:val="20"/>
                <w:szCs w:val="20"/>
              </w:rPr>
            </w:pPr>
          </w:p>
          <w:p w14:paraId="44914F99" w14:textId="0EE2A9E5" w:rsidR="00DF2ADF" w:rsidRPr="002138B7" w:rsidRDefault="00DF2ADF" w:rsidP="002138B7">
            <w:pPr>
              <w:pStyle w:val="NormalIndent"/>
              <w:spacing w:before="0" w:after="0"/>
              <w:ind w:left="0"/>
              <w:jc w:val="both"/>
              <w:rPr>
                <w:rFonts w:asciiTheme="minorHAnsi" w:hAnsiTheme="minorHAnsi" w:cstheme="minorHAnsi"/>
                <w:iCs/>
                <w:sz w:val="20"/>
                <w:szCs w:val="20"/>
              </w:rPr>
            </w:pPr>
            <w:r w:rsidRPr="002138B7">
              <w:rPr>
                <w:rFonts w:asciiTheme="minorHAnsi" w:hAnsiTheme="minorHAnsi" w:cstheme="minorHAnsi"/>
                <w:iCs/>
                <w:sz w:val="20"/>
                <w:szCs w:val="20"/>
              </w:rPr>
              <w:t xml:space="preserve">One approach that is crucial to ensuring equal opportunity is to ensure that all our graduate certificate courses have Commonwealth Supported Places for Indigenous students. All students </w:t>
            </w:r>
            <w:r w:rsidR="002A67D3" w:rsidRPr="002138B7">
              <w:rPr>
                <w:rFonts w:asciiTheme="minorHAnsi" w:hAnsiTheme="minorHAnsi" w:cstheme="minorHAnsi"/>
                <w:iCs/>
                <w:sz w:val="20"/>
                <w:szCs w:val="20"/>
              </w:rPr>
              <w:t>being</w:t>
            </w:r>
            <w:r w:rsidRPr="002138B7">
              <w:rPr>
                <w:rFonts w:asciiTheme="minorHAnsi" w:hAnsiTheme="minorHAnsi" w:cstheme="minorHAnsi"/>
                <w:iCs/>
                <w:sz w:val="20"/>
                <w:szCs w:val="20"/>
              </w:rPr>
              <w:t xml:space="preserve"> Indigenous and come from historically social and economic disadvantaged backgrounds. Commonwealth Supported Places will provide these students with the economic desire to commit to studies and complete their studies. The benefit to this will be massive for Australia and the Australian Government’s commitment to closing the gap. The graduates of our graduate certificate courses will be better qualified and skilled to contribute to closing the gap and to ensuring that Indigenous people are beginning to be represented in higher levels in all major industries. </w:t>
            </w:r>
          </w:p>
          <w:p w14:paraId="13B4C4AF" w14:textId="622BC28B" w:rsidR="00087A4A" w:rsidRPr="002138B7" w:rsidRDefault="00087A4A" w:rsidP="002138B7">
            <w:pPr>
              <w:pStyle w:val="NormalIndent"/>
              <w:spacing w:after="0"/>
              <w:ind w:left="0"/>
              <w:jc w:val="both"/>
              <w:rPr>
                <w:rFonts w:asciiTheme="minorHAnsi" w:hAnsiTheme="minorHAnsi" w:cstheme="minorHAnsi"/>
                <w:iCs/>
                <w:sz w:val="20"/>
                <w:szCs w:val="20"/>
              </w:rPr>
            </w:pPr>
            <w:r w:rsidRPr="002138B7">
              <w:rPr>
                <w:rFonts w:asciiTheme="minorHAnsi" w:hAnsiTheme="minorHAnsi" w:cstheme="minorHAnsi"/>
                <w:iCs/>
                <w:sz w:val="20"/>
                <w:szCs w:val="20"/>
              </w:rPr>
              <w:t>The inclusion of a Graduate School Candidate Liaison Officer funded entirely out of our ISSP allocation means that HDR students and candidates have representation on committees and a champion and advocate and first port-of-call support. Communication is key to the attraction and retention of students, many of whom speak an Aboriginal or Torres Strait Islander language in their home community and in their workplace. Interpretation and communication skills are particularly relevant to the role of the Candidate Liaison Officer.</w:t>
            </w:r>
          </w:p>
          <w:bookmarkEnd w:id="0"/>
          <w:bookmarkEnd w:id="1"/>
          <w:p w14:paraId="22B87A46" w14:textId="77628228" w:rsidR="001B109C" w:rsidRPr="00087A4A" w:rsidRDefault="001B109C" w:rsidP="008C3F98">
            <w:pPr>
              <w:pStyle w:val="NormalIndent"/>
              <w:spacing w:after="0"/>
              <w:ind w:left="0"/>
            </w:pPr>
          </w:p>
        </w:tc>
      </w:tr>
      <w:tr w:rsidR="001B109C" w:rsidRPr="00E41388" w14:paraId="39ADE404" w14:textId="77777777" w:rsidTr="6DCF43EC">
        <w:trPr>
          <w:cantSplit/>
        </w:trPr>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6DCF43EC">
        <w:trPr>
          <w:cantSplit/>
          <w:trHeight w:val="977"/>
        </w:trPr>
        <w:tc>
          <w:tcPr>
            <w:tcW w:w="5000" w:type="pct"/>
            <w:tcBorders>
              <w:bottom w:val="single" w:sz="4" w:space="0" w:color="auto"/>
            </w:tcBorders>
          </w:tcPr>
          <w:p w14:paraId="6B8EB763" w14:textId="37904152" w:rsidR="006D172A" w:rsidRDefault="006D172A" w:rsidP="00002569">
            <w:pPr>
              <w:keepLines/>
              <w:tabs>
                <w:tab w:val="left" w:pos="993"/>
              </w:tabs>
              <w:spacing w:after="0"/>
              <w:jc w:val="both"/>
              <w:rPr>
                <w:sz w:val="20"/>
                <w:szCs w:val="20"/>
              </w:rPr>
            </w:pPr>
            <w:r w:rsidRPr="007D73BF">
              <w:rPr>
                <w:sz w:val="20"/>
                <w:szCs w:val="20"/>
              </w:rPr>
              <w:t>We pride ourselves on being an exclusively culturally safe and accessible environment for</w:t>
            </w:r>
            <w:r w:rsidR="000252C5" w:rsidRPr="007D73BF">
              <w:rPr>
                <w:sz w:val="20"/>
                <w:szCs w:val="20"/>
              </w:rPr>
              <w:t xml:space="preserve"> </w:t>
            </w:r>
            <w:r w:rsidR="00F1182D" w:rsidRPr="007D73BF">
              <w:rPr>
                <w:sz w:val="20"/>
                <w:szCs w:val="20"/>
              </w:rPr>
              <w:t>Indigenous</w:t>
            </w:r>
            <w:r w:rsidR="001F6D97" w:rsidRPr="007D73BF">
              <w:rPr>
                <w:sz w:val="20"/>
                <w:szCs w:val="20"/>
              </w:rPr>
              <w:t xml:space="preserve"> Australians</w:t>
            </w:r>
            <w:r w:rsidRPr="007D73BF">
              <w:rPr>
                <w:sz w:val="20"/>
                <w:szCs w:val="20"/>
              </w:rPr>
              <w:t xml:space="preserve"> scholars, Elders and academics</w:t>
            </w:r>
            <w:r w:rsidR="00BD5AB2">
              <w:rPr>
                <w:sz w:val="20"/>
                <w:szCs w:val="20"/>
              </w:rPr>
              <w:t xml:space="preserve">. </w:t>
            </w:r>
            <w:r w:rsidR="00BD5AB2" w:rsidRPr="007D73BF">
              <w:rPr>
                <w:sz w:val="20"/>
                <w:szCs w:val="20"/>
              </w:rPr>
              <w:t>The inclusion of face-to-face learning, peer and cultural activities underpin how we deliver on this.</w:t>
            </w:r>
          </w:p>
          <w:p w14:paraId="759766F9" w14:textId="77777777" w:rsidR="00002569" w:rsidRPr="007D73BF" w:rsidRDefault="00002569" w:rsidP="00002569">
            <w:pPr>
              <w:keepLines/>
              <w:tabs>
                <w:tab w:val="left" w:pos="993"/>
              </w:tabs>
              <w:spacing w:after="0"/>
              <w:jc w:val="both"/>
              <w:rPr>
                <w:sz w:val="20"/>
                <w:szCs w:val="20"/>
              </w:rPr>
            </w:pPr>
          </w:p>
          <w:p w14:paraId="52CCF794" w14:textId="14D26B02" w:rsidR="006D172A" w:rsidRPr="00A0149C" w:rsidRDefault="006D172A" w:rsidP="00A0149C">
            <w:pPr>
              <w:spacing w:after="0"/>
              <w:jc w:val="both"/>
              <w:rPr>
                <w:rFonts w:ascii="Calibri" w:eastAsia="Calibri" w:hAnsi="Calibri" w:cs="Calibri"/>
                <w:color w:val="000000" w:themeColor="text1"/>
                <w:sz w:val="20"/>
                <w:szCs w:val="20"/>
              </w:rPr>
            </w:pPr>
            <w:r w:rsidRPr="007D73BF">
              <w:rPr>
                <w:rFonts w:eastAsia="Calibri"/>
                <w:sz w:val="20"/>
                <w:szCs w:val="20"/>
              </w:rPr>
              <w:t xml:space="preserve">To strengthen the pathway into higher education and to meet the current gap in provision, we are in the process of acquiring self-accreditation to provide AQF levels 5 to 7 once again.  This will enable a more </w:t>
            </w:r>
            <w:r w:rsidRPr="00A0149C">
              <w:rPr>
                <w:rFonts w:ascii="Calibri" w:eastAsia="Calibri" w:hAnsi="Calibri" w:cs="Calibri"/>
                <w:color w:val="000000" w:themeColor="text1"/>
                <w:sz w:val="20"/>
                <w:szCs w:val="20"/>
              </w:rPr>
              <w:t xml:space="preserve">seamless and coherent educational experience for </w:t>
            </w:r>
            <w:r w:rsidR="001F6D97" w:rsidRPr="00A0149C">
              <w:rPr>
                <w:rFonts w:ascii="Calibri" w:eastAsia="Calibri" w:hAnsi="Calibri" w:cs="Calibri"/>
                <w:color w:val="000000" w:themeColor="text1"/>
                <w:sz w:val="20"/>
                <w:szCs w:val="20"/>
              </w:rPr>
              <w:t>Indigenous Australians</w:t>
            </w:r>
            <w:r w:rsidRPr="00A0149C">
              <w:rPr>
                <w:rFonts w:ascii="Calibri" w:eastAsia="Calibri" w:hAnsi="Calibri" w:cs="Calibri"/>
                <w:color w:val="000000" w:themeColor="text1"/>
                <w:sz w:val="20"/>
                <w:szCs w:val="20"/>
              </w:rPr>
              <w:t xml:space="preserve"> students and provide an educational bridge between the current VET and higher education operations</w:t>
            </w:r>
            <w:r w:rsidR="00643DE3" w:rsidRPr="00A0149C">
              <w:rPr>
                <w:rFonts w:ascii="Calibri" w:eastAsia="Calibri" w:hAnsi="Calibri" w:cs="Calibri"/>
                <w:color w:val="000000" w:themeColor="text1"/>
                <w:sz w:val="20"/>
                <w:szCs w:val="20"/>
              </w:rPr>
              <w:t xml:space="preserve"> (harmonisation)</w:t>
            </w:r>
            <w:r w:rsidRPr="00A0149C">
              <w:rPr>
                <w:rFonts w:ascii="Calibri" w:eastAsia="Calibri" w:hAnsi="Calibri" w:cs="Calibri"/>
                <w:color w:val="000000" w:themeColor="text1"/>
                <w:sz w:val="20"/>
                <w:szCs w:val="20"/>
              </w:rPr>
              <w:t xml:space="preserve">. </w:t>
            </w:r>
          </w:p>
          <w:p w14:paraId="7598DA85" w14:textId="77777777" w:rsidR="00A723B7" w:rsidRPr="00A0149C" w:rsidRDefault="00A723B7" w:rsidP="00A0149C">
            <w:pPr>
              <w:pStyle w:val="NormalIndent"/>
              <w:spacing w:before="0" w:after="0"/>
              <w:ind w:left="0"/>
              <w:jc w:val="both"/>
              <w:rPr>
                <w:rFonts w:eastAsia="Calibri"/>
                <w:sz w:val="20"/>
                <w:szCs w:val="20"/>
                <w:lang w:eastAsia="en-US"/>
              </w:rPr>
            </w:pPr>
          </w:p>
          <w:p w14:paraId="0742D189" w14:textId="1C38130F" w:rsidR="00A0149C" w:rsidRPr="00A0149C" w:rsidRDefault="005B4EB9" w:rsidP="00A0149C">
            <w:pPr>
              <w:pStyle w:val="NormalIndent"/>
              <w:spacing w:before="0" w:after="0"/>
              <w:ind w:left="0"/>
              <w:jc w:val="both"/>
              <w:rPr>
                <w:rFonts w:eastAsia="Calibri" w:cs="Calibri"/>
                <w:color w:val="000000" w:themeColor="text1"/>
                <w:sz w:val="20"/>
                <w:szCs w:val="20"/>
                <w:lang w:eastAsia="en-US"/>
              </w:rPr>
            </w:pPr>
            <w:r>
              <w:rPr>
                <w:rFonts w:eastAsia="Calibri" w:cs="Calibri"/>
                <w:color w:val="000000" w:themeColor="text1"/>
                <w:sz w:val="20"/>
                <w:szCs w:val="20"/>
                <w:lang w:eastAsia="en-US"/>
              </w:rPr>
              <w:t>We are establishing a</w:t>
            </w:r>
            <w:r w:rsidR="00A0149C" w:rsidRPr="00A0149C">
              <w:rPr>
                <w:rFonts w:eastAsia="Calibri" w:cs="Calibri"/>
                <w:color w:val="000000" w:themeColor="text1"/>
                <w:sz w:val="20"/>
                <w:szCs w:val="20"/>
                <w:lang w:eastAsia="en-US"/>
              </w:rPr>
              <w:t xml:space="preserve"> high-level whole of institute committee that is committed to ensuring student success. This committee will consist of staff from the following internal areas:</w:t>
            </w:r>
          </w:p>
          <w:p w14:paraId="78C6B1D5" w14:textId="77777777" w:rsidR="005B4EB9" w:rsidRPr="00A0149C" w:rsidRDefault="005B4EB9" w:rsidP="005B4EB9">
            <w:pPr>
              <w:pStyle w:val="NormalIndent"/>
              <w:numPr>
                <w:ilvl w:val="0"/>
                <w:numId w:val="24"/>
              </w:numPr>
              <w:spacing w:before="0" w:after="0"/>
              <w:jc w:val="both"/>
              <w:rPr>
                <w:rFonts w:eastAsia="Calibri" w:cs="Calibri"/>
                <w:color w:val="000000" w:themeColor="text1"/>
                <w:sz w:val="20"/>
                <w:szCs w:val="20"/>
                <w:lang w:eastAsia="en-US"/>
              </w:rPr>
            </w:pPr>
            <w:r w:rsidRPr="00A0149C">
              <w:rPr>
                <w:rFonts w:eastAsia="Calibri" w:cs="Calibri"/>
                <w:color w:val="000000" w:themeColor="text1"/>
                <w:sz w:val="20"/>
                <w:szCs w:val="20"/>
                <w:lang w:eastAsia="en-US"/>
              </w:rPr>
              <w:t>Deputy Chief Executive Officer Academic</w:t>
            </w:r>
          </w:p>
          <w:p w14:paraId="296D23AD" w14:textId="77777777" w:rsidR="00A0149C" w:rsidRPr="00A0149C" w:rsidRDefault="00A0149C" w:rsidP="00A0149C">
            <w:pPr>
              <w:pStyle w:val="NormalIndent"/>
              <w:numPr>
                <w:ilvl w:val="0"/>
                <w:numId w:val="24"/>
              </w:numPr>
              <w:spacing w:before="0" w:after="0"/>
              <w:jc w:val="both"/>
              <w:rPr>
                <w:rFonts w:eastAsia="Calibri" w:cs="Calibri"/>
                <w:color w:val="000000" w:themeColor="text1"/>
                <w:sz w:val="20"/>
                <w:szCs w:val="20"/>
                <w:lang w:eastAsia="en-US"/>
              </w:rPr>
            </w:pPr>
            <w:r w:rsidRPr="00A0149C">
              <w:rPr>
                <w:rFonts w:eastAsia="Calibri" w:cs="Calibri"/>
                <w:color w:val="000000" w:themeColor="text1"/>
                <w:sz w:val="20"/>
                <w:szCs w:val="20"/>
                <w:lang w:eastAsia="en-US"/>
              </w:rPr>
              <w:t>Dean, higher education and research division (chair)</w:t>
            </w:r>
          </w:p>
          <w:p w14:paraId="5AFE7272" w14:textId="77777777" w:rsidR="00A0149C" w:rsidRPr="00A0149C" w:rsidRDefault="00A0149C" w:rsidP="00A0149C">
            <w:pPr>
              <w:pStyle w:val="NormalIndent"/>
              <w:numPr>
                <w:ilvl w:val="0"/>
                <w:numId w:val="24"/>
              </w:numPr>
              <w:spacing w:before="0" w:after="0"/>
              <w:jc w:val="both"/>
              <w:rPr>
                <w:rFonts w:eastAsia="Calibri" w:cs="Calibri"/>
                <w:color w:val="000000" w:themeColor="text1"/>
                <w:sz w:val="20"/>
                <w:szCs w:val="20"/>
                <w:lang w:eastAsia="en-US"/>
              </w:rPr>
            </w:pPr>
            <w:r w:rsidRPr="00A0149C">
              <w:rPr>
                <w:rFonts w:eastAsia="Calibri" w:cs="Calibri"/>
                <w:color w:val="000000" w:themeColor="text1"/>
                <w:sz w:val="20"/>
                <w:szCs w:val="20"/>
                <w:lang w:eastAsia="en-US"/>
              </w:rPr>
              <w:t>Director of Vocational Education and Training</w:t>
            </w:r>
          </w:p>
          <w:p w14:paraId="6E796E01" w14:textId="77777777" w:rsidR="00A0149C" w:rsidRPr="00A0149C" w:rsidRDefault="00A0149C" w:rsidP="00A0149C">
            <w:pPr>
              <w:pStyle w:val="NormalIndent"/>
              <w:numPr>
                <w:ilvl w:val="0"/>
                <w:numId w:val="24"/>
              </w:numPr>
              <w:spacing w:before="0" w:after="0"/>
              <w:jc w:val="both"/>
              <w:rPr>
                <w:rFonts w:eastAsia="Calibri" w:cs="Calibri"/>
                <w:color w:val="000000" w:themeColor="text1"/>
                <w:sz w:val="20"/>
                <w:szCs w:val="20"/>
                <w:lang w:eastAsia="en-US"/>
              </w:rPr>
            </w:pPr>
            <w:r w:rsidRPr="00A0149C">
              <w:rPr>
                <w:rFonts w:eastAsia="Calibri" w:cs="Calibri"/>
                <w:color w:val="000000" w:themeColor="text1"/>
                <w:sz w:val="20"/>
                <w:szCs w:val="20"/>
                <w:lang w:eastAsia="en-US"/>
              </w:rPr>
              <w:t>Director of Student Support</w:t>
            </w:r>
          </w:p>
          <w:p w14:paraId="58B031B2" w14:textId="2E3FF101" w:rsidR="00A0149C" w:rsidRPr="00A0149C" w:rsidRDefault="00A0149C" w:rsidP="00A0149C">
            <w:pPr>
              <w:pStyle w:val="NormalIndent"/>
              <w:numPr>
                <w:ilvl w:val="0"/>
                <w:numId w:val="24"/>
              </w:numPr>
              <w:spacing w:before="0" w:after="0"/>
              <w:jc w:val="both"/>
              <w:rPr>
                <w:rFonts w:eastAsia="Calibri" w:cs="Calibri"/>
                <w:color w:val="000000" w:themeColor="text1"/>
                <w:sz w:val="20"/>
                <w:szCs w:val="20"/>
                <w:lang w:eastAsia="en-US"/>
              </w:rPr>
            </w:pPr>
            <w:r w:rsidRPr="00A0149C">
              <w:rPr>
                <w:rFonts w:eastAsia="Calibri" w:cs="Calibri"/>
                <w:color w:val="000000" w:themeColor="text1"/>
                <w:sz w:val="20"/>
                <w:szCs w:val="20"/>
                <w:lang w:eastAsia="en-US"/>
              </w:rPr>
              <w:t>Direc</w:t>
            </w:r>
            <w:r w:rsidR="005B4EB9">
              <w:rPr>
                <w:rFonts w:eastAsia="Calibri" w:cs="Calibri"/>
                <w:color w:val="000000" w:themeColor="text1"/>
                <w:sz w:val="20"/>
                <w:szCs w:val="20"/>
                <w:lang w:eastAsia="en-US"/>
              </w:rPr>
              <w:t>t</w:t>
            </w:r>
            <w:r w:rsidRPr="00A0149C">
              <w:rPr>
                <w:rFonts w:eastAsia="Calibri" w:cs="Calibri"/>
                <w:color w:val="000000" w:themeColor="text1"/>
                <w:sz w:val="20"/>
                <w:szCs w:val="20"/>
                <w:lang w:eastAsia="en-US"/>
              </w:rPr>
              <w:t>or of Library and Information Services</w:t>
            </w:r>
          </w:p>
          <w:p w14:paraId="7A6F69E7" w14:textId="77777777" w:rsidR="00A0149C" w:rsidRPr="00A0149C" w:rsidRDefault="00A0149C" w:rsidP="00A0149C">
            <w:pPr>
              <w:pStyle w:val="NormalIndent"/>
              <w:numPr>
                <w:ilvl w:val="0"/>
                <w:numId w:val="24"/>
              </w:numPr>
              <w:spacing w:before="0" w:after="0"/>
              <w:jc w:val="both"/>
              <w:rPr>
                <w:rFonts w:eastAsia="Calibri" w:cs="Calibri"/>
                <w:color w:val="000000" w:themeColor="text1"/>
                <w:sz w:val="20"/>
                <w:szCs w:val="20"/>
                <w:lang w:eastAsia="en-US"/>
              </w:rPr>
            </w:pPr>
            <w:r w:rsidRPr="00A0149C">
              <w:rPr>
                <w:rFonts w:eastAsia="Calibri" w:cs="Calibri"/>
                <w:color w:val="000000" w:themeColor="text1"/>
                <w:sz w:val="20"/>
                <w:szCs w:val="20"/>
                <w:lang w:eastAsia="en-US"/>
              </w:rPr>
              <w:t>Director of Information and Communication Technology</w:t>
            </w:r>
          </w:p>
          <w:p w14:paraId="1F3EC6DE" w14:textId="77777777" w:rsidR="00A0149C" w:rsidRPr="00A0149C" w:rsidRDefault="00A0149C" w:rsidP="00A0149C">
            <w:pPr>
              <w:pStyle w:val="NormalIndent"/>
              <w:spacing w:before="0" w:after="0"/>
              <w:ind w:left="0"/>
              <w:jc w:val="both"/>
              <w:rPr>
                <w:rFonts w:eastAsia="Calibri" w:cs="Calibri"/>
                <w:color w:val="000000" w:themeColor="text1"/>
                <w:sz w:val="20"/>
                <w:szCs w:val="20"/>
                <w:lang w:eastAsia="en-US"/>
              </w:rPr>
            </w:pPr>
          </w:p>
          <w:p w14:paraId="4660078B" w14:textId="77777777" w:rsidR="00A0149C" w:rsidRPr="00A0149C" w:rsidRDefault="00A0149C" w:rsidP="00A0149C">
            <w:pPr>
              <w:pStyle w:val="NormalIndent"/>
              <w:spacing w:before="0" w:after="0"/>
              <w:ind w:left="0"/>
              <w:jc w:val="both"/>
              <w:rPr>
                <w:rFonts w:eastAsia="Calibri" w:cs="Calibri"/>
                <w:color w:val="000000" w:themeColor="text1"/>
                <w:sz w:val="20"/>
                <w:szCs w:val="20"/>
                <w:lang w:eastAsia="en-US"/>
              </w:rPr>
            </w:pPr>
            <w:r w:rsidRPr="00A0149C">
              <w:rPr>
                <w:rFonts w:eastAsia="Calibri" w:cs="Calibri"/>
                <w:color w:val="000000" w:themeColor="text1"/>
                <w:sz w:val="20"/>
                <w:szCs w:val="20"/>
                <w:lang w:eastAsia="en-US"/>
              </w:rPr>
              <w:t xml:space="preserve">This committee will begin meeting early in the first semester to understand and develop strategies to overcome students are having with their studies. This will provide short and long-term strategies that will enable us to be proactive in addressing issues and assisting students. </w:t>
            </w:r>
          </w:p>
          <w:p w14:paraId="6D0E319D" w14:textId="77777777" w:rsidR="00A0149C" w:rsidRPr="001D286C" w:rsidRDefault="00A0149C" w:rsidP="00A0149C">
            <w:pPr>
              <w:pStyle w:val="NormalIndent"/>
              <w:spacing w:before="0" w:after="0"/>
              <w:ind w:left="0"/>
              <w:jc w:val="both"/>
              <w:rPr>
                <w:rFonts w:eastAsia="Calibri" w:cs="Calibri"/>
                <w:color w:val="000000" w:themeColor="text1"/>
                <w:sz w:val="20"/>
                <w:szCs w:val="20"/>
                <w:lang w:eastAsia="en-US"/>
              </w:rPr>
            </w:pPr>
          </w:p>
          <w:p w14:paraId="5492573C" w14:textId="77777777" w:rsidR="00A0149C" w:rsidRPr="001D286C" w:rsidRDefault="00A0149C" w:rsidP="00A0149C">
            <w:pPr>
              <w:pStyle w:val="NormalIndent"/>
              <w:spacing w:before="0" w:after="0"/>
              <w:ind w:left="0"/>
              <w:jc w:val="both"/>
              <w:rPr>
                <w:rFonts w:eastAsia="Calibri" w:cs="Calibri"/>
                <w:color w:val="000000" w:themeColor="text1"/>
                <w:sz w:val="20"/>
                <w:szCs w:val="20"/>
                <w:lang w:eastAsia="en-US"/>
              </w:rPr>
            </w:pPr>
            <w:r w:rsidRPr="001D286C">
              <w:rPr>
                <w:rFonts w:eastAsia="Calibri" w:cs="Calibri"/>
                <w:color w:val="000000" w:themeColor="text1"/>
                <w:sz w:val="20"/>
                <w:szCs w:val="20"/>
                <w:lang w:eastAsia="en-US"/>
              </w:rPr>
              <w:t xml:space="preserve">All our units will have student evaluations. These will be opportunities for us to incorporate positive and negative feedback into our teaching and learning approaches. </w:t>
            </w:r>
          </w:p>
          <w:p w14:paraId="0D2974BD" w14:textId="77777777" w:rsidR="00A0149C" w:rsidRPr="001D286C" w:rsidRDefault="00A0149C" w:rsidP="00A0149C">
            <w:pPr>
              <w:pStyle w:val="NormalIndent"/>
              <w:spacing w:before="0" w:after="0"/>
              <w:ind w:left="0"/>
              <w:rPr>
                <w:color w:val="000000" w:themeColor="text1"/>
                <w:sz w:val="20"/>
                <w:szCs w:val="20"/>
                <w:lang w:eastAsia="en-US"/>
              </w:rPr>
            </w:pPr>
          </w:p>
          <w:p w14:paraId="1B44C43C" w14:textId="0ABC1B2C" w:rsidR="00D562B1" w:rsidRPr="004519AC" w:rsidRDefault="004519AC" w:rsidP="00962F05">
            <w:pPr>
              <w:pStyle w:val="NormalIndent"/>
              <w:spacing w:before="0" w:after="0"/>
              <w:ind w:left="0"/>
              <w:rPr>
                <w:rFonts w:eastAsia="Calibri"/>
                <w:i/>
                <w:iCs/>
                <w:sz w:val="20"/>
                <w:szCs w:val="20"/>
                <w:lang w:eastAsia="en-US"/>
              </w:rPr>
            </w:pPr>
            <w:r w:rsidRPr="004519AC">
              <w:rPr>
                <w:rFonts w:eastAsia="Calibri"/>
                <w:i/>
                <w:iCs/>
                <w:sz w:val="20"/>
                <w:szCs w:val="20"/>
                <w:lang w:eastAsia="en-US"/>
              </w:rPr>
              <w:t>Learning and Teaching Plan</w:t>
            </w:r>
          </w:p>
          <w:p w14:paraId="3B8D8B94" w14:textId="5DD396A1" w:rsidR="00A0149C" w:rsidRPr="001D286C" w:rsidRDefault="001D286C" w:rsidP="00A0149C">
            <w:pPr>
              <w:pStyle w:val="NormalIndent"/>
              <w:spacing w:before="0" w:after="0"/>
              <w:ind w:left="0"/>
              <w:jc w:val="both"/>
              <w:rPr>
                <w:rFonts w:eastAsia="Calibri"/>
                <w:sz w:val="20"/>
                <w:szCs w:val="20"/>
                <w:lang w:eastAsia="en-US"/>
              </w:rPr>
            </w:pPr>
            <w:r w:rsidRPr="001D286C">
              <w:rPr>
                <w:rFonts w:eastAsia="Calibri"/>
                <w:sz w:val="20"/>
                <w:szCs w:val="20"/>
                <w:lang w:eastAsia="en-US"/>
              </w:rPr>
              <w:t>O</w:t>
            </w:r>
            <w:r w:rsidRPr="001D286C">
              <w:rPr>
                <w:rFonts w:eastAsia="Calibri" w:cs="Calibri"/>
                <w:color w:val="000000" w:themeColor="text1"/>
                <w:sz w:val="20"/>
                <w:szCs w:val="20"/>
                <w:lang w:eastAsia="en-US"/>
              </w:rPr>
              <w:t xml:space="preserve">ur </w:t>
            </w:r>
            <w:r w:rsidR="00A0149C" w:rsidRPr="001D286C">
              <w:rPr>
                <w:rFonts w:eastAsia="Calibri" w:cs="Calibri"/>
                <w:color w:val="000000" w:themeColor="text1"/>
                <w:sz w:val="20"/>
                <w:szCs w:val="20"/>
                <w:lang w:eastAsia="en-US"/>
              </w:rPr>
              <w:t>Teaching and Learning</w:t>
            </w:r>
            <w:r w:rsidR="00A0149C" w:rsidRPr="001D286C">
              <w:rPr>
                <w:rFonts w:eastAsia="Calibri"/>
                <w:sz w:val="20"/>
                <w:szCs w:val="20"/>
                <w:lang w:eastAsia="en-US"/>
              </w:rPr>
              <w:t xml:space="preserve"> </w:t>
            </w:r>
            <w:r w:rsidRPr="001D286C">
              <w:rPr>
                <w:rFonts w:eastAsia="Calibri"/>
                <w:sz w:val="20"/>
                <w:szCs w:val="20"/>
                <w:lang w:eastAsia="en-US"/>
              </w:rPr>
              <w:t xml:space="preserve">plan </w:t>
            </w:r>
            <w:r w:rsidR="00A0149C" w:rsidRPr="001D286C">
              <w:rPr>
                <w:rFonts w:eastAsia="Calibri"/>
                <w:sz w:val="20"/>
                <w:szCs w:val="20"/>
                <w:lang w:eastAsia="en-US"/>
              </w:rPr>
              <w:t>will allow us to provide a more focused and responsive engagement with students with the aim that access to culturally safe communication processes remains a constant throughout their student experience. Communication is concerned with candidates’ needs in respect to navigating the Institute’s systems, enabling access, and increasing the efficiency of our response with students to ensure that channels of communication are effective and responsive. This practice allows us to maintain accurate and culturally responsive decision making and record those processes as part of the Indigenous Australians Governance commitment of the Institute.</w:t>
            </w:r>
          </w:p>
          <w:p w14:paraId="74D1FDC7" w14:textId="69AF2710" w:rsidR="003D5D92" w:rsidRPr="007E3E37" w:rsidRDefault="003D5D92" w:rsidP="003D5D92">
            <w:pPr>
              <w:pStyle w:val="NormalIndent"/>
              <w:spacing w:before="0" w:after="0"/>
              <w:ind w:left="0"/>
              <w:rPr>
                <w:rFonts w:asciiTheme="minorHAnsi" w:hAnsiTheme="minorHAnsi" w:cstheme="minorHAnsi"/>
                <w:i/>
                <w:color w:val="FF0000"/>
                <w:szCs w:val="22"/>
              </w:rPr>
            </w:pPr>
          </w:p>
        </w:tc>
      </w:tr>
      <w:tr w:rsidR="001B109C" w:rsidRPr="00E41388" w14:paraId="3EB68E1B" w14:textId="77777777" w:rsidTr="6DCF43EC">
        <w:trPr>
          <w:cantSplit/>
        </w:trPr>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6DCF43EC">
        <w:trPr>
          <w:cantSplit/>
        </w:trPr>
        <w:tc>
          <w:tcPr>
            <w:tcW w:w="5000" w:type="pct"/>
          </w:tcPr>
          <w:p w14:paraId="34298422" w14:textId="5B6DC138" w:rsidR="00971F2D" w:rsidRDefault="00971F2D" w:rsidP="00CF161D">
            <w:pPr>
              <w:spacing w:after="0"/>
              <w:jc w:val="both"/>
              <w:rPr>
                <w:sz w:val="20"/>
                <w:szCs w:val="20"/>
                <w:lang w:eastAsia="en-AU"/>
              </w:rPr>
            </w:pPr>
            <w:r w:rsidRPr="007D73BF">
              <w:rPr>
                <w:rFonts w:eastAsia="Arial"/>
                <w:sz w:val="20"/>
                <w:szCs w:val="20"/>
              </w:rPr>
              <w:t xml:space="preserve">The Institute’s Higher Education and Research Division (HERD) quality and strength have grown in recent years and continue to grow. </w:t>
            </w:r>
            <w:r w:rsidRPr="007D73BF">
              <w:rPr>
                <w:sz w:val="20"/>
                <w:szCs w:val="20"/>
                <w:lang w:eastAsia="en-AU"/>
              </w:rPr>
              <w:t xml:space="preserve">Batchelor Institute’s researchers have a strong publication record, providing valuable evidence for communities, governments, researchers and community-based organisations. </w:t>
            </w:r>
          </w:p>
          <w:p w14:paraId="49212AC8" w14:textId="77777777" w:rsidR="00D30383" w:rsidRPr="002C527F" w:rsidRDefault="00D30383" w:rsidP="00CF161D">
            <w:pPr>
              <w:spacing w:after="0"/>
              <w:jc w:val="both"/>
              <w:rPr>
                <w:sz w:val="20"/>
                <w:szCs w:val="20"/>
                <w:lang w:eastAsia="en-AU"/>
              </w:rPr>
            </w:pPr>
          </w:p>
          <w:p w14:paraId="5ADEF14B" w14:textId="53F4B1E3" w:rsidR="00366713" w:rsidRPr="002C527F" w:rsidRDefault="00426FEC" w:rsidP="00CF161D">
            <w:pPr>
              <w:pStyle w:val="ListBullet"/>
              <w:numPr>
                <w:ilvl w:val="0"/>
                <w:numId w:val="0"/>
              </w:numPr>
              <w:spacing w:after="0"/>
              <w:jc w:val="both"/>
              <w:rPr>
                <w:sz w:val="20"/>
                <w:szCs w:val="20"/>
              </w:rPr>
            </w:pPr>
            <w:r>
              <w:rPr>
                <w:sz w:val="20"/>
                <w:szCs w:val="20"/>
                <w:lang w:eastAsia="en-AU"/>
              </w:rPr>
              <w:t>W</w:t>
            </w:r>
            <w:r w:rsidR="00893195" w:rsidRPr="002C527F">
              <w:rPr>
                <w:sz w:val="20"/>
                <w:szCs w:val="20"/>
                <w:lang w:eastAsia="en-AU"/>
              </w:rPr>
              <w:t>ork is underway to</w:t>
            </w:r>
            <w:r w:rsidR="00366713" w:rsidRPr="002C527F">
              <w:rPr>
                <w:sz w:val="20"/>
                <w:szCs w:val="20"/>
              </w:rPr>
              <w:t xml:space="preserve"> </w:t>
            </w:r>
            <w:r w:rsidR="00043523" w:rsidRPr="002C527F">
              <w:rPr>
                <w:sz w:val="20"/>
                <w:szCs w:val="20"/>
              </w:rPr>
              <w:t xml:space="preserve">evolving our ethics advisory committee to </w:t>
            </w:r>
            <w:r w:rsidR="00366713" w:rsidRPr="002C527F">
              <w:rPr>
                <w:sz w:val="20"/>
                <w:szCs w:val="20"/>
              </w:rPr>
              <w:t>a NHMRC registered</w:t>
            </w:r>
            <w:r w:rsidR="00043523" w:rsidRPr="002C527F">
              <w:rPr>
                <w:sz w:val="20"/>
                <w:szCs w:val="20"/>
              </w:rPr>
              <w:t xml:space="preserve"> </w:t>
            </w:r>
            <w:r w:rsidR="00366713" w:rsidRPr="002C527F">
              <w:rPr>
                <w:sz w:val="20"/>
                <w:szCs w:val="20"/>
              </w:rPr>
              <w:t xml:space="preserve">ethics committee to </w:t>
            </w:r>
            <w:r w:rsidR="003F1995" w:rsidRPr="002C527F">
              <w:rPr>
                <w:sz w:val="20"/>
                <w:szCs w:val="20"/>
              </w:rPr>
              <w:t xml:space="preserve">best </w:t>
            </w:r>
            <w:r w:rsidR="00366713" w:rsidRPr="002C527F">
              <w:rPr>
                <w:sz w:val="20"/>
                <w:szCs w:val="20"/>
              </w:rPr>
              <w:t>support our researchers and research candidates.</w:t>
            </w:r>
          </w:p>
          <w:p w14:paraId="4044204A" w14:textId="77777777" w:rsidR="005B1074" w:rsidRPr="002C527F" w:rsidRDefault="005B1074" w:rsidP="00CF161D">
            <w:pPr>
              <w:pStyle w:val="ListBullet"/>
              <w:numPr>
                <w:ilvl w:val="0"/>
                <w:numId w:val="0"/>
              </w:numPr>
              <w:spacing w:after="0"/>
              <w:jc w:val="both"/>
              <w:rPr>
                <w:sz w:val="20"/>
                <w:szCs w:val="20"/>
              </w:rPr>
            </w:pPr>
          </w:p>
          <w:p w14:paraId="37BEE930" w14:textId="11CC6E86" w:rsidR="00971F2D" w:rsidRDefault="00971F2D" w:rsidP="00CF161D">
            <w:pPr>
              <w:spacing w:after="0"/>
              <w:jc w:val="both"/>
              <w:rPr>
                <w:rFonts w:eastAsia="Arial" w:cstheme="minorHAnsi"/>
                <w:color w:val="000000" w:themeColor="text1"/>
                <w:sz w:val="20"/>
                <w:szCs w:val="20"/>
              </w:rPr>
            </w:pPr>
            <w:r w:rsidRPr="007D73BF">
              <w:rPr>
                <w:rFonts w:eastAsia="Arial" w:cstheme="minorHAnsi"/>
                <w:color w:val="000000" w:themeColor="text1"/>
                <w:sz w:val="20"/>
                <w:szCs w:val="20"/>
              </w:rPr>
              <w:t xml:space="preserve">The research program has steadily increased its capacity to conduct national and Territory-wide research and evaluation projects. The focus has been on providing opportunities to engage with Indigenous people and communities to explore and find solutions to problems identified by communities, consistent with the Institute’s strategic directions.  </w:t>
            </w:r>
          </w:p>
          <w:p w14:paraId="056E28AD" w14:textId="77777777" w:rsidR="002C527F" w:rsidRDefault="002C527F" w:rsidP="00CF161D">
            <w:pPr>
              <w:spacing w:after="0"/>
              <w:jc w:val="both"/>
              <w:rPr>
                <w:rFonts w:eastAsia="Arial" w:cstheme="minorHAnsi"/>
                <w:color w:val="000000" w:themeColor="text1"/>
                <w:sz w:val="20"/>
                <w:szCs w:val="20"/>
              </w:rPr>
            </w:pPr>
          </w:p>
          <w:p w14:paraId="47E009EA" w14:textId="3814C9A4" w:rsidR="002C527F" w:rsidRPr="007D73BF" w:rsidRDefault="002C527F" w:rsidP="00CF161D">
            <w:pPr>
              <w:keepLines/>
              <w:tabs>
                <w:tab w:val="left" w:pos="993"/>
              </w:tabs>
              <w:spacing w:after="0"/>
              <w:jc w:val="both"/>
              <w:rPr>
                <w:rFonts w:ascii="Calibri" w:eastAsia="Calibri" w:hAnsi="Calibri" w:cs="Calibri"/>
                <w:color w:val="000000" w:themeColor="text1"/>
                <w:sz w:val="20"/>
                <w:szCs w:val="20"/>
              </w:rPr>
            </w:pPr>
            <w:r w:rsidRPr="007D73BF">
              <w:rPr>
                <w:sz w:val="20"/>
                <w:szCs w:val="20"/>
              </w:rPr>
              <w:t xml:space="preserve">The design and offering of the Research Training Program both online and in face-to-face peer, and supervisory delivery is core to the </w:t>
            </w:r>
            <w:r w:rsidRPr="007D73BF">
              <w:rPr>
                <w:rFonts w:ascii="Calibri" w:eastAsia="Calibri" w:hAnsi="Calibri" w:cs="Calibri"/>
                <w:color w:val="000000" w:themeColor="text1"/>
                <w:sz w:val="20"/>
                <w:szCs w:val="20"/>
              </w:rPr>
              <w:t xml:space="preserve">record of candidate success through our attuned cultural program.  </w:t>
            </w:r>
          </w:p>
          <w:p w14:paraId="78E92F52" w14:textId="77777777" w:rsidR="002C527F" w:rsidRPr="007D73BF" w:rsidRDefault="002C527F" w:rsidP="00CF161D">
            <w:pPr>
              <w:keepLines/>
              <w:tabs>
                <w:tab w:val="left" w:pos="993"/>
              </w:tabs>
              <w:spacing w:after="0"/>
              <w:jc w:val="both"/>
              <w:rPr>
                <w:rFonts w:ascii="Calibri" w:eastAsia="Calibri" w:hAnsi="Calibri" w:cs="Calibri"/>
                <w:color w:val="000000" w:themeColor="text1"/>
                <w:sz w:val="20"/>
                <w:szCs w:val="20"/>
              </w:rPr>
            </w:pPr>
          </w:p>
          <w:p w14:paraId="24C94A69" w14:textId="77777777" w:rsidR="002C527F" w:rsidRPr="007D73BF" w:rsidRDefault="002C527F" w:rsidP="00CF161D">
            <w:pPr>
              <w:keepLines/>
              <w:tabs>
                <w:tab w:val="left" w:pos="993"/>
              </w:tabs>
              <w:spacing w:after="0"/>
              <w:jc w:val="both"/>
              <w:rPr>
                <w:sz w:val="20"/>
                <w:szCs w:val="20"/>
              </w:rPr>
            </w:pPr>
            <w:r w:rsidRPr="007D73BF">
              <w:rPr>
                <w:rFonts w:ascii="Calibri" w:eastAsia="Calibri" w:hAnsi="Calibri" w:cs="Calibri"/>
                <w:color w:val="000000" w:themeColor="text1"/>
                <w:sz w:val="20"/>
                <w:szCs w:val="20"/>
              </w:rPr>
              <w:t xml:space="preserve">The program is augmented by a network of Indigenous Australians academics from around the nation who support our hybrid learning with online and face to face participation at Masterclasses, and through being delegated to panels for Supervision and for Confirmation of Candidature milestones. The process is vibrant, but there is risk associated with deep reliance on external specialists and so our planning for the program will concentrate on widening sources of research learning and opportunity for Candidates to develop through Industry (internships or placements), International Indigenous academic participation in supervision, and through encouraging Candidates to grow their own professional networks. </w:t>
            </w:r>
            <w:r w:rsidRPr="007D73BF">
              <w:rPr>
                <w:sz w:val="20"/>
                <w:szCs w:val="20"/>
              </w:rPr>
              <w:t xml:space="preserve"> </w:t>
            </w:r>
          </w:p>
          <w:p w14:paraId="3D45B321" w14:textId="77777777" w:rsidR="005B1074" w:rsidRPr="007D73BF" w:rsidRDefault="005B1074" w:rsidP="00CF161D">
            <w:pPr>
              <w:spacing w:after="0"/>
              <w:jc w:val="both"/>
              <w:rPr>
                <w:rFonts w:cstheme="minorHAnsi"/>
                <w:sz w:val="20"/>
                <w:szCs w:val="20"/>
              </w:rPr>
            </w:pPr>
          </w:p>
          <w:p w14:paraId="793901F8" w14:textId="77777777" w:rsidR="00971F2D" w:rsidRDefault="00971F2D" w:rsidP="00791E32">
            <w:pPr>
              <w:spacing w:after="0"/>
              <w:jc w:val="both"/>
              <w:rPr>
                <w:rFonts w:ascii="Calibri" w:eastAsia="Calibri" w:hAnsi="Calibri" w:cs="Calibri"/>
                <w:color w:val="000000" w:themeColor="text1"/>
                <w:sz w:val="20"/>
                <w:szCs w:val="20"/>
              </w:rPr>
            </w:pPr>
            <w:r w:rsidRPr="007D73BF">
              <w:rPr>
                <w:rFonts w:eastAsia="Arial"/>
                <w:color w:val="000000" w:themeColor="text1"/>
                <w:sz w:val="20"/>
                <w:szCs w:val="20"/>
              </w:rPr>
              <w:t xml:space="preserve">Key research priorities in the coming year are to build on recent significant projects </w:t>
            </w:r>
            <w:r w:rsidRPr="007D73BF">
              <w:rPr>
                <w:rFonts w:eastAsia="Calibri"/>
                <w:sz w:val="20"/>
                <w:szCs w:val="20"/>
              </w:rPr>
              <w:t xml:space="preserve">with a focus on demand driven social action research, succession planning for the next generation of researchers, and strengthening </w:t>
            </w:r>
            <w:r w:rsidRPr="001A5D84">
              <w:rPr>
                <w:rFonts w:ascii="Calibri" w:eastAsia="Calibri" w:hAnsi="Calibri" w:cs="Calibri"/>
                <w:color w:val="000000" w:themeColor="text1"/>
                <w:sz w:val="20"/>
                <w:szCs w:val="20"/>
              </w:rPr>
              <w:t>language maintenance and revival. This will be measured by new grant income, including from category 1 funding (e.g. ARC), growth of teams of trained and experienced Indigenous community-based researchers, and additional languages undergoing revival.</w:t>
            </w:r>
          </w:p>
          <w:p w14:paraId="338A7BAD" w14:textId="77777777" w:rsidR="00791E32" w:rsidRDefault="00791E32" w:rsidP="00791E32">
            <w:pPr>
              <w:spacing w:after="0"/>
              <w:jc w:val="both"/>
              <w:rPr>
                <w:rFonts w:ascii="Calibri" w:eastAsia="Calibri" w:hAnsi="Calibri" w:cs="Calibri"/>
                <w:color w:val="000000" w:themeColor="text1"/>
                <w:sz w:val="20"/>
                <w:szCs w:val="20"/>
              </w:rPr>
            </w:pPr>
          </w:p>
          <w:p w14:paraId="7B06091E" w14:textId="77777777" w:rsidR="00791E32" w:rsidRPr="00791E32" w:rsidRDefault="00791E32" w:rsidP="00791E32">
            <w:pPr>
              <w:pStyle w:val="NormalIndent"/>
              <w:spacing w:before="0" w:after="0"/>
              <w:ind w:left="0"/>
              <w:jc w:val="both"/>
              <w:rPr>
                <w:rFonts w:eastAsia="Calibri" w:cs="Calibri"/>
                <w:color w:val="000000" w:themeColor="text1"/>
                <w:sz w:val="20"/>
                <w:szCs w:val="20"/>
                <w:lang w:eastAsia="en-US"/>
              </w:rPr>
            </w:pPr>
            <w:r w:rsidRPr="00791E32">
              <w:rPr>
                <w:rFonts w:eastAsia="Calibri" w:cs="Calibri"/>
                <w:color w:val="000000" w:themeColor="text1"/>
                <w:sz w:val="20"/>
                <w:szCs w:val="20"/>
                <w:lang w:eastAsia="en-US"/>
              </w:rPr>
              <w:t xml:space="preserve">Batchelor Institute has a Graduate School that currently has sixteen PhD candidates and five </w:t>
            </w:r>
            <w:proofErr w:type="gramStart"/>
            <w:r w:rsidRPr="00791E32">
              <w:rPr>
                <w:rFonts w:eastAsia="Calibri" w:cs="Calibri"/>
                <w:color w:val="000000" w:themeColor="text1"/>
                <w:sz w:val="20"/>
                <w:szCs w:val="20"/>
                <w:lang w:eastAsia="en-US"/>
              </w:rPr>
              <w:t>masters</w:t>
            </w:r>
            <w:proofErr w:type="gramEnd"/>
            <w:r w:rsidRPr="00791E32">
              <w:rPr>
                <w:rFonts w:eastAsia="Calibri" w:cs="Calibri"/>
                <w:color w:val="000000" w:themeColor="text1"/>
                <w:sz w:val="20"/>
                <w:szCs w:val="20"/>
                <w:lang w:eastAsia="en-US"/>
              </w:rPr>
              <w:t xml:space="preserve"> candidates. This is one of the highest numbers of Indigenous higher degree by research enrolments in Australia. </w:t>
            </w:r>
          </w:p>
          <w:p w14:paraId="26DB097D" w14:textId="77777777" w:rsidR="005B1074" w:rsidRPr="001A5D84" w:rsidRDefault="005B1074" w:rsidP="00791E32">
            <w:pPr>
              <w:spacing w:after="0"/>
              <w:jc w:val="both"/>
              <w:rPr>
                <w:rFonts w:ascii="Calibri" w:eastAsia="Calibri" w:hAnsi="Calibri" w:cs="Calibri"/>
                <w:color w:val="000000" w:themeColor="text1"/>
                <w:sz w:val="20"/>
                <w:szCs w:val="20"/>
              </w:rPr>
            </w:pPr>
          </w:p>
          <w:p w14:paraId="70EA3B64" w14:textId="414F4813" w:rsidR="002F6F07" w:rsidRDefault="001A5D84" w:rsidP="00791E32">
            <w:pPr>
              <w:pStyle w:val="NormalIndent"/>
              <w:spacing w:before="0" w:after="0" w:line="240" w:lineRule="auto"/>
              <w:ind w:left="0"/>
              <w:jc w:val="both"/>
              <w:rPr>
                <w:rFonts w:eastAsia="Calibri" w:cs="Calibri"/>
                <w:color w:val="000000" w:themeColor="text1"/>
                <w:sz w:val="20"/>
                <w:szCs w:val="20"/>
                <w:lang w:eastAsia="en-US"/>
              </w:rPr>
            </w:pPr>
            <w:r w:rsidRPr="001A5D84">
              <w:rPr>
                <w:rFonts w:eastAsia="Calibri" w:cs="Calibri"/>
                <w:color w:val="000000" w:themeColor="text1"/>
                <w:sz w:val="20"/>
                <w:szCs w:val="20"/>
                <w:lang w:eastAsia="en-US"/>
              </w:rPr>
              <w:t>The Graduate School exists to provide a culturally safe space for Aboriginal and Torres Strait Islander people to speak their truths</w:t>
            </w:r>
            <w:r w:rsidRPr="007D73BF">
              <w:rPr>
                <w:rFonts w:eastAsia="Arial"/>
                <w:color w:val="000000" w:themeColor="text1"/>
                <w:sz w:val="20"/>
                <w:szCs w:val="20"/>
              </w:rPr>
              <w:t xml:space="preserve">, through the provision of a high-quality Higher Degree by Research (HDR) Program, intensive student support and the creation of a research community of practice. </w:t>
            </w:r>
            <w:r>
              <w:rPr>
                <w:rFonts w:eastAsia="Arial"/>
                <w:color w:val="000000" w:themeColor="text1"/>
                <w:sz w:val="20"/>
                <w:szCs w:val="20"/>
              </w:rPr>
              <w:t xml:space="preserve"> It</w:t>
            </w:r>
            <w:r w:rsidRPr="001A5D84">
              <w:rPr>
                <w:rFonts w:eastAsia="Calibri" w:cs="Calibri"/>
                <w:color w:val="000000" w:themeColor="text1"/>
                <w:sz w:val="20"/>
                <w:szCs w:val="20"/>
                <w:lang w:eastAsia="en-US"/>
              </w:rPr>
              <w:t xml:space="preserve"> operates on our two-way philosophy</w:t>
            </w:r>
            <w:r w:rsidR="00573D61">
              <w:rPr>
                <w:rFonts w:eastAsia="Calibri" w:cs="Calibri"/>
                <w:color w:val="000000" w:themeColor="text1"/>
                <w:sz w:val="20"/>
                <w:szCs w:val="20"/>
                <w:lang w:eastAsia="en-US"/>
              </w:rPr>
              <w:t xml:space="preserve"> which</w:t>
            </w:r>
            <w:r w:rsidRPr="001A5D84">
              <w:rPr>
                <w:rFonts w:eastAsia="Calibri" w:cs="Calibri"/>
                <w:color w:val="000000" w:themeColor="text1"/>
                <w:sz w:val="20"/>
                <w:szCs w:val="20"/>
                <w:lang w:eastAsia="en-US"/>
              </w:rPr>
              <w:t xml:space="preserve"> involves developing Indigenous research students to be experts in working with Indigenous research participants and Indigenous communities. </w:t>
            </w:r>
          </w:p>
          <w:p w14:paraId="342B692D" w14:textId="77777777" w:rsidR="002F6F07" w:rsidRDefault="002F6F07" w:rsidP="00CF161D">
            <w:pPr>
              <w:pStyle w:val="NormalIndent"/>
              <w:spacing w:before="0" w:after="0" w:line="240" w:lineRule="auto"/>
              <w:ind w:left="0"/>
              <w:jc w:val="both"/>
              <w:rPr>
                <w:rFonts w:eastAsia="Calibri" w:cs="Calibri"/>
                <w:color w:val="000000" w:themeColor="text1"/>
                <w:sz w:val="20"/>
                <w:szCs w:val="20"/>
                <w:lang w:eastAsia="en-US"/>
              </w:rPr>
            </w:pPr>
          </w:p>
          <w:p w14:paraId="41385721" w14:textId="0388E7D2" w:rsidR="00D26462" w:rsidRPr="001A5D84" w:rsidRDefault="001A5D84" w:rsidP="00CF161D">
            <w:pPr>
              <w:pStyle w:val="NormalIndent"/>
              <w:spacing w:before="0" w:after="0" w:line="240" w:lineRule="auto"/>
              <w:ind w:left="0"/>
              <w:jc w:val="both"/>
              <w:rPr>
                <w:rFonts w:eastAsia="Calibri" w:cs="Calibri"/>
                <w:color w:val="000000" w:themeColor="text1"/>
                <w:sz w:val="20"/>
                <w:szCs w:val="20"/>
                <w:lang w:eastAsia="en-US"/>
              </w:rPr>
            </w:pPr>
            <w:r w:rsidRPr="001A5D84">
              <w:rPr>
                <w:rFonts w:eastAsia="Calibri" w:cs="Calibri"/>
                <w:color w:val="000000" w:themeColor="text1"/>
                <w:sz w:val="20"/>
                <w:szCs w:val="20"/>
                <w:lang w:eastAsia="en-US"/>
              </w:rPr>
              <w:t xml:space="preserve">Our approach allows research students to understand research from the perspectives of Indigenous people and communities, to understand the challenges in Indigenous research and to be better prepared to collaborate with Indigenous people. We do this through supervision and workshops. Our intensive workshops provide a range of topics and expertise. </w:t>
            </w:r>
          </w:p>
          <w:p w14:paraId="6AB17EC0" w14:textId="77777777" w:rsidR="001A5D84" w:rsidRPr="001A5D84" w:rsidRDefault="001A5D84" w:rsidP="00CF161D">
            <w:pPr>
              <w:pStyle w:val="NormalIndent"/>
              <w:spacing w:before="0" w:after="0" w:line="240" w:lineRule="auto"/>
              <w:ind w:left="0"/>
              <w:jc w:val="both"/>
              <w:rPr>
                <w:rFonts w:eastAsia="Calibri" w:cs="Calibri"/>
                <w:color w:val="000000" w:themeColor="text1"/>
                <w:sz w:val="20"/>
                <w:szCs w:val="20"/>
                <w:lang w:eastAsia="en-US"/>
              </w:rPr>
            </w:pPr>
          </w:p>
          <w:p w14:paraId="5E1E1EBC" w14:textId="54F15D30" w:rsidR="006713E3" w:rsidRDefault="00971F2D" w:rsidP="00CF161D">
            <w:pPr>
              <w:pStyle w:val="NormalIndent"/>
              <w:spacing w:before="0" w:after="0"/>
              <w:ind w:left="0"/>
              <w:jc w:val="both"/>
              <w:rPr>
                <w:rFonts w:eastAsia="Calibri"/>
                <w:i/>
                <w:color w:val="FF0000"/>
                <w:sz w:val="20"/>
                <w:szCs w:val="20"/>
              </w:rPr>
            </w:pPr>
            <w:r w:rsidRPr="007D73BF">
              <w:rPr>
                <w:rFonts w:eastAsia="Calibri"/>
                <w:sz w:val="20"/>
                <w:szCs w:val="20"/>
              </w:rPr>
              <w:t>We expect enrolments in ou</w:t>
            </w:r>
            <w:r w:rsidR="00042573" w:rsidRPr="007D73BF">
              <w:rPr>
                <w:rFonts w:eastAsia="Calibri"/>
                <w:sz w:val="20"/>
                <w:szCs w:val="20"/>
              </w:rPr>
              <w:t>r</w:t>
            </w:r>
            <w:r w:rsidRPr="007D73BF">
              <w:rPr>
                <w:rFonts w:eastAsia="Calibri"/>
                <w:sz w:val="20"/>
                <w:szCs w:val="20"/>
              </w:rPr>
              <w:t xml:space="preserve"> Graduate School programs to continue increasing by at least 2 new candidates per year. We expect 3-4 completions every 2 years, knowing these numbers will change as the increased cohort progresses. </w:t>
            </w:r>
          </w:p>
          <w:p w14:paraId="40DA31C2" w14:textId="07318F40" w:rsidR="006713E3" w:rsidRPr="007D73BF" w:rsidRDefault="006713E3" w:rsidP="00CF161D">
            <w:pPr>
              <w:pStyle w:val="NormalIndent"/>
              <w:spacing w:before="0" w:after="0"/>
              <w:ind w:left="0"/>
              <w:jc w:val="both"/>
              <w:rPr>
                <w:rFonts w:asciiTheme="minorHAnsi" w:hAnsiTheme="minorHAnsi" w:cstheme="minorHAnsi"/>
                <w:i/>
                <w:color w:val="FF0000"/>
                <w:sz w:val="20"/>
                <w:szCs w:val="20"/>
              </w:rPr>
            </w:pPr>
          </w:p>
        </w:tc>
      </w:tr>
      <w:tr w:rsidR="001B109C" w:rsidRPr="00E41388" w14:paraId="23C06863" w14:textId="77777777" w:rsidTr="6DCF43EC">
        <w:trPr>
          <w:cantSplit/>
        </w:trPr>
        <w:tc>
          <w:tcPr>
            <w:tcW w:w="5000" w:type="pct"/>
          </w:tcPr>
          <w:p w14:paraId="451DCFF9" w14:textId="3BDD3562" w:rsidR="001B109C" w:rsidRPr="00E169EE" w:rsidRDefault="00F30BFA" w:rsidP="00F30BFA">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6DCF43EC">
        <w:trPr>
          <w:cantSplit/>
          <w:trHeight w:val="1033"/>
        </w:trPr>
        <w:tc>
          <w:tcPr>
            <w:tcW w:w="5000" w:type="pct"/>
          </w:tcPr>
          <w:p w14:paraId="14F4258F" w14:textId="2D2A7650" w:rsidR="00AB5E65" w:rsidRPr="00B61E14" w:rsidRDefault="004B1A9B" w:rsidP="00B61E14">
            <w:pPr>
              <w:pStyle w:val="NormalIndent"/>
              <w:spacing w:before="0" w:after="0" w:line="240" w:lineRule="auto"/>
              <w:ind w:left="0"/>
              <w:jc w:val="both"/>
              <w:rPr>
                <w:rFonts w:eastAsia="Calibri" w:cs="Calibri"/>
                <w:color w:val="000000" w:themeColor="text1"/>
                <w:sz w:val="20"/>
                <w:szCs w:val="20"/>
                <w:lang w:eastAsia="en-US"/>
              </w:rPr>
            </w:pPr>
            <w:r w:rsidRPr="00243852">
              <w:rPr>
                <w:rFonts w:asciiTheme="minorHAnsi" w:hAnsiTheme="minorHAnsi" w:cstheme="minorHAnsi"/>
                <w:sz w:val="20"/>
                <w:szCs w:val="20"/>
              </w:rPr>
              <w:t xml:space="preserve">Batchelor has extensive links with </w:t>
            </w:r>
            <w:r w:rsidR="0075074B" w:rsidRPr="00243852">
              <w:rPr>
                <w:rFonts w:asciiTheme="minorHAnsi" w:hAnsiTheme="minorHAnsi" w:cstheme="minorHAnsi"/>
                <w:sz w:val="20"/>
                <w:szCs w:val="20"/>
              </w:rPr>
              <w:t>industry,</w:t>
            </w:r>
            <w:r w:rsidRPr="00243852">
              <w:rPr>
                <w:rFonts w:asciiTheme="minorHAnsi" w:hAnsiTheme="minorHAnsi" w:cstheme="minorHAnsi"/>
                <w:sz w:val="20"/>
                <w:szCs w:val="20"/>
              </w:rPr>
              <w:t xml:space="preserve"> and these will be strengthened </w:t>
            </w:r>
            <w:r w:rsidRPr="00AB5E65">
              <w:rPr>
                <w:rFonts w:asciiTheme="minorHAnsi" w:hAnsiTheme="minorHAnsi" w:cstheme="minorHAnsi"/>
                <w:sz w:val="20"/>
                <w:szCs w:val="20"/>
              </w:rPr>
              <w:t>during 202</w:t>
            </w:r>
            <w:r w:rsidR="0004638C" w:rsidRPr="00AB5E65">
              <w:rPr>
                <w:rFonts w:asciiTheme="minorHAnsi" w:hAnsiTheme="minorHAnsi" w:cstheme="minorHAnsi"/>
                <w:sz w:val="20"/>
                <w:szCs w:val="20"/>
              </w:rPr>
              <w:t>5 and 2026</w:t>
            </w:r>
            <w:r w:rsidRPr="00AB5E65">
              <w:rPr>
                <w:rFonts w:asciiTheme="minorHAnsi" w:hAnsiTheme="minorHAnsi" w:cstheme="minorHAnsi"/>
              </w:rPr>
              <w:t xml:space="preserve">. </w:t>
            </w:r>
            <w:r w:rsidR="00AB5E65" w:rsidRPr="00AB5E65">
              <w:rPr>
                <w:rFonts w:asciiTheme="minorHAnsi" w:hAnsiTheme="minorHAnsi" w:cstheme="minorHAnsi"/>
                <w:sz w:val="20"/>
                <w:szCs w:val="20"/>
              </w:rPr>
              <w:t xml:space="preserve">These </w:t>
            </w:r>
            <w:r w:rsidR="00AB5E65" w:rsidRPr="00B61E14">
              <w:rPr>
                <w:rFonts w:eastAsia="Calibri" w:cs="Calibri"/>
                <w:color w:val="000000" w:themeColor="text1"/>
                <w:sz w:val="20"/>
                <w:szCs w:val="20"/>
                <w:lang w:eastAsia="en-US"/>
              </w:rPr>
              <w:t>industries will include the public sector, Indigenous organisations, community organisations, the defence force, the banking industry, the mining industry and national sporting bodies.</w:t>
            </w:r>
          </w:p>
          <w:p w14:paraId="75519771" w14:textId="77777777" w:rsidR="00AB5E65" w:rsidRPr="00B61E14" w:rsidRDefault="00AB5E65" w:rsidP="00B61E14">
            <w:pPr>
              <w:pStyle w:val="NormalIndent"/>
              <w:spacing w:before="0" w:after="0" w:line="240" w:lineRule="auto"/>
              <w:ind w:left="0"/>
              <w:jc w:val="both"/>
              <w:rPr>
                <w:rFonts w:eastAsia="Calibri" w:cs="Calibri"/>
                <w:color w:val="000000" w:themeColor="text1"/>
                <w:sz w:val="20"/>
                <w:szCs w:val="20"/>
                <w:lang w:eastAsia="en-US"/>
              </w:rPr>
            </w:pPr>
          </w:p>
          <w:p w14:paraId="562BC89B" w14:textId="77777777" w:rsidR="00AB5E65" w:rsidRDefault="00AB5E65" w:rsidP="00B61E14">
            <w:pPr>
              <w:pStyle w:val="NormalIndent"/>
              <w:spacing w:before="0" w:after="0" w:line="240" w:lineRule="auto"/>
              <w:ind w:left="0"/>
              <w:jc w:val="both"/>
              <w:rPr>
                <w:rFonts w:eastAsia="Calibri" w:cs="Calibri"/>
                <w:color w:val="000000" w:themeColor="text1"/>
                <w:sz w:val="20"/>
                <w:szCs w:val="20"/>
                <w:lang w:eastAsia="en-US"/>
              </w:rPr>
            </w:pPr>
            <w:r w:rsidRPr="00B61E14">
              <w:rPr>
                <w:rFonts w:eastAsia="Calibri" w:cs="Calibri"/>
                <w:color w:val="000000" w:themeColor="text1"/>
                <w:sz w:val="20"/>
                <w:szCs w:val="20"/>
                <w:lang w:eastAsia="en-US"/>
              </w:rPr>
              <w:t xml:space="preserve">The purpose of these consultations is to ensure that all major industries that employ Indigenous people, work with and deliver services to Indigenous people have input into these courses, so that our courses are best serving these industries, their Indigenous employees and the Indigenous communities they work with and provide services to. </w:t>
            </w:r>
          </w:p>
          <w:p w14:paraId="16151C9F" w14:textId="77777777" w:rsidR="00B61E14" w:rsidRPr="00B61E14" w:rsidRDefault="00B61E14" w:rsidP="00B61E14">
            <w:pPr>
              <w:pStyle w:val="NormalIndent"/>
              <w:spacing w:before="0" w:after="0" w:line="240" w:lineRule="auto"/>
              <w:ind w:left="0"/>
              <w:jc w:val="both"/>
              <w:rPr>
                <w:rFonts w:eastAsia="Calibri" w:cs="Calibri"/>
                <w:color w:val="000000" w:themeColor="text1"/>
                <w:sz w:val="20"/>
                <w:szCs w:val="20"/>
                <w:lang w:eastAsia="en-US"/>
              </w:rPr>
            </w:pPr>
          </w:p>
          <w:p w14:paraId="725EEBE7" w14:textId="77777777" w:rsidR="00071DB3" w:rsidRDefault="00071DB3" w:rsidP="00B61E14">
            <w:pPr>
              <w:pStyle w:val="NormalIndent"/>
              <w:spacing w:before="0" w:after="0" w:line="240" w:lineRule="auto"/>
              <w:ind w:left="0"/>
              <w:jc w:val="both"/>
              <w:rPr>
                <w:rFonts w:eastAsia="Calibri" w:cs="Calibri"/>
                <w:color w:val="000000" w:themeColor="text1"/>
                <w:sz w:val="20"/>
                <w:szCs w:val="20"/>
                <w:lang w:eastAsia="en-US"/>
              </w:rPr>
            </w:pPr>
            <w:r w:rsidRPr="00B61E14">
              <w:rPr>
                <w:rFonts w:eastAsia="Calibri" w:cs="Calibri"/>
                <w:color w:val="000000" w:themeColor="text1"/>
                <w:sz w:val="20"/>
                <w:szCs w:val="20"/>
                <w:lang w:eastAsia="en-US"/>
              </w:rPr>
              <w:t xml:space="preserve">We are currently expanding our education portfolio through the introduction of new short courses, enabling programs, undergraduate and postgraduate qualifications, and a strengthened Graduate School. </w:t>
            </w:r>
          </w:p>
          <w:p w14:paraId="251A3425" w14:textId="77777777" w:rsidR="00B61E14" w:rsidRPr="00B61E14" w:rsidRDefault="00B61E14" w:rsidP="00B61E14">
            <w:pPr>
              <w:pStyle w:val="NormalIndent"/>
              <w:spacing w:before="0" w:after="0" w:line="240" w:lineRule="auto"/>
              <w:ind w:left="0"/>
              <w:jc w:val="both"/>
              <w:rPr>
                <w:rFonts w:eastAsia="Calibri" w:cs="Calibri"/>
                <w:color w:val="000000" w:themeColor="text1"/>
                <w:sz w:val="20"/>
                <w:szCs w:val="20"/>
                <w:lang w:eastAsia="en-US"/>
              </w:rPr>
            </w:pPr>
          </w:p>
          <w:p w14:paraId="03FD1D30" w14:textId="4D90EA31" w:rsidR="00AB5E65" w:rsidRDefault="00AB5E65" w:rsidP="00B61E14">
            <w:pPr>
              <w:pStyle w:val="NormalIndent"/>
              <w:spacing w:before="0" w:after="0" w:line="240" w:lineRule="auto"/>
              <w:ind w:left="0"/>
              <w:jc w:val="both"/>
              <w:rPr>
                <w:rFonts w:eastAsia="Calibri" w:cs="Calibri"/>
                <w:color w:val="000000" w:themeColor="text1"/>
                <w:sz w:val="20"/>
                <w:szCs w:val="20"/>
                <w:lang w:eastAsia="en-US"/>
              </w:rPr>
            </w:pPr>
            <w:r w:rsidRPr="00B61E14">
              <w:rPr>
                <w:rFonts w:eastAsia="Calibri" w:cs="Calibri"/>
                <w:color w:val="000000" w:themeColor="text1"/>
                <w:sz w:val="20"/>
                <w:szCs w:val="20"/>
                <w:lang w:eastAsia="en-US"/>
              </w:rPr>
              <w:t xml:space="preserve">One of our aims of these courses is to ensure that Indigenous people in the workforce can develop their skills and qualifications in a culturally safe place learning environment. In a short period of time, we believe that Indigenous people from all over Australia will enrol in these courses and these courses will provide direct benefit to their career prospects. </w:t>
            </w:r>
          </w:p>
          <w:p w14:paraId="694DF7A1" w14:textId="77777777" w:rsidR="00B61E14" w:rsidRPr="00B61E14" w:rsidRDefault="00B61E14" w:rsidP="00B61E14">
            <w:pPr>
              <w:pStyle w:val="NormalIndent"/>
              <w:spacing w:before="0" w:after="0" w:line="240" w:lineRule="auto"/>
              <w:ind w:left="0"/>
              <w:jc w:val="both"/>
              <w:rPr>
                <w:rFonts w:eastAsia="Calibri" w:cs="Calibri"/>
                <w:color w:val="000000" w:themeColor="text1"/>
                <w:sz w:val="20"/>
                <w:szCs w:val="20"/>
                <w:lang w:eastAsia="en-US"/>
              </w:rPr>
            </w:pPr>
          </w:p>
          <w:p w14:paraId="77802F61" w14:textId="5193E90E" w:rsidR="003E6F23" w:rsidRDefault="008907D9" w:rsidP="00B61E14">
            <w:pPr>
              <w:pStyle w:val="NormalIndent"/>
              <w:spacing w:before="0" w:after="0" w:line="240" w:lineRule="auto"/>
              <w:ind w:left="0"/>
              <w:jc w:val="both"/>
              <w:rPr>
                <w:rFonts w:eastAsia="Calibri" w:cs="Calibri"/>
                <w:color w:val="000000" w:themeColor="text1"/>
                <w:sz w:val="20"/>
                <w:szCs w:val="20"/>
                <w:lang w:eastAsia="en-US"/>
              </w:rPr>
            </w:pPr>
            <w:r w:rsidRPr="00B61E14">
              <w:rPr>
                <w:rFonts w:eastAsia="Calibri" w:cs="Calibri"/>
                <w:color w:val="000000" w:themeColor="text1"/>
                <w:sz w:val="20"/>
                <w:szCs w:val="20"/>
                <w:lang w:eastAsia="en-US"/>
              </w:rPr>
              <w:t>Batchelor Institute is currently partnered with University of Tasmania and University of the Sunshine Coast under two ARC grants, one Linkage and one Discovery. Both contain scholarships for HDR students</w:t>
            </w:r>
            <w:r w:rsidR="0075074B" w:rsidRPr="00B61E14">
              <w:rPr>
                <w:rFonts w:eastAsia="Calibri" w:cs="Calibri"/>
                <w:color w:val="000000" w:themeColor="text1"/>
                <w:sz w:val="20"/>
                <w:szCs w:val="20"/>
                <w:lang w:eastAsia="en-US"/>
              </w:rPr>
              <w:t>.</w:t>
            </w:r>
          </w:p>
          <w:p w14:paraId="7DBFCBF5" w14:textId="77777777" w:rsidR="00B61E14" w:rsidRPr="00B61E14" w:rsidRDefault="00B61E14" w:rsidP="00B61E14">
            <w:pPr>
              <w:pStyle w:val="NormalIndent"/>
              <w:spacing w:before="0" w:after="0" w:line="240" w:lineRule="auto"/>
              <w:ind w:left="0"/>
              <w:jc w:val="both"/>
              <w:rPr>
                <w:rFonts w:eastAsia="Calibri" w:cs="Calibri"/>
                <w:color w:val="000000" w:themeColor="text1"/>
                <w:sz w:val="20"/>
                <w:szCs w:val="20"/>
                <w:lang w:eastAsia="en-US"/>
              </w:rPr>
            </w:pPr>
          </w:p>
          <w:p w14:paraId="689C1B0D" w14:textId="12E50B1D" w:rsidR="004B1A9B" w:rsidRPr="00B61E14" w:rsidRDefault="0075074B" w:rsidP="00B61E14">
            <w:pPr>
              <w:pStyle w:val="NormalIndent"/>
              <w:spacing w:before="0" w:after="0" w:line="240" w:lineRule="auto"/>
              <w:ind w:left="0"/>
              <w:jc w:val="both"/>
              <w:rPr>
                <w:rFonts w:eastAsia="Calibri" w:cs="Calibri"/>
                <w:color w:val="000000" w:themeColor="text1"/>
                <w:sz w:val="20"/>
                <w:szCs w:val="20"/>
                <w:lang w:eastAsia="en-US"/>
              </w:rPr>
            </w:pPr>
            <w:r w:rsidRPr="00B61E14">
              <w:rPr>
                <w:rFonts w:eastAsia="Calibri" w:cs="Calibri"/>
                <w:color w:val="000000" w:themeColor="text1"/>
                <w:sz w:val="20"/>
                <w:szCs w:val="20"/>
                <w:lang w:eastAsia="en-US"/>
              </w:rPr>
              <w:t>T</w:t>
            </w:r>
            <w:r w:rsidR="004B1A9B" w:rsidRPr="00B61E14">
              <w:rPr>
                <w:rFonts w:eastAsia="Calibri" w:cs="Calibri"/>
                <w:color w:val="000000" w:themeColor="text1"/>
                <w:sz w:val="20"/>
                <w:szCs w:val="20"/>
                <w:lang w:eastAsia="en-US"/>
              </w:rPr>
              <w:t xml:space="preserve">hrough the research and evaluation projects underway or recently completed, Batchelor </w:t>
            </w:r>
            <w:r w:rsidRPr="00B61E14">
              <w:rPr>
                <w:rFonts w:eastAsia="Calibri" w:cs="Calibri"/>
                <w:color w:val="000000" w:themeColor="text1"/>
                <w:sz w:val="20"/>
                <w:szCs w:val="20"/>
                <w:lang w:eastAsia="en-US"/>
              </w:rPr>
              <w:t xml:space="preserve">Institute </w:t>
            </w:r>
            <w:r w:rsidR="004B1A9B" w:rsidRPr="00B61E14">
              <w:rPr>
                <w:rFonts w:eastAsia="Calibri" w:cs="Calibri"/>
                <w:color w:val="000000" w:themeColor="text1"/>
                <w:sz w:val="20"/>
                <w:szCs w:val="20"/>
                <w:lang w:eastAsia="en-US"/>
              </w:rPr>
              <w:t xml:space="preserve">has partnerships with University of South Australia, Charles Darwin University, Flinders University, Curtin University, University of Notre Dame Australia, Federation University, ANU and Deakin University, in addition to five Aboriginal community organisations, and 12 non-government and government partners. </w:t>
            </w:r>
          </w:p>
          <w:p w14:paraId="47C6B137" w14:textId="77777777" w:rsidR="004B1A9B" w:rsidRPr="00B61E14" w:rsidRDefault="004B1A9B" w:rsidP="00B61E14">
            <w:pPr>
              <w:pStyle w:val="NormalIndent"/>
              <w:spacing w:before="0" w:after="0" w:line="240" w:lineRule="auto"/>
              <w:ind w:left="0"/>
              <w:jc w:val="both"/>
              <w:rPr>
                <w:rFonts w:eastAsia="Calibri" w:cs="Calibri"/>
                <w:color w:val="000000" w:themeColor="text1"/>
                <w:sz w:val="20"/>
                <w:szCs w:val="20"/>
                <w:lang w:eastAsia="en-US"/>
              </w:rPr>
            </w:pPr>
          </w:p>
          <w:p w14:paraId="2B238590" w14:textId="61D1AA99" w:rsidR="004B1A9B" w:rsidRPr="00B46EE1" w:rsidRDefault="004B1A9B" w:rsidP="00B46EE1">
            <w:pPr>
              <w:pStyle w:val="NormalIndent"/>
              <w:spacing w:before="0" w:after="0" w:line="240" w:lineRule="auto"/>
              <w:ind w:left="0"/>
              <w:jc w:val="both"/>
              <w:rPr>
                <w:rFonts w:eastAsia="Calibri" w:cs="Calibri"/>
                <w:color w:val="000000" w:themeColor="text1"/>
                <w:sz w:val="20"/>
                <w:szCs w:val="20"/>
                <w:lang w:eastAsia="en-US"/>
              </w:rPr>
            </w:pPr>
            <w:r w:rsidRPr="00B61E14">
              <w:rPr>
                <w:rFonts w:eastAsia="Calibri" w:cs="Calibri"/>
                <w:color w:val="000000" w:themeColor="text1"/>
                <w:sz w:val="20"/>
                <w:szCs w:val="20"/>
                <w:lang w:eastAsia="en-US"/>
              </w:rPr>
              <w:t xml:space="preserve">MOU’s and Project advisory boards provide a formal means of linking industry and stakeholders with the shared governance of research and evaluation projects. This is another way that Batchelor </w:t>
            </w:r>
            <w:r w:rsidR="00B46EE1">
              <w:rPr>
                <w:rFonts w:eastAsia="Calibri" w:cs="Calibri"/>
                <w:color w:val="000000" w:themeColor="text1"/>
                <w:sz w:val="20"/>
                <w:szCs w:val="20"/>
                <w:lang w:eastAsia="en-US"/>
              </w:rPr>
              <w:t xml:space="preserve">Institute </w:t>
            </w:r>
            <w:r w:rsidRPr="00B61E14">
              <w:rPr>
                <w:rFonts w:eastAsia="Calibri" w:cs="Calibri"/>
                <w:color w:val="000000" w:themeColor="text1"/>
                <w:sz w:val="20"/>
                <w:szCs w:val="20"/>
                <w:lang w:eastAsia="en-US"/>
              </w:rPr>
              <w:t xml:space="preserve">ensures our broad and equitable industry links are operating well and that community accountability as well as accountability to funding sources can be managed and met appropriately and retained for life of project towards sustainable impacts. </w:t>
            </w:r>
          </w:p>
          <w:p w14:paraId="6465FC91" w14:textId="7963AB2E" w:rsidR="001B109C" w:rsidRPr="00E526A6" w:rsidRDefault="001B109C" w:rsidP="00962F05">
            <w:pPr>
              <w:pStyle w:val="NormalIndent"/>
              <w:spacing w:before="0" w:after="0"/>
              <w:ind w:left="0"/>
            </w:pPr>
          </w:p>
        </w:tc>
      </w:tr>
    </w:tbl>
    <w:p w14:paraId="3BBBBA25" w14:textId="77777777" w:rsidR="001B109C" w:rsidRDefault="001B109C" w:rsidP="001B109C">
      <w:pPr>
        <w:spacing w:after="0"/>
        <w:rPr>
          <w:rFonts w:ascii="Times New Roman" w:hAnsi="Times New Roman" w:cs="Times New Roman"/>
          <w:b/>
          <w:bCs/>
          <w:sz w:val="24"/>
          <w:szCs w:val="24"/>
        </w:rPr>
      </w:pPr>
    </w:p>
    <w:p w14:paraId="228B1949" w14:textId="25BCDC06" w:rsidR="00952434" w:rsidRDefault="00952434" w:rsidP="001B109C">
      <w:pPr>
        <w:spacing w:after="160"/>
        <w:rPr>
          <w:rFonts w:ascii="Times New Roman" w:hAnsi="Times New Roman" w:cs="Times New Roman"/>
          <w:b/>
          <w:bCs/>
          <w:sz w:val="24"/>
          <w:szCs w:val="24"/>
        </w:rPr>
      </w:pPr>
      <w:r>
        <w:rPr>
          <w:rFonts w:ascii="Times New Roman" w:hAnsi="Times New Roman" w:cs="Times New Roman"/>
          <w:b/>
          <w:bCs/>
          <w:sz w:val="24"/>
          <w:szCs w:val="24"/>
        </w:rPr>
        <w:br/>
      </w:r>
    </w:p>
    <w:p w14:paraId="59519983" w14:textId="77777777" w:rsidR="00952434" w:rsidRDefault="00952434">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7D73BF">
      <w:pPr>
        <w:spacing w:after="16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962F05">
        <w:tc>
          <w:tcPr>
            <w:tcW w:w="4508" w:type="dxa"/>
          </w:tcPr>
          <w:p w14:paraId="68C798FC" w14:textId="77777777" w:rsidR="001B109C" w:rsidRPr="00E114B4" w:rsidRDefault="001B109C" w:rsidP="00962F05">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962F05">
            <w:pPr>
              <w:rPr>
                <w:rFonts w:cstheme="minorHAnsi"/>
                <w:sz w:val="24"/>
                <w:szCs w:val="24"/>
              </w:rPr>
            </w:pPr>
            <w:r w:rsidRPr="00E114B4">
              <w:rPr>
                <w:rFonts w:cstheme="minorHAnsi"/>
                <w:sz w:val="24"/>
                <w:szCs w:val="24"/>
              </w:rPr>
              <w:t>In the presence of:</w:t>
            </w:r>
          </w:p>
        </w:tc>
      </w:tr>
      <w:tr w:rsidR="001B109C" w:rsidRPr="00E169EE" w14:paraId="186905E2" w14:textId="77777777" w:rsidTr="00962F05">
        <w:tc>
          <w:tcPr>
            <w:tcW w:w="4508" w:type="dxa"/>
          </w:tcPr>
          <w:p w14:paraId="32153A99" w14:textId="3260E0BB" w:rsidR="001B109C" w:rsidRPr="00E114B4" w:rsidRDefault="00756C6C" w:rsidP="00962F05">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rsidP="00962F05">
            <w:pPr>
              <w:rPr>
                <w:rFonts w:cstheme="minorHAnsi"/>
              </w:rPr>
            </w:pPr>
            <w:r w:rsidRPr="00E114B4">
              <w:rPr>
                <w:rFonts w:cstheme="minorHAnsi"/>
              </w:rPr>
              <w:t>Full name (please print)</w:t>
            </w:r>
          </w:p>
        </w:tc>
        <w:tc>
          <w:tcPr>
            <w:tcW w:w="4508" w:type="dxa"/>
          </w:tcPr>
          <w:p w14:paraId="091A8D51" w14:textId="3693142F" w:rsidR="001B109C" w:rsidRPr="00E114B4" w:rsidRDefault="0002653D" w:rsidP="00962F05">
            <w:pPr>
              <w:pBdr>
                <w:bottom w:val="single" w:sz="12" w:space="1" w:color="auto"/>
              </w:pBdr>
              <w:rPr>
                <w:rFonts w:cstheme="minorHAnsi"/>
                <w:b/>
                <w:bCs/>
              </w:rPr>
            </w:pPr>
            <w:r w:rsidRPr="001E1D51">
              <w:rPr>
                <w:b/>
                <w:bCs/>
              </w:rPr>
              <w:t>Rachel Searl</w:t>
            </w:r>
          </w:p>
          <w:p w14:paraId="5AAC2089" w14:textId="77777777" w:rsidR="001B109C" w:rsidRPr="00E114B4" w:rsidRDefault="001B109C" w:rsidP="00962F05">
            <w:pPr>
              <w:rPr>
                <w:rFonts w:cstheme="minorHAnsi"/>
              </w:rPr>
            </w:pPr>
            <w:r w:rsidRPr="00E114B4">
              <w:rPr>
                <w:rFonts w:cstheme="minorHAnsi"/>
              </w:rPr>
              <w:t>Witness (please print)</w:t>
            </w:r>
          </w:p>
        </w:tc>
      </w:tr>
      <w:tr w:rsidR="001B109C" w:rsidRPr="00E169EE" w14:paraId="6D0DB948" w14:textId="77777777" w:rsidTr="00962F05">
        <w:tc>
          <w:tcPr>
            <w:tcW w:w="4508" w:type="dxa"/>
          </w:tcPr>
          <w:p w14:paraId="101367FA" w14:textId="471CF951" w:rsidR="001B109C" w:rsidRPr="00E114B4" w:rsidRDefault="000225F8" w:rsidP="00962F05">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962F05">
            <w:pPr>
              <w:rPr>
                <w:rFonts w:cstheme="minorHAnsi"/>
              </w:rPr>
            </w:pPr>
            <w:r w:rsidRPr="00E114B4">
              <w:rPr>
                <w:rFonts w:cstheme="minorHAnsi"/>
              </w:rPr>
              <w:t>Position</w:t>
            </w:r>
          </w:p>
          <w:p w14:paraId="390DFF35" w14:textId="77777777" w:rsidR="001B109C" w:rsidRPr="00E114B4" w:rsidRDefault="001B109C" w:rsidP="00962F05">
            <w:pPr>
              <w:rPr>
                <w:rFonts w:cstheme="minorHAnsi"/>
              </w:rPr>
            </w:pPr>
            <w:r w:rsidRPr="00E114B4">
              <w:rPr>
                <w:rFonts w:cstheme="minorHAnsi"/>
              </w:rPr>
              <w:t>of the Department of Education</w:t>
            </w:r>
          </w:p>
        </w:tc>
        <w:tc>
          <w:tcPr>
            <w:tcW w:w="4508" w:type="dxa"/>
          </w:tcPr>
          <w:p w14:paraId="69045716" w14:textId="6DBF3302" w:rsidR="001B109C" w:rsidRPr="00E114B4" w:rsidRDefault="00DE2581" w:rsidP="00962F05">
            <w:pPr>
              <w:pBdr>
                <w:bottom w:val="single" w:sz="12" w:space="1" w:color="auto"/>
              </w:pBdr>
              <w:rPr>
                <w:rFonts w:cstheme="minorHAnsi"/>
                <w:b/>
                <w:bCs/>
              </w:rPr>
            </w:pPr>
            <w:r>
              <w:rPr>
                <w:rFonts w:cstheme="minorHAnsi"/>
                <w:b/>
                <w:bCs/>
              </w:rPr>
              <w:t>Executive Officer</w:t>
            </w:r>
          </w:p>
          <w:p w14:paraId="668DE817" w14:textId="77777777" w:rsidR="001B109C" w:rsidRPr="00E114B4" w:rsidRDefault="001B109C" w:rsidP="00962F05">
            <w:pPr>
              <w:rPr>
                <w:rFonts w:cstheme="minorHAnsi"/>
              </w:rPr>
            </w:pPr>
            <w:r w:rsidRPr="00E114B4">
              <w:rPr>
                <w:rFonts w:cstheme="minorHAnsi"/>
              </w:rPr>
              <w:t>Position or profession of witness (please print)</w:t>
            </w:r>
          </w:p>
        </w:tc>
      </w:tr>
      <w:tr w:rsidR="001B109C" w:rsidRPr="00E169EE" w14:paraId="38C68E43" w14:textId="77777777" w:rsidTr="00962F05">
        <w:tc>
          <w:tcPr>
            <w:tcW w:w="4508" w:type="dxa"/>
          </w:tcPr>
          <w:p w14:paraId="4289F3D2" w14:textId="77777777" w:rsidR="001B109C" w:rsidRPr="00E114B4" w:rsidRDefault="001B109C" w:rsidP="00962F05">
            <w:pPr>
              <w:pBdr>
                <w:bottom w:val="single" w:sz="12" w:space="1" w:color="auto"/>
              </w:pBdr>
              <w:rPr>
                <w:rFonts w:cstheme="minorHAnsi"/>
                <w:b/>
                <w:bCs/>
              </w:rPr>
            </w:pPr>
          </w:p>
          <w:p w14:paraId="415B9216" w14:textId="77777777" w:rsidR="001B109C" w:rsidRPr="00E114B4" w:rsidRDefault="001B109C" w:rsidP="00962F05">
            <w:pPr>
              <w:rPr>
                <w:rFonts w:cstheme="minorHAnsi"/>
              </w:rPr>
            </w:pPr>
            <w:r w:rsidRPr="00E114B4">
              <w:rPr>
                <w:rFonts w:cstheme="minorHAnsi"/>
              </w:rPr>
              <w:t>Signature</w:t>
            </w:r>
          </w:p>
        </w:tc>
        <w:tc>
          <w:tcPr>
            <w:tcW w:w="4508" w:type="dxa"/>
          </w:tcPr>
          <w:p w14:paraId="710024D0" w14:textId="77777777" w:rsidR="001B109C" w:rsidRPr="00E114B4" w:rsidRDefault="001B109C" w:rsidP="00962F05">
            <w:pPr>
              <w:pBdr>
                <w:bottom w:val="single" w:sz="12" w:space="1" w:color="auto"/>
              </w:pBdr>
              <w:rPr>
                <w:rFonts w:cstheme="minorHAnsi"/>
                <w:b/>
                <w:bCs/>
              </w:rPr>
            </w:pPr>
          </w:p>
          <w:p w14:paraId="2D914310" w14:textId="77777777" w:rsidR="001B109C" w:rsidRPr="00E114B4" w:rsidRDefault="001B109C" w:rsidP="00962F05">
            <w:pPr>
              <w:rPr>
                <w:rFonts w:cstheme="minorHAnsi"/>
              </w:rPr>
            </w:pPr>
            <w:r w:rsidRPr="00E114B4">
              <w:rPr>
                <w:rFonts w:cstheme="minorHAnsi"/>
              </w:rPr>
              <w:t>Signature</w:t>
            </w:r>
          </w:p>
        </w:tc>
      </w:tr>
      <w:tr w:rsidR="001B109C" w:rsidRPr="00E169EE" w14:paraId="4B1444B6" w14:textId="77777777" w:rsidTr="00962F05">
        <w:tc>
          <w:tcPr>
            <w:tcW w:w="4508" w:type="dxa"/>
          </w:tcPr>
          <w:p w14:paraId="344C64D3" w14:textId="77806A2A" w:rsidR="001B109C" w:rsidRPr="00D8458E" w:rsidRDefault="00B4077B" w:rsidP="00962F05">
            <w:pPr>
              <w:pBdr>
                <w:bottom w:val="single" w:sz="12" w:space="1" w:color="auto"/>
              </w:pBdr>
              <w:rPr>
                <w:rFonts w:cstheme="minorHAnsi"/>
              </w:rPr>
            </w:pPr>
            <w:r w:rsidRPr="00D8458E">
              <w:rPr>
                <w:rFonts w:cstheme="minorHAnsi"/>
              </w:rPr>
              <w:t>01/12/2025</w:t>
            </w:r>
          </w:p>
          <w:p w14:paraId="71C4CD3D" w14:textId="5FA82AF1" w:rsidR="001B109C" w:rsidRPr="00E169EE" w:rsidRDefault="001B109C" w:rsidP="00962F05">
            <w:pPr>
              <w:rPr>
                <w:rFonts w:cstheme="minorHAnsi"/>
              </w:rPr>
            </w:pPr>
            <w:r w:rsidRPr="00E169EE">
              <w:rPr>
                <w:rFonts w:cstheme="minorHAnsi"/>
              </w:rPr>
              <w:t>Date</w:t>
            </w:r>
          </w:p>
        </w:tc>
        <w:tc>
          <w:tcPr>
            <w:tcW w:w="4508" w:type="dxa"/>
          </w:tcPr>
          <w:p w14:paraId="26028E27" w14:textId="77777777" w:rsidR="001B109C" w:rsidRPr="00F60B66" w:rsidRDefault="001B109C" w:rsidP="00962F05">
            <w:pPr>
              <w:rPr>
                <w:rFonts w:cstheme="minorHAnsi"/>
                <w:b/>
                <w:bCs/>
                <w:highlight w:val="yellow"/>
              </w:rPr>
            </w:pPr>
          </w:p>
        </w:tc>
      </w:tr>
      <w:tr w:rsidR="001B109C" w:rsidRPr="00E169EE" w14:paraId="45CC96F9" w14:textId="77777777" w:rsidTr="00962F05">
        <w:tc>
          <w:tcPr>
            <w:tcW w:w="4508" w:type="dxa"/>
          </w:tcPr>
          <w:p w14:paraId="639CCC16" w14:textId="77777777" w:rsidR="001B109C" w:rsidRDefault="001B109C" w:rsidP="00962F05">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6104B7A0" w:rsidR="001B109C" w:rsidRPr="00E169EE" w:rsidRDefault="005B1074" w:rsidP="00962F05">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BATCHELOR INSTITUTE OF INDIGENOUS TERTIARY EDUCATION</w:t>
            </w:r>
          </w:p>
          <w:p w14:paraId="065C6AB9" w14:textId="77777777" w:rsidR="001B109C" w:rsidRPr="00E169EE" w:rsidRDefault="001B109C" w:rsidP="00962F05">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962F05">
            <w:pPr>
              <w:rPr>
                <w:rFonts w:cstheme="minorHAnsi"/>
              </w:rPr>
            </w:pPr>
            <w:r w:rsidRPr="002F4604">
              <w:rPr>
                <w:rFonts w:cstheme="minorHAnsi"/>
                <w:sz w:val="24"/>
                <w:szCs w:val="24"/>
              </w:rPr>
              <w:t>In the presence of:</w:t>
            </w:r>
          </w:p>
        </w:tc>
      </w:tr>
      <w:tr w:rsidR="001B109C" w:rsidRPr="00E169EE" w14:paraId="5AAB6D63" w14:textId="77777777" w:rsidTr="00962F05">
        <w:tc>
          <w:tcPr>
            <w:tcW w:w="4508" w:type="dxa"/>
          </w:tcPr>
          <w:p w14:paraId="54C8A9A5" w14:textId="399DE071" w:rsidR="001B109C" w:rsidRPr="00E169EE" w:rsidRDefault="005B1074" w:rsidP="00962F05">
            <w:pPr>
              <w:pBdr>
                <w:bottom w:val="single" w:sz="12" w:space="1" w:color="auto"/>
              </w:pBdr>
              <w:rPr>
                <w:rFonts w:cstheme="minorHAnsi"/>
                <w:b/>
                <w:bCs/>
              </w:rPr>
            </w:pPr>
            <w:r>
              <w:rPr>
                <w:rFonts w:cstheme="minorHAnsi"/>
                <w:b/>
                <w:bCs/>
              </w:rPr>
              <w:t>RENEE LONG</w:t>
            </w:r>
          </w:p>
          <w:p w14:paraId="3120FAF4" w14:textId="289890AD" w:rsidR="001B109C" w:rsidRPr="00E169EE" w:rsidRDefault="001B109C" w:rsidP="00962F05">
            <w:pPr>
              <w:rPr>
                <w:rFonts w:cstheme="minorHAnsi"/>
              </w:rPr>
            </w:pPr>
            <w:r w:rsidRPr="00E169EE">
              <w:rPr>
                <w:rFonts w:cstheme="minorHAnsi"/>
              </w:rPr>
              <w:t>Full name (please print)</w:t>
            </w:r>
          </w:p>
        </w:tc>
        <w:tc>
          <w:tcPr>
            <w:tcW w:w="4508" w:type="dxa"/>
          </w:tcPr>
          <w:p w14:paraId="59483E94" w14:textId="1B94F27F" w:rsidR="001B109C" w:rsidRPr="002F4604" w:rsidRDefault="007D73BF" w:rsidP="00962F05">
            <w:pPr>
              <w:pBdr>
                <w:bottom w:val="single" w:sz="12" w:space="1" w:color="auto"/>
              </w:pBdr>
              <w:rPr>
                <w:rFonts w:cstheme="minorHAnsi"/>
                <w:b/>
                <w:bCs/>
              </w:rPr>
            </w:pPr>
            <w:r>
              <w:rPr>
                <w:rFonts w:cstheme="minorHAnsi"/>
                <w:b/>
                <w:bCs/>
              </w:rPr>
              <w:t>DAVID CUSACK</w:t>
            </w:r>
          </w:p>
          <w:p w14:paraId="439588BC" w14:textId="77777777" w:rsidR="001B109C" w:rsidRPr="002F4604" w:rsidRDefault="001B109C" w:rsidP="00962F05">
            <w:pPr>
              <w:rPr>
                <w:rFonts w:cstheme="minorHAnsi"/>
              </w:rPr>
            </w:pPr>
            <w:r w:rsidRPr="002F4604">
              <w:rPr>
                <w:rFonts w:cstheme="minorHAnsi"/>
              </w:rPr>
              <w:t>Witness (please print)</w:t>
            </w:r>
          </w:p>
        </w:tc>
      </w:tr>
      <w:tr w:rsidR="00C62036" w:rsidRPr="00E169EE" w14:paraId="20B90866" w14:textId="77777777" w:rsidTr="00962F05">
        <w:tc>
          <w:tcPr>
            <w:tcW w:w="4508" w:type="dxa"/>
          </w:tcPr>
          <w:p w14:paraId="03B1AE2D" w14:textId="5EED02B8" w:rsidR="00C62036" w:rsidRPr="002F4604" w:rsidRDefault="00C62036" w:rsidP="00C62036">
            <w:pPr>
              <w:pBdr>
                <w:bottom w:val="single" w:sz="12" w:space="1" w:color="auto"/>
              </w:pBdr>
              <w:spacing w:after="0"/>
              <w:rPr>
                <w:rFonts w:cstheme="minorHAnsi"/>
                <w:b/>
                <w:bCs/>
              </w:rPr>
            </w:pPr>
            <w:r>
              <w:rPr>
                <w:rFonts w:cstheme="minorHAnsi"/>
                <w:b/>
                <w:bCs/>
              </w:rPr>
              <w:t>CHIEF EXECUTIVE OFFICER</w:t>
            </w:r>
          </w:p>
          <w:p w14:paraId="536F9855" w14:textId="5273A92C" w:rsidR="00C62036" w:rsidRPr="00E169EE" w:rsidRDefault="00C62036" w:rsidP="00C62036">
            <w:pPr>
              <w:spacing w:after="0"/>
              <w:rPr>
                <w:rFonts w:cstheme="minorHAnsi"/>
              </w:rPr>
            </w:pPr>
            <w:r w:rsidRPr="002F4604">
              <w:rPr>
                <w:rFonts w:cstheme="minorHAnsi"/>
              </w:rPr>
              <w:t>Position or profession of witness (please print)</w:t>
            </w:r>
          </w:p>
        </w:tc>
        <w:tc>
          <w:tcPr>
            <w:tcW w:w="4508" w:type="dxa"/>
          </w:tcPr>
          <w:p w14:paraId="7B33C473" w14:textId="3B3BDDBE" w:rsidR="00C62036" w:rsidRPr="002F4604" w:rsidRDefault="00C62036" w:rsidP="00C62036">
            <w:pPr>
              <w:pBdr>
                <w:bottom w:val="single" w:sz="12" w:space="1" w:color="auto"/>
              </w:pBdr>
              <w:spacing w:after="0"/>
              <w:rPr>
                <w:rFonts w:cstheme="minorHAnsi"/>
                <w:b/>
                <w:bCs/>
              </w:rPr>
            </w:pPr>
            <w:r>
              <w:rPr>
                <w:rFonts w:cstheme="minorHAnsi"/>
                <w:b/>
                <w:bCs/>
              </w:rPr>
              <w:t>DEPUTY CHIEF EXECUTIVE OFFICER</w:t>
            </w:r>
          </w:p>
          <w:p w14:paraId="0C046C3D" w14:textId="234B867E" w:rsidR="00C62036" w:rsidRPr="002F4604" w:rsidRDefault="00C62036" w:rsidP="00C62036">
            <w:pPr>
              <w:spacing w:after="0"/>
              <w:rPr>
                <w:rFonts w:cstheme="minorHAnsi"/>
              </w:rPr>
            </w:pPr>
            <w:r w:rsidRPr="002F4604">
              <w:rPr>
                <w:rFonts w:cstheme="minorHAnsi"/>
              </w:rPr>
              <w:t>Position or profession of witness (please print)</w:t>
            </w:r>
          </w:p>
        </w:tc>
      </w:tr>
      <w:tr w:rsidR="00C62036" w:rsidRPr="00E169EE" w14:paraId="51440CFB" w14:textId="77777777" w:rsidTr="00962F05">
        <w:trPr>
          <w:trHeight w:val="80"/>
        </w:trPr>
        <w:tc>
          <w:tcPr>
            <w:tcW w:w="4508" w:type="dxa"/>
          </w:tcPr>
          <w:p w14:paraId="3A2DD8FF" w14:textId="77777777" w:rsidR="00C62036" w:rsidRDefault="00C62036" w:rsidP="00C62036">
            <w:pPr>
              <w:pBdr>
                <w:bottom w:val="single" w:sz="12" w:space="1" w:color="auto"/>
              </w:pBdr>
              <w:spacing w:after="0"/>
              <w:rPr>
                <w:rFonts w:cstheme="minorHAnsi"/>
                <w:b/>
                <w:bCs/>
              </w:rPr>
            </w:pPr>
          </w:p>
          <w:p w14:paraId="59E2962B" w14:textId="77777777" w:rsidR="00C62036" w:rsidRPr="002F4604" w:rsidRDefault="00C62036" w:rsidP="00C62036">
            <w:pPr>
              <w:pBdr>
                <w:bottom w:val="single" w:sz="12" w:space="1" w:color="auto"/>
              </w:pBdr>
              <w:spacing w:after="0"/>
              <w:rPr>
                <w:rFonts w:cstheme="minorHAnsi"/>
                <w:b/>
                <w:bCs/>
              </w:rPr>
            </w:pPr>
          </w:p>
          <w:p w14:paraId="62FF4341" w14:textId="0BEA8A94" w:rsidR="00C62036" w:rsidRPr="00E169EE" w:rsidRDefault="00C62036" w:rsidP="00C62036">
            <w:pPr>
              <w:spacing w:after="0"/>
              <w:rPr>
                <w:rFonts w:cstheme="minorHAnsi"/>
              </w:rPr>
            </w:pPr>
            <w:r w:rsidRPr="002F4604">
              <w:rPr>
                <w:rFonts w:cstheme="minorHAnsi"/>
              </w:rPr>
              <w:t>Signature</w:t>
            </w:r>
          </w:p>
        </w:tc>
        <w:tc>
          <w:tcPr>
            <w:tcW w:w="4508" w:type="dxa"/>
          </w:tcPr>
          <w:p w14:paraId="75C3F771" w14:textId="4AC6C062" w:rsidR="00C62036" w:rsidRDefault="00C62036" w:rsidP="00C62036">
            <w:pPr>
              <w:pBdr>
                <w:bottom w:val="single" w:sz="12" w:space="1" w:color="auto"/>
              </w:pBdr>
              <w:spacing w:after="0"/>
              <w:rPr>
                <w:rFonts w:cstheme="minorHAnsi"/>
                <w:b/>
                <w:bCs/>
              </w:rPr>
            </w:pPr>
          </w:p>
          <w:p w14:paraId="171600F1" w14:textId="77777777" w:rsidR="00C62036" w:rsidRPr="002F4604" w:rsidRDefault="00C62036" w:rsidP="00C62036">
            <w:pPr>
              <w:pBdr>
                <w:bottom w:val="single" w:sz="12" w:space="1" w:color="auto"/>
              </w:pBdr>
              <w:spacing w:after="0"/>
              <w:rPr>
                <w:rFonts w:cstheme="minorHAnsi"/>
                <w:b/>
                <w:bCs/>
              </w:rPr>
            </w:pPr>
          </w:p>
          <w:p w14:paraId="79F89A4A" w14:textId="0077F60B" w:rsidR="00C62036" w:rsidRPr="002F4604" w:rsidRDefault="00C62036" w:rsidP="00C62036">
            <w:pPr>
              <w:spacing w:after="0"/>
              <w:rPr>
                <w:rFonts w:cstheme="minorHAnsi"/>
              </w:rPr>
            </w:pPr>
            <w:r w:rsidRPr="002F4604">
              <w:rPr>
                <w:rFonts w:cstheme="minorHAnsi"/>
              </w:rPr>
              <w:t>Signature</w:t>
            </w:r>
          </w:p>
        </w:tc>
      </w:tr>
    </w:tbl>
    <w:p w14:paraId="3AB2DC04" w14:textId="6583E8C1" w:rsidR="001B109C" w:rsidRPr="00285733" w:rsidRDefault="001B109C" w:rsidP="001B109C"/>
    <w:p w14:paraId="1A54A3FD" w14:textId="482753FB" w:rsidR="00C62036" w:rsidRPr="00C62036" w:rsidRDefault="00B4077B" w:rsidP="00C62036">
      <w:pPr>
        <w:spacing w:after="0" w:line="240" w:lineRule="auto"/>
        <w:rPr>
          <w:rFonts w:cstheme="minorHAnsi"/>
          <w:b/>
          <w:bCs/>
        </w:rPr>
      </w:pPr>
      <w:r>
        <w:rPr>
          <w:rFonts w:cstheme="minorHAnsi"/>
          <w:b/>
          <w:bCs/>
        </w:rPr>
        <w:t xml:space="preserve"> </w:t>
      </w:r>
      <w:proofErr w:type="gramStart"/>
      <w:r w:rsidRPr="00E169EE">
        <w:rPr>
          <w:rFonts w:cstheme="minorHAnsi"/>
        </w:rPr>
        <w:t>Date</w:t>
      </w:r>
      <w:r>
        <w:rPr>
          <w:rFonts w:cstheme="minorHAnsi"/>
        </w:rPr>
        <w:t xml:space="preserve"> :</w:t>
      </w:r>
      <w:proofErr w:type="gramEnd"/>
      <w:r>
        <w:rPr>
          <w:rFonts w:cstheme="minorHAnsi"/>
        </w:rPr>
        <w:t xml:space="preserve"> 12/11/2025</w:t>
      </w:r>
    </w:p>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14"/>
      <w:footerReference w:type="first" r:id="rId15"/>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E3EF" w14:textId="77777777" w:rsidR="006A4B0B" w:rsidRDefault="006A4B0B" w:rsidP="000A6228">
      <w:pPr>
        <w:spacing w:after="0" w:line="240" w:lineRule="auto"/>
      </w:pPr>
      <w:r>
        <w:separator/>
      </w:r>
    </w:p>
  </w:endnote>
  <w:endnote w:type="continuationSeparator" w:id="0">
    <w:p w14:paraId="11B7675C" w14:textId="77777777" w:rsidR="006A4B0B" w:rsidRDefault="006A4B0B" w:rsidP="000A6228">
      <w:pPr>
        <w:spacing w:after="0" w:line="240" w:lineRule="auto"/>
      </w:pPr>
      <w:r>
        <w:continuationSeparator/>
      </w:r>
    </w:p>
  </w:endnote>
  <w:endnote w:type="continuationNotice" w:id="1">
    <w:p w14:paraId="0C078B4E" w14:textId="77777777" w:rsidR="006A4B0B" w:rsidRDefault="006A4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1BBB1" w14:textId="77777777" w:rsidR="006A4B0B" w:rsidRDefault="006A4B0B" w:rsidP="000A6228">
      <w:pPr>
        <w:spacing w:after="0" w:line="240" w:lineRule="auto"/>
      </w:pPr>
      <w:r>
        <w:separator/>
      </w:r>
    </w:p>
  </w:footnote>
  <w:footnote w:type="continuationSeparator" w:id="0">
    <w:p w14:paraId="575A7DEC" w14:textId="77777777" w:rsidR="006A4B0B" w:rsidRDefault="006A4B0B" w:rsidP="000A6228">
      <w:pPr>
        <w:spacing w:after="0" w:line="240" w:lineRule="auto"/>
      </w:pPr>
      <w:r>
        <w:continuationSeparator/>
      </w:r>
    </w:p>
  </w:footnote>
  <w:footnote w:type="continuationNotice" w:id="1">
    <w:p w14:paraId="4F7007AC" w14:textId="77777777" w:rsidR="006A4B0B" w:rsidRDefault="006A4B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A34C031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CEE3FFF"/>
    <w:multiLevelType w:val="hybridMultilevel"/>
    <w:tmpl w:val="9C9A5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22107BA"/>
    <w:multiLevelType w:val="hybridMultilevel"/>
    <w:tmpl w:val="1518A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071809"/>
    <w:multiLevelType w:val="hybridMultilevel"/>
    <w:tmpl w:val="A99C6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0E4524"/>
    <w:multiLevelType w:val="hybridMultilevel"/>
    <w:tmpl w:val="8D509DA8"/>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BBA2749"/>
    <w:multiLevelType w:val="hybridMultilevel"/>
    <w:tmpl w:val="91668B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2"/>
  </w:num>
  <w:num w:numId="2" w16cid:durableId="1141925489">
    <w:abstractNumId w:val="5"/>
  </w:num>
  <w:num w:numId="3" w16cid:durableId="1430395506">
    <w:abstractNumId w:val="4"/>
  </w:num>
  <w:num w:numId="4" w16cid:durableId="1762024761">
    <w:abstractNumId w:val="3"/>
  </w:num>
  <w:num w:numId="5" w16cid:durableId="861433996">
    <w:abstractNumId w:val="16"/>
  </w:num>
  <w:num w:numId="6" w16cid:durableId="120733662">
    <w:abstractNumId w:val="2"/>
  </w:num>
  <w:num w:numId="7" w16cid:durableId="2022584168">
    <w:abstractNumId w:val="1"/>
  </w:num>
  <w:num w:numId="8" w16cid:durableId="534267804">
    <w:abstractNumId w:val="0"/>
  </w:num>
  <w:num w:numId="9" w16cid:durableId="1265042610">
    <w:abstractNumId w:val="15"/>
  </w:num>
  <w:num w:numId="10" w16cid:durableId="1943879001">
    <w:abstractNumId w:val="7"/>
  </w:num>
  <w:num w:numId="11" w16cid:durableId="419833051">
    <w:abstractNumId w:val="21"/>
  </w:num>
  <w:num w:numId="12" w16cid:durableId="1758015391">
    <w:abstractNumId w:val="11"/>
  </w:num>
  <w:num w:numId="13" w16cid:durableId="1395660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22"/>
  </w:num>
  <w:num w:numId="17" w16cid:durableId="1022434231">
    <w:abstractNumId w:val="18"/>
  </w:num>
  <w:num w:numId="18" w16cid:durableId="618417265">
    <w:abstractNumId w:val="8"/>
  </w:num>
  <w:num w:numId="19" w16cid:durableId="271010807">
    <w:abstractNumId w:val="19"/>
  </w:num>
  <w:num w:numId="20" w16cid:durableId="1946958170">
    <w:abstractNumId w:val="17"/>
  </w:num>
  <w:num w:numId="21" w16cid:durableId="1142428726">
    <w:abstractNumId w:val="20"/>
  </w:num>
  <w:num w:numId="22" w16cid:durableId="228616426">
    <w:abstractNumId w:val="13"/>
  </w:num>
  <w:num w:numId="23" w16cid:durableId="689181360">
    <w:abstractNumId w:val="10"/>
  </w:num>
  <w:num w:numId="24" w16cid:durableId="1159735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2569"/>
    <w:rsid w:val="00012366"/>
    <w:rsid w:val="00014A25"/>
    <w:rsid w:val="00021FBE"/>
    <w:rsid w:val="000225F8"/>
    <w:rsid w:val="000252C5"/>
    <w:rsid w:val="0002653D"/>
    <w:rsid w:val="00042573"/>
    <w:rsid w:val="00043523"/>
    <w:rsid w:val="00045E1D"/>
    <w:rsid w:val="0004638C"/>
    <w:rsid w:val="000521D7"/>
    <w:rsid w:val="0005619E"/>
    <w:rsid w:val="00071DB3"/>
    <w:rsid w:val="000815B2"/>
    <w:rsid w:val="00087A4A"/>
    <w:rsid w:val="000960CF"/>
    <w:rsid w:val="000A0B58"/>
    <w:rsid w:val="000A3A19"/>
    <w:rsid w:val="000A6228"/>
    <w:rsid w:val="000B26A5"/>
    <w:rsid w:val="000B5D40"/>
    <w:rsid w:val="000B7EC6"/>
    <w:rsid w:val="000C7516"/>
    <w:rsid w:val="000D02DC"/>
    <w:rsid w:val="000E789F"/>
    <w:rsid w:val="00107D87"/>
    <w:rsid w:val="00107DD5"/>
    <w:rsid w:val="00111394"/>
    <w:rsid w:val="0012338C"/>
    <w:rsid w:val="0012343A"/>
    <w:rsid w:val="00124211"/>
    <w:rsid w:val="00133B8D"/>
    <w:rsid w:val="0013611E"/>
    <w:rsid w:val="001435BD"/>
    <w:rsid w:val="001477B8"/>
    <w:rsid w:val="001515BF"/>
    <w:rsid w:val="00152193"/>
    <w:rsid w:val="0015549C"/>
    <w:rsid w:val="0017134D"/>
    <w:rsid w:val="00180EE7"/>
    <w:rsid w:val="00183AD8"/>
    <w:rsid w:val="00196CDA"/>
    <w:rsid w:val="00197854"/>
    <w:rsid w:val="001A5D84"/>
    <w:rsid w:val="001B0FB9"/>
    <w:rsid w:val="001B109C"/>
    <w:rsid w:val="001C1523"/>
    <w:rsid w:val="001C553E"/>
    <w:rsid w:val="001D286C"/>
    <w:rsid w:val="001E3BF1"/>
    <w:rsid w:val="001E41F4"/>
    <w:rsid w:val="001E6DBC"/>
    <w:rsid w:val="001F528D"/>
    <w:rsid w:val="001F6D97"/>
    <w:rsid w:val="00206AE3"/>
    <w:rsid w:val="002138B7"/>
    <w:rsid w:val="00217414"/>
    <w:rsid w:val="00221D8F"/>
    <w:rsid w:val="00224282"/>
    <w:rsid w:val="002272DB"/>
    <w:rsid w:val="00234F55"/>
    <w:rsid w:val="00235752"/>
    <w:rsid w:val="00235C1F"/>
    <w:rsid w:val="00241CF3"/>
    <w:rsid w:val="00243852"/>
    <w:rsid w:val="00276047"/>
    <w:rsid w:val="002775F3"/>
    <w:rsid w:val="00295E5F"/>
    <w:rsid w:val="0029618B"/>
    <w:rsid w:val="002A4458"/>
    <w:rsid w:val="002A67D3"/>
    <w:rsid w:val="002C1F0F"/>
    <w:rsid w:val="002C391C"/>
    <w:rsid w:val="002C527F"/>
    <w:rsid w:val="002D3EFA"/>
    <w:rsid w:val="002D589A"/>
    <w:rsid w:val="002D7621"/>
    <w:rsid w:val="002E3E47"/>
    <w:rsid w:val="002E491A"/>
    <w:rsid w:val="002F4604"/>
    <w:rsid w:val="002F6F07"/>
    <w:rsid w:val="00304890"/>
    <w:rsid w:val="00330376"/>
    <w:rsid w:val="00343C8D"/>
    <w:rsid w:val="00360FA4"/>
    <w:rsid w:val="0036597B"/>
    <w:rsid w:val="00366713"/>
    <w:rsid w:val="00385A54"/>
    <w:rsid w:val="003A3047"/>
    <w:rsid w:val="003C2D00"/>
    <w:rsid w:val="003C30BC"/>
    <w:rsid w:val="003C5C53"/>
    <w:rsid w:val="003D1FA7"/>
    <w:rsid w:val="003D4D74"/>
    <w:rsid w:val="003D5D92"/>
    <w:rsid w:val="003E0002"/>
    <w:rsid w:val="003E6A79"/>
    <w:rsid w:val="003E6F23"/>
    <w:rsid w:val="003F1995"/>
    <w:rsid w:val="003F1BCC"/>
    <w:rsid w:val="0040155D"/>
    <w:rsid w:val="00407F43"/>
    <w:rsid w:val="0041713E"/>
    <w:rsid w:val="00421D3F"/>
    <w:rsid w:val="00423785"/>
    <w:rsid w:val="0042692C"/>
    <w:rsid w:val="00426FEC"/>
    <w:rsid w:val="00432FFC"/>
    <w:rsid w:val="004353ED"/>
    <w:rsid w:val="004519AC"/>
    <w:rsid w:val="00452D26"/>
    <w:rsid w:val="004600AE"/>
    <w:rsid w:val="00462848"/>
    <w:rsid w:val="00463568"/>
    <w:rsid w:val="00466FA6"/>
    <w:rsid w:val="00476829"/>
    <w:rsid w:val="00491A36"/>
    <w:rsid w:val="0049333E"/>
    <w:rsid w:val="00494BA3"/>
    <w:rsid w:val="004A06CD"/>
    <w:rsid w:val="004A4B6F"/>
    <w:rsid w:val="004A4CF9"/>
    <w:rsid w:val="004A6588"/>
    <w:rsid w:val="004B178A"/>
    <w:rsid w:val="004B1A9B"/>
    <w:rsid w:val="004B5F8B"/>
    <w:rsid w:val="004B792E"/>
    <w:rsid w:val="004D2965"/>
    <w:rsid w:val="004D2D9D"/>
    <w:rsid w:val="004E6C1C"/>
    <w:rsid w:val="005209F2"/>
    <w:rsid w:val="00520BA6"/>
    <w:rsid w:val="00540FDE"/>
    <w:rsid w:val="00541139"/>
    <w:rsid w:val="00542EBA"/>
    <w:rsid w:val="00547FB7"/>
    <w:rsid w:val="0057028F"/>
    <w:rsid w:val="00573D61"/>
    <w:rsid w:val="00591F57"/>
    <w:rsid w:val="00593F4A"/>
    <w:rsid w:val="005A75C9"/>
    <w:rsid w:val="005B1074"/>
    <w:rsid w:val="005B187D"/>
    <w:rsid w:val="005B4EB9"/>
    <w:rsid w:val="005B7512"/>
    <w:rsid w:val="005D21A3"/>
    <w:rsid w:val="005E2E0C"/>
    <w:rsid w:val="005E5282"/>
    <w:rsid w:val="005F015E"/>
    <w:rsid w:val="005F35D6"/>
    <w:rsid w:val="005F41D3"/>
    <w:rsid w:val="00601B35"/>
    <w:rsid w:val="0060364E"/>
    <w:rsid w:val="006039DC"/>
    <w:rsid w:val="006101FE"/>
    <w:rsid w:val="006232DC"/>
    <w:rsid w:val="0063094F"/>
    <w:rsid w:val="00636711"/>
    <w:rsid w:val="006369D4"/>
    <w:rsid w:val="00643DE3"/>
    <w:rsid w:val="00644B88"/>
    <w:rsid w:val="00651636"/>
    <w:rsid w:val="006713E3"/>
    <w:rsid w:val="00671BCF"/>
    <w:rsid w:val="00674918"/>
    <w:rsid w:val="006A35A7"/>
    <w:rsid w:val="006A4B0B"/>
    <w:rsid w:val="006A4FE2"/>
    <w:rsid w:val="006B2B77"/>
    <w:rsid w:val="006B6DD0"/>
    <w:rsid w:val="006C1BBB"/>
    <w:rsid w:val="006D172A"/>
    <w:rsid w:val="006D67F3"/>
    <w:rsid w:val="006E6078"/>
    <w:rsid w:val="006E7D8B"/>
    <w:rsid w:val="006F1FFF"/>
    <w:rsid w:val="006F2406"/>
    <w:rsid w:val="006F41C7"/>
    <w:rsid w:val="006F6D10"/>
    <w:rsid w:val="00712B94"/>
    <w:rsid w:val="0071344C"/>
    <w:rsid w:val="007142EC"/>
    <w:rsid w:val="00717352"/>
    <w:rsid w:val="00733F19"/>
    <w:rsid w:val="00741535"/>
    <w:rsid w:val="0075074B"/>
    <w:rsid w:val="007517BA"/>
    <w:rsid w:val="00756C6C"/>
    <w:rsid w:val="00760BEE"/>
    <w:rsid w:val="00767D0A"/>
    <w:rsid w:val="0077782B"/>
    <w:rsid w:val="00777E9E"/>
    <w:rsid w:val="00783214"/>
    <w:rsid w:val="00786619"/>
    <w:rsid w:val="0078688C"/>
    <w:rsid w:val="00791E32"/>
    <w:rsid w:val="007B2CA1"/>
    <w:rsid w:val="007B6BD9"/>
    <w:rsid w:val="007C4B9A"/>
    <w:rsid w:val="007D0ABC"/>
    <w:rsid w:val="007D73BF"/>
    <w:rsid w:val="007E170F"/>
    <w:rsid w:val="007E1D68"/>
    <w:rsid w:val="0080263C"/>
    <w:rsid w:val="008034C4"/>
    <w:rsid w:val="008042F5"/>
    <w:rsid w:val="00822419"/>
    <w:rsid w:val="0086428D"/>
    <w:rsid w:val="00875192"/>
    <w:rsid w:val="00880776"/>
    <w:rsid w:val="00886959"/>
    <w:rsid w:val="008907D9"/>
    <w:rsid w:val="00891BE3"/>
    <w:rsid w:val="00893195"/>
    <w:rsid w:val="00893A34"/>
    <w:rsid w:val="008A36E1"/>
    <w:rsid w:val="008A37A7"/>
    <w:rsid w:val="008A7AB4"/>
    <w:rsid w:val="008B0736"/>
    <w:rsid w:val="008C1F5A"/>
    <w:rsid w:val="008C3F98"/>
    <w:rsid w:val="008C77FB"/>
    <w:rsid w:val="008D4FA9"/>
    <w:rsid w:val="008D4FB1"/>
    <w:rsid w:val="008E0B2F"/>
    <w:rsid w:val="008E10EB"/>
    <w:rsid w:val="008E7394"/>
    <w:rsid w:val="008F38B3"/>
    <w:rsid w:val="00907EBF"/>
    <w:rsid w:val="00913D0F"/>
    <w:rsid w:val="00931BBA"/>
    <w:rsid w:val="009354D0"/>
    <w:rsid w:val="00950B06"/>
    <w:rsid w:val="00952434"/>
    <w:rsid w:val="00955D0B"/>
    <w:rsid w:val="009575DA"/>
    <w:rsid w:val="00970069"/>
    <w:rsid w:val="00971F2D"/>
    <w:rsid w:val="00971F3E"/>
    <w:rsid w:val="009721EB"/>
    <w:rsid w:val="00973E02"/>
    <w:rsid w:val="009741FE"/>
    <w:rsid w:val="00974ECD"/>
    <w:rsid w:val="009769D1"/>
    <w:rsid w:val="00980B05"/>
    <w:rsid w:val="00993F22"/>
    <w:rsid w:val="00994D60"/>
    <w:rsid w:val="0099539F"/>
    <w:rsid w:val="009A08CE"/>
    <w:rsid w:val="009A67DC"/>
    <w:rsid w:val="009B1692"/>
    <w:rsid w:val="009B648C"/>
    <w:rsid w:val="009B6A2F"/>
    <w:rsid w:val="009B706E"/>
    <w:rsid w:val="009C1E72"/>
    <w:rsid w:val="009C423A"/>
    <w:rsid w:val="009D085D"/>
    <w:rsid w:val="009D3249"/>
    <w:rsid w:val="009E79ED"/>
    <w:rsid w:val="00A0149C"/>
    <w:rsid w:val="00A021E1"/>
    <w:rsid w:val="00A07596"/>
    <w:rsid w:val="00A16ACE"/>
    <w:rsid w:val="00A16D87"/>
    <w:rsid w:val="00A17A08"/>
    <w:rsid w:val="00A2072C"/>
    <w:rsid w:val="00A243FE"/>
    <w:rsid w:val="00A314D3"/>
    <w:rsid w:val="00A34508"/>
    <w:rsid w:val="00A36BC1"/>
    <w:rsid w:val="00A440F2"/>
    <w:rsid w:val="00A56827"/>
    <w:rsid w:val="00A60673"/>
    <w:rsid w:val="00A723B7"/>
    <w:rsid w:val="00A77D6E"/>
    <w:rsid w:val="00A818DE"/>
    <w:rsid w:val="00A97AEC"/>
    <w:rsid w:val="00AB2A61"/>
    <w:rsid w:val="00AB5E65"/>
    <w:rsid w:val="00AB760B"/>
    <w:rsid w:val="00AC1872"/>
    <w:rsid w:val="00AC21EE"/>
    <w:rsid w:val="00AD13D0"/>
    <w:rsid w:val="00AD631F"/>
    <w:rsid w:val="00AE21FF"/>
    <w:rsid w:val="00AE555B"/>
    <w:rsid w:val="00AF1F18"/>
    <w:rsid w:val="00B03D27"/>
    <w:rsid w:val="00B04FA8"/>
    <w:rsid w:val="00B0726E"/>
    <w:rsid w:val="00B07542"/>
    <w:rsid w:val="00B12B75"/>
    <w:rsid w:val="00B219D1"/>
    <w:rsid w:val="00B37F99"/>
    <w:rsid w:val="00B4077B"/>
    <w:rsid w:val="00B41642"/>
    <w:rsid w:val="00B45CAD"/>
    <w:rsid w:val="00B46EE1"/>
    <w:rsid w:val="00B61E14"/>
    <w:rsid w:val="00B64B3D"/>
    <w:rsid w:val="00B72125"/>
    <w:rsid w:val="00B74A57"/>
    <w:rsid w:val="00B81FA4"/>
    <w:rsid w:val="00B86D54"/>
    <w:rsid w:val="00B8794C"/>
    <w:rsid w:val="00B93CE5"/>
    <w:rsid w:val="00B95C59"/>
    <w:rsid w:val="00B95EF4"/>
    <w:rsid w:val="00BB6509"/>
    <w:rsid w:val="00BC248C"/>
    <w:rsid w:val="00BD16B3"/>
    <w:rsid w:val="00BD5AB2"/>
    <w:rsid w:val="00BD7CB4"/>
    <w:rsid w:val="00BE240D"/>
    <w:rsid w:val="00BE5660"/>
    <w:rsid w:val="00BF60F4"/>
    <w:rsid w:val="00C01EC0"/>
    <w:rsid w:val="00C212D2"/>
    <w:rsid w:val="00C2270F"/>
    <w:rsid w:val="00C244EE"/>
    <w:rsid w:val="00C319A4"/>
    <w:rsid w:val="00C32AE5"/>
    <w:rsid w:val="00C4743E"/>
    <w:rsid w:val="00C56BF3"/>
    <w:rsid w:val="00C62036"/>
    <w:rsid w:val="00C63FA5"/>
    <w:rsid w:val="00C70C54"/>
    <w:rsid w:val="00C72224"/>
    <w:rsid w:val="00C75706"/>
    <w:rsid w:val="00C83BA7"/>
    <w:rsid w:val="00C90D86"/>
    <w:rsid w:val="00C95CA8"/>
    <w:rsid w:val="00CA306C"/>
    <w:rsid w:val="00CA4815"/>
    <w:rsid w:val="00CC1725"/>
    <w:rsid w:val="00CF161D"/>
    <w:rsid w:val="00CF6562"/>
    <w:rsid w:val="00D003E4"/>
    <w:rsid w:val="00D13BF8"/>
    <w:rsid w:val="00D15FFD"/>
    <w:rsid w:val="00D22F93"/>
    <w:rsid w:val="00D23ABC"/>
    <w:rsid w:val="00D26462"/>
    <w:rsid w:val="00D30383"/>
    <w:rsid w:val="00D47004"/>
    <w:rsid w:val="00D5537D"/>
    <w:rsid w:val="00D556B2"/>
    <w:rsid w:val="00D562B1"/>
    <w:rsid w:val="00D5688A"/>
    <w:rsid w:val="00D63EE4"/>
    <w:rsid w:val="00D65E8B"/>
    <w:rsid w:val="00D7558A"/>
    <w:rsid w:val="00D82BFE"/>
    <w:rsid w:val="00D8458E"/>
    <w:rsid w:val="00D86284"/>
    <w:rsid w:val="00D94E9C"/>
    <w:rsid w:val="00DB2992"/>
    <w:rsid w:val="00DB6857"/>
    <w:rsid w:val="00DC5980"/>
    <w:rsid w:val="00DD2B46"/>
    <w:rsid w:val="00DD3400"/>
    <w:rsid w:val="00DD3642"/>
    <w:rsid w:val="00DE048B"/>
    <w:rsid w:val="00DE2581"/>
    <w:rsid w:val="00DF2ADF"/>
    <w:rsid w:val="00DF3F63"/>
    <w:rsid w:val="00E06ED6"/>
    <w:rsid w:val="00E0752E"/>
    <w:rsid w:val="00E114B4"/>
    <w:rsid w:val="00E14B70"/>
    <w:rsid w:val="00E205E9"/>
    <w:rsid w:val="00E206A8"/>
    <w:rsid w:val="00E30B4D"/>
    <w:rsid w:val="00E526A6"/>
    <w:rsid w:val="00E529E5"/>
    <w:rsid w:val="00E55C8C"/>
    <w:rsid w:val="00E96F73"/>
    <w:rsid w:val="00EB4C2F"/>
    <w:rsid w:val="00ED0DDF"/>
    <w:rsid w:val="00ED3649"/>
    <w:rsid w:val="00EE2E52"/>
    <w:rsid w:val="00EE37F7"/>
    <w:rsid w:val="00EF5C61"/>
    <w:rsid w:val="00F07246"/>
    <w:rsid w:val="00F07A81"/>
    <w:rsid w:val="00F1000D"/>
    <w:rsid w:val="00F11041"/>
    <w:rsid w:val="00F1182D"/>
    <w:rsid w:val="00F13C0F"/>
    <w:rsid w:val="00F30030"/>
    <w:rsid w:val="00F30BFA"/>
    <w:rsid w:val="00F311A4"/>
    <w:rsid w:val="00F34DC4"/>
    <w:rsid w:val="00F60B66"/>
    <w:rsid w:val="00F80473"/>
    <w:rsid w:val="00F82C2C"/>
    <w:rsid w:val="00F85575"/>
    <w:rsid w:val="00F85913"/>
    <w:rsid w:val="00FA3D97"/>
    <w:rsid w:val="00FA7392"/>
    <w:rsid w:val="00FC180F"/>
    <w:rsid w:val="00FC2B31"/>
    <w:rsid w:val="00FC3D1A"/>
    <w:rsid w:val="00FD17A0"/>
    <w:rsid w:val="00FD4D6E"/>
    <w:rsid w:val="00FD6383"/>
    <w:rsid w:val="00FD7A94"/>
    <w:rsid w:val="00FF5BC8"/>
    <w:rsid w:val="62E47E4A"/>
    <w:rsid w:val="6DCF4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382439BE-0947-4D0E-9C29-81C0E49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character" w:customStyle="1" w:styleId="ListParagraphChar">
    <w:name w:val="List Paragraph Char"/>
    <w:aliases w:val="List Paragraph1 Char,List Paragraph11 Char,Bullet point Char,Recommendation Char,L Char,bullet point list Char,List Paragraph2 Char,Indented bullet Char,0Bullet Char"/>
    <w:basedOn w:val="DefaultParagraphFont"/>
    <w:link w:val="ListParagraph"/>
    <w:uiPriority w:val="34"/>
    <w:locked/>
    <w:rsid w:val="00D556B2"/>
  </w:style>
  <w:style w:type="paragraph" w:styleId="ListParagraph">
    <w:name w:val="List Paragraph"/>
    <w:aliases w:val="List Paragraph1,List Paragraph11,Bullet point,Recommendation,L,bullet point list,List Paragraph2,Indented bullet,0Bullet"/>
    <w:basedOn w:val="Normal"/>
    <w:link w:val="ListParagraphChar"/>
    <w:uiPriority w:val="34"/>
    <w:qFormat/>
    <w:rsid w:val="00D556B2"/>
    <w:pPr>
      <w:spacing w:line="256" w:lineRule="auto"/>
      <w:ind w:left="720"/>
      <w:contextualSpacing/>
    </w:pPr>
  </w:style>
  <w:style w:type="character" w:styleId="FollowedHyperlink">
    <w:name w:val="FollowedHyperlink"/>
    <w:basedOn w:val="DefaultParagraphFont"/>
    <w:uiPriority w:val="99"/>
    <w:semiHidden/>
    <w:unhideWhenUsed/>
    <w:rsid w:val="009B1692"/>
    <w:rPr>
      <w:color w:val="CE372F" w:themeColor="followedHyperlink"/>
      <w:u w:val="single"/>
    </w:rPr>
  </w:style>
  <w:style w:type="paragraph" w:styleId="NormalWeb">
    <w:name w:val="Normal (Web)"/>
    <w:basedOn w:val="Normal"/>
    <w:uiPriority w:val="99"/>
    <w:unhideWhenUsed/>
    <w:rsid w:val="0019785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33B95-05F8-4BDD-AB50-5C6E79FCD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customXml/itemProps4.xml><?xml version="1.0" encoding="utf-8"?>
<ds:datastoreItem xmlns:ds="http://schemas.openxmlformats.org/officeDocument/2006/customXml" ds:itemID="{E49897B7-12DD-4008-B018-50A4547F3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2378</Words>
  <Characters>14017</Characters>
  <Application>Microsoft Office Word</Application>
  <DocSecurity>0</DocSecurity>
  <Lines>255</Lines>
  <Paragraphs>93</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14</cp:revision>
  <cp:lastPrinted>2025-12-01T04:55:00Z</cp:lastPrinted>
  <dcterms:created xsi:type="dcterms:W3CDTF">2025-11-23T22:10:00Z</dcterms:created>
  <dcterms:modified xsi:type="dcterms:W3CDTF">2025-12-17T04:25:00Z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