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57A0E" w14:textId="77777777" w:rsidR="00107DD5" w:rsidRDefault="00221D8F" w:rsidP="00CA4815">
      <w:r w:rsidRPr="00CA4815">
        <w:rPr>
          <w:b/>
          <w:bCs/>
          <w:noProof/>
        </w:rPr>
        <w:drawing>
          <wp:anchor distT="0" distB="0" distL="114300" distR="114300" simplePos="0" relativeHeight="251658240" behindDoc="1" locked="1" layoutInCell="1" allowOverlap="1" wp14:anchorId="50E7CD84" wp14:editId="67C41A7E">
            <wp:simplePos x="0" y="0"/>
            <wp:positionH relativeFrom="column">
              <wp:posOffset>-914400</wp:posOffset>
            </wp:positionH>
            <wp:positionV relativeFrom="paragraph">
              <wp:posOffset>-777875</wp:posOffset>
            </wp:positionV>
            <wp:extent cx="7560000" cy="1836000"/>
            <wp:effectExtent l="0" t="0" r="317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60000" cy="1836000"/>
                    </a:xfrm>
                    <a:prstGeom prst="rect">
                      <a:avLst/>
                    </a:prstGeom>
                  </pic:spPr>
                </pic:pic>
              </a:graphicData>
            </a:graphic>
            <wp14:sizeRelH relativeFrom="page">
              <wp14:pctWidth>0</wp14:pctWidth>
            </wp14:sizeRelH>
            <wp14:sizeRelV relativeFrom="page">
              <wp14:pctHeight>0</wp14:pctHeight>
            </wp14:sizeRelV>
          </wp:anchor>
        </w:drawing>
      </w:r>
      <w:r w:rsidR="00107DD5">
        <w:rPr>
          <w:noProof/>
        </w:rPr>
        <w:drawing>
          <wp:inline distT="0" distB="0" distL="0" distR="0" wp14:anchorId="69392FEF" wp14:editId="51F0CDB2">
            <wp:extent cx="2271600" cy="554400"/>
            <wp:effectExtent l="0" t="0" r="0" b="0"/>
            <wp:docPr id="3" name="Graphic 3" descr="Australian Government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Australian Government Department of Education."/>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271600" cy="554400"/>
                    </a:xfrm>
                    <a:prstGeom prst="rect">
                      <a:avLst/>
                    </a:prstGeom>
                  </pic:spPr>
                </pic:pic>
              </a:graphicData>
            </a:graphic>
          </wp:inline>
        </w:drawing>
      </w:r>
    </w:p>
    <w:p w14:paraId="2DF6A2B2" w14:textId="77777777" w:rsidR="00BD516C" w:rsidRDefault="00BD516C" w:rsidP="00BD516C">
      <w:pPr>
        <w:pStyle w:val="Title"/>
      </w:pPr>
      <w:r w:rsidRPr="00845DCF">
        <w:t xml:space="preserve">The </w:t>
      </w:r>
      <w:r w:rsidRPr="00BD516C">
        <w:t>First</w:t>
      </w:r>
      <w:r w:rsidRPr="00845DCF">
        <w:t xml:space="preserve"> Five Years: What makes a difference</w:t>
      </w:r>
      <w:r>
        <w:t>?</w:t>
      </w:r>
    </w:p>
    <w:p w14:paraId="69CC6140" w14:textId="77777777" w:rsidR="00BD516C" w:rsidRPr="004B5138" w:rsidRDefault="00BD516C" w:rsidP="00AE3BE4">
      <w:pPr>
        <w:pStyle w:val="Heading2"/>
      </w:pPr>
      <w:r w:rsidRPr="004B5138">
        <w:t>1.</w:t>
      </w:r>
      <w:r>
        <w:t xml:space="preserve"> </w:t>
      </w:r>
      <w:r w:rsidRPr="00AE3BE4">
        <w:t>Introduction</w:t>
      </w:r>
    </w:p>
    <w:p w14:paraId="60BBC53D" w14:textId="6D070061" w:rsidR="00BD516C" w:rsidRDefault="00BD516C" w:rsidP="00BD516C">
      <w:r w:rsidRPr="006B6275">
        <w:rPr>
          <w:rFonts w:ascii="Calibri" w:eastAsia="Calibri" w:hAnsi="Calibri" w:cs="Calibri"/>
        </w:rPr>
        <w:t xml:space="preserve">The First Five Years Project is a collaborative endeavour involving project partners from across government and the university sector. The project aimed to create an enduring data asset linking a measure of childhood development </w:t>
      </w:r>
      <w:r w:rsidR="00FA2B97">
        <w:rPr>
          <w:rFonts w:ascii="Calibri" w:eastAsia="Calibri" w:hAnsi="Calibri" w:cs="Calibri"/>
        </w:rPr>
        <w:t xml:space="preserve">(including physical health and wellbeing, social competence, emotional maturity, language and cognitive skills (school-based), and communication skills and general knowledge) </w:t>
      </w:r>
      <w:r w:rsidRPr="006B6275">
        <w:rPr>
          <w:rFonts w:ascii="Calibri" w:eastAsia="Calibri" w:hAnsi="Calibri" w:cs="Calibri"/>
        </w:rPr>
        <w:t>with family</w:t>
      </w:r>
      <w:r w:rsidR="00AD6C39">
        <w:rPr>
          <w:rFonts w:ascii="Calibri" w:eastAsia="Calibri" w:hAnsi="Calibri" w:cs="Calibri"/>
        </w:rPr>
        <w:t>,</w:t>
      </w:r>
      <w:r w:rsidRPr="006B6275">
        <w:rPr>
          <w:rFonts w:ascii="Calibri" w:eastAsia="Calibri" w:hAnsi="Calibri" w:cs="Calibri"/>
        </w:rPr>
        <w:t xml:space="preserve"> social, economic and health data and data about </w:t>
      </w:r>
      <w:r w:rsidR="008B5FDB">
        <w:rPr>
          <w:rFonts w:ascii="Calibri" w:eastAsia="Calibri" w:hAnsi="Calibri" w:cs="Calibri"/>
        </w:rPr>
        <w:t>early childhood education and care</w:t>
      </w:r>
      <w:r w:rsidRPr="006B6275">
        <w:rPr>
          <w:rFonts w:ascii="Calibri" w:eastAsia="Calibri" w:hAnsi="Calibri" w:cs="Calibri"/>
        </w:rPr>
        <w:t xml:space="preserve"> attendance and quality.</w:t>
      </w:r>
      <w:r>
        <w:rPr>
          <w:rFonts w:ascii="Calibri" w:eastAsia="Calibri" w:hAnsi="Calibri" w:cs="Calibri"/>
        </w:rPr>
        <w:t xml:space="preserve"> </w:t>
      </w:r>
      <w:r w:rsidRPr="006B6275">
        <w:rPr>
          <w:rFonts w:ascii="Calibri" w:eastAsia="Calibri" w:hAnsi="Calibri" w:cs="Calibri"/>
        </w:rPr>
        <w:t xml:space="preserve">This enables researchers to better understand </w:t>
      </w:r>
      <w:r>
        <w:rPr>
          <w:rFonts w:ascii="Calibri" w:eastAsia="Calibri" w:hAnsi="Calibri" w:cs="Calibri"/>
        </w:rPr>
        <w:t xml:space="preserve">the </w:t>
      </w:r>
      <w:r w:rsidR="008943DF">
        <w:rPr>
          <w:rFonts w:ascii="Calibri" w:eastAsia="Calibri" w:hAnsi="Calibri" w:cs="Calibri"/>
        </w:rPr>
        <w:t xml:space="preserve">effects </w:t>
      </w:r>
      <w:r>
        <w:rPr>
          <w:rFonts w:ascii="Calibri" w:eastAsia="Calibri" w:hAnsi="Calibri" w:cs="Calibri"/>
        </w:rPr>
        <w:t xml:space="preserve">family, </w:t>
      </w:r>
      <w:r w:rsidRPr="006B6275">
        <w:rPr>
          <w:rFonts w:ascii="Calibri" w:eastAsia="Calibri" w:hAnsi="Calibri" w:cs="Calibri"/>
        </w:rPr>
        <w:t>social, economic and health events and circumstances have on early child development</w:t>
      </w:r>
      <w:r w:rsidRPr="002A7EA9">
        <w:t xml:space="preserve"> using integrated data</w:t>
      </w:r>
      <w:r>
        <w:t xml:space="preserve"> held by government</w:t>
      </w:r>
      <w:r w:rsidRPr="002A7EA9">
        <w:t xml:space="preserve">. </w:t>
      </w:r>
    </w:p>
    <w:p w14:paraId="1E8AB211" w14:textId="77777777" w:rsidR="00BD516C" w:rsidRDefault="00BD516C" w:rsidP="00BD516C">
      <w:r>
        <w:t>The Multi-Agency Data Integration Project (</w:t>
      </w:r>
      <w:r w:rsidRPr="002A7EA9">
        <w:t>MADIP</w:t>
      </w:r>
      <w:r>
        <w:t>), which has since been renamed the Person Level Integrated Data Asset (PLIDA), was</w:t>
      </w:r>
      <w:r w:rsidRPr="002A7EA9">
        <w:t xml:space="preserve"> a partnership among Australian Government agencies to develop a secure and enduring approach for combining government datasets to create a comprehensive picture of Australia over time.</w:t>
      </w:r>
      <w:r>
        <w:t xml:space="preserve"> MADIP was used to integrate multiple data sources for the First Five Years project, including the</w:t>
      </w:r>
      <w:r w:rsidRPr="002A7EA9">
        <w:t xml:space="preserve"> Australian Early Development Census (AEDC), </w:t>
      </w:r>
      <w:proofErr w:type="gramStart"/>
      <w:r w:rsidRPr="002A7EA9">
        <w:t>child</w:t>
      </w:r>
      <w:r>
        <w:t xml:space="preserve"> </w:t>
      </w:r>
      <w:r w:rsidRPr="002A7EA9">
        <w:t>care</w:t>
      </w:r>
      <w:proofErr w:type="gramEnd"/>
      <w:r>
        <w:t xml:space="preserve"> administrative data</w:t>
      </w:r>
      <w:r w:rsidRPr="002A7EA9">
        <w:t xml:space="preserve">, </w:t>
      </w:r>
      <w:r>
        <w:t xml:space="preserve">the </w:t>
      </w:r>
      <w:r w:rsidRPr="002A7EA9">
        <w:t>Census of Population and Housing</w:t>
      </w:r>
      <w:r>
        <w:t xml:space="preserve">, </w:t>
      </w:r>
      <w:r w:rsidRPr="002A7EA9">
        <w:t xml:space="preserve">tax, health and welfare </w:t>
      </w:r>
      <w:r>
        <w:t>data</w:t>
      </w:r>
      <w:r w:rsidRPr="002A7EA9">
        <w:t xml:space="preserve">. </w:t>
      </w:r>
    </w:p>
    <w:p w14:paraId="49DE0826" w14:textId="3743B183" w:rsidR="00BD516C" w:rsidRDefault="00BD516C" w:rsidP="00BD516C">
      <w:r w:rsidRPr="002A7EA9">
        <w:t>The project was supported by the Data Integration Partnership for Australia (DIPA), a three-year partnership across 20 Commonwealth agencies which commenced on 1 July 2017 and ended 30 June 2020.</w:t>
      </w:r>
    </w:p>
    <w:p w14:paraId="65EB68B4" w14:textId="77777777" w:rsidR="00BD516C" w:rsidRDefault="00BD516C" w:rsidP="00AE3BE4">
      <w:pPr>
        <w:pStyle w:val="Heading2"/>
      </w:pPr>
      <w:r>
        <w:t>Objectives</w:t>
      </w:r>
    </w:p>
    <w:p w14:paraId="131CA57F" w14:textId="72BE8B44" w:rsidR="00BD516C" w:rsidRDefault="00BD516C" w:rsidP="00BD516C">
      <w:r>
        <w:t>The First Five Years project explores rates of child developmental vulnerability and other measures of development</w:t>
      </w:r>
      <w:r w:rsidR="00E771F7">
        <w:t>,</w:t>
      </w:r>
      <w:r>
        <w:t xml:space="preserve"> as reported in the </w:t>
      </w:r>
      <w:r w:rsidR="006E6E87">
        <w:t>Australian Early Development Census (</w:t>
      </w:r>
      <w:r>
        <w:t>AEDC</w:t>
      </w:r>
      <w:r w:rsidR="006E6E87">
        <w:t>)</w:t>
      </w:r>
      <w:r>
        <w:t xml:space="preserve"> during the first year of a child’s</w:t>
      </w:r>
      <w:r w:rsidR="006E6E87">
        <w:t xml:space="preserve"> full-time</w:t>
      </w:r>
      <w:r>
        <w:t xml:space="preserve"> school</w:t>
      </w:r>
      <w:r w:rsidR="00E771F7">
        <w:t>ing,</w:t>
      </w:r>
      <w:r>
        <w:t xml:space="preserve"> to answer the following research questions:</w:t>
      </w:r>
    </w:p>
    <w:p w14:paraId="4D05C663" w14:textId="77777777" w:rsidR="00BD516C" w:rsidRDefault="00BD516C" w:rsidP="00BD516C">
      <w:pPr>
        <w:pStyle w:val="ListParagraph"/>
        <w:numPr>
          <w:ilvl w:val="0"/>
          <w:numId w:val="21"/>
        </w:numPr>
      </w:pPr>
      <w:r>
        <w:t>What child and family characteristics contribute to children being developmentally vulnerable at age 4-6 years?</w:t>
      </w:r>
    </w:p>
    <w:p w14:paraId="7198A837" w14:textId="77777777" w:rsidR="00BD516C" w:rsidRDefault="00BD516C" w:rsidP="00BD516C">
      <w:pPr>
        <w:pStyle w:val="ListParagraph"/>
        <w:numPr>
          <w:ilvl w:val="0"/>
          <w:numId w:val="21"/>
        </w:numPr>
      </w:pPr>
      <w:r>
        <w:t xml:space="preserve">How does </w:t>
      </w:r>
      <w:proofErr w:type="gramStart"/>
      <w:r>
        <w:t>child care</w:t>
      </w:r>
      <w:proofErr w:type="gramEnd"/>
      <w:r>
        <w:t xml:space="preserve"> attendance affect child developmental vulnerability, and do these effects differ based on </w:t>
      </w:r>
      <w:proofErr w:type="gramStart"/>
      <w:r>
        <w:t>child care</w:t>
      </w:r>
      <w:proofErr w:type="gramEnd"/>
      <w:r>
        <w:t xml:space="preserve"> usage patterns and quality of services?</w:t>
      </w:r>
    </w:p>
    <w:p w14:paraId="087A4789" w14:textId="77777777" w:rsidR="00BD516C" w:rsidRDefault="00BD516C" w:rsidP="00AE3BE4">
      <w:pPr>
        <w:pStyle w:val="Heading2"/>
      </w:pPr>
      <w:r>
        <w:lastRenderedPageBreak/>
        <w:t>Data and methods</w:t>
      </w:r>
    </w:p>
    <w:p w14:paraId="5617087E" w14:textId="77777777" w:rsidR="00BD516C" w:rsidRPr="006F207D" w:rsidRDefault="00BD516C" w:rsidP="00BD516C">
      <w:r>
        <w:t xml:space="preserve">This project used a MADIP microdata extract with the safe and secure linkage of AEDC data. This project was approved by the DIPA and MADIP Boards and the data was accessed through the secure Australian Bureau of Statistics (ABS) </w:t>
      </w:r>
      <w:proofErr w:type="spellStart"/>
      <w:r>
        <w:t>DataLab</w:t>
      </w:r>
      <w:proofErr w:type="spellEnd"/>
      <w:r>
        <w:t xml:space="preserve"> environment</w:t>
      </w:r>
      <w:r w:rsidRPr="006F207D">
        <w:t xml:space="preserve">. The ABS adopted the Five Safes framework which takes a multi-dimensional approach (safe people, projects, settings, data and output) to balance disclosure risk and data utility. For more information, see </w:t>
      </w:r>
      <w:hyperlink r:id="rId14" w:anchor="five-safes-framework" w:history="1">
        <w:r w:rsidRPr="00623CEA">
          <w:rPr>
            <w:u w:val="single"/>
          </w:rPr>
          <w:t>Five Safes framework | Australian Bureau of Statistics (abs.gov.au)</w:t>
        </w:r>
      </w:hyperlink>
      <w:r w:rsidRPr="006F207D">
        <w:t>.</w:t>
      </w:r>
    </w:p>
    <w:p w14:paraId="3DC6600F" w14:textId="77777777" w:rsidR="00BD516C" w:rsidRPr="00CA472F" w:rsidRDefault="00BD516C" w:rsidP="00BD516C">
      <w:r>
        <w:t xml:space="preserve">Using MADIP as a data source provides detailed microdata for the AEDC cohort and their parents/carers, which might otherwise only be available through extensive and invasive surveying. The creation of the First Five Years enduring data asset is the first time in the national context that AEDC outcomes </w:t>
      </w:r>
      <w:r w:rsidRPr="00CA472F">
        <w:t xml:space="preserve">have been linked to a wide range of data on student’s family, income, health, employment, socio-economic and income support status. </w:t>
      </w:r>
    </w:p>
    <w:p w14:paraId="7E5FF8E9" w14:textId="4892526C" w:rsidR="00BD516C" w:rsidRDefault="00BD516C" w:rsidP="00BD516C">
      <w:pPr>
        <w:spacing w:after="0"/>
      </w:pPr>
      <w:r>
        <w:t xml:space="preserve">Our research centred on a cohort of approximately 274,000 children, using data about them and their carers across their early childhood years until 2018, their first year of </w:t>
      </w:r>
      <w:r w:rsidR="4189FDF8">
        <w:t xml:space="preserve">full-time </w:t>
      </w:r>
      <w:r>
        <w:t xml:space="preserve">school. The developmental vulnerability of these children in their first year of </w:t>
      </w:r>
      <w:r w:rsidR="5309E616">
        <w:t xml:space="preserve">full-time </w:t>
      </w:r>
      <w:r>
        <w:t xml:space="preserve">school was measured using the 2018 AEDC. AEDC data are collected across five key areas of early childhood development, known as domains: </w:t>
      </w:r>
    </w:p>
    <w:p w14:paraId="42DCFE34" w14:textId="77777777" w:rsidR="00BD516C" w:rsidRPr="00D93679" w:rsidRDefault="00BD516C" w:rsidP="00BD516C">
      <w:pPr>
        <w:pStyle w:val="ListParagraph"/>
        <w:numPr>
          <w:ilvl w:val="0"/>
          <w:numId w:val="23"/>
        </w:numPr>
        <w:spacing w:after="0"/>
        <w:ind w:left="714" w:hanging="357"/>
        <w:rPr>
          <w:rFonts w:eastAsia="Times New Roman"/>
          <w:sz w:val="24"/>
          <w:szCs w:val="24"/>
          <w:lang w:eastAsia="en-AU"/>
        </w:rPr>
      </w:pPr>
      <w:r>
        <w:t>p</w:t>
      </w:r>
      <w:r w:rsidRPr="00E4044B">
        <w:t>hysical health and wellbeing</w:t>
      </w:r>
      <w:r>
        <w:t xml:space="preserve">, </w:t>
      </w:r>
    </w:p>
    <w:p w14:paraId="3310D899" w14:textId="77777777" w:rsidR="00BD516C" w:rsidRPr="00D93679" w:rsidRDefault="00BD516C" w:rsidP="00BD516C">
      <w:pPr>
        <w:pStyle w:val="ListParagraph"/>
        <w:numPr>
          <w:ilvl w:val="0"/>
          <w:numId w:val="23"/>
        </w:numPr>
        <w:spacing w:after="0"/>
        <w:ind w:left="714" w:hanging="357"/>
        <w:rPr>
          <w:rFonts w:eastAsia="Times New Roman"/>
          <w:sz w:val="24"/>
          <w:szCs w:val="24"/>
          <w:lang w:eastAsia="en-AU"/>
        </w:rPr>
      </w:pPr>
      <w:bookmarkStart w:id="0" w:name="_Hlk163220030"/>
      <w:r>
        <w:t>s</w:t>
      </w:r>
      <w:r w:rsidRPr="00E4044B">
        <w:t>ocial competence,</w:t>
      </w:r>
      <w:r>
        <w:t xml:space="preserve"> </w:t>
      </w:r>
    </w:p>
    <w:p w14:paraId="285238E7" w14:textId="77777777" w:rsidR="00BD516C" w:rsidRPr="00D93679" w:rsidRDefault="00BD516C" w:rsidP="00BD516C">
      <w:pPr>
        <w:pStyle w:val="ListParagraph"/>
        <w:numPr>
          <w:ilvl w:val="0"/>
          <w:numId w:val="23"/>
        </w:numPr>
        <w:spacing w:after="0"/>
        <w:ind w:left="714" w:hanging="357"/>
        <w:rPr>
          <w:rFonts w:eastAsia="Times New Roman"/>
          <w:sz w:val="24"/>
          <w:szCs w:val="24"/>
          <w:lang w:eastAsia="en-AU"/>
        </w:rPr>
      </w:pPr>
      <w:r>
        <w:t>e</w:t>
      </w:r>
      <w:r w:rsidRPr="00E4044B">
        <w:t>motional maturity</w:t>
      </w:r>
      <w:bookmarkEnd w:id="0"/>
      <w:r w:rsidRPr="00E4044B">
        <w:t>,</w:t>
      </w:r>
      <w:r>
        <w:t xml:space="preserve"> </w:t>
      </w:r>
    </w:p>
    <w:p w14:paraId="755DCF28" w14:textId="77777777" w:rsidR="00BD516C" w:rsidRPr="00D93679" w:rsidRDefault="00BD516C" w:rsidP="00BD516C">
      <w:pPr>
        <w:pStyle w:val="ListParagraph"/>
        <w:numPr>
          <w:ilvl w:val="0"/>
          <w:numId w:val="23"/>
        </w:numPr>
        <w:spacing w:after="0"/>
        <w:ind w:left="714" w:hanging="357"/>
        <w:rPr>
          <w:rFonts w:eastAsia="Times New Roman"/>
          <w:sz w:val="24"/>
          <w:szCs w:val="24"/>
          <w:lang w:eastAsia="en-AU"/>
        </w:rPr>
      </w:pPr>
      <w:r>
        <w:t>l</w:t>
      </w:r>
      <w:r w:rsidRPr="00E4044B">
        <w:t>anguage and cognitive skills (school-based),</w:t>
      </w:r>
      <w:r>
        <w:t xml:space="preserve"> </w:t>
      </w:r>
    </w:p>
    <w:p w14:paraId="2AE1182F" w14:textId="77777777" w:rsidR="00BD516C" w:rsidRDefault="00BD516C" w:rsidP="00BD516C">
      <w:pPr>
        <w:pStyle w:val="ListParagraph"/>
        <w:numPr>
          <w:ilvl w:val="0"/>
          <w:numId w:val="23"/>
        </w:numPr>
        <w:ind w:left="714" w:hanging="357"/>
        <w:rPr>
          <w:rFonts w:eastAsia="Times New Roman"/>
          <w:sz w:val="24"/>
          <w:szCs w:val="24"/>
          <w:lang w:eastAsia="en-AU"/>
        </w:rPr>
      </w:pPr>
      <w:r>
        <w:t>c</w:t>
      </w:r>
      <w:r w:rsidRPr="00E4044B">
        <w:t>ommunication skills and general knowledge.</w:t>
      </w:r>
      <w:r>
        <w:rPr>
          <w:rFonts w:eastAsia="Times New Roman"/>
          <w:sz w:val="24"/>
          <w:szCs w:val="24"/>
          <w:lang w:eastAsia="en-AU"/>
        </w:rPr>
        <w:t xml:space="preserve"> </w:t>
      </w:r>
    </w:p>
    <w:p w14:paraId="18699739" w14:textId="77777777" w:rsidR="00BD516C" w:rsidRDefault="00BD516C" w:rsidP="00BD516C">
      <w:r>
        <w:t xml:space="preserve">The domains are sometimes grouped into cognitive domains (language and cognitive skills (school-based) and communication skills and general knowledge) and non-cognitive domains (social competence, emotional maturity, and physical health and wellbeing). </w:t>
      </w:r>
    </w:p>
    <w:p w14:paraId="25DB1883" w14:textId="77777777" w:rsidR="00BD516C" w:rsidRPr="00CA472F" w:rsidRDefault="00BD516C" w:rsidP="00BD516C">
      <w:r>
        <w:t xml:space="preserve">A range of characteristics of the children and their families and their social and economic contexts </w:t>
      </w:r>
      <w:r w:rsidRPr="00CA472F">
        <w:t xml:space="preserve">were obtained from AEDC questionnaire results, </w:t>
      </w:r>
      <w:proofErr w:type="gramStart"/>
      <w:r w:rsidRPr="00CA472F">
        <w:t>child care</w:t>
      </w:r>
      <w:proofErr w:type="gramEnd"/>
      <w:r w:rsidRPr="00CA472F">
        <w:t xml:space="preserve"> data, Census of Population and Housing</w:t>
      </w:r>
      <w:r>
        <w:t>,</w:t>
      </w:r>
      <w:r w:rsidRPr="00CA472F">
        <w:t xml:space="preserve"> and other tax, health and welfare data.</w:t>
      </w:r>
      <w:r>
        <w:t xml:space="preserve"> </w:t>
      </w:r>
      <w:r w:rsidRPr="00CA472F">
        <w:t xml:space="preserve">The datasets used in this project and their sources are listed in Table 1 in the </w:t>
      </w:r>
      <w:r w:rsidRPr="005B34D0">
        <w:rPr>
          <w:i/>
          <w:iCs/>
        </w:rPr>
        <w:t xml:space="preserve">Methodology </w:t>
      </w:r>
      <w:r>
        <w:t>section</w:t>
      </w:r>
      <w:r w:rsidRPr="00CA472F">
        <w:t>.</w:t>
      </w:r>
    </w:p>
    <w:p w14:paraId="614812E9" w14:textId="335B4884" w:rsidR="00BD516C" w:rsidRDefault="00BD516C" w:rsidP="00BD516C">
      <w:pPr>
        <w:spacing w:after="0"/>
      </w:pPr>
      <w:r w:rsidRPr="00CA472F">
        <w:t>To investigate which child and family characteristics contribute to children being developmentally vulnerable</w:t>
      </w:r>
      <w:r>
        <w:t xml:space="preserve"> </w:t>
      </w:r>
      <w:r w:rsidRPr="00CA472F">
        <w:t>at age 4-6 years, we</w:t>
      </w:r>
      <w:r w:rsidR="0043599F">
        <w:t xml:space="preserve"> conducted </w:t>
      </w:r>
      <w:r w:rsidR="0043599F" w:rsidRPr="003607F4">
        <w:rPr>
          <w:b/>
          <w:bCs/>
          <w:i/>
          <w:iCs/>
        </w:rPr>
        <w:t>descriptive analysis</w:t>
      </w:r>
      <w:r w:rsidR="0043599F">
        <w:t xml:space="preserve"> to</w:t>
      </w:r>
      <w:r w:rsidRPr="00CA472F">
        <w:t xml:space="preserve"> explor</w:t>
      </w:r>
      <w:r w:rsidR="0043599F">
        <w:t xml:space="preserve">e </w:t>
      </w:r>
      <w:r w:rsidR="009F1B6D">
        <w:t>how</w:t>
      </w:r>
      <w:r>
        <w:t xml:space="preserve">: </w:t>
      </w:r>
      <w:r w:rsidRPr="00CA472F">
        <w:t xml:space="preserve"> </w:t>
      </w:r>
    </w:p>
    <w:p w14:paraId="5BD75FB0" w14:textId="77777777" w:rsidR="004040A8" w:rsidRDefault="004040A8" w:rsidP="00BD516C">
      <w:pPr>
        <w:spacing w:after="0"/>
      </w:pPr>
    </w:p>
    <w:p w14:paraId="250A4CC3" w14:textId="77777777" w:rsidR="00BD516C" w:rsidRDefault="00BD516C" w:rsidP="00BD516C">
      <w:pPr>
        <w:spacing w:after="0"/>
      </w:pPr>
      <w:r>
        <w:t xml:space="preserve">(1) </w:t>
      </w:r>
      <w:r w:rsidRPr="00CA472F">
        <w:t xml:space="preserve">rates of </w:t>
      </w:r>
      <w:r>
        <w:t xml:space="preserve">being </w:t>
      </w:r>
      <w:r w:rsidRPr="00CA472F">
        <w:t>developmenta</w:t>
      </w:r>
      <w:r>
        <w:t>l</w:t>
      </w:r>
      <w:r w:rsidRPr="00CA472F">
        <w:t>l</w:t>
      </w:r>
      <w:r>
        <w:t>y</w:t>
      </w:r>
      <w:r w:rsidRPr="00CA472F">
        <w:t xml:space="preserve"> vulnerab</w:t>
      </w:r>
      <w:r>
        <w:t>le</w:t>
      </w:r>
      <w:r w:rsidRPr="00CA472F">
        <w:t xml:space="preserve"> </w:t>
      </w:r>
      <w:r>
        <w:t xml:space="preserve">on each domain, </w:t>
      </w:r>
    </w:p>
    <w:p w14:paraId="172F9FB2" w14:textId="76153FD5" w:rsidR="00BD516C" w:rsidRDefault="00BD516C" w:rsidP="00BD516C">
      <w:pPr>
        <w:spacing w:after="0"/>
      </w:pPr>
      <w:r>
        <w:t xml:space="preserve">(2) rates of </w:t>
      </w:r>
      <w:r w:rsidR="006E6E87">
        <w:t xml:space="preserve">being </w:t>
      </w:r>
      <w:r>
        <w:t xml:space="preserve">developmentally vulnerable on one or more domains (DV1), </w:t>
      </w:r>
    </w:p>
    <w:p w14:paraId="190E34C0" w14:textId="641FC6A7" w:rsidR="00BD516C" w:rsidRDefault="00BD516C" w:rsidP="00BD516C">
      <w:pPr>
        <w:spacing w:after="0"/>
      </w:pPr>
      <w:r>
        <w:t xml:space="preserve">(3) rates of being </w:t>
      </w:r>
      <w:r w:rsidR="006E6E87">
        <w:t xml:space="preserve">developmentally </w:t>
      </w:r>
      <w:r>
        <w:t>on track on all domains</w:t>
      </w:r>
      <w:r w:rsidR="00E7227C">
        <w:rPr>
          <w:rStyle w:val="FootnoteReference"/>
        </w:rPr>
        <w:footnoteReference w:id="2"/>
      </w:r>
      <w:r w:rsidR="00E7227C">
        <w:t>.</w:t>
      </w:r>
    </w:p>
    <w:p w14:paraId="250F7C3F" w14:textId="77777777" w:rsidR="004040A8" w:rsidRDefault="004040A8" w:rsidP="00BD516C">
      <w:pPr>
        <w:spacing w:after="0"/>
      </w:pPr>
    </w:p>
    <w:p w14:paraId="510A6F5C" w14:textId="3ADC5825" w:rsidR="00BD516C" w:rsidRDefault="00590FD9" w:rsidP="00BD516C">
      <w:r>
        <w:t xml:space="preserve">were associated with </w:t>
      </w:r>
      <w:r w:rsidR="00BD516C" w:rsidRPr="00CA472F">
        <w:t>a range of child, family, and social characteristics.</w:t>
      </w:r>
    </w:p>
    <w:p w14:paraId="185EEC73" w14:textId="39FD35B3" w:rsidR="00BD516C" w:rsidRPr="00CA472F" w:rsidRDefault="00BD516C" w:rsidP="00BD516C">
      <w:r w:rsidRPr="00CA472F">
        <w:lastRenderedPageBreak/>
        <w:t xml:space="preserve">Using </w:t>
      </w:r>
      <w:r>
        <w:t>a variety of</w:t>
      </w:r>
      <w:r w:rsidRPr="00CA472F">
        <w:t xml:space="preserve"> </w:t>
      </w:r>
      <w:r w:rsidR="0043599F" w:rsidRPr="00E869A4">
        <w:rPr>
          <w:b/>
          <w:bCs/>
          <w:i/>
          <w:iCs/>
        </w:rPr>
        <w:t xml:space="preserve">predictive </w:t>
      </w:r>
      <w:r w:rsidRPr="00E869A4">
        <w:rPr>
          <w:b/>
          <w:bCs/>
          <w:i/>
          <w:iCs/>
        </w:rPr>
        <w:t>modelling</w:t>
      </w:r>
      <w:r w:rsidRPr="00CA472F">
        <w:t xml:space="preserve"> techniques, including logistic regression and </w:t>
      </w:r>
      <w:r>
        <w:t>random</w:t>
      </w:r>
      <w:r w:rsidRPr="00CA472F">
        <w:t xml:space="preserve"> forests, we then look</w:t>
      </w:r>
      <w:r>
        <w:t>ed</w:t>
      </w:r>
      <w:r w:rsidRPr="00CA472F">
        <w:t xml:space="preserve"> at which </w:t>
      </w:r>
      <w:r>
        <w:t>association</w:t>
      </w:r>
      <w:r w:rsidRPr="00CA472F">
        <w:t>s remain</w:t>
      </w:r>
      <w:r>
        <w:t>ed</w:t>
      </w:r>
      <w:r w:rsidRPr="00CA472F">
        <w:t xml:space="preserve"> and </w:t>
      </w:r>
      <w:r>
        <w:t>were</w:t>
      </w:r>
      <w:r w:rsidRPr="00CA472F">
        <w:t xml:space="preserve"> strongest </w:t>
      </w:r>
      <w:r>
        <w:t xml:space="preserve">in predicting the child’s developmental outcomes </w:t>
      </w:r>
      <w:r w:rsidRPr="00CA472F">
        <w:t xml:space="preserve">when </w:t>
      </w:r>
      <w:r>
        <w:t>controlling for important factors</w:t>
      </w:r>
      <w:r w:rsidRPr="00CA472F">
        <w:t xml:space="preserve"> in our model.</w:t>
      </w:r>
    </w:p>
    <w:p w14:paraId="0CA1AAF5" w14:textId="35C12BA6" w:rsidR="00BD516C" w:rsidRDefault="00BD516C" w:rsidP="00BD516C">
      <w:r w:rsidRPr="00CA472F">
        <w:t xml:space="preserve">To </w:t>
      </w:r>
      <w:r>
        <w:t xml:space="preserve">understand how </w:t>
      </w:r>
      <w:proofErr w:type="gramStart"/>
      <w:r>
        <w:t>child care</w:t>
      </w:r>
      <w:proofErr w:type="gramEnd"/>
      <w:r>
        <w:t xml:space="preserve"> affects developmental vulnerability, </w:t>
      </w:r>
      <w:r w:rsidRPr="00CA472F">
        <w:t xml:space="preserve">we </w:t>
      </w:r>
      <w:r w:rsidR="0043599F">
        <w:t xml:space="preserve">used </w:t>
      </w:r>
      <w:r w:rsidR="0043599F" w:rsidRPr="00E869A4">
        <w:rPr>
          <w:b/>
          <w:bCs/>
          <w:i/>
          <w:iCs/>
        </w:rPr>
        <w:t>statistical inference modelling</w:t>
      </w:r>
      <w:r w:rsidR="0043599F">
        <w:t xml:space="preserve"> to </w:t>
      </w:r>
      <w:r w:rsidRPr="00CA472F">
        <w:t>explore associations between</w:t>
      </w:r>
      <w:r w:rsidR="008943DF">
        <w:t xml:space="preserve"> developmental vulnerability and early childhood education</w:t>
      </w:r>
      <w:r w:rsidRPr="00CA472F">
        <w:t xml:space="preserve"> attendance, quality and duration. We </w:t>
      </w:r>
      <w:r>
        <w:t>use</w:t>
      </w:r>
      <w:r w:rsidR="008943DF">
        <w:t>d</w:t>
      </w:r>
      <w:r>
        <w:t xml:space="preserve"> statistical techniques such as G-computation and Inverse Propensity Weighting to adjust for a range of confounding variables that may bias the association between </w:t>
      </w:r>
      <w:proofErr w:type="gramStart"/>
      <w:r w:rsidRPr="00CA472F">
        <w:t>child care</w:t>
      </w:r>
      <w:proofErr w:type="gramEnd"/>
      <w:r w:rsidRPr="00CA472F">
        <w:t xml:space="preserve"> and preschool attendance </w:t>
      </w:r>
      <w:r>
        <w:t xml:space="preserve">and </w:t>
      </w:r>
      <w:r w:rsidRPr="00CA472F">
        <w:t>developmental</w:t>
      </w:r>
      <w:r>
        <w:t xml:space="preserve"> vulnerability</w:t>
      </w:r>
      <w:r w:rsidRPr="00CA472F">
        <w:t xml:space="preserve">. </w:t>
      </w:r>
    </w:p>
    <w:p w14:paraId="778AD3C0" w14:textId="49D04E28" w:rsidR="00AB5358" w:rsidRDefault="00AB5358" w:rsidP="00AB5358">
      <w:r>
        <w:t xml:space="preserve">The term “early childhood education and care” (ECEC) generally refers to both preschool and </w:t>
      </w:r>
      <w:proofErr w:type="gramStart"/>
      <w:r>
        <w:t>child care</w:t>
      </w:r>
      <w:proofErr w:type="gramEnd"/>
      <w:r>
        <w:t>, so the report uses “</w:t>
      </w:r>
      <w:proofErr w:type="gramStart"/>
      <w:r>
        <w:t>child care</w:t>
      </w:r>
      <w:proofErr w:type="gramEnd"/>
      <w:r>
        <w:t xml:space="preserve">” when it is important to distinguish between these. </w:t>
      </w:r>
      <w:proofErr w:type="gramStart"/>
      <w:r>
        <w:t>C</w:t>
      </w:r>
      <w:r w:rsidRPr="001810E6">
        <w:t>hild care</w:t>
      </w:r>
      <w:proofErr w:type="gramEnd"/>
      <w:r>
        <w:t xml:space="preserve"> attendance data are drawn from Child Care Management System (CCMS) administrative </w:t>
      </w:r>
      <w:proofErr w:type="gramStart"/>
      <w:r>
        <w:t>data, and</w:t>
      </w:r>
      <w:proofErr w:type="gramEnd"/>
      <w:r>
        <w:t xml:space="preserve"> cover all sessions (including centre-based day care and family day care) that children used from birth up to the</w:t>
      </w:r>
      <w:r w:rsidR="00761AFD">
        <w:t>ir</w:t>
      </w:r>
      <w:r>
        <w:t xml:space="preserve"> first year of full-time schooling</w:t>
      </w:r>
      <w:r w:rsidR="00CB647D">
        <w:t xml:space="preserve"> in 2018</w:t>
      </w:r>
      <w:r>
        <w:t xml:space="preserve">. </w:t>
      </w:r>
      <w:proofErr w:type="gramStart"/>
      <w:r>
        <w:t>Child care</w:t>
      </w:r>
      <w:proofErr w:type="gramEnd"/>
      <w:r>
        <w:t xml:space="preserve"> quality is identified using the Australian Children’s Education &amp; Care Quality Authority (ACECQA) National Quality Standard (NQS) rating.</w:t>
      </w:r>
    </w:p>
    <w:p w14:paraId="31282ECE" w14:textId="77777777" w:rsidR="00BD516C" w:rsidRDefault="00BD516C" w:rsidP="00BD516C">
      <w:r>
        <w:t xml:space="preserve">For more information on data and methodologies, please see the </w:t>
      </w:r>
      <w:r w:rsidRPr="0010624E">
        <w:rPr>
          <w:i/>
          <w:iCs/>
        </w:rPr>
        <w:t>Methodology</w:t>
      </w:r>
      <w:r>
        <w:t xml:space="preserve"> section. </w:t>
      </w:r>
    </w:p>
    <w:p w14:paraId="6D985858" w14:textId="3C9C90AA" w:rsidR="00BD516C" w:rsidRDefault="00BD516C" w:rsidP="00AE3BE4">
      <w:pPr>
        <w:pStyle w:val="Heading2"/>
      </w:pPr>
      <w:r>
        <w:t>Results</w:t>
      </w:r>
    </w:p>
    <w:p w14:paraId="08821B10" w14:textId="77777777" w:rsidR="00BD516C" w:rsidRDefault="00BD516C" w:rsidP="00BD516C">
      <w:pPr>
        <w:pStyle w:val="Heading3"/>
      </w:pPr>
      <w:r>
        <w:t>A range of child, family and social characteristics were associated with developmental vulnerability</w:t>
      </w:r>
    </w:p>
    <w:p w14:paraId="3C9FD28E" w14:textId="10B0E76B" w:rsidR="00EC5225" w:rsidRDefault="00930BBC" w:rsidP="00BD516C">
      <w:pPr>
        <w:pStyle w:val="ListParagraph"/>
        <w:numPr>
          <w:ilvl w:val="0"/>
          <w:numId w:val="22"/>
        </w:numPr>
        <w:ind w:left="360"/>
      </w:pPr>
      <w:r>
        <w:t>The analysis found that s</w:t>
      </w:r>
      <w:r w:rsidR="00EC5225">
        <w:t xml:space="preserve">ome characteristics </w:t>
      </w:r>
      <w:r>
        <w:t>were</w:t>
      </w:r>
      <w:r w:rsidR="00D92044">
        <w:t xml:space="preserve"> important predictors of developmental vulnerability </w:t>
      </w:r>
      <w:r>
        <w:t xml:space="preserve">in children, even after taking into </w:t>
      </w:r>
      <w:r w:rsidR="00A267E0">
        <w:t>account other differences in a child’s circumstances.</w:t>
      </w:r>
    </w:p>
    <w:p w14:paraId="0254E84B" w14:textId="1E65A60C" w:rsidR="00BD516C" w:rsidRDefault="00BD516C" w:rsidP="00BD516C">
      <w:pPr>
        <w:pStyle w:val="ListParagraph"/>
        <w:numPr>
          <w:ilvl w:val="0"/>
          <w:numId w:val="22"/>
        </w:numPr>
        <w:ind w:left="360"/>
      </w:pPr>
      <w:r>
        <w:t>Higher parent or carer educational attainment, higher neighbourhood socio-economic status and higher household income were associated with lower rates of developmental vulnerability.</w:t>
      </w:r>
    </w:p>
    <w:p w14:paraId="0E60308F" w14:textId="70F94030" w:rsidR="00BD516C" w:rsidRDefault="006E6E87" w:rsidP="00BD516C">
      <w:pPr>
        <w:pStyle w:val="ListParagraph"/>
        <w:numPr>
          <w:ilvl w:val="0"/>
          <w:numId w:val="22"/>
        </w:numPr>
        <w:ind w:left="360"/>
      </w:pPr>
      <w:r>
        <w:t>Rates of developmental vulnerability were higher among c</w:t>
      </w:r>
      <w:r w:rsidR="00BD516C">
        <w:t>hildren from language backgrounds other than English and those with a parent not born in an OECD country.</w:t>
      </w:r>
    </w:p>
    <w:p w14:paraId="1B3390FB" w14:textId="65EE4C1D" w:rsidR="00BD516C" w:rsidRDefault="006E6E87" w:rsidP="00BD516C">
      <w:pPr>
        <w:pStyle w:val="ListParagraph"/>
        <w:numPr>
          <w:ilvl w:val="0"/>
          <w:numId w:val="22"/>
        </w:numPr>
        <w:ind w:left="360"/>
      </w:pPr>
      <w:r>
        <w:t>Rates of developmental vulnerability were higher among c</w:t>
      </w:r>
      <w:r w:rsidR="00BD516C">
        <w:t>hildren of mothers under 20 and children of single parents.</w:t>
      </w:r>
    </w:p>
    <w:p w14:paraId="244DAC0D" w14:textId="371EE11C" w:rsidR="00BD516C" w:rsidRDefault="006E6E87" w:rsidP="00BD516C">
      <w:pPr>
        <w:pStyle w:val="ListParagraph"/>
        <w:numPr>
          <w:ilvl w:val="0"/>
          <w:numId w:val="22"/>
        </w:numPr>
        <w:ind w:left="360"/>
      </w:pPr>
      <w:r>
        <w:t>Rates of developmental vulnerability were higher among c</w:t>
      </w:r>
      <w:r w:rsidR="00BD516C">
        <w:t>hildren with parents experiencing mental ill-health.</w:t>
      </w:r>
    </w:p>
    <w:p w14:paraId="7DD005B8" w14:textId="5F2333B9" w:rsidR="00BD516C" w:rsidRPr="009A13DE" w:rsidRDefault="00B32D52" w:rsidP="00B32D52">
      <w:pPr>
        <w:pStyle w:val="Heading3"/>
        <w:rPr>
          <w:color w:val="FF0000"/>
        </w:rPr>
      </w:pPr>
      <w:r>
        <w:t xml:space="preserve">Different </w:t>
      </w:r>
      <w:proofErr w:type="gramStart"/>
      <w:r>
        <w:t>child care</w:t>
      </w:r>
      <w:proofErr w:type="gramEnd"/>
      <w:r>
        <w:t xml:space="preserve"> usage patterns and quality</w:t>
      </w:r>
      <w:r>
        <w:rPr>
          <w:color w:val="FF0000"/>
        </w:rPr>
        <w:t xml:space="preserve"> </w:t>
      </w:r>
      <w:r>
        <w:t>were associated with</w:t>
      </w:r>
      <w:r w:rsidR="00BD516C">
        <w:t xml:space="preserve"> differen</w:t>
      </w:r>
      <w:r w:rsidR="0093537C">
        <w:t>t</w:t>
      </w:r>
      <w:r w:rsidR="00BD516C">
        <w:t xml:space="preserve"> rates of developmental vulnerability</w:t>
      </w:r>
    </w:p>
    <w:p w14:paraId="073397FA" w14:textId="77777777" w:rsidR="000D07B8" w:rsidRDefault="000D07B8" w:rsidP="000D07B8">
      <w:pPr>
        <w:pStyle w:val="ListParagraph"/>
        <w:numPr>
          <w:ilvl w:val="0"/>
          <w:numId w:val="22"/>
        </w:numPr>
        <w:ind w:left="360"/>
      </w:pPr>
      <w:r>
        <w:t xml:space="preserve">Aboriginal and Torres Strait Islander children, children with language backgrounds other than English and children from low SES areas with 15 to 30 weekly hours of </w:t>
      </w:r>
      <w:proofErr w:type="gramStart"/>
      <w:r>
        <w:t>child care</w:t>
      </w:r>
      <w:proofErr w:type="gramEnd"/>
      <w:r>
        <w:t xml:space="preserve"> attendance had higher rates of being developmentally on track in all domains, when compared to lower or higher hours of attendance. </w:t>
      </w:r>
    </w:p>
    <w:p w14:paraId="307857C2" w14:textId="4FCC3BA6" w:rsidR="00BD516C" w:rsidRDefault="0052008E" w:rsidP="00BD516C">
      <w:pPr>
        <w:pStyle w:val="ListParagraph"/>
        <w:numPr>
          <w:ilvl w:val="0"/>
          <w:numId w:val="22"/>
        </w:numPr>
        <w:ind w:left="360"/>
      </w:pPr>
      <w:r w:rsidRPr="0052008E">
        <w:t xml:space="preserve">Children who attended formal </w:t>
      </w:r>
      <w:proofErr w:type="gramStart"/>
      <w:r w:rsidRPr="0052008E">
        <w:t>child care</w:t>
      </w:r>
      <w:proofErr w:type="gramEnd"/>
      <w:r w:rsidRPr="0052008E">
        <w:t xml:space="preserve"> exhibited lower rates of overall developmental vulnerability</w:t>
      </w:r>
      <w:r w:rsidR="00A82929">
        <w:t xml:space="preserve"> (</w:t>
      </w:r>
      <w:r w:rsidR="00D115A8">
        <w:t>that is,</w:t>
      </w:r>
      <w:r w:rsidR="00A82929">
        <w:t xml:space="preserve"> they </w:t>
      </w:r>
      <w:r w:rsidR="00980131">
        <w:t>had lower rates o</w:t>
      </w:r>
      <w:r w:rsidR="00157DF7">
        <w:t>f</w:t>
      </w:r>
      <w:r w:rsidR="002B3F6B">
        <w:t xml:space="preserve"> being</w:t>
      </w:r>
      <w:r w:rsidR="00157DF7">
        <w:t xml:space="preserve"> developmental</w:t>
      </w:r>
      <w:r w:rsidR="002B3F6B">
        <w:t>ly</w:t>
      </w:r>
      <w:r w:rsidR="00157DF7">
        <w:t xml:space="preserve"> vulnerabl</w:t>
      </w:r>
      <w:r w:rsidR="002B3F6B">
        <w:t>e</w:t>
      </w:r>
      <w:r w:rsidR="00157DF7">
        <w:t xml:space="preserve"> on at least one developmental domain)</w:t>
      </w:r>
      <w:r w:rsidRPr="0052008E">
        <w:t xml:space="preserve">, though some </w:t>
      </w:r>
      <w:r w:rsidR="00A82929">
        <w:t xml:space="preserve">individual </w:t>
      </w:r>
      <w:r w:rsidRPr="0052008E">
        <w:t>domains showed a different pattern</w:t>
      </w:r>
      <w:r w:rsidR="00BD516C">
        <w:t>.</w:t>
      </w:r>
    </w:p>
    <w:p w14:paraId="65EBB073" w14:textId="77777777" w:rsidR="00D115A8" w:rsidRDefault="00D115A8" w:rsidP="00D115A8">
      <w:pPr>
        <w:pStyle w:val="ListParagraph"/>
        <w:numPr>
          <w:ilvl w:val="0"/>
          <w:numId w:val="22"/>
        </w:numPr>
        <w:ind w:left="360"/>
      </w:pPr>
      <w:r>
        <w:lastRenderedPageBreak/>
        <w:t xml:space="preserve">Children had lower rates of developmental vulnerability if they attended </w:t>
      </w:r>
      <w:proofErr w:type="gramStart"/>
      <w:r>
        <w:t>child care</w:t>
      </w:r>
      <w:proofErr w:type="gramEnd"/>
      <w:r>
        <w:t xml:space="preserve"> that was above standard quality (services with an overall rating of “Excellent” or “Exceeding NQS”) compared to children at lower quality services.</w:t>
      </w:r>
    </w:p>
    <w:p w14:paraId="13CB8752" w14:textId="51C5D0C6" w:rsidR="00BD516C" w:rsidRDefault="00BD516C" w:rsidP="00BD516C">
      <w:pPr>
        <w:pStyle w:val="ListParagraph"/>
        <w:numPr>
          <w:ilvl w:val="0"/>
          <w:numId w:val="22"/>
        </w:numPr>
        <w:ind w:left="360"/>
      </w:pPr>
      <w:r>
        <w:t xml:space="preserve">Children reported to have attended preschool had much lower rates of </w:t>
      </w:r>
      <w:r w:rsidR="00926018">
        <w:t xml:space="preserve">overall </w:t>
      </w:r>
      <w:r>
        <w:t>developmental vulnerability than those who did not.</w:t>
      </w:r>
    </w:p>
    <w:p w14:paraId="578F75D4" w14:textId="6B50329F" w:rsidR="00BD516C" w:rsidRDefault="00AE7A45" w:rsidP="00813F33">
      <w:pPr>
        <w:pStyle w:val="Heading3"/>
      </w:pPr>
      <w:r>
        <w:t xml:space="preserve">Statistical </w:t>
      </w:r>
      <w:r w:rsidR="00AC74A3">
        <w:t>techniques</w:t>
      </w:r>
      <w:r w:rsidR="00C2385C">
        <w:t xml:space="preserve"> </w:t>
      </w:r>
      <w:r w:rsidR="00AC74A3">
        <w:t xml:space="preserve">were used to </w:t>
      </w:r>
      <w:r w:rsidR="00813F33">
        <w:t xml:space="preserve">estimate the effects of </w:t>
      </w:r>
      <w:proofErr w:type="gramStart"/>
      <w:r w:rsidR="00813F33">
        <w:t>child care</w:t>
      </w:r>
      <w:proofErr w:type="gramEnd"/>
      <w:r w:rsidR="00813F33">
        <w:t xml:space="preserve"> attendance, </w:t>
      </w:r>
      <w:r w:rsidR="006D4346">
        <w:t>hours</w:t>
      </w:r>
      <w:r w:rsidR="00813F33">
        <w:t xml:space="preserve">, and quality on developmental vulnerability, </w:t>
      </w:r>
      <w:r w:rsidR="005B4481">
        <w:t>tak</w:t>
      </w:r>
      <w:r w:rsidR="00813F33">
        <w:t>ing</w:t>
      </w:r>
      <w:r w:rsidR="005B4481">
        <w:t xml:space="preserve"> into account </w:t>
      </w:r>
      <w:r w:rsidR="00813F33">
        <w:t xml:space="preserve">other </w:t>
      </w:r>
      <w:r w:rsidR="005B4481">
        <w:t xml:space="preserve">underlying differences between </w:t>
      </w:r>
      <w:r w:rsidR="00830B19">
        <w:t>children</w:t>
      </w:r>
    </w:p>
    <w:p w14:paraId="35A82F4A" w14:textId="7EB2F365" w:rsidR="00BD516C" w:rsidRPr="00505F38" w:rsidRDefault="00BD516C" w:rsidP="00BD516C">
      <w:pPr>
        <w:pStyle w:val="ListParagraph"/>
        <w:numPr>
          <w:ilvl w:val="0"/>
          <w:numId w:val="22"/>
        </w:numPr>
        <w:ind w:left="360"/>
      </w:pPr>
      <w:r w:rsidRPr="00505F38">
        <w:t xml:space="preserve">Statistical techniques for inference were used to better estimate the effect of </w:t>
      </w:r>
      <w:proofErr w:type="gramStart"/>
      <w:r w:rsidRPr="00505F38">
        <w:t>child care</w:t>
      </w:r>
      <w:proofErr w:type="gramEnd"/>
      <w:r w:rsidRPr="00505F38">
        <w:t xml:space="preserve"> on developmental vulnerability by comparing children with</w:t>
      </w:r>
      <w:r>
        <w:t xml:space="preserve"> </w:t>
      </w:r>
      <w:r w:rsidRPr="00505F38">
        <w:t>similar socio-economic background</w:t>
      </w:r>
      <w:r w:rsidR="008943DF">
        <w:t>s</w:t>
      </w:r>
      <w:r w:rsidRPr="00505F38">
        <w:t xml:space="preserve">. However, </w:t>
      </w:r>
      <w:r>
        <w:t>while adjusting</w:t>
      </w:r>
      <w:r w:rsidRPr="00505F38">
        <w:t xml:space="preserve"> </w:t>
      </w:r>
      <w:r>
        <w:t xml:space="preserve">the </w:t>
      </w:r>
      <w:r w:rsidRPr="00505F38">
        <w:t>results</w:t>
      </w:r>
      <w:r>
        <w:t xml:space="preserve"> to account for different circumstances </w:t>
      </w:r>
      <w:r w:rsidRPr="00505F38">
        <w:t>give</w:t>
      </w:r>
      <w:r>
        <w:t>s</w:t>
      </w:r>
      <w:r w:rsidRPr="00505F38">
        <w:t xml:space="preserve"> a better estimate </w:t>
      </w:r>
      <w:r>
        <w:t xml:space="preserve">of effects, </w:t>
      </w:r>
      <w:r w:rsidRPr="00505F38">
        <w:t xml:space="preserve">non-observable parameters (such as quality of home care) </w:t>
      </w:r>
      <w:r>
        <w:t>mean that</w:t>
      </w:r>
      <w:r w:rsidRPr="00505F38">
        <w:t xml:space="preserve"> more work is needed to infer a causal relationship.</w:t>
      </w:r>
    </w:p>
    <w:p w14:paraId="102B0B98" w14:textId="77777777" w:rsidR="00BD516C" w:rsidRDefault="00BD516C" w:rsidP="00BD516C">
      <w:pPr>
        <w:pStyle w:val="ListParagraph"/>
        <w:numPr>
          <w:ilvl w:val="0"/>
          <w:numId w:val="22"/>
        </w:numPr>
        <w:ind w:left="360"/>
      </w:pPr>
      <w:r w:rsidRPr="00505F38">
        <w:t xml:space="preserve">The </w:t>
      </w:r>
      <w:r>
        <w:t xml:space="preserve">effect of </w:t>
      </w:r>
      <w:proofErr w:type="gramStart"/>
      <w:r>
        <w:t>child care</w:t>
      </w:r>
      <w:proofErr w:type="gramEnd"/>
      <w:r>
        <w:t xml:space="preserve"> attendance depended on total duration and intensity and varied by AEDC domain:</w:t>
      </w:r>
    </w:p>
    <w:p w14:paraId="5E68744C" w14:textId="7667C83A" w:rsidR="00BD516C" w:rsidRDefault="00BD516C" w:rsidP="00BD516C">
      <w:pPr>
        <w:pStyle w:val="ListParagraph"/>
        <w:numPr>
          <w:ilvl w:val="1"/>
          <w:numId w:val="22"/>
        </w:numPr>
      </w:pPr>
      <w:r>
        <w:t xml:space="preserve">Regular use of low-medium weekly hours of </w:t>
      </w:r>
      <w:proofErr w:type="gramStart"/>
      <w:r>
        <w:t>child care</w:t>
      </w:r>
      <w:proofErr w:type="gramEnd"/>
      <w:r>
        <w:t xml:space="preserve"> consistently resulted in lower rates of </w:t>
      </w:r>
      <w:r w:rsidR="2267591F">
        <w:t xml:space="preserve">developmental </w:t>
      </w:r>
      <w:r>
        <w:t>vulnerability.</w:t>
      </w:r>
    </w:p>
    <w:p w14:paraId="68427CA5" w14:textId="323070CA" w:rsidR="00BD516C" w:rsidRDefault="00BD516C" w:rsidP="00BD516C">
      <w:pPr>
        <w:pStyle w:val="ListParagraph"/>
        <w:numPr>
          <w:ilvl w:val="1"/>
          <w:numId w:val="22"/>
        </w:numPr>
      </w:pPr>
      <w:r>
        <w:t xml:space="preserve">Most children attended </w:t>
      </w:r>
      <w:proofErr w:type="gramStart"/>
      <w:r>
        <w:t>child care</w:t>
      </w:r>
      <w:proofErr w:type="gramEnd"/>
      <w:r>
        <w:t xml:space="preserve"> at medium </w:t>
      </w:r>
      <w:r w:rsidR="00301F72">
        <w:t>levels of average and total hours</w:t>
      </w:r>
      <w:r>
        <w:t xml:space="preserve">. This group had a lower rate of developmental vulnerability for the communication skills and general knowledge and language and cognitive skills (school based) domains.  </w:t>
      </w:r>
    </w:p>
    <w:p w14:paraId="59B4BB81" w14:textId="1831B07D" w:rsidR="00BD516C" w:rsidRDefault="004F2980" w:rsidP="00BD516C">
      <w:pPr>
        <w:pStyle w:val="ListParagraph"/>
        <w:numPr>
          <w:ilvl w:val="1"/>
          <w:numId w:val="22"/>
        </w:numPr>
      </w:pPr>
      <w:r w:rsidRPr="004F2980">
        <w:t xml:space="preserve">Higher average and total hours of </w:t>
      </w:r>
      <w:proofErr w:type="gramStart"/>
      <w:r w:rsidRPr="004F2980">
        <w:t>child care</w:t>
      </w:r>
      <w:proofErr w:type="gramEnd"/>
      <w:r w:rsidRPr="004F2980">
        <w:t xml:space="preserve"> were associated with elevated risks of developmental vulnerabilities for the emotional maturity and social competence domains</w:t>
      </w:r>
      <w:r w:rsidR="00BD516C">
        <w:t>.</w:t>
      </w:r>
    </w:p>
    <w:p w14:paraId="7BB897E1" w14:textId="6C6BC0B9" w:rsidR="002631B0" w:rsidRDefault="00BD516C" w:rsidP="00E1159B">
      <w:pPr>
        <w:pStyle w:val="ListParagraph"/>
        <w:numPr>
          <w:ilvl w:val="0"/>
          <w:numId w:val="22"/>
        </w:numPr>
        <w:ind w:left="360"/>
      </w:pPr>
      <w:r>
        <w:t xml:space="preserve">Higher quality </w:t>
      </w:r>
      <w:proofErr w:type="gramStart"/>
      <w:r>
        <w:t>child care</w:t>
      </w:r>
      <w:proofErr w:type="gramEnd"/>
      <w:r>
        <w:t xml:space="preserve"> improved overall outcomes for children compared to lower quality </w:t>
      </w:r>
      <w:proofErr w:type="gramStart"/>
      <w:r>
        <w:t>child care</w:t>
      </w:r>
      <w:proofErr w:type="gramEnd"/>
      <w:r>
        <w:t>.</w:t>
      </w:r>
      <w:r w:rsidR="0063549A" w:rsidRPr="0063549A">
        <w:t xml:space="preserve"> </w:t>
      </w:r>
    </w:p>
    <w:p w14:paraId="3A8B7F82" w14:textId="77777777" w:rsidR="00BD516C" w:rsidRDefault="00BD516C" w:rsidP="00AE3BE4">
      <w:pPr>
        <w:pStyle w:val="Heading2"/>
      </w:pPr>
      <w:r>
        <w:t>Outline of reports</w:t>
      </w:r>
    </w:p>
    <w:p w14:paraId="14A7748C" w14:textId="77777777" w:rsidR="00BD516C" w:rsidRDefault="00BD516C" w:rsidP="00BD516C">
      <w:r>
        <w:t>We report the results from our project in a series of factsheets, organised as follows:</w:t>
      </w:r>
      <w:r w:rsidRPr="002A7EA9">
        <w:t xml:space="preserve"> </w:t>
      </w:r>
    </w:p>
    <w:p w14:paraId="772EDBEC" w14:textId="77777777" w:rsidR="00BD516C" w:rsidRPr="0054504A" w:rsidRDefault="00BD516C" w:rsidP="00BD516C">
      <w:pPr>
        <w:pStyle w:val="ListParagraph"/>
        <w:numPr>
          <w:ilvl w:val="0"/>
          <w:numId w:val="20"/>
        </w:numPr>
        <w:ind w:left="567"/>
        <w:rPr>
          <w:i/>
          <w:iCs/>
        </w:rPr>
      </w:pPr>
      <w:r w:rsidRPr="0054504A">
        <w:rPr>
          <w:i/>
          <w:iCs/>
        </w:rPr>
        <w:t xml:space="preserve">Characteristics </w:t>
      </w:r>
      <w:r>
        <w:rPr>
          <w:i/>
          <w:iCs/>
        </w:rPr>
        <w:t>associated with</w:t>
      </w:r>
      <w:r w:rsidRPr="0054504A">
        <w:rPr>
          <w:i/>
          <w:iCs/>
        </w:rPr>
        <w:t xml:space="preserve"> developmental vulnerability in children:</w:t>
      </w:r>
    </w:p>
    <w:p w14:paraId="5BB7EE5C" w14:textId="59F6FC45" w:rsidR="00BD516C" w:rsidRDefault="00BD516C" w:rsidP="00BD516C">
      <w:pPr>
        <w:pStyle w:val="ListParagraph"/>
        <w:numPr>
          <w:ilvl w:val="1"/>
          <w:numId w:val="20"/>
        </w:numPr>
      </w:pPr>
      <w:r w:rsidRPr="11334FCC">
        <w:rPr>
          <w:b/>
          <w:bCs/>
        </w:rPr>
        <w:t>2.1 Child and family characteristics:</w:t>
      </w:r>
      <w:r>
        <w:t xml:space="preserve"> In this section we show how socio-economic factors such as parental educational attainment, household income and neighbourhood SES were associated with child development</w:t>
      </w:r>
      <w:r w:rsidR="1859EE96">
        <w:t>al</w:t>
      </w:r>
      <w:r>
        <w:t xml:space="preserve"> vulnerability. Other family composition factors such as single/dual parent household, language background and maternal age of the mother at birth are also investigated. How child and parent ill-health affected child development is presented separately for boys and girls.</w:t>
      </w:r>
      <w:r w:rsidR="00474C9E" w:rsidDel="00474C9E">
        <w:t xml:space="preserve"> </w:t>
      </w:r>
    </w:p>
    <w:p w14:paraId="497A60FA" w14:textId="77777777" w:rsidR="00BD516C" w:rsidRDefault="00BD516C" w:rsidP="00BD516C">
      <w:pPr>
        <w:pStyle w:val="ListParagraph"/>
        <w:numPr>
          <w:ilvl w:val="1"/>
          <w:numId w:val="20"/>
        </w:numPr>
      </w:pPr>
      <w:r>
        <w:rPr>
          <w:b/>
          <w:bCs/>
        </w:rPr>
        <w:t>2.2 Predictive</w:t>
      </w:r>
      <w:r w:rsidRPr="009D1F95">
        <w:rPr>
          <w:b/>
          <w:bCs/>
        </w:rPr>
        <w:t xml:space="preserve"> modelling</w:t>
      </w:r>
      <w:r>
        <w:rPr>
          <w:b/>
          <w:bCs/>
        </w:rPr>
        <w:t xml:space="preserve"> of developmental vulnerability in children</w:t>
      </w:r>
      <w:r w:rsidRPr="009D1F95">
        <w:rPr>
          <w:b/>
          <w:bCs/>
        </w:rPr>
        <w:t>:</w:t>
      </w:r>
      <w:r>
        <w:t xml:space="preserve">  We identify the risk and preventative factors that had a significant association with early child development, and how much each individual factor was associated with child developmental vulnerability, for boys and girls separately.</w:t>
      </w:r>
    </w:p>
    <w:p w14:paraId="1C59EB0E" w14:textId="77777777" w:rsidR="00BD516C" w:rsidRPr="0054504A" w:rsidRDefault="00BD516C" w:rsidP="00BD516C">
      <w:pPr>
        <w:pStyle w:val="ListParagraph"/>
        <w:numPr>
          <w:ilvl w:val="0"/>
          <w:numId w:val="20"/>
        </w:numPr>
        <w:ind w:left="567"/>
        <w:rPr>
          <w:i/>
          <w:iCs/>
        </w:rPr>
      </w:pPr>
      <w:r>
        <w:rPr>
          <w:i/>
          <w:iCs/>
        </w:rPr>
        <w:t xml:space="preserve">Association of </w:t>
      </w:r>
      <w:proofErr w:type="gramStart"/>
      <w:r>
        <w:rPr>
          <w:i/>
          <w:iCs/>
        </w:rPr>
        <w:t>c</w:t>
      </w:r>
      <w:r w:rsidRPr="0054504A">
        <w:rPr>
          <w:i/>
          <w:iCs/>
        </w:rPr>
        <w:t>hild care</w:t>
      </w:r>
      <w:proofErr w:type="gramEnd"/>
      <w:r w:rsidRPr="0054504A">
        <w:rPr>
          <w:i/>
          <w:iCs/>
        </w:rPr>
        <w:t xml:space="preserve"> </w:t>
      </w:r>
      <w:r>
        <w:rPr>
          <w:i/>
          <w:iCs/>
        </w:rPr>
        <w:t>and</w:t>
      </w:r>
      <w:r w:rsidRPr="0054504A">
        <w:rPr>
          <w:i/>
          <w:iCs/>
        </w:rPr>
        <w:t xml:space="preserve"> developmental vulnerability</w:t>
      </w:r>
    </w:p>
    <w:p w14:paraId="409B3527" w14:textId="68254C36" w:rsidR="00BD516C" w:rsidRPr="006E6A3D" w:rsidRDefault="00BD516C" w:rsidP="00BD516C">
      <w:pPr>
        <w:pStyle w:val="ListParagraph"/>
        <w:numPr>
          <w:ilvl w:val="1"/>
          <w:numId w:val="20"/>
        </w:numPr>
      </w:pPr>
      <w:r>
        <w:rPr>
          <w:b/>
          <w:bCs/>
        </w:rPr>
        <w:lastRenderedPageBreak/>
        <w:t xml:space="preserve">3.1 Associations between early education attendance and child development: </w:t>
      </w:r>
      <w:r w:rsidRPr="003B44A7">
        <w:t xml:space="preserve">In this </w:t>
      </w:r>
      <w:r>
        <w:t xml:space="preserve">section we describe the association between </w:t>
      </w:r>
      <w:proofErr w:type="gramStart"/>
      <w:r>
        <w:t>child care</w:t>
      </w:r>
      <w:proofErr w:type="gramEnd"/>
      <w:r>
        <w:t xml:space="preserve"> and preschool attendance and rates of being </w:t>
      </w:r>
      <w:r w:rsidR="006E6E87">
        <w:t xml:space="preserve">developmentally </w:t>
      </w:r>
      <w:r>
        <w:t>on track for different subgroups of the population (</w:t>
      </w:r>
      <w:r w:rsidR="00E616C4">
        <w:t>Aboriginal and Torres Strait Islander</w:t>
      </w:r>
      <w:r>
        <w:t xml:space="preserve">, language background other than English, single parent, low SES). </w:t>
      </w:r>
      <w:r w:rsidR="00876648" w:rsidRPr="00876648">
        <w:t xml:space="preserve">The relationship between parental and child-centric factors and the rates of formal </w:t>
      </w:r>
      <w:proofErr w:type="gramStart"/>
      <w:r w:rsidR="00876648" w:rsidRPr="00876648">
        <w:t>child care</w:t>
      </w:r>
      <w:proofErr w:type="gramEnd"/>
      <w:r w:rsidR="00876648" w:rsidRPr="00876648">
        <w:t xml:space="preserve"> attendance is also presented.</w:t>
      </w:r>
    </w:p>
    <w:p w14:paraId="1D52F46F" w14:textId="6B48EE9D" w:rsidR="00BD516C" w:rsidRPr="006D2236" w:rsidRDefault="00BD516C" w:rsidP="00BD516C">
      <w:pPr>
        <w:pStyle w:val="ListParagraph"/>
        <w:numPr>
          <w:ilvl w:val="1"/>
          <w:numId w:val="20"/>
        </w:numPr>
        <w:rPr>
          <w:b/>
          <w:bCs/>
        </w:rPr>
      </w:pPr>
      <w:r>
        <w:rPr>
          <w:b/>
          <w:bCs/>
        </w:rPr>
        <w:t xml:space="preserve">3.2 Quality of </w:t>
      </w:r>
      <w:proofErr w:type="gramStart"/>
      <w:r>
        <w:rPr>
          <w:b/>
          <w:bCs/>
        </w:rPr>
        <w:t>child care</w:t>
      </w:r>
      <w:proofErr w:type="gramEnd"/>
      <w:r>
        <w:rPr>
          <w:b/>
          <w:bCs/>
        </w:rPr>
        <w:t xml:space="preserve">: </w:t>
      </w:r>
      <w:r>
        <w:t xml:space="preserve">In this section we describe the associations between </w:t>
      </w:r>
      <w:proofErr w:type="gramStart"/>
      <w:r>
        <w:t>child care</w:t>
      </w:r>
      <w:proofErr w:type="gramEnd"/>
      <w:r>
        <w:t xml:space="preserve"> quality and rates of being </w:t>
      </w:r>
      <w:r w:rsidR="006E6E87">
        <w:t xml:space="preserve">developmentally </w:t>
      </w:r>
      <w:r>
        <w:t>on track for different subgroups of the population.</w:t>
      </w:r>
    </w:p>
    <w:p w14:paraId="127802F2" w14:textId="639137FE" w:rsidR="00BD516C" w:rsidRPr="00CE01F5" w:rsidRDefault="00BD516C" w:rsidP="00BD516C">
      <w:pPr>
        <w:pStyle w:val="ListParagraph"/>
        <w:numPr>
          <w:ilvl w:val="1"/>
          <w:numId w:val="20"/>
        </w:numPr>
        <w:rPr>
          <w:b/>
          <w:bCs/>
        </w:rPr>
      </w:pPr>
      <w:r>
        <w:rPr>
          <w:b/>
          <w:bCs/>
        </w:rPr>
        <w:t xml:space="preserve">3.3 </w:t>
      </w:r>
      <w:r w:rsidR="003922C4">
        <w:rPr>
          <w:b/>
          <w:bCs/>
        </w:rPr>
        <w:t xml:space="preserve">Hours </w:t>
      </w:r>
      <w:r>
        <w:rPr>
          <w:b/>
          <w:bCs/>
        </w:rPr>
        <w:t xml:space="preserve">of </w:t>
      </w:r>
      <w:proofErr w:type="gramStart"/>
      <w:r>
        <w:rPr>
          <w:b/>
          <w:bCs/>
        </w:rPr>
        <w:t>c</w:t>
      </w:r>
      <w:r w:rsidRPr="006D2236">
        <w:rPr>
          <w:b/>
          <w:bCs/>
        </w:rPr>
        <w:t>hild care</w:t>
      </w:r>
      <w:proofErr w:type="gramEnd"/>
      <w:r w:rsidRPr="006D2236">
        <w:rPr>
          <w:b/>
          <w:bCs/>
        </w:rPr>
        <w:t xml:space="preserve"> </w:t>
      </w:r>
      <w:r>
        <w:rPr>
          <w:b/>
          <w:bCs/>
        </w:rPr>
        <w:t xml:space="preserve">attendance: </w:t>
      </w:r>
      <w:r>
        <w:t xml:space="preserve">In this section we describe the associations between </w:t>
      </w:r>
      <w:proofErr w:type="gramStart"/>
      <w:r>
        <w:t>child care</w:t>
      </w:r>
      <w:proofErr w:type="gramEnd"/>
      <w:r>
        <w:t xml:space="preserve"> </w:t>
      </w:r>
      <w:r w:rsidR="003922C4">
        <w:t xml:space="preserve">hours </w:t>
      </w:r>
      <w:r>
        <w:t xml:space="preserve">and rates of being </w:t>
      </w:r>
      <w:r w:rsidR="006E6E87">
        <w:t xml:space="preserve">developmentally </w:t>
      </w:r>
      <w:r>
        <w:t>on track for different subgroups of the population.</w:t>
      </w:r>
    </w:p>
    <w:p w14:paraId="2115AF5E" w14:textId="77777777" w:rsidR="00BD516C" w:rsidRPr="00CA472F" w:rsidRDefault="00BD516C" w:rsidP="00BD516C">
      <w:pPr>
        <w:pStyle w:val="ListParagraph"/>
        <w:numPr>
          <w:ilvl w:val="1"/>
          <w:numId w:val="20"/>
        </w:numPr>
        <w:rPr>
          <w:b/>
          <w:bCs/>
        </w:rPr>
      </w:pPr>
      <w:r>
        <w:rPr>
          <w:b/>
          <w:bCs/>
        </w:rPr>
        <w:t xml:space="preserve">3.4 Estimating the effect of </w:t>
      </w:r>
      <w:proofErr w:type="gramStart"/>
      <w:r>
        <w:rPr>
          <w:b/>
          <w:bCs/>
        </w:rPr>
        <w:t>child care</w:t>
      </w:r>
      <w:proofErr w:type="gramEnd"/>
      <w:r>
        <w:rPr>
          <w:b/>
          <w:bCs/>
        </w:rPr>
        <w:t xml:space="preserve"> on children’s developmental outcomes: </w:t>
      </w:r>
      <w:r>
        <w:t xml:space="preserve">In this section we estimate the effect of </w:t>
      </w:r>
      <w:proofErr w:type="gramStart"/>
      <w:r>
        <w:t>child care</w:t>
      </w:r>
      <w:proofErr w:type="gramEnd"/>
      <w:r>
        <w:t xml:space="preserve"> attendance and duration, and quality on developmental vulnerability using statistical inference techniques such as G-computation and Inverse Propensity Weighting to control for the differences in children’s circumstances.</w:t>
      </w:r>
    </w:p>
    <w:p w14:paraId="18EF2880" w14:textId="79388EE5" w:rsidR="005D584D" w:rsidRDefault="005D584D" w:rsidP="00BD516C">
      <w:pPr>
        <w:pStyle w:val="ListParagraph"/>
        <w:numPr>
          <w:ilvl w:val="0"/>
          <w:numId w:val="20"/>
        </w:numPr>
        <w:rPr>
          <w:i/>
          <w:iCs/>
        </w:rPr>
      </w:pPr>
      <w:r>
        <w:rPr>
          <w:i/>
          <w:iCs/>
        </w:rPr>
        <w:t>Summary and discussions</w:t>
      </w:r>
    </w:p>
    <w:p w14:paraId="6DEB0916" w14:textId="6BE38D74" w:rsidR="005D584D" w:rsidRDefault="005D584D" w:rsidP="005D584D">
      <w:pPr>
        <w:pStyle w:val="ListParagraph"/>
        <w:numPr>
          <w:ilvl w:val="0"/>
          <w:numId w:val="24"/>
        </w:numPr>
        <w:ind w:left="1418" w:hanging="284"/>
        <w:rPr>
          <w:i/>
          <w:iCs/>
        </w:rPr>
      </w:pPr>
      <w:r w:rsidRPr="005D584D">
        <w:rPr>
          <w:b/>
          <w:bCs/>
        </w:rPr>
        <w:t>4</w:t>
      </w:r>
      <w:r>
        <w:rPr>
          <w:b/>
          <w:bCs/>
        </w:rPr>
        <w:t xml:space="preserve">. </w:t>
      </w:r>
      <w:r w:rsidRPr="005D584D">
        <w:rPr>
          <w:b/>
          <w:bCs/>
        </w:rPr>
        <w:t>Conclusion</w:t>
      </w:r>
    </w:p>
    <w:p w14:paraId="57F57E7E" w14:textId="6CFE2C01" w:rsidR="00BD516C" w:rsidRPr="00505F38" w:rsidRDefault="00BD516C" w:rsidP="00BD516C">
      <w:pPr>
        <w:pStyle w:val="ListParagraph"/>
        <w:numPr>
          <w:ilvl w:val="0"/>
          <w:numId w:val="20"/>
        </w:numPr>
        <w:rPr>
          <w:i/>
          <w:iCs/>
        </w:rPr>
      </w:pPr>
      <w:r w:rsidRPr="00505F38">
        <w:rPr>
          <w:i/>
          <w:iCs/>
        </w:rPr>
        <w:t>Methodology and appendix</w:t>
      </w:r>
    </w:p>
    <w:p w14:paraId="00027D59" w14:textId="3F431B7F" w:rsidR="00BD516C" w:rsidRDefault="005D584D" w:rsidP="00BD516C">
      <w:pPr>
        <w:pStyle w:val="ListParagraph"/>
        <w:numPr>
          <w:ilvl w:val="1"/>
          <w:numId w:val="20"/>
        </w:numPr>
      </w:pPr>
      <w:r>
        <w:rPr>
          <w:b/>
          <w:bCs/>
        </w:rPr>
        <w:t>5</w:t>
      </w:r>
      <w:r w:rsidR="00BD516C" w:rsidRPr="00027862">
        <w:rPr>
          <w:b/>
          <w:bCs/>
        </w:rPr>
        <w:t>.1 Methodology:</w:t>
      </w:r>
      <w:r w:rsidR="00BD516C" w:rsidRPr="00027862">
        <w:rPr>
          <w:i/>
          <w:iCs/>
        </w:rPr>
        <w:t xml:space="preserve"> </w:t>
      </w:r>
      <w:r w:rsidR="00BD516C">
        <w:t xml:space="preserve"> this section contains detailed information </w:t>
      </w:r>
      <w:r w:rsidR="00BD516C" w:rsidRPr="002E2877">
        <w:t>about datasets, key analytical decisions, constructed factors and statistical techniques used within the project.</w:t>
      </w:r>
    </w:p>
    <w:p w14:paraId="7A8F5D13" w14:textId="07E3FCF7" w:rsidR="00BD516C" w:rsidRDefault="005D584D" w:rsidP="00BD516C">
      <w:pPr>
        <w:pStyle w:val="ListParagraph"/>
        <w:numPr>
          <w:ilvl w:val="1"/>
          <w:numId w:val="20"/>
        </w:numPr>
      </w:pPr>
      <w:r>
        <w:rPr>
          <w:b/>
          <w:bCs/>
        </w:rPr>
        <w:t>5</w:t>
      </w:r>
      <w:r w:rsidR="00BD516C" w:rsidRPr="00027862">
        <w:rPr>
          <w:b/>
          <w:bCs/>
        </w:rPr>
        <w:t>.2 Appendix:</w:t>
      </w:r>
      <w:r w:rsidR="00BD516C" w:rsidRPr="00027862">
        <w:rPr>
          <w:i/>
          <w:iCs/>
        </w:rPr>
        <w:t xml:space="preserve"> </w:t>
      </w:r>
      <w:r w:rsidR="00BD516C" w:rsidRPr="00027862">
        <w:t>this section discuss</w:t>
      </w:r>
      <w:r w:rsidR="00BD516C">
        <w:t>es</w:t>
      </w:r>
      <w:r w:rsidR="00BD516C" w:rsidRPr="00027862">
        <w:t xml:space="preserve"> linkage bias, </w:t>
      </w:r>
      <w:r w:rsidR="00BD516C">
        <w:t>sample size for the</w:t>
      </w:r>
      <w:r w:rsidR="00BD516C" w:rsidRPr="00027862">
        <w:t xml:space="preserve"> </w:t>
      </w:r>
      <w:r w:rsidR="00BD516C">
        <w:t>inference computation</w:t>
      </w:r>
      <w:r w:rsidR="00BD516C" w:rsidRPr="00027862">
        <w:t xml:space="preserve"> results, and the rules used for calculating income</w:t>
      </w:r>
      <w:r w:rsidR="00BD516C">
        <w:t>. It also contains analysis</w:t>
      </w:r>
      <w:r w:rsidR="00BD516C" w:rsidRPr="00027862">
        <w:t xml:space="preserve"> using 2021 AEDC</w:t>
      </w:r>
      <w:r w:rsidR="006E6E87">
        <w:t xml:space="preserve"> data</w:t>
      </w:r>
      <w:r w:rsidR="00BD516C" w:rsidRPr="00027862">
        <w:t xml:space="preserve"> and the </w:t>
      </w:r>
      <w:proofErr w:type="gramStart"/>
      <w:r w:rsidR="00BD516C" w:rsidRPr="00027862">
        <w:t>child</w:t>
      </w:r>
      <w:r w:rsidR="00BD516C">
        <w:t xml:space="preserve"> </w:t>
      </w:r>
      <w:r w:rsidR="00BD516C" w:rsidRPr="00027862">
        <w:t>care</w:t>
      </w:r>
      <w:proofErr w:type="gramEnd"/>
      <w:r w:rsidR="00BD516C" w:rsidRPr="00027862">
        <w:t xml:space="preserve"> </w:t>
      </w:r>
      <w:r w:rsidR="00BD516C">
        <w:t xml:space="preserve">administrative </w:t>
      </w:r>
      <w:r w:rsidR="00BD516C" w:rsidRPr="00027862">
        <w:t xml:space="preserve">data, for a comparison of charged and attended </w:t>
      </w:r>
      <w:proofErr w:type="gramStart"/>
      <w:r w:rsidR="00BD516C" w:rsidRPr="00027862">
        <w:t>child care</w:t>
      </w:r>
      <w:proofErr w:type="gramEnd"/>
      <w:r w:rsidR="00BD516C" w:rsidRPr="00027862">
        <w:t xml:space="preserve"> hours</w:t>
      </w:r>
      <w:r w:rsidR="00BD516C">
        <w:t>, though a full analysis using the 2021 AEDC data is not available due to the lack of linkage to other data sources.</w:t>
      </w:r>
    </w:p>
    <w:p w14:paraId="76D47DB7" w14:textId="4FF64477" w:rsidR="0017134D" w:rsidRDefault="00BD516C" w:rsidP="00E869A4">
      <w:r w:rsidRPr="002A7EA9">
        <w:t xml:space="preserve">For further information on the First Five Years project, please contact the research team at </w:t>
      </w:r>
      <w:hyperlink r:id="rId15" w:history="1">
        <w:r w:rsidRPr="005140FC">
          <w:rPr>
            <w:rStyle w:val="Hyperlink"/>
          </w:rPr>
          <w:t>I</w:t>
        </w:r>
        <w:r>
          <w:rPr>
            <w:rStyle w:val="Hyperlink"/>
          </w:rPr>
          <w:t>ntegratedDataAnalytics</w:t>
        </w:r>
        <w:r w:rsidRPr="005140FC">
          <w:rPr>
            <w:rStyle w:val="Hyperlink"/>
          </w:rPr>
          <w:t>@education.gov.au</w:t>
        </w:r>
      </w:hyperlink>
    </w:p>
    <w:sectPr w:rsidR="0017134D" w:rsidSect="00D86284">
      <w:footerReference w:type="default" r:id="rId16"/>
      <w:pgSz w:w="11906" w:h="16838"/>
      <w:pgMar w:top="1223"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DE0336" w14:textId="77777777" w:rsidR="007726DF" w:rsidRDefault="007726DF" w:rsidP="000A6228">
      <w:pPr>
        <w:spacing w:after="0" w:line="240" w:lineRule="auto"/>
      </w:pPr>
      <w:r>
        <w:separator/>
      </w:r>
    </w:p>
  </w:endnote>
  <w:endnote w:type="continuationSeparator" w:id="0">
    <w:p w14:paraId="21E135D2" w14:textId="77777777" w:rsidR="007726DF" w:rsidRDefault="007726DF" w:rsidP="000A6228">
      <w:pPr>
        <w:spacing w:after="0" w:line="240" w:lineRule="auto"/>
      </w:pPr>
      <w:r>
        <w:continuationSeparator/>
      </w:r>
    </w:p>
  </w:endnote>
  <w:endnote w:type="continuationNotice" w:id="1">
    <w:p w14:paraId="725D436E" w14:textId="77777777" w:rsidR="007726DF" w:rsidRDefault="007726D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5DAE0" w14:textId="77777777" w:rsidR="00D86284" w:rsidRDefault="00D86284">
    <w:pPr>
      <w:pStyle w:val="Footer"/>
    </w:pPr>
    <w:r>
      <w:rPr>
        <w:noProof/>
      </w:rPr>
      <w:drawing>
        <wp:anchor distT="0" distB="0" distL="114300" distR="114300" simplePos="0" relativeHeight="251658240" behindDoc="1" locked="1" layoutInCell="1" allowOverlap="1" wp14:anchorId="69C8E39D" wp14:editId="5AD0F58B">
          <wp:simplePos x="5425440" y="9593580"/>
          <wp:positionH relativeFrom="page">
            <wp:align>right</wp:align>
          </wp:positionH>
          <wp:positionV relativeFrom="page">
            <wp:align>bottom</wp:align>
          </wp:positionV>
          <wp:extent cx="1216800" cy="648000"/>
          <wp:effectExtent l="0" t="0" r="254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216800" cy="6480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1F92E3" w14:textId="77777777" w:rsidR="007726DF" w:rsidRDefault="007726DF" w:rsidP="000A6228">
      <w:pPr>
        <w:spacing w:after="0" w:line="240" w:lineRule="auto"/>
      </w:pPr>
      <w:r>
        <w:separator/>
      </w:r>
    </w:p>
  </w:footnote>
  <w:footnote w:type="continuationSeparator" w:id="0">
    <w:p w14:paraId="3B0D6BCD" w14:textId="77777777" w:rsidR="007726DF" w:rsidRDefault="007726DF" w:rsidP="000A6228">
      <w:pPr>
        <w:spacing w:after="0" w:line="240" w:lineRule="auto"/>
      </w:pPr>
      <w:r>
        <w:continuationSeparator/>
      </w:r>
    </w:p>
  </w:footnote>
  <w:footnote w:type="continuationNotice" w:id="1">
    <w:p w14:paraId="0DF566A8" w14:textId="77777777" w:rsidR="007726DF" w:rsidRDefault="007726DF">
      <w:pPr>
        <w:spacing w:after="0" w:line="240" w:lineRule="auto"/>
      </w:pPr>
    </w:p>
  </w:footnote>
  <w:footnote w:id="2">
    <w:p w14:paraId="3214DB52" w14:textId="0976A051" w:rsidR="00E7227C" w:rsidRDefault="00E7227C">
      <w:pPr>
        <w:pStyle w:val="FootnoteText"/>
      </w:pPr>
      <w:r>
        <w:rPr>
          <w:rStyle w:val="FootnoteReference"/>
        </w:rPr>
        <w:footnoteRef/>
      </w:r>
      <w:r>
        <w:t xml:space="preserve"> </w:t>
      </w:r>
      <w:r w:rsidRPr="46A255CA">
        <w:rPr>
          <w:rFonts w:eastAsia="Times New Roman"/>
          <w:lang w:val="en-US" w:eastAsia="en-AU"/>
        </w:rPr>
        <w:t xml:space="preserve">The proportion of children who were developmentally </w:t>
      </w:r>
      <w:r>
        <w:rPr>
          <w:rFonts w:eastAsia="Times New Roman"/>
          <w:lang w:val="en-US" w:eastAsia="en-AU"/>
        </w:rPr>
        <w:t>on track</w:t>
      </w:r>
      <w:r w:rsidRPr="46A255CA">
        <w:rPr>
          <w:rFonts w:eastAsia="Times New Roman"/>
          <w:lang w:val="en-US" w:eastAsia="en-AU"/>
        </w:rPr>
        <w:t xml:space="preserve"> on all domains was calculated by dividing the number of children who were classified as developmentally </w:t>
      </w:r>
      <w:r>
        <w:rPr>
          <w:rFonts w:eastAsia="Times New Roman"/>
          <w:lang w:val="en-US" w:eastAsia="en-AU"/>
        </w:rPr>
        <w:t>on track</w:t>
      </w:r>
      <w:r w:rsidRPr="46A255CA">
        <w:rPr>
          <w:rFonts w:eastAsia="Times New Roman"/>
          <w:lang w:val="en-US" w:eastAsia="en-AU"/>
        </w:rPr>
        <w:t xml:space="preserve"> on all five of the AEDC domains by the total number of children who had valid domain scores in all five AEDC domains.</w:t>
      </w:r>
      <w:r>
        <w:rPr>
          <w:rFonts w:eastAsia="Times New Roman"/>
          <w:lang w:val="en-US" w:eastAsia="en-AU"/>
        </w:rPr>
        <w:t xml:space="preserve"> </w:t>
      </w:r>
      <w:r>
        <w:t>This definition is different to the AEDC OT5 indicator</w:t>
      </w:r>
      <w:r w:rsidR="0052537E">
        <w:t>.</w:t>
      </w:r>
      <w:r w:rsidR="00077A43">
        <w:t xml:space="preserve"> </w:t>
      </w:r>
      <w:r w:rsidR="0052537E">
        <w:t>F</w:t>
      </w:r>
      <w:r>
        <w:t>or details, see</w:t>
      </w:r>
      <w:r w:rsidR="00386317">
        <w:t xml:space="preserve"> the</w:t>
      </w:r>
      <w:r>
        <w:t xml:space="preserve"> </w:t>
      </w:r>
      <w:r w:rsidRPr="00386317">
        <w:rPr>
          <w:i/>
          <w:iCs/>
        </w:rPr>
        <w:t>Methodology</w:t>
      </w:r>
      <w:r>
        <w:t xml:space="preserve"> section.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BE5E933A"/>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A25075CE"/>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7AD01FBA"/>
    <w:lvl w:ilvl="0">
      <w:start w:val="1"/>
      <w:numFmt w:val="decimal"/>
      <w:lvlText w:val="%1."/>
      <w:lvlJc w:val="left"/>
      <w:pPr>
        <w:ind w:left="644" w:hanging="360"/>
      </w:pPr>
    </w:lvl>
  </w:abstractNum>
  <w:abstractNum w:abstractNumId="3" w15:restartNumberingAfterBreak="0">
    <w:nsid w:val="FFFFFF81"/>
    <w:multiLevelType w:val="singleLevel"/>
    <w:tmpl w:val="48485D64"/>
    <w:lvl w:ilvl="0">
      <w:start w:val="1"/>
      <w:numFmt w:val="bullet"/>
      <w:lvlText w:val=""/>
      <w:lvlJc w:val="left"/>
      <w:pPr>
        <w:ind w:left="1211" w:hanging="360"/>
      </w:pPr>
      <w:rPr>
        <w:rFonts w:ascii="Wingdings" w:hAnsi="Wingdings" w:hint="default"/>
      </w:rPr>
    </w:lvl>
  </w:abstractNum>
  <w:abstractNum w:abstractNumId="4" w15:restartNumberingAfterBreak="0">
    <w:nsid w:val="FFFFFF82"/>
    <w:multiLevelType w:val="singleLevel"/>
    <w:tmpl w:val="381281B4"/>
    <w:lvl w:ilvl="0">
      <w:start w:val="1"/>
      <w:numFmt w:val="bullet"/>
      <w:lvlText w:val="o"/>
      <w:lvlJc w:val="left"/>
      <w:pPr>
        <w:ind w:left="927" w:hanging="360"/>
      </w:pPr>
      <w:rPr>
        <w:rFonts w:ascii="Courier New" w:hAnsi="Courier New" w:cs="Courier New" w:hint="default"/>
      </w:rPr>
    </w:lvl>
  </w:abstractNum>
  <w:abstractNum w:abstractNumId="5" w15:restartNumberingAfterBreak="0">
    <w:nsid w:val="FFFFFF83"/>
    <w:multiLevelType w:val="singleLevel"/>
    <w:tmpl w:val="D1D69E74"/>
    <w:lvl w:ilvl="0">
      <w:start w:val="1"/>
      <w:numFmt w:val="bullet"/>
      <w:lvlText w:val=""/>
      <w:lvlJc w:val="left"/>
      <w:pPr>
        <w:ind w:left="644" w:hanging="360"/>
      </w:pPr>
      <w:rPr>
        <w:rFonts w:ascii="Symbol" w:hAnsi="Symbol" w:hint="default"/>
      </w:rPr>
    </w:lvl>
  </w:abstractNum>
  <w:abstractNum w:abstractNumId="6" w15:restartNumberingAfterBreak="0">
    <w:nsid w:val="FFFFFF89"/>
    <w:multiLevelType w:val="singleLevel"/>
    <w:tmpl w:val="B366C77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0F61843"/>
    <w:multiLevelType w:val="hybridMultilevel"/>
    <w:tmpl w:val="14B6E49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2BA3888"/>
    <w:multiLevelType w:val="hybridMultilevel"/>
    <w:tmpl w:val="ED706C2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5CA532E"/>
    <w:multiLevelType w:val="hybridMultilevel"/>
    <w:tmpl w:val="3328CEDC"/>
    <w:lvl w:ilvl="0" w:tplc="5F72EC8A">
      <w:start w:val="1"/>
      <w:numFmt w:val="lowerLetter"/>
      <w:lvlText w:val="%1."/>
      <w:lvlJc w:val="left"/>
      <w:pPr>
        <w:ind w:left="1004" w:hanging="360"/>
      </w:pPr>
    </w:lvl>
    <w:lvl w:ilvl="1" w:tplc="20DAB87E" w:tentative="1">
      <w:start w:val="1"/>
      <w:numFmt w:val="lowerLetter"/>
      <w:lvlText w:val="%2."/>
      <w:lvlJc w:val="left"/>
      <w:pPr>
        <w:ind w:left="1724" w:hanging="360"/>
      </w:pPr>
    </w:lvl>
    <w:lvl w:ilvl="2" w:tplc="37AC11BC" w:tentative="1">
      <w:start w:val="1"/>
      <w:numFmt w:val="lowerRoman"/>
      <w:lvlText w:val="%3."/>
      <w:lvlJc w:val="right"/>
      <w:pPr>
        <w:ind w:left="2444" w:hanging="180"/>
      </w:pPr>
    </w:lvl>
    <w:lvl w:ilvl="3" w:tplc="A2C630B0" w:tentative="1">
      <w:start w:val="1"/>
      <w:numFmt w:val="decimal"/>
      <w:lvlText w:val="%4."/>
      <w:lvlJc w:val="left"/>
      <w:pPr>
        <w:ind w:left="3164" w:hanging="360"/>
      </w:pPr>
    </w:lvl>
    <w:lvl w:ilvl="4" w:tplc="245C2FCE" w:tentative="1">
      <w:start w:val="1"/>
      <w:numFmt w:val="lowerLetter"/>
      <w:lvlText w:val="%5."/>
      <w:lvlJc w:val="left"/>
      <w:pPr>
        <w:ind w:left="3884" w:hanging="360"/>
      </w:pPr>
    </w:lvl>
    <w:lvl w:ilvl="5" w:tplc="75B6245C" w:tentative="1">
      <w:start w:val="1"/>
      <w:numFmt w:val="lowerRoman"/>
      <w:lvlText w:val="%6."/>
      <w:lvlJc w:val="right"/>
      <w:pPr>
        <w:ind w:left="4604" w:hanging="180"/>
      </w:pPr>
    </w:lvl>
    <w:lvl w:ilvl="6" w:tplc="52BC4F40" w:tentative="1">
      <w:start w:val="1"/>
      <w:numFmt w:val="decimal"/>
      <w:lvlText w:val="%7."/>
      <w:lvlJc w:val="left"/>
      <w:pPr>
        <w:ind w:left="5324" w:hanging="360"/>
      </w:pPr>
    </w:lvl>
    <w:lvl w:ilvl="7" w:tplc="C75CC54A" w:tentative="1">
      <w:start w:val="1"/>
      <w:numFmt w:val="lowerLetter"/>
      <w:lvlText w:val="%8."/>
      <w:lvlJc w:val="left"/>
      <w:pPr>
        <w:ind w:left="6044" w:hanging="360"/>
      </w:pPr>
    </w:lvl>
    <w:lvl w:ilvl="8" w:tplc="3692CE6C" w:tentative="1">
      <w:start w:val="1"/>
      <w:numFmt w:val="lowerRoman"/>
      <w:lvlText w:val="%9."/>
      <w:lvlJc w:val="right"/>
      <w:pPr>
        <w:ind w:left="6764" w:hanging="180"/>
      </w:pPr>
    </w:lvl>
  </w:abstractNum>
  <w:abstractNum w:abstractNumId="10"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CEC77A0"/>
    <w:multiLevelType w:val="hybridMultilevel"/>
    <w:tmpl w:val="E99A4094"/>
    <w:name w:val="EDU - Bullet List2"/>
    <w:lvl w:ilvl="0" w:tplc="034CB666">
      <w:start w:val="1"/>
      <w:numFmt w:val="bullet"/>
      <w:pStyle w:val="ListBullet4"/>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2" w15:restartNumberingAfterBreak="0">
    <w:nsid w:val="106D6611"/>
    <w:multiLevelType w:val="hybridMultilevel"/>
    <w:tmpl w:val="DC2ACC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85F22C0"/>
    <w:multiLevelType w:val="hybridMultilevel"/>
    <w:tmpl w:val="F9A859DC"/>
    <w:lvl w:ilvl="0" w:tplc="2272C362">
      <w:start w:val="1"/>
      <w:numFmt w:val="bullet"/>
      <w:lvlText w:val=""/>
      <w:lvlJc w:val="left"/>
      <w:pPr>
        <w:ind w:left="1571" w:hanging="360"/>
      </w:pPr>
      <w:rPr>
        <w:rFonts w:ascii="Symbol" w:hAnsi="Symbol" w:hint="default"/>
      </w:rPr>
    </w:lvl>
    <w:lvl w:ilvl="1" w:tplc="3D1E20AA">
      <w:start w:val="1"/>
      <w:numFmt w:val="bullet"/>
      <w:lvlText w:val="o"/>
      <w:lvlJc w:val="left"/>
      <w:pPr>
        <w:ind w:left="2291" w:hanging="360"/>
      </w:pPr>
      <w:rPr>
        <w:rFonts w:ascii="Courier New" w:hAnsi="Courier New" w:cs="Courier New" w:hint="default"/>
      </w:rPr>
    </w:lvl>
    <w:lvl w:ilvl="2" w:tplc="83E2F034">
      <w:start w:val="1"/>
      <w:numFmt w:val="bullet"/>
      <w:lvlText w:val=""/>
      <w:lvlJc w:val="left"/>
      <w:pPr>
        <w:ind w:left="3011" w:hanging="360"/>
      </w:pPr>
      <w:rPr>
        <w:rFonts w:ascii="Wingdings" w:hAnsi="Wingdings" w:hint="default"/>
      </w:rPr>
    </w:lvl>
    <w:lvl w:ilvl="3" w:tplc="89D06022" w:tentative="1">
      <w:start w:val="1"/>
      <w:numFmt w:val="bullet"/>
      <w:lvlText w:val=""/>
      <w:lvlJc w:val="left"/>
      <w:pPr>
        <w:ind w:left="3731" w:hanging="360"/>
      </w:pPr>
      <w:rPr>
        <w:rFonts w:ascii="Symbol" w:hAnsi="Symbol" w:hint="default"/>
      </w:rPr>
    </w:lvl>
    <w:lvl w:ilvl="4" w:tplc="666CA7AC" w:tentative="1">
      <w:start w:val="1"/>
      <w:numFmt w:val="bullet"/>
      <w:lvlText w:val="o"/>
      <w:lvlJc w:val="left"/>
      <w:pPr>
        <w:ind w:left="4451" w:hanging="360"/>
      </w:pPr>
      <w:rPr>
        <w:rFonts w:ascii="Courier New" w:hAnsi="Courier New" w:cs="Courier New" w:hint="default"/>
      </w:rPr>
    </w:lvl>
    <w:lvl w:ilvl="5" w:tplc="E36C41EA" w:tentative="1">
      <w:start w:val="1"/>
      <w:numFmt w:val="bullet"/>
      <w:lvlText w:val=""/>
      <w:lvlJc w:val="left"/>
      <w:pPr>
        <w:ind w:left="5171" w:hanging="360"/>
      </w:pPr>
      <w:rPr>
        <w:rFonts w:ascii="Wingdings" w:hAnsi="Wingdings" w:hint="default"/>
      </w:rPr>
    </w:lvl>
    <w:lvl w:ilvl="6" w:tplc="35044292" w:tentative="1">
      <w:start w:val="1"/>
      <w:numFmt w:val="bullet"/>
      <w:lvlText w:val=""/>
      <w:lvlJc w:val="left"/>
      <w:pPr>
        <w:ind w:left="5891" w:hanging="360"/>
      </w:pPr>
      <w:rPr>
        <w:rFonts w:ascii="Symbol" w:hAnsi="Symbol" w:hint="default"/>
      </w:rPr>
    </w:lvl>
    <w:lvl w:ilvl="7" w:tplc="50D4435C" w:tentative="1">
      <w:start w:val="1"/>
      <w:numFmt w:val="bullet"/>
      <w:lvlText w:val="o"/>
      <w:lvlJc w:val="left"/>
      <w:pPr>
        <w:ind w:left="6611" w:hanging="360"/>
      </w:pPr>
      <w:rPr>
        <w:rFonts w:ascii="Courier New" w:hAnsi="Courier New" w:cs="Courier New" w:hint="default"/>
      </w:rPr>
    </w:lvl>
    <w:lvl w:ilvl="8" w:tplc="7F78BE48" w:tentative="1">
      <w:start w:val="1"/>
      <w:numFmt w:val="bullet"/>
      <w:lvlText w:val=""/>
      <w:lvlJc w:val="left"/>
      <w:pPr>
        <w:ind w:left="7331" w:hanging="360"/>
      </w:pPr>
      <w:rPr>
        <w:rFonts w:ascii="Wingdings" w:hAnsi="Wingdings" w:hint="default"/>
      </w:rPr>
    </w:lvl>
  </w:abstractNum>
  <w:abstractNum w:abstractNumId="14" w15:restartNumberingAfterBreak="0">
    <w:nsid w:val="18FF1AB7"/>
    <w:multiLevelType w:val="multilevel"/>
    <w:tmpl w:val="4F68E302"/>
    <w:name w:val="EDU - Bullet List"/>
    <w:lvl w:ilvl="0">
      <w:start w:val="1"/>
      <w:numFmt w:val="bullet"/>
      <w:pStyle w:val="ListBullet"/>
      <w:lvlText w:val=""/>
      <w:lvlJc w:val="left"/>
      <w:pPr>
        <w:ind w:left="360" w:hanging="360"/>
      </w:pPr>
      <w:rPr>
        <w:rFonts w:ascii="Symbol" w:hAnsi="Symbol" w:hint="default"/>
      </w:rPr>
    </w:lvl>
    <w:lvl w:ilvl="1">
      <w:start w:val="1"/>
      <w:numFmt w:val="none"/>
      <w:pStyle w:val="ListBullet2"/>
      <w:lvlText w:val="%2–"/>
      <w:lvlJc w:val="left"/>
      <w:pPr>
        <w:ind w:left="284" w:firstLine="283"/>
      </w:pPr>
      <w:rPr>
        <w:rFonts w:hint="default"/>
      </w:rPr>
    </w:lvl>
    <w:lvl w:ilvl="2">
      <w:start w:val="1"/>
      <w:numFmt w:val="none"/>
      <w:lvlText w:val="%3o"/>
      <w:lvlJc w:val="right"/>
      <w:pPr>
        <w:ind w:left="567" w:firstLine="284"/>
      </w:pPr>
      <w:rPr>
        <w:rFonts w:hint="default"/>
      </w:rPr>
    </w:lvl>
    <w:lvl w:ilvl="3">
      <w:start w:val="1"/>
      <w:numFmt w:val="none"/>
      <w:lvlText w:val="%4"/>
      <w:lvlJc w:val="left"/>
      <w:pPr>
        <w:ind w:left="851" w:firstLine="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2E176387"/>
    <w:multiLevelType w:val="hybridMultilevel"/>
    <w:tmpl w:val="67D834B8"/>
    <w:lvl w:ilvl="0" w:tplc="AF109C9E">
      <w:start w:val="1"/>
      <w:numFmt w:val="lowerRoman"/>
      <w:lvlText w:val="%1."/>
      <w:lvlJc w:val="right"/>
      <w:pPr>
        <w:ind w:left="1287" w:hanging="360"/>
      </w:pPr>
    </w:lvl>
    <w:lvl w:ilvl="1" w:tplc="DFB2596A" w:tentative="1">
      <w:start w:val="1"/>
      <w:numFmt w:val="lowerLetter"/>
      <w:lvlText w:val="%2."/>
      <w:lvlJc w:val="left"/>
      <w:pPr>
        <w:ind w:left="2007" w:hanging="360"/>
      </w:pPr>
    </w:lvl>
    <w:lvl w:ilvl="2" w:tplc="B422FE9A" w:tentative="1">
      <w:start w:val="1"/>
      <w:numFmt w:val="lowerRoman"/>
      <w:lvlText w:val="%3."/>
      <w:lvlJc w:val="right"/>
      <w:pPr>
        <w:ind w:left="2727" w:hanging="180"/>
      </w:pPr>
    </w:lvl>
    <w:lvl w:ilvl="3" w:tplc="F6D87112" w:tentative="1">
      <w:start w:val="1"/>
      <w:numFmt w:val="decimal"/>
      <w:lvlText w:val="%4."/>
      <w:lvlJc w:val="left"/>
      <w:pPr>
        <w:ind w:left="3447" w:hanging="360"/>
      </w:pPr>
    </w:lvl>
    <w:lvl w:ilvl="4" w:tplc="38768D0A" w:tentative="1">
      <w:start w:val="1"/>
      <w:numFmt w:val="lowerLetter"/>
      <w:lvlText w:val="%5."/>
      <w:lvlJc w:val="left"/>
      <w:pPr>
        <w:ind w:left="4167" w:hanging="360"/>
      </w:pPr>
    </w:lvl>
    <w:lvl w:ilvl="5" w:tplc="44F0FA08" w:tentative="1">
      <w:start w:val="1"/>
      <w:numFmt w:val="lowerRoman"/>
      <w:lvlText w:val="%6."/>
      <w:lvlJc w:val="right"/>
      <w:pPr>
        <w:ind w:left="4887" w:hanging="180"/>
      </w:pPr>
    </w:lvl>
    <w:lvl w:ilvl="6" w:tplc="CE982EA8" w:tentative="1">
      <w:start w:val="1"/>
      <w:numFmt w:val="decimal"/>
      <w:lvlText w:val="%7."/>
      <w:lvlJc w:val="left"/>
      <w:pPr>
        <w:ind w:left="5607" w:hanging="360"/>
      </w:pPr>
    </w:lvl>
    <w:lvl w:ilvl="7" w:tplc="6838AD0C" w:tentative="1">
      <w:start w:val="1"/>
      <w:numFmt w:val="lowerLetter"/>
      <w:lvlText w:val="%8."/>
      <w:lvlJc w:val="left"/>
      <w:pPr>
        <w:ind w:left="6327" w:hanging="360"/>
      </w:pPr>
    </w:lvl>
    <w:lvl w:ilvl="8" w:tplc="2CB4657C" w:tentative="1">
      <w:start w:val="1"/>
      <w:numFmt w:val="lowerRoman"/>
      <w:lvlText w:val="%9."/>
      <w:lvlJc w:val="right"/>
      <w:pPr>
        <w:ind w:left="7047" w:hanging="180"/>
      </w:pPr>
    </w:lvl>
  </w:abstractNum>
  <w:abstractNum w:abstractNumId="16" w15:restartNumberingAfterBreak="0">
    <w:nsid w:val="2E646829"/>
    <w:multiLevelType w:val="multilevel"/>
    <w:tmpl w:val="74B00926"/>
    <w:name w:val="EDU - List Number"/>
    <w:lvl w:ilvl="0">
      <w:start w:val="1"/>
      <w:numFmt w:val="decimal"/>
      <w:pStyle w:val="ListNumber"/>
      <w:lvlText w:val="%1."/>
      <w:lvlJc w:val="left"/>
      <w:pPr>
        <w:ind w:left="397" w:hanging="397"/>
      </w:pPr>
      <w:rPr>
        <w:rFonts w:hint="default"/>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814" w:hanging="850"/>
      </w:pPr>
      <w:rPr>
        <w:rFonts w:hint="default"/>
      </w:rPr>
    </w:lvl>
    <w:lvl w:ilvl="3">
      <w:start w:val="1"/>
      <w:numFmt w:val="decimal"/>
      <w:pStyle w:val="ListNumber4"/>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59A13CA9"/>
    <w:multiLevelType w:val="hybridMultilevel"/>
    <w:tmpl w:val="6752283A"/>
    <w:lvl w:ilvl="0" w:tplc="E13A2ED8">
      <w:start w:val="1"/>
      <w:numFmt w:val="decimal"/>
      <w:lvlText w:val="(%1)"/>
      <w:lvlJc w:val="left"/>
      <w:pPr>
        <w:ind w:left="405" w:hanging="360"/>
      </w:pPr>
      <w:rPr>
        <w:rFonts w:hint="default"/>
      </w:rPr>
    </w:lvl>
    <w:lvl w:ilvl="1" w:tplc="0C090019" w:tentative="1">
      <w:start w:val="1"/>
      <w:numFmt w:val="lowerLetter"/>
      <w:lvlText w:val="%2."/>
      <w:lvlJc w:val="left"/>
      <w:pPr>
        <w:ind w:left="1125" w:hanging="360"/>
      </w:pPr>
    </w:lvl>
    <w:lvl w:ilvl="2" w:tplc="0C09001B" w:tentative="1">
      <w:start w:val="1"/>
      <w:numFmt w:val="lowerRoman"/>
      <w:lvlText w:val="%3."/>
      <w:lvlJc w:val="right"/>
      <w:pPr>
        <w:ind w:left="1845" w:hanging="180"/>
      </w:pPr>
    </w:lvl>
    <w:lvl w:ilvl="3" w:tplc="0C09000F" w:tentative="1">
      <w:start w:val="1"/>
      <w:numFmt w:val="decimal"/>
      <w:lvlText w:val="%4."/>
      <w:lvlJc w:val="left"/>
      <w:pPr>
        <w:ind w:left="2565" w:hanging="360"/>
      </w:pPr>
    </w:lvl>
    <w:lvl w:ilvl="4" w:tplc="0C090019" w:tentative="1">
      <w:start w:val="1"/>
      <w:numFmt w:val="lowerLetter"/>
      <w:lvlText w:val="%5."/>
      <w:lvlJc w:val="left"/>
      <w:pPr>
        <w:ind w:left="3285" w:hanging="360"/>
      </w:pPr>
    </w:lvl>
    <w:lvl w:ilvl="5" w:tplc="0C09001B" w:tentative="1">
      <w:start w:val="1"/>
      <w:numFmt w:val="lowerRoman"/>
      <w:lvlText w:val="%6."/>
      <w:lvlJc w:val="right"/>
      <w:pPr>
        <w:ind w:left="4005" w:hanging="180"/>
      </w:pPr>
    </w:lvl>
    <w:lvl w:ilvl="6" w:tplc="0C09000F" w:tentative="1">
      <w:start w:val="1"/>
      <w:numFmt w:val="decimal"/>
      <w:lvlText w:val="%7."/>
      <w:lvlJc w:val="left"/>
      <w:pPr>
        <w:ind w:left="4725" w:hanging="360"/>
      </w:pPr>
    </w:lvl>
    <w:lvl w:ilvl="7" w:tplc="0C090019" w:tentative="1">
      <w:start w:val="1"/>
      <w:numFmt w:val="lowerLetter"/>
      <w:lvlText w:val="%8."/>
      <w:lvlJc w:val="left"/>
      <w:pPr>
        <w:ind w:left="5445" w:hanging="360"/>
      </w:pPr>
    </w:lvl>
    <w:lvl w:ilvl="8" w:tplc="0C09001B" w:tentative="1">
      <w:start w:val="1"/>
      <w:numFmt w:val="lowerRoman"/>
      <w:lvlText w:val="%9."/>
      <w:lvlJc w:val="right"/>
      <w:pPr>
        <w:ind w:left="6165" w:hanging="180"/>
      </w:pPr>
    </w:lvl>
  </w:abstractNum>
  <w:abstractNum w:abstractNumId="19" w15:restartNumberingAfterBreak="0">
    <w:nsid w:val="5B371FF6"/>
    <w:multiLevelType w:val="multilevel"/>
    <w:tmpl w:val="D50A6CB8"/>
    <w:name w:val="EDU - Alpha List"/>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6F124EC4"/>
    <w:multiLevelType w:val="hybridMultilevel"/>
    <w:tmpl w:val="3482D790"/>
    <w:lvl w:ilvl="0" w:tplc="2CC6FEA4">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73A3173E"/>
    <w:multiLevelType w:val="hybridMultilevel"/>
    <w:tmpl w:val="A5E4CC6E"/>
    <w:name w:val="EDU - Bullet List22"/>
    <w:lvl w:ilvl="0" w:tplc="F260E872">
      <w:start w:val="1"/>
      <w:numFmt w:val="bullet"/>
      <w:pStyle w:val="ListBullet3"/>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2" w15:restartNumberingAfterBreak="0">
    <w:nsid w:val="7A666C88"/>
    <w:multiLevelType w:val="hybridMultilevel"/>
    <w:tmpl w:val="BBC27208"/>
    <w:lvl w:ilvl="0" w:tplc="0C090003">
      <w:start w:val="1"/>
      <w:numFmt w:val="bullet"/>
      <w:lvlText w:val="o"/>
      <w:lvlJc w:val="left"/>
      <w:pPr>
        <w:ind w:left="1800" w:hanging="360"/>
      </w:pPr>
      <w:rPr>
        <w:rFonts w:ascii="Courier New" w:hAnsi="Courier New" w:cs="Courier New"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num w:numId="1" w16cid:durableId="1870803065">
    <w:abstractNumId w:val="14"/>
  </w:num>
  <w:num w:numId="2" w16cid:durableId="1144616732">
    <w:abstractNumId w:val="5"/>
  </w:num>
  <w:num w:numId="3" w16cid:durableId="979309186">
    <w:abstractNumId w:val="4"/>
  </w:num>
  <w:num w:numId="4" w16cid:durableId="144787752">
    <w:abstractNumId w:val="3"/>
  </w:num>
  <w:num w:numId="5" w16cid:durableId="934556078">
    <w:abstractNumId w:val="16"/>
  </w:num>
  <w:num w:numId="6" w16cid:durableId="816344236">
    <w:abstractNumId w:val="2"/>
  </w:num>
  <w:num w:numId="7" w16cid:durableId="1908612059">
    <w:abstractNumId w:val="1"/>
  </w:num>
  <w:num w:numId="8" w16cid:durableId="1618215078">
    <w:abstractNumId w:val="0"/>
  </w:num>
  <w:num w:numId="9" w16cid:durableId="1850677422">
    <w:abstractNumId w:val="15"/>
  </w:num>
  <w:num w:numId="10" w16cid:durableId="1599946406">
    <w:abstractNumId w:val="9"/>
  </w:num>
  <w:num w:numId="11" w16cid:durableId="714038629">
    <w:abstractNumId w:val="20"/>
  </w:num>
  <w:num w:numId="12" w16cid:durableId="1728914001">
    <w:abstractNumId w:val="13"/>
  </w:num>
  <w:num w:numId="13" w16cid:durableId="178561198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57727262">
    <w:abstractNumId w:val="11"/>
  </w:num>
  <w:num w:numId="15" w16cid:durableId="268391646">
    <w:abstractNumId w:val="6"/>
  </w:num>
  <w:num w:numId="16" w16cid:durableId="1261833621">
    <w:abstractNumId w:val="21"/>
  </w:num>
  <w:num w:numId="17" w16cid:durableId="2029670193">
    <w:abstractNumId w:val="17"/>
  </w:num>
  <w:num w:numId="18" w16cid:durableId="887570554">
    <w:abstractNumId w:val="10"/>
  </w:num>
  <w:num w:numId="19" w16cid:durableId="147789394">
    <w:abstractNumId w:val="19"/>
  </w:num>
  <w:num w:numId="20" w16cid:durableId="714887936">
    <w:abstractNumId w:val="7"/>
  </w:num>
  <w:num w:numId="21" w16cid:durableId="834954479">
    <w:abstractNumId w:val="18"/>
  </w:num>
  <w:num w:numId="22" w16cid:durableId="466897981">
    <w:abstractNumId w:val="8"/>
  </w:num>
  <w:num w:numId="23" w16cid:durableId="510994611">
    <w:abstractNumId w:val="12"/>
  </w:num>
  <w:num w:numId="24" w16cid:durableId="160492205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efaultTableStyle w:val="EDU-Basic"/>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228"/>
    <w:rsid w:val="00012366"/>
    <w:rsid w:val="00021FBE"/>
    <w:rsid w:val="000451CA"/>
    <w:rsid w:val="000521D7"/>
    <w:rsid w:val="00077A43"/>
    <w:rsid w:val="00086E59"/>
    <w:rsid w:val="00090381"/>
    <w:rsid w:val="00090C8B"/>
    <w:rsid w:val="000A0B58"/>
    <w:rsid w:val="000A6228"/>
    <w:rsid w:val="000B5D40"/>
    <w:rsid w:val="000B6410"/>
    <w:rsid w:val="000B7EC6"/>
    <w:rsid w:val="000D07B8"/>
    <w:rsid w:val="000D17B3"/>
    <w:rsid w:val="000D791E"/>
    <w:rsid w:val="000F39E1"/>
    <w:rsid w:val="000F710E"/>
    <w:rsid w:val="00103299"/>
    <w:rsid w:val="00107D87"/>
    <w:rsid w:val="00107DD5"/>
    <w:rsid w:val="00110C5D"/>
    <w:rsid w:val="0012343A"/>
    <w:rsid w:val="00133B8D"/>
    <w:rsid w:val="0013603A"/>
    <w:rsid w:val="0013611E"/>
    <w:rsid w:val="001453B7"/>
    <w:rsid w:val="001515BF"/>
    <w:rsid w:val="00153E4E"/>
    <w:rsid w:val="00157DF7"/>
    <w:rsid w:val="0017104B"/>
    <w:rsid w:val="0017134D"/>
    <w:rsid w:val="0017436F"/>
    <w:rsid w:val="001810E6"/>
    <w:rsid w:val="0018239A"/>
    <w:rsid w:val="0019108B"/>
    <w:rsid w:val="001B56BD"/>
    <w:rsid w:val="001C0AE2"/>
    <w:rsid w:val="001C1523"/>
    <w:rsid w:val="001E1BBD"/>
    <w:rsid w:val="001F3930"/>
    <w:rsid w:val="00221D8F"/>
    <w:rsid w:val="002272DB"/>
    <w:rsid w:val="00227ED6"/>
    <w:rsid w:val="00234939"/>
    <w:rsid w:val="002361D6"/>
    <w:rsid w:val="00255531"/>
    <w:rsid w:val="00255872"/>
    <w:rsid w:val="002631B0"/>
    <w:rsid w:val="00276047"/>
    <w:rsid w:val="002A4458"/>
    <w:rsid w:val="002A63D1"/>
    <w:rsid w:val="002B3F6B"/>
    <w:rsid w:val="002C631E"/>
    <w:rsid w:val="002D589A"/>
    <w:rsid w:val="002E1B79"/>
    <w:rsid w:val="002E39E5"/>
    <w:rsid w:val="002E491A"/>
    <w:rsid w:val="002F25DC"/>
    <w:rsid w:val="00301F72"/>
    <w:rsid w:val="00313809"/>
    <w:rsid w:val="00342B30"/>
    <w:rsid w:val="003433C1"/>
    <w:rsid w:val="003456B6"/>
    <w:rsid w:val="00352533"/>
    <w:rsid w:val="003607F4"/>
    <w:rsid w:val="003832D9"/>
    <w:rsid w:val="00385775"/>
    <w:rsid w:val="00386317"/>
    <w:rsid w:val="003922C4"/>
    <w:rsid w:val="003A5451"/>
    <w:rsid w:val="003A72E2"/>
    <w:rsid w:val="003B2629"/>
    <w:rsid w:val="003C2712"/>
    <w:rsid w:val="003D5BD4"/>
    <w:rsid w:val="003F3666"/>
    <w:rsid w:val="003F6AF4"/>
    <w:rsid w:val="00400FE9"/>
    <w:rsid w:val="0040155D"/>
    <w:rsid w:val="004040A8"/>
    <w:rsid w:val="0041713E"/>
    <w:rsid w:val="00421D3F"/>
    <w:rsid w:val="004226C5"/>
    <w:rsid w:val="00423785"/>
    <w:rsid w:val="00426A84"/>
    <w:rsid w:val="0043599F"/>
    <w:rsid w:val="004458BB"/>
    <w:rsid w:val="00452D26"/>
    <w:rsid w:val="00455FBA"/>
    <w:rsid w:val="00461F7F"/>
    <w:rsid w:val="00474C9E"/>
    <w:rsid w:val="0049135C"/>
    <w:rsid w:val="004A06CD"/>
    <w:rsid w:val="004A4B6F"/>
    <w:rsid w:val="004A4CF9"/>
    <w:rsid w:val="004A54DF"/>
    <w:rsid w:val="004A754D"/>
    <w:rsid w:val="004C1F07"/>
    <w:rsid w:val="004D2965"/>
    <w:rsid w:val="004D2D9D"/>
    <w:rsid w:val="004F07BF"/>
    <w:rsid w:val="004F2980"/>
    <w:rsid w:val="004F5454"/>
    <w:rsid w:val="00501904"/>
    <w:rsid w:val="0051131E"/>
    <w:rsid w:val="0052008E"/>
    <w:rsid w:val="0052537E"/>
    <w:rsid w:val="00542543"/>
    <w:rsid w:val="0054254B"/>
    <w:rsid w:val="00567496"/>
    <w:rsid w:val="00590FD9"/>
    <w:rsid w:val="00597625"/>
    <w:rsid w:val="005A1AA8"/>
    <w:rsid w:val="005A7104"/>
    <w:rsid w:val="005A75C9"/>
    <w:rsid w:val="005B187D"/>
    <w:rsid w:val="005B4481"/>
    <w:rsid w:val="005B6ABC"/>
    <w:rsid w:val="005C0559"/>
    <w:rsid w:val="005D584D"/>
    <w:rsid w:val="005F4121"/>
    <w:rsid w:val="005F70C2"/>
    <w:rsid w:val="00601E7D"/>
    <w:rsid w:val="0060356A"/>
    <w:rsid w:val="0062316D"/>
    <w:rsid w:val="006232DC"/>
    <w:rsid w:val="0063094F"/>
    <w:rsid w:val="0063549A"/>
    <w:rsid w:val="00636C00"/>
    <w:rsid w:val="00644613"/>
    <w:rsid w:val="00657337"/>
    <w:rsid w:val="006622F6"/>
    <w:rsid w:val="006705C1"/>
    <w:rsid w:val="00685C5B"/>
    <w:rsid w:val="0068659C"/>
    <w:rsid w:val="006B2AA2"/>
    <w:rsid w:val="006D2E1E"/>
    <w:rsid w:val="006D4346"/>
    <w:rsid w:val="006D67F3"/>
    <w:rsid w:val="006E6E87"/>
    <w:rsid w:val="006F1FFF"/>
    <w:rsid w:val="006F6D10"/>
    <w:rsid w:val="00712B94"/>
    <w:rsid w:val="00715641"/>
    <w:rsid w:val="00761AFD"/>
    <w:rsid w:val="00763681"/>
    <w:rsid w:val="007726DF"/>
    <w:rsid w:val="007A75A7"/>
    <w:rsid w:val="007B2CA1"/>
    <w:rsid w:val="007B645D"/>
    <w:rsid w:val="007C21F4"/>
    <w:rsid w:val="007D0ABC"/>
    <w:rsid w:val="007E50D7"/>
    <w:rsid w:val="008042F5"/>
    <w:rsid w:val="00805E49"/>
    <w:rsid w:val="0081370A"/>
    <w:rsid w:val="00813F33"/>
    <w:rsid w:val="0082435A"/>
    <w:rsid w:val="00824F71"/>
    <w:rsid w:val="00830B19"/>
    <w:rsid w:val="00845324"/>
    <w:rsid w:val="0084590B"/>
    <w:rsid w:val="008562BA"/>
    <w:rsid w:val="00860864"/>
    <w:rsid w:val="00862CF9"/>
    <w:rsid w:val="00874126"/>
    <w:rsid w:val="00876648"/>
    <w:rsid w:val="00886959"/>
    <w:rsid w:val="00886AAC"/>
    <w:rsid w:val="00886E9C"/>
    <w:rsid w:val="008926F1"/>
    <w:rsid w:val="00892CC5"/>
    <w:rsid w:val="00893A34"/>
    <w:rsid w:val="008943DF"/>
    <w:rsid w:val="008A36E1"/>
    <w:rsid w:val="008A37A7"/>
    <w:rsid w:val="008A68DB"/>
    <w:rsid w:val="008B0736"/>
    <w:rsid w:val="008B25C7"/>
    <w:rsid w:val="008B5FDB"/>
    <w:rsid w:val="008B7C2D"/>
    <w:rsid w:val="008C0688"/>
    <w:rsid w:val="008C3992"/>
    <w:rsid w:val="008E70F5"/>
    <w:rsid w:val="008F2075"/>
    <w:rsid w:val="009036C1"/>
    <w:rsid w:val="00913C5D"/>
    <w:rsid w:val="009229C9"/>
    <w:rsid w:val="00926018"/>
    <w:rsid w:val="00930BBC"/>
    <w:rsid w:val="00931A2B"/>
    <w:rsid w:val="0093537C"/>
    <w:rsid w:val="00935D4C"/>
    <w:rsid w:val="00950B06"/>
    <w:rsid w:val="00970069"/>
    <w:rsid w:val="009721EB"/>
    <w:rsid w:val="00976694"/>
    <w:rsid w:val="00980131"/>
    <w:rsid w:val="009A4716"/>
    <w:rsid w:val="009B706E"/>
    <w:rsid w:val="009C423A"/>
    <w:rsid w:val="009D079C"/>
    <w:rsid w:val="009D19C5"/>
    <w:rsid w:val="009E201F"/>
    <w:rsid w:val="009E79ED"/>
    <w:rsid w:val="009F1B6D"/>
    <w:rsid w:val="00A0318C"/>
    <w:rsid w:val="00A07596"/>
    <w:rsid w:val="00A17A08"/>
    <w:rsid w:val="00A267E0"/>
    <w:rsid w:val="00A52ABD"/>
    <w:rsid w:val="00A60673"/>
    <w:rsid w:val="00A82929"/>
    <w:rsid w:val="00A84FB3"/>
    <w:rsid w:val="00AB5358"/>
    <w:rsid w:val="00AC1872"/>
    <w:rsid w:val="00AC74A3"/>
    <w:rsid w:val="00AC7CAA"/>
    <w:rsid w:val="00AD631F"/>
    <w:rsid w:val="00AD6C39"/>
    <w:rsid w:val="00AE16E0"/>
    <w:rsid w:val="00AE21FF"/>
    <w:rsid w:val="00AE3BE4"/>
    <w:rsid w:val="00AE7A45"/>
    <w:rsid w:val="00AF1F18"/>
    <w:rsid w:val="00AF64CD"/>
    <w:rsid w:val="00AF66D5"/>
    <w:rsid w:val="00AF683F"/>
    <w:rsid w:val="00B05296"/>
    <w:rsid w:val="00B0663B"/>
    <w:rsid w:val="00B0726E"/>
    <w:rsid w:val="00B219D1"/>
    <w:rsid w:val="00B32D52"/>
    <w:rsid w:val="00B5270E"/>
    <w:rsid w:val="00B61AA2"/>
    <w:rsid w:val="00B71464"/>
    <w:rsid w:val="00B729D9"/>
    <w:rsid w:val="00B765A2"/>
    <w:rsid w:val="00B81FA4"/>
    <w:rsid w:val="00B8794C"/>
    <w:rsid w:val="00B95EF4"/>
    <w:rsid w:val="00BB6509"/>
    <w:rsid w:val="00BC248C"/>
    <w:rsid w:val="00BD1787"/>
    <w:rsid w:val="00BD516C"/>
    <w:rsid w:val="00BE7660"/>
    <w:rsid w:val="00C01EC0"/>
    <w:rsid w:val="00C053D0"/>
    <w:rsid w:val="00C2385C"/>
    <w:rsid w:val="00C244EE"/>
    <w:rsid w:val="00C43910"/>
    <w:rsid w:val="00C478C3"/>
    <w:rsid w:val="00C5330A"/>
    <w:rsid w:val="00C63CF2"/>
    <w:rsid w:val="00C66B24"/>
    <w:rsid w:val="00C72224"/>
    <w:rsid w:val="00C75706"/>
    <w:rsid w:val="00CA4815"/>
    <w:rsid w:val="00CB647D"/>
    <w:rsid w:val="00CC1360"/>
    <w:rsid w:val="00CC149E"/>
    <w:rsid w:val="00CD2312"/>
    <w:rsid w:val="00CD3B1C"/>
    <w:rsid w:val="00CF6562"/>
    <w:rsid w:val="00CF7A1B"/>
    <w:rsid w:val="00D115A8"/>
    <w:rsid w:val="00D1312C"/>
    <w:rsid w:val="00D5688A"/>
    <w:rsid w:val="00D61FE9"/>
    <w:rsid w:val="00D84D3D"/>
    <w:rsid w:val="00D86284"/>
    <w:rsid w:val="00D92044"/>
    <w:rsid w:val="00DC5980"/>
    <w:rsid w:val="00DD2B46"/>
    <w:rsid w:val="00DE10AE"/>
    <w:rsid w:val="00DF0D86"/>
    <w:rsid w:val="00E05088"/>
    <w:rsid w:val="00E06ED6"/>
    <w:rsid w:val="00E1159B"/>
    <w:rsid w:val="00E25CFA"/>
    <w:rsid w:val="00E266CE"/>
    <w:rsid w:val="00E37247"/>
    <w:rsid w:val="00E43BF3"/>
    <w:rsid w:val="00E51F9B"/>
    <w:rsid w:val="00E529E5"/>
    <w:rsid w:val="00E5480F"/>
    <w:rsid w:val="00E56FF8"/>
    <w:rsid w:val="00E5711A"/>
    <w:rsid w:val="00E616C4"/>
    <w:rsid w:val="00E61F54"/>
    <w:rsid w:val="00E7227C"/>
    <w:rsid w:val="00E771F7"/>
    <w:rsid w:val="00E869A4"/>
    <w:rsid w:val="00E9309A"/>
    <w:rsid w:val="00E93E68"/>
    <w:rsid w:val="00EA1B8B"/>
    <w:rsid w:val="00EA30E2"/>
    <w:rsid w:val="00EB0368"/>
    <w:rsid w:val="00EB4C2F"/>
    <w:rsid w:val="00EC5225"/>
    <w:rsid w:val="00ED0DDF"/>
    <w:rsid w:val="00F02071"/>
    <w:rsid w:val="00F052A9"/>
    <w:rsid w:val="00F1000D"/>
    <w:rsid w:val="00F252A2"/>
    <w:rsid w:val="00F311A4"/>
    <w:rsid w:val="00F56132"/>
    <w:rsid w:val="00F673D2"/>
    <w:rsid w:val="00F82C2C"/>
    <w:rsid w:val="00F85874"/>
    <w:rsid w:val="00F85913"/>
    <w:rsid w:val="00F87F38"/>
    <w:rsid w:val="00FA1A2F"/>
    <w:rsid w:val="00FA2B97"/>
    <w:rsid w:val="00FC088E"/>
    <w:rsid w:val="00FC31BF"/>
    <w:rsid w:val="00FD4D6E"/>
    <w:rsid w:val="00FD4FB1"/>
    <w:rsid w:val="00FD6383"/>
    <w:rsid w:val="00FF378A"/>
    <w:rsid w:val="00FF5BC8"/>
    <w:rsid w:val="00FF5E06"/>
    <w:rsid w:val="00FF6EF3"/>
    <w:rsid w:val="05B91F6B"/>
    <w:rsid w:val="0993031F"/>
    <w:rsid w:val="0A1EF4DC"/>
    <w:rsid w:val="11334FCC"/>
    <w:rsid w:val="1859EE96"/>
    <w:rsid w:val="20ABD09D"/>
    <w:rsid w:val="2267591F"/>
    <w:rsid w:val="2C21B5DA"/>
    <w:rsid w:val="4189FDF8"/>
    <w:rsid w:val="5309E616"/>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3A3873"/>
  <w15:chartTrackingRefBased/>
  <w15:docId w15:val="{0C351278-15BD-4559-8B39-CD2A4C5D3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semiHidden="1"/>
    <w:lsdException w:name="List Bullet 2" w:qFormat="1"/>
    <w:lsdException w:name="List Bullet 3" w:qFormat="1"/>
    <w:lsdException w:name="List Bullet 4" w:qFormat="1"/>
    <w:lsdException w:name="List Bullet 5" w:semiHidden="1"/>
    <w:lsdException w:name="List Number 2" w:qFormat="1"/>
    <w:lsdException w:name="List Number 3" w:qFormat="1"/>
    <w:lsdException w:name="List Number 4" w:qFormat="1"/>
    <w:lsdException w:name="List Number 5" w:semiHidden="1"/>
    <w:lsdException w:name="Title" w:semiHidden="1" w:uiPriority="7"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D10"/>
    <w:pPr>
      <w:spacing w:after="240"/>
    </w:pPr>
  </w:style>
  <w:style w:type="paragraph" w:styleId="Heading1">
    <w:name w:val="heading 1"/>
    <w:basedOn w:val="Normal"/>
    <w:next w:val="Normal"/>
    <w:link w:val="Heading1Char"/>
    <w:uiPriority w:val="9"/>
    <w:qFormat/>
    <w:rsid w:val="00D86284"/>
    <w:pPr>
      <w:keepNext/>
      <w:keepLines/>
      <w:spacing w:before="1440" w:after="0" w:line="640" w:lineRule="exact"/>
      <w:outlineLvl w:val="0"/>
    </w:pPr>
    <w:rPr>
      <w:rFonts w:ascii="Calibri" w:eastAsiaTheme="majorEastAsia" w:hAnsi="Calibri" w:cstheme="majorBidi"/>
      <w:b/>
      <w:color w:val="00254A" w:themeColor="text2"/>
      <w:sz w:val="60"/>
      <w:szCs w:val="32"/>
    </w:rPr>
  </w:style>
  <w:style w:type="paragraph" w:styleId="Heading2">
    <w:name w:val="heading 2"/>
    <w:basedOn w:val="Subtitle"/>
    <w:next w:val="Normal"/>
    <w:link w:val="Heading2Char"/>
    <w:uiPriority w:val="9"/>
    <w:unhideWhenUsed/>
    <w:qFormat/>
    <w:rsid w:val="00AE3BE4"/>
    <w:pPr>
      <w:outlineLvl w:val="1"/>
    </w:pPr>
  </w:style>
  <w:style w:type="paragraph" w:styleId="Heading3">
    <w:name w:val="heading 3"/>
    <w:basedOn w:val="Normal"/>
    <w:next w:val="Normal"/>
    <w:link w:val="Heading3Char"/>
    <w:uiPriority w:val="9"/>
    <w:unhideWhenUsed/>
    <w:qFormat/>
    <w:rsid w:val="00E529E5"/>
    <w:pPr>
      <w:keepNext/>
      <w:keepLines/>
      <w:spacing w:before="320" w:after="60"/>
      <w:outlineLvl w:val="2"/>
    </w:pPr>
    <w:rPr>
      <w:rFonts w:asciiTheme="majorHAnsi" w:eastAsiaTheme="majorEastAsia" w:hAnsiTheme="majorHAnsi" w:cstheme="majorBidi"/>
      <w:b/>
      <w:color w:val="008599" w:themeColor="accent1"/>
      <w:sz w:val="32"/>
      <w:szCs w:val="24"/>
    </w:rPr>
  </w:style>
  <w:style w:type="paragraph" w:styleId="Heading4">
    <w:name w:val="heading 4"/>
    <w:basedOn w:val="Normal"/>
    <w:next w:val="Normal"/>
    <w:link w:val="Heading4Char"/>
    <w:uiPriority w:val="9"/>
    <w:unhideWhenUsed/>
    <w:qFormat/>
    <w:rsid w:val="00FD6383"/>
    <w:pPr>
      <w:keepNext/>
      <w:keepLines/>
      <w:spacing w:before="360" w:after="0"/>
      <w:outlineLvl w:val="3"/>
    </w:pPr>
    <w:rPr>
      <w:rFonts w:asciiTheme="majorHAnsi" w:eastAsiaTheme="majorEastAsia" w:hAnsiTheme="majorHAnsi" w:cstheme="majorBidi"/>
      <w:b/>
      <w:iCs/>
      <w:color w:val="00254A" w:themeColor="text2"/>
      <w:sz w:val="28"/>
    </w:rPr>
  </w:style>
  <w:style w:type="paragraph" w:styleId="Heading5">
    <w:name w:val="heading 5"/>
    <w:basedOn w:val="Normal"/>
    <w:next w:val="Normal"/>
    <w:link w:val="Heading5Char"/>
    <w:uiPriority w:val="9"/>
    <w:unhideWhenUsed/>
    <w:qFormat/>
    <w:rsid w:val="00FD6383"/>
    <w:pPr>
      <w:keepNext/>
      <w:keepLines/>
      <w:spacing w:before="40" w:after="0"/>
      <w:outlineLvl w:val="4"/>
    </w:pPr>
    <w:rPr>
      <w:rFonts w:asciiTheme="majorHAnsi" w:eastAsiaTheme="majorEastAsia" w:hAnsiTheme="majorHAnsi" w:cstheme="majorBidi"/>
      <w:b/>
      <w:color w:val="004C6C" w:themeColor="background2"/>
      <w:sz w:val="26"/>
    </w:rPr>
  </w:style>
  <w:style w:type="paragraph" w:styleId="Heading6">
    <w:name w:val="heading 6"/>
    <w:basedOn w:val="Normal"/>
    <w:next w:val="Normal"/>
    <w:link w:val="Heading6Char"/>
    <w:uiPriority w:val="9"/>
    <w:unhideWhenUsed/>
    <w:qFormat/>
    <w:rsid w:val="00AD631F"/>
    <w:pPr>
      <w:keepNext/>
      <w:keepLines/>
      <w:spacing w:before="40" w:after="0"/>
      <w:outlineLvl w:val="5"/>
    </w:pPr>
    <w:rPr>
      <w:rFonts w:asciiTheme="majorHAnsi" w:eastAsiaTheme="majorEastAsia" w:hAnsiTheme="majorHAnsi" w:cstheme="majorBidi"/>
      <w:b/>
      <w:color w:val="5F636A"/>
    </w:rPr>
  </w:style>
  <w:style w:type="paragraph" w:styleId="Heading7">
    <w:name w:val="heading 7"/>
    <w:basedOn w:val="Normal"/>
    <w:next w:val="Normal"/>
    <w:link w:val="Heading7Char"/>
    <w:uiPriority w:val="9"/>
    <w:semiHidden/>
    <w:qFormat/>
    <w:rsid w:val="00AD631F"/>
    <w:pPr>
      <w:keepNext/>
      <w:keepLines/>
      <w:spacing w:before="40" w:after="0"/>
      <w:outlineLvl w:val="6"/>
    </w:pPr>
    <w:rPr>
      <w:rFonts w:eastAsiaTheme="majorEastAsia" w:cstheme="majorBidi"/>
      <w:i/>
      <w:iCs/>
      <w:color w:val="55437E"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07D87"/>
    <w:rPr>
      <w:b/>
      <w:bCs/>
    </w:rPr>
  </w:style>
  <w:style w:type="character" w:styleId="Hyperlink">
    <w:name w:val="Hyperlink"/>
    <w:basedOn w:val="DefaultParagraphFont"/>
    <w:uiPriority w:val="99"/>
    <w:unhideWhenUsed/>
    <w:qFormat/>
    <w:rsid w:val="00107D87"/>
    <w:rPr>
      <w:color w:val="7F4594" w:themeColor="hyperlink"/>
      <w:u w:val="single"/>
    </w:rPr>
  </w:style>
  <w:style w:type="character" w:styleId="UnresolvedMention">
    <w:name w:val="Unresolved Mention"/>
    <w:basedOn w:val="DefaultParagraphFont"/>
    <w:uiPriority w:val="99"/>
    <w:semiHidden/>
    <w:unhideWhenUsed/>
    <w:rsid w:val="00107D87"/>
    <w:rPr>
      <w:color w:val="605E5C"/>
      <w:shd w:val="clear" w:color="auto" w:fill="E1DFDD"/>
    </w:rPr>
  </w:style>
  <w:style w:type="paragraph" w:styleId="Header">
    <w:name w:val="header"/>
    <w:basedOn w:val="Normal"/>
    <w:link w:val="HeaderChar"/>
    <w:uiPriority w:val="99"/>
    <w:unhideWhenUsed/>
    <w:rsid w:val="004A06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6CD"/>
  </w:style>
  <w:style w:type="paragraph" w:styleId="Footer">
    <w:name w:val="footer"/>
    <w:basedOn w:val="Normal"/>
    <w:link w:val="FooterChar"/>
    <w:uiPriority w:val="99"/>
    <w:unhideWhenUsed/>
    <w:rsid w:val="00AF1F18"/>
    <w:pPr>
      <w:tabs>
        <w:tab w:val="center" w:pos="4513"/>
        <w:tab w:val="right" w:pos="9026"/>
      </w:tabs>
      <w:spacing w:after="0" w:line="240" w:lineRule="auto"/>
      <w:jc w:val="right"/>
    </w:pPr>
    <w:rPr>
      <w:color w:val="5F636A"/>
    </w:rPr>
  </w:style>
  <w:style w:type="character" w:customStyle="1" w:styleId="FooterChar">
    <w:name w:val="Footer Char"/>
    <w:basedOn w:val="DefaultParagraphFont"/>
    <w:link w:val="Footer"/>
    <w:uiPriority w:val="99"/>
    <w:rsid w:val="00AF1F18"/>
    <w:rPr>
      <w:color w:val="5F636A"/>
    </w:rPr>
  </w:style>
  <w:style w:type="table" w:styleId="TableGrid">
    <w:name w:val="Table Grid"/>
    <w:basedOn w:val="TableNormal"/>
    <w:uiPriority w:val="39"/>
    <w:rsid w:val="007B2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86284"/>
    <w:rPr>
      <w:rFonts w:ascii="Calibri" w:eastAsiaTheme="majorEastAsia" w:hAnsi="Calibri" w:cstheme="majorBidi"/>
      <w:b/>
      <w:color w:val="00254A" w:themeColor="text2"/>
      <w:sz w:val="60"/>
      <w:szCs w:val="32"/>
    </w:rPr>
  </w:style>
  <w:style w:type="character" w:customStyle="1" w:styleId="Heading2Char">
    <w:name w:val="Heading 2 Char"/>
    <w:basedOn w:val="DefaultParagraphFont"/>
    <w:link w:val="Heading2"/>
    <w:uiPriority w:val="9"/>
    <w:rsid w:val="00AE3BE4"/>
    <w:rPr>
      <w:rFonts w:eastAsiaTheme="minorEastAsia"/>
      <w:color w:val="008599" w:themeColor="accent1"/>
      <w:spacing w:val="15"/>
      <w:sz w:val="40"/>
    </w:rPr>
  </w:style>
  <w:style w:type="character" w:customStyle="1" w:styleId="Heading3Char">
    <w:name w:val="Heading 3 Char"/>
    <w:basedOn w:val="DefaultParagraphFont"/>
    <w:link w:val="Heading3"/>
    <w:uiPriority w:val="9"/>
    <w:rsid w:val="00E529E5"/>
    <w:rPr>
      <w:rFonts w:asciiTheme="majorHAnsi" w:eastAsiaTheme="majorEastAsia" w:hAnsiTheme="majorHAnsi" w:cstheme="majorBidi"/>
      <w:b/>
      <w:color w:val="008599" w:themeColor="accent1"/>
      <w:sz w:val="32"/>
      <w:szCs w:val="24"/>
    </w:rPr>
  </w:style>
  <w:style w:type="character" w:customStyle="1" w:styleId="Heading4Char">
    <w:name w:val="Heading 4 Char"/>
    <w:basedOn w:val="DefaultParagraphFont"/>
    <w:link w:val="Heading4"/>
    <w:uiPriority w:val="9"/>
    <w:rsid w:val="00FD6383"/>
    <w:rPr>
      <w:rFonts w:asciiTheme="majorHAnsi" w:eastAsiaTheme="majorEastAsia" w:hAnsiTheme="majorHAnsi" w:cstheme="majorBidi"/>
      <w:b/>
      <w:iCs/>
      <w:color w:val="00254A" w:themeColor="text2"/>
      <w:sz w:val="28"/>
    </w:rPr>
  </w:style>
  <w:style w:type="character" w:customStyle="1" w:styleId="Heading5Char">
    <w:name w:val="Heading 5 Char"/>
    <w:basedOn w:val="DefaultParagraphFont"/>
    <w:link w:val="Heading5"/>
    <w:uiPriority w:val="9"/>
    <w:rsid w:val="00FD6383"/>
    <w:rPr>
      <w:rFonts w:asciiTheme="majorHAnsi" w:eastAsiaTheme="majorEastAsia" w:hAnsiTheme="majorHAnsi" w:cstheme="majorBidi"/>
      <w:b/>
      <w:color w:val="004C6C" w:themeColor="background2"/>
      <w:sz w:val="26"/>
    </w:rPr>
  </w:style>
  <w:style w:type="character" w:customStyle="1" w:styleId="Heading6Char">
    <w:name w:val="Heading 6 Char"/>
    <w:basedOn w:val="DefaultParagraphFont"/>
    <w:link w:val="Heading6"/>
    <w:uiPriority w:val="9"/>
    <w:rsid w:val="00AD631F"/>
    <w:rPr>
      <w:rFonts w:asciiTheme="majorHAnsi" w:eastAsiaTheme="majorEastAsia" w:hAnsiTheme="majorHAnsi" w:cstheme="majorBidi"/>
      <w:b/>
      <w:color w:val="5F636A"/>
    </w:rPr>
  </w:style>
  <w:style w:type="paragraph" w:styleId="Caption">
    <w:name w:val="caption"/>
    <w:basedOn w:val="Normal"/>
    <w:next w:val="Normal"/>
    <w:uiPriority w:val="35"/>
    <w:qFormat/>
    <w:rsid w:val="00EB4C2F"/>
    <w:pPr>
      <w:spacing w:after="120" w:line="240" w:lineRule="auto"/>
    </w:pPr>
    <w:rPr>
      <w:b/>
      <w:iCs/>
      <w:color w:val="00254A" w:themeColor="text2"/>
      <w:szCs w:val="18"/>
    </w:rPr>
  </w:style>
  <w:style w:type="paragraph" w:customStyle="1" w:styleId="Source">
    <w:name w:val="Source"/>
    <w:basedOn w:val="Normal"/>
    <w:uiPriority w:val="97"/>
    <w:qFormat/>
    <w:rsid w:val="00EB4C2F"/>
    <w:pPr>
      <w:spacing w:before="120"/>
    </w:pPr>
    <w:rPr>
      <w:sz w:val="18"/>
    </w:rPr>
  </w:style>
  <w:style w:type="character" w:customStyle="1" w:styleId="Heading7Char">
    <w:name w:val="Heading 7 Char"/>
    <w:basedOn w:val="DefaultParagraphFont"/>
    <w:link w:val="Heading7"/>
    <w:uiPriority w:val="9"/>
    <w:semiHidden/>
    <w:rsid w:val="006F6D10"/>
    <w:rPr>
      <w:rFonts w:eastAsiaTheme="majorEastAsia" w:cstheme="majorBidi"/>
      <w:i/>
      <w:iCs/>
      <w:color w:val="55437E" w:themeColor="accent2"/>
    </w:rPr>
  </w:style>
  <w:style w:type="paragraph" w:styleId="Subtitle">
    <w:name w:val="Subtitle"/>
    <w:basedOn w:val="Normal"/>
    <w:next w:val="Normal"/>
    <w:link w:val="SubtitleChar"/>
    <w:uiPriority w:val="11"/>
    <w:qFormat/>
    <w:rsid w:val="00FD6383"/>
    <w:pPr>
      <w:numPr>
        <w:ilvl w:val="1"/>
      </w:numPr>
      <w:spacing w:before="120" w:after="140"/>
    </w:pPr>
    <w:rPr>
      <w:rFonts w:eastAsiaTheme="minorEastAsia"/>
      <w:color w:val="008599" w:themeColor="accent1"/>
      <w:spacing w:val="15"/>
      <w:sz w:val="40"/>
    </w:rPr>
  </w:style>
  <w:style w:type="character" w:customStyle="1" w:styleId="SubtitleChar">
    <w:name w:val="Subtitle Char"/>
    <w:basedOn w:val="DefaultParagraphFont"/>
    <w:link w:val="Subtitle"/>
    <w:uiPriority w:val="11"/>
    <w:rsid w:val="00FD6383"/>
    <w:rPr>
      <w:rFonts w:eastAsiaTheme="minorEastAsia"/>
      <w:color w:val="008599" w:themeColor="accent1"/>
      <w:spacing w:val="15"/>
      <w:sz w:val="40"/>
    </w:rPr>
  </w:style>
  <w:style w:type="paragraph" w:styleId="List">
    <w:name w:val="List"/>
    <w:basedOn w:val="Normal"/>
    <w:uiPriority w:val="98"/>
    <w:qFormat/>
    <w:rsid w:val="00886959"/>
    <w:pPr>
      <w:numPr>
        <w:numId w:val="19"/>
      </w:numPr>
      <w:spacing w:after="200"/>
      <w:contextualSpacing/>
    </w:pPr>
  </w:style>
  <w:style w:type="paragraph" w:styleId="List2">
    <w:name w:val="List 2"/>
    <w:basedOn w:val="Normal"/>
    <w:uiPriority w:val="98"/>
    <w:qFormat/>
    <w:rsid w:val="00F85913"/>
    <w:pPr>
      <w:numPr>
        <w:ilvl w:val="1"/>
        <w:numId w:val="19"/>
      </w:numPr>
      <w:spacing w:after="200"/>
      <w:contextualSpacing/>
    </w:pPr>
  </w:style>
  <w:style w:type="paragraph" w:styleId="List3">
    <w:name w:val="List 3"/>
    <w:basedOn w:val="Normal"/>
    <w:uiPriority w:val="98"/>
    <w:qFormat/>
    <w:rsid w:val="00BC248C"/>
    <w:pPr>
      <w:numPr>
        <w:ilvl w:val="2"/>
        <w:numId w:val="19"/>
      </w:numPr>
      <w:spacing w:after="200"/>
      <w:contextualSpacing/>
    </w:pPr>
  </w:style>
  <w:style w:type="paragraph" w:styleId="List4">
    <w:name w:val="List 4"/>
    <w:basedOn w:val="Normal"/>
    <w:uiPriority w:val="98"/>
    <w:qFormat/>
    <w:rsid w:val="00BC248C"/>
    <w:pPr>
      <w:numPr>
        <w:ilvl w:val="3"/>
        <w:numId w:val="19"/>
      </w:numPr>
      <w:spacing w:after="200"/>
      <w:contextualSpacing/>
    </w:pPr>
  </w:style>
  <w:style w:type="paragraph" w:styleId="ListNumber">
    <w:name w:val="List Number"/>
    <w:basedOn w:val="Normal"/>
    <w:uiPriority w:val="98"/>
    <w:qFormat/>
    <w:rsid w:val="00276047"/>
    <w:pPr>
      <w:numPr>
        <w:numId w:val="5"/>
      </w:numPr>
      <w:spacing w:after="200"/>
      <w:contextualSpacing/>
    </w:pPr>
  </w:style>
  <w:style w:type="paragraph" w:styleId="ListNumber2">
    <w:name w:val="List Number 2"/>
    <w:basedOn w:val="Normal"/>
    <w:uiPriority w:val="98"/>
    <w:qFormat/>
    <w:rsid w:val="00276047"/>
    <w:pPr>
      <w:numPr>
        <w:ilvl w:val="1"/>
        <w:numId w:val="5"/>
      </w:numPr>
      <w:spacing w:after="200"/>
      <w:contextualSpacing/>
    </w:pPr>
  </w:style>
  <w:style w:type="paragraph" w:styleId="ListBullet3">
    <w:name w:val="List Bullet 3"/>
    <w:basedOn w:val="Normal"/>
    <w:uiPriority w:val="98"/>
    <w:qFormat/>
    <w:rsid w:val="008A36E1"/>
    <w:pPr>
      <w:numPr>
        <w:numId w:val="16"/>
      </w:numPr>
      <w:spacing w:after="200"/>
      <w:ind w:left="851" w:hanging="284"/>
      <w:contextualSpacing/>
    </w:pPr>
  </w:style>
  <w:style w:type="paragraph" w:styleId="ListNumber3">
    <w:name w:val="List Number 3"/>
    <w:basedOn w:val="Normal"/>
    <w:uiPriority w:val="98"/>
    <w:qFormat/>
    <w:rsid w:val="00950B06"/>
    <w:pPr>
      <w:numPr>
        <w:ilvl w:val="2"/>
        <w:numId w:val="5"/>
      </w:numPr>
      <w:spacing w:after="200"/>
      <w:contextualSpacing/>
    </w:pPr>
  </w:style>
  <w:style w:type="paragraph" w:styleId="ListNumber4">
    <w:name w:val="List Number 4"/>
    <w:basedOn w:val="Normal"/>
    <w:uiPriority w:val="98"/>
    <w:qFormat/>
    <w:rsid w:val="0012343A"/>
    <w:pPr>
      <w:numPr>
        <w:ilvl w:val="3"/>
        <w:numId w:val="5"/>
      </w:numPr>
      <w:spacing w:after="200"/>
      <w:contextualSpacing/>
    </w:pPr>
  </w:style>
  <w:style w:type="paragraph" w:styleId="ListBullet">
    <w:name w:val="List Bullet"/>
    <w:basedOn w:val="Normal"/>
    <w:uiPriority w:val="98"/>
    <w:qFormat/>
    <w:rsid w:val="008A36E1"/>
    <w:pPr>
      <w:numPr>
        <w:numId w:val="1"/>
      </w:numPr>
      <w:spacing w:after="200"/>
      <w:ind w:left="284" w:hanging="284"/>
      <w:contextualSpacing/>
    </w:pPr>
  </w:style>
  <w:style w:type="paragraph" w:styleId="ListBullet2">
    <w:name w:val="List Bullet 2"/>
    <w:basedOn w:val="Normal"/>
    <w:uiPriority w:val="98"/>
    <w:qFormat/>
    <w:rsid w:val="00C75706"/>
    <w:pPr>
      <w:numPr>
        <w:ilvl w:val="1"/>
        <w:numId w:val="1"/>
      </w:numPr>
      <w:spacing w:after="200"/>
      <w:ind w:left="568" w:hanging="284"/>
      <w:contextualSpacing/>
    </w:pPr>
  </w:style>
  <w:style w:type="paragraph" w:styleId="ListBullet4">
    <w:name w:val="List Bullet 4"/>
    <w:basedOn w:val="Normal"/>
    <w:uiPriority w:val="98"/>
    <w:qFormat/>
    <w:rsid w:val="00C75706"/>
    <w:pPr>
      <w:numPr>
        <w:numId w:val="14"/>
      </w:numPr>
      <w:spacing w:after="200"/>
      <w:ind w:left="1135" w:hanging="284"/>
      <w:contextualSpacing/>
    </w:pPr>
  </w:style>
  <w:style w:type="paragraph" w:styleId="Quote">
    <w:name w:val="Quote"/>
    <w:basedOn w:val="Normal"/>
    <w:next w:val="Normal"/>
    <w:link w:val="QuoteChar"/>
    <w:uiPriority w:val="29"/>
    <w:qFormat/>
    <w:rsid w:val="00950B06"/>
    <w:pPr>
      <w:spacing w:before="200"/>
      <w:ind w:left="864" w:right="864"/>
      <w:jc w:val="center"/>
    </w:pPr>
    <w:rPr>
      <w:iCs/>
      <w:color w:val="5F6369"/>
    </w:rPr>
  </w:style>
  <w:style w:type="character" w:customStyle="1" w:styleId="QuoteChar">
    <w:name w:val="Quote Char"/>
    <w:basedOn w:val="DefaultParagraphFont"/>
    <w:link w:val="Quote"/>
    <w:uiPriority w:val="29"/>
    <w:rsid w:val="00950B06"/>
    <w:rPr>
      <w:iCs/>
      <w:color w:val="5F6369"/>
    </w:rPr>
  </w:style>
  <w:style w:type="table" w:customStyle="1" w:styleId="EDU-Basic">
    <w:name w:val="EDU - Basic"/>
    <w:basedOn w:val="TableNormal"/>
    <w:uiPriority w:val="99"/>
    <w:rsid w:val="00B219D1"/>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00254A" w:themeFill="text2"/>
      </w:tcPr>
    </w:tblStylePr>
    <w:tblStylePr w:type="firstCol">
      <w:rPr>
        <w:b w:val="0"/>
      </w:rPr>
    </w:tblStylePr>
  </w:style>
  <w:style w:type="character" w:styleId="PlaceholderText">
    <w:name w:val="Placeholder Text"/>
    <w:basedOn w:val="DefaultParagraphFont"/>
    <w:uiPriority w:val="99"/>
    <w:semiHidden/>
    <w:rsid w:val="00221D8F"/>
    <w:rPr>
      <w:color w:val="808080"/>
    </w:rPr>
  </w:style>
  <w:style w:type="paragraph" w:styleId="TOC1">
    <w:name w:val="toc 1"/>
    <w:basedOn w:val="Normal"/>
    <w:next w:val="Normal"/>
    <w:autoRedefine/>
    <w:uiPriority w:val="99"/>
    <w:unhideWhenUsed/>
    <w:rsid w:val="00AF1F18"/>
    <w:pPr>
      <w:tabs>
        <w:tab w:val="right" w:leader="dot" w:pos="9016"/>
      </w:tabs>
      <w:spacing w:after="100"/>
    </w:pPr>
  </w:style>
  <w:style w:type="paragraph" w:styleId="TOC2">
    <w:name w:val="toc 2"/>
    <w:basedOn w:val="Normal"/>
    <w:next w:val="Normal"/>
    <w:autoRedefine/>
    <w:uiPriority w:val="99"/>
    <w:unhideWhenUsed/>
    <w:rsid w:val="00AF1F18"/>
    <w:pPr>
      <w:spacing w:after="100"/>
      <w:ind w:left="220"/>
    </w:pPr>
  </w:style>
  <w:style w:type="paragraph" w:styleId="TOC3">
    <w:name w:val="toc 3"/>
    <w:basedOn w:val="Normal"/>
    <w:next w:val="Normal"/>
    <w:autoRedefine/>
    <w:uiPriority w:val="99"/>
    <w:unhideWhenUsed/>
    <w:rsid w:val="00AF1F18"/>
    <w:pPr>
      <w:spacing w:after="100"/>
      <w:ind w:left="440"/>
    </w:pPr>
  </w:style>
  <w:style w:type="paragraph" w:styleId="TOCHeading">
    <w:name w:val="TOC Heading"/>
    <w:basedOn w:val="Heading1"/>
    <w:next w:val="Normal"/>
    <w:uiPriority w:val="99"/>
    <w:unhideWhenUsed/>
    <w:rsid w:val="00AF1F18"/>
    <w:pPr>
      <w:spacing w:before="0" w:after="240" w:line="259" w:lineRule="auto"/>
      <w:outlineLvl w:val="9"/>
    </w:pPr>
    <w:rPr>
      <w:rFonts w:asciiTheme="majorHAnsi" w:hAnsiTheme="majorHAnsi"/>
      <w:color w:val="55437E" w:themeColor="accent2"/>
      <w:sz w:val="44"/>
      <w:lang w:val="en-US"/>
    </w:rPr>
  </w:style>
  <w:style w:type="character" w:styleId="CommentReference">
    <w:name w:val="annotation reference"/>
    <w:basedOn w:val="DefaultParagraphFont"/>
    <w:uiPriority w:val="99"/>
    <w:semiHidden/>
    <w:unhideWhenUsed/>
    <w:rsid w:val="00BD516C"/>
    <w:rPr>
      <w:sz w:val="16"/>
      <w:szCs w:val="16"/>
    </w:rPr>
  </w:style>
  <w:style w:type="paragraph" w:styleId="CommentText">
    <w:name w:val="annotation text"/>
    <w:basedOn w:val="Normal"/>
    <w:link w:val="CommentTextChar"/>
    <w:uiPriority w:val="99"/>
    <w:unhideWhenUsed/>
    <w:rsid w:val="00BD516C"/>
    <w:pPr>
      <w:spacing w:after="200" w:line="240" w:lineRule="auto"/>
    </w:pPr>
    <w:rPr>
      <w:sz w:val="20"/>
      <w:szCs w:val="20"/>
    </w:rPr>
  </w:style>
  <w:style w:type="character" w:customStyle="1" w:styleId="CommentTextChar">
    <w:name w:val="Comment Text Char"/>
    <w:basedOn w:val="DefaultParagraphFont"/>
    <w:link w:val="CommentText"/>
    <w:uiPriority w:val="99"/>
    <w:rsid w:val="00BD516C"/>
    <w:rPr>
      <w:sz w:val="20"/>
      <w:szCs w:val="20"/>
    </w:rPr>
  </w:style>
  <w:style w:type="paragraph" w:styleId="ListParagraph">
    <w:name w:val="List Paragraph"/>
    <w:basedOn w:val="Normal"/>
    <w:uiPriority w:val="34"/>
    <w:qFormat/>
    <w:rsid w:val="00BD516C"/>
    <w:pPr>
      <w:spacing w:after="200" w:line="276" w:lineRule="auto"/>
      <w:ind w:left="720"/>
      <w:contextualSpacing/>
    </w:pPr>
  </w:style>
  <w:style w:type="paragraph" w:styleId="Title">
    <w:name w:val="Title"/>
    <w:basedOn w:val="Normal"/>
    <w:next w:val="Normal"/>
    <w:link w:val="TitleChar"/>
    <w:uiPriority w:val="7"/>
    <w:qFormat/>
    <w:rsid w:val="00BD516C"/>
    <w:pPr>
      <w:spacing w:before="1800" w:after="0" w:line="276" w:lineRule="auto"/>
    </w:pPr>
    <w:rPr>
      <w:rFonts w:ascii="Calibri" w:eastAsiaTheme="majorEastAsia" w:hAnsi="Calibri" w:cstheme="majorBidi"/>
      <w:b/>
      <w:color w:val="343741"/>
      <w:spacing w:val="-10"/>
      <w:kern w:val="28"/>
      <w:sz w:val="60"/>
      <w:szCs w:val="56"/>
    </w:rPr>
  </w:style>
  <w:style w:type="character" w:customStyle="1" w:styleId="TitleChar">
    <w:name w:val="Title Char"/>
    <w:basedOn w:val="DefaultParagraphFont"/>
    <w:link w:val="Title"/>
    <w:uiPriority w:val="7"/>
    <w:rsid w:val="00BD516C"/>
    <w:rPr>
      <w:rFonts w:ascii="Calibri" w:eastAsiaTheme="majorEastAsia" w:hAnsi="Calibri" w:cstheme="majorBidi"/>
      <w:b/>
      <w:color w:val="343741"/>
      <w:spacing w:val="-10"/>
      <w:kern w:val="28"/>
      <w:sz w:val="60"/>
      <w:szCs w:val="56"/>
    </w:rPr>
  </w:style>
  <w:style w:type="paragraph" w:styleId="CommentSubject">
    <w:name w:val="annotation subject"/>
    <w:basedOn w:val="CommentText"/>
    <w:next w:val="CommentText"/>
    <w:link w:val="CommentSubjectChar"/>
    <w:uiPriority w:val="99"/>
    <w:semiHidden/>
    <w:unhideWhenUsed/>
    <w:rsid w:val="00886E9C"/>
    <w:pPr>
      <w:spacing w:after="240"/>
    </w:pPr>
    <w:rPr>
      <w:b/>
      <w:bCs/>
    </w:rPr>
  </w:style>
  <w:style w:type="character" w:customStyle="1" w:styleId="CommentSubjectChar">
    <w:name w:val="Comment Subject Char"/>
    <w:basedOn w:val="CommentTextChar"/>
    <w:link w:val="CommentSubject"/>
    <w:uiPriority w:val="99"/>
    <w:semiHidden/>
    <w:rsid w:val="00886E9C"/>
    <w:rPr>
      <w:b/>
      <w:bCs/>
      <w:sz w:val="20"/>
      <w:szCs w:val="20"/>
    </w:rPr>
  </w:style>
  <w:style w:type="paragraph" w:styleId="Revision">
    <w:name w:val="Revision"/>
    <w:hidden/>
    <w:uiPriority w:val="99"/>
    <w:semiHidden/>
    <w:rsid w:val="0043599F"/>
    <w:pPr>
      <w:spacing w:after="0" w:line="240" w:lineRule="auto"/>
    </w:pPr>
  </w:style>
  <w:style w:type="character" w:styleId="Mention">
    <w:name w:val="Mention"/>
    <w:basedOn w:val="DefaultParagraphFont"/>
    <w:uiPriority w:val="99"/>
    <w:unhideWhenUsed/>
    <w:rsid w:val="00FF5E06"/>
    <w:rPr>
      <w:color w:val="2B579A"/>
      <w:shd w:val="clear" w:color="auto" w:fill="E1DFDD"/>
    </w:rPr>
  </w:style>
  <w:style w:type="paragraph" w:styleId="EndnoteText">
    <w:name w:val="endnote text"/>
    <w:basedOn w:val="Normal"/>
    <w:link w:val="EndnoteTextChar"/>
    <w:uiPriority w:val="99"/>
    <w:semiHidden/>
    <w:unhideWhenUsed/>
    <w:rsid w:val="00E7227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7227C"/>
    <w:rPr>
      <w:sz w:val="20"/>
      <w:szCs w:val="20"/>
    </w:rPr>
  </w:style>
  <w:style w:type="character" w:styleId="EndnoteReference">
    <w:name w:val="endnote reference"/>
    <w:basedOn w:val="DefaultParagraphFont"/>
    <w:uiPriority w:val="99"/>
    <w:semiHidden/>
    <w:unhideWhenUsed/>
    <w:rsid w:val="00E7227C"/>
    <w:rPr>
      <w:vertAlign w:val="superscript"/>
    </w:rPr>
  </w:style>
  <w:style w:type="paragraph" w:styleId="FootnoteText">
    <w:name w:val="footnote text"/>
    <w:basedOn w:val="Normal"/>
    <w:link w:val="FootnoteTextChar"/>
    <w:uiPriority w:val="99"/>
    <w:semiHidden/>
    <w:unhideWhenUsed/>
    <w:rsid w:val="00E7227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7227C"/>
    <w:rPr>
      <w:sz w:val="20"/>
      <w:szCs w:val="20"/>
    </w:rPr>
  </w:style>
  <w:style w:type="character" w:styleId="FootnoteReference">
    <w:name w:val="footnote reference"/>
    <w:basedOn w:val="DefaultParagraphFont"/>
    <w:uiPriority w:val="99"/>
    <w:semiHidden/>
    <w:unhideWhenUsed/>
    <w:rsid w:val="00E7227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2271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sv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IntegratedDataAnalytics@education.gov.au"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bs.gov.au/about/data-services/data-confidentiality-guide/five-safes-framework"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Department of Education">
      <a:dk1>
        <a:sysClr val="windowText" lastClr="000000"/>
      </a:dk1>
      <a:lt1>
        <a:sysClr val="window" lastClr="FFFFFF"/>
      </a:lt1>
      <a:dk2>
        <a:srgbClr val="00254A"/>
      </a:dk2>
      <a:lt2>
        <a:srgbClr val="004C6C"/>
      </a:lt2>
      <a:accent1>
        <a:srgbClr val="008599"/>
      </a:accent1>
      <a:accent2>
        <a:srgbClr val="55437E"/>
      </a:accent2>
      <a:accent3>
        <a:srgbClr val="15BEF0"/>
      </a:accent3>
      <a:accent4>
        <a:srgbClr val="47BFAF"/>
      </a:accent4>
      <a:accent5>
        <a:srgbClr val="F16464"/>
      </a:accent5>
      <a:accent6>
        <a:srgbClr val="F99D2A"/>
      </a:accent6>
      <a:hlink>
        <a:srgbClr val="7F4594"/>
      </a:hlink>
      <a:folHlink>
        <a:srgbClr val="CE37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f4485f1-0608-40f2-b649-7dde6654a8bf">
      <Terms xmlns="http://schemas.microsoft.com/office/infopath/2007/PartnerControls"/>
    </lcf76f155ced4ddcb4097134ff3c332f>
    <TaxCatchAll xmlns="60988540-e91d-41bb-b7bc-24ab8c39df10" xsi:nil="true"/>
    <Summary xmlns="5f4485f1-0608-40f2-b649-7dde6654a8bf" xsi:nil="true"/>
    <Topic xmlns="5f4485f1-0608-40f2-b649-7dde6654a8bf" xsi:nil="true"/>
    <_Flow_SignoffStatus xmlns="5f4485f1-0608-40f2-b649-7dde6654a8bf" xsi:nil="true"/>
    <Status xmlns="5f4485f1-0608-40f2-b649-7dde6654a8b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BE4CFC06C38FD429762EA454E4407CB" ma:contentTypeVersion="22" ma:contentTypeDescription="Create a new document." ma:contentTypeScope="" ma:versionID="d52b926a1efa343649866d3d3164d647">
  <xsd:schema xmlns:xsd="http://www.w3.org/2001/XMLSchema" xmlns:xs="http://www.w3.org/2001/XMLSchema" xmlns:p="http://schemas.microsoft.com/office/2006/metadata/properties" xmlns:ns2="5f4485f1-0608-40f2-b649-7dde6654a8bf" xmlns:ns3="60988540-e91d-41bb-b7bc-24ab8c39df10" targetNamespace="http://schemas.microsoft.com/office/2006/metadata/properties" ma:root="true" ma:fieldsID="770929fa639ec03ca78063c47f0c95cb" ns2:_="" ns3:_="">
    <xsd:import namespace="5f4485f1-0608-40f2-b649-7dde6654a8bf"/>
    <xsd:import namespace="60988540-e91d-41bb-b7bc-24ab8c39df1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Summary" minOccurs="0"/>
                <xsd:element ref="ns2:_Flow_SignoffStatu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Topic"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4485f1-0608-40f2-b649-7dde6654a8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Summary" ma:index="20" nillable="true" ma:displayName="Summary" ma:description="Custom field for populating meta description fields in web templates" ma:format="Dropdown" ma:internalName="Summary">
      <xsd:simpleType>
        <xsd:restriction base="dms:Note">
          <xsd:maxLength value="255"/>
        </xsd:restriction>
      </xsd:simpleType>
    </xsd:element>
    <xsd:element name="_Flow_SignoffStatus" ma:index="21" nillable="true" ma:displayName="Sign-off status" ma:internalName="Sign_x002d_off_x0020_status">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Topic" ma:index="28" nillable="true" ma:displayName="Topic" ma:format="Dropdown" ma:internalName="Topic">
      <xsd:simpleType>
        <xsd:restriction base="dms:Text">
          <xsd:maxLength value="255"/>
        </xsd:restriction>
      </xsd:simpleType>
    </xsd:element>
    <xsd:element name="Status" ma:index="29" nillable="true" ma:displayName="Status" ma:format="Dropdown" ma:internalName="Status">
      <xsd:simpleType>
        <xsd:restriction base="dms:Choice">
          <xsd:enumeration value="Ongoing"/>
          <xsd:enumeration value="Complete"/>
          <xsd:enumeration value="Implementing"/>
          <xsd:enumeration value="Template"/>
          <xsd:enumeration value="SOP"/>
          <xsd:enumeration value="WPR"/>
          <xsd:enumeration value="Draft"/>
          <xsd:enumeration value="Approved"/>
          <xsd:enumeration value="Archived"/>
        </xsd:restriction>
      </xsd:simpleType>
    </xsd:element>
  </xsd:schema>
  <xsd:schema xmlns:xsd="http://www.w3.org/2001/XMLSchema" xmlns:xs="http://www.w3.org/2001/XMLSchema" xmlns:dms="http://schemas.microsoft.com/office/2006/documentManagement/types" xmlns:pc="http://schemas.microsoft.com/office/infopath/2007/PartnerControls" targetNamespace="60988540-e91d-41bb-b7bc-24ab8c39df1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412786f1-401e-403e-90a2-1aff98e23535}" ma:internalName="TaxCatchAll" ma:showField="CatchAllData" ma:web="60988540-e91d-41bb-b7bc-24ab8c39df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766233-3481-47D6-A240-DFD24FE24AD5}">
  <ds:schemaRefs>
    <ds:schemaRef ds:uri="http://schemas.microsoft.com/office/2006/metadata/properties"/>
    <ds:schemaRef ds:uri="http://schemas.microsoft.com/office/infopath/2007/PartnerControls"/>
    <ds:schemaRef ds:uri="5f4485f1-0608-40f2-b649-7dde6654a8bf"/>
    <ds:schemaRef ds:uri="60988540-e91d-41bb-b7bc-24ab8c39df10"/>
  </ds:schemaRefs>
</ds:datastoreItem>
</file>

<file path=customXml/itemProps2.xml><?xml version="1.0" encoding="utf-8"?>
<ds:datastoreItem xmlns:ds="http://schemas.openxmlformats.org/officeDocument/2006/customXml" ds:itemID="{0CE0CA70-91D2-4FDA-A5FA-F649EC8CEF8F}">
  <ds:schemaRefs>
    <ds:schemaRef ds:uri="http://schemas.microsoft.com/sharepoint/v3/contenttype/forms"/>
  </ds:schemaRefs>
</ds:datastoreItem>
</file>

<file path=customXml/itemProps3.xml><?xml version="1.0" encoding="utf-8"?>
<ds:datastoreItem xmlns:ds="http://schemas.openxmlformats.org/officeDocument/2006/customXml" ds:itemID="{F8855DC5-C421-4482-92F9-C7F0AB6B98D3}">
  <ds:schemaRefs>
    <ds:schemaRef ds:uri="http://schemas.openxmlformats.org/officeDocument/2006/bibliography"/>
  </ds:schemaRefs>
</ds:datastoreItem>
</file>

<file path=customXml/itemProps4.xml><?xml version="1.0" encoding="utf-8"?>
<ds:datastoreItem xmlns:ds="http://schemas.openxmlformats.org/officeDocument/2006/customXml" ds:itemID="{AE74ED96-D3BF-491C-BE5C-9E9505B412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4485f1-0608-40f2-b649-7dde6654a8bf"/>
    <ds:schemaRef ds:uri="60988540-e91d-41bb-b7bc-24ab8c39df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5</Pages>
  <Words>1814</Words>
  <Characters>10815</Characters>
  <Application>Microsoft Office Word</Application>
  <DocSecurity>0</DocSecurity>
  <Lines>177</Lines>
  <Paragraphs>75</Paragraphs>
  <ScaleCrop>false</ScaleCrop>
  <HeadingPairs>
    <vt:vector size="2" baseType="variant">
      <vt:variant>
        <vt:lpstr>Title</vt:lpstr>
      </vt:variant>
      <vt:variant>
        <vt:i4>1</vt:i4>
      </vt:variant>
    </vt:vector>
  </HeadingPairs>
  <TitlesOfParts>
    <vt:vector size="1" baseType="lpstr">
      <vt:lpstr>Factsheet title</vt:lpstr>
    </vt:vector>
  </TitlesOfParts>
  <Company/>
  <LinksUpToDate>false</LinksUpToDate>
  <CharactersWithSpaces>12554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First Five Years project - Introduction</dc:title>
  <dc:subject/>
  <dc:creator>XIA,Hua</dc:creator>
  <cp:keywords/>
  <dc:description/>
  <cp:lastModifiedBy>WALKER,Andrew</cp:lastModifiedBy>
  <cp:revision>138</cp:revision>
  <cp:lastPrinted>2025-05-19T16:52:00Z</cp:lastPrinted>
  <dcterms:created xsi:type="dcterms:W3CDTF">2024-08-11T08:04:00Z</dcterms:created>
  <dcterms:modified xsi:type="dcterms:W3CDTF">2026-03-03T04:53:00Z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2023-02-06T02:33:08Z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0196b020-ca67-4808-9ba4-9cbe3d5bd324</vt:lpwstr>
  </property>
  <property fmtid="{D5CDD505-2E9C-101B-9397-08002B2CF9AE}" pid="8" name="MSIP_Label_79d889eb-932f-4752-8739-64d25806ef64_ContentBits">
    <vt:lpwstr>0</vt:lpwstr>
  </property>
  <property fmtid="{D5CDD505-2E9C-101B-9397-08002B2CF9AE}" pid="9" name="ContentTypeId">
    <vt:lpwstr>0x010100DBE4CFC06C38FD429762EA454E4407CB</vt:lpwstr>
  </property>
  <property fmtid="{D5CDD505-2E9C-101B-9397-08002B2CF9AE}" pid="10" name="MediaServiceImageTags">
    <vt:lpwstr/>
  </property>
  <property fmtid="{D5CDD505-2E9C-101B-9397-08002B2CF9AE}" pid="11" name="docLang">
    <vt:lpwstr>en</vt:lpwstr>
  </property>
</Properties>
</file>