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39F13" w14:textId="3FCB08EA" w:rsidR="00107DD5" w:rsidRDefault="00B2112B" w:rsidP="00CA4815">
      <w:r w:rsidRPr="00CA4815">
        <w:rPr>
          <w:b/>
          <w:bCs/>
          <w:noProof/>
        </w:rPr>
        <w:drawing>
          <wp:anchor distT="0" distB="0" distL="114300" distR="114300" simplePos="0" relativeHeight="251659264" behindDoc="1" locked="1" layoutInCell="1" allowOverlap="1" wp14:anchorId="6B21CB0D" wp14:editId="23C3CFD0">
            <wp:simplePos x="0" y="0"/>
            <wp:positionH relativeFrom="page">
              <wp:align>left</wp:align>
            </wp:positionH>
            <wp:positionV relativeFrom="paragraph">
              <wp:posOffset>-768985</wp:posOffset>
            </wp:positionV>
            <wp:extent cx="7559675" cy="183578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835785"/>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0501B52B" wp14:editId="42511EDE">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0FDAA263" w14:textId="77777777" w:rsidR="0049047E" w:rsidRPr="001D4382" w:rsidRDefault="0049047E" w:rsidP="0049047E">
      <w:pPr>
        <w:pStyle w:val="Title"/>
      </w:pPr>
      <w:r w:rsidRPr="001D4382">
        <w:t xml:space="preserve">The First Five </w:t>
      </w:r>
      <w:r w:rsidRPr="0049047E">
        <w:t>Years</w:t>
      </w:r>
      <w:r w:rsidRPr="001D4382">
        <w:t>: What makes a difference?</w:t>
      </w:r>
    </w:p>
    <w:p w14:paraId="51945BA6" w14:textId="4CAFF6CB" w:rsidR="0049047E" w:rsidRDefault="00960FF6" w:rsidP="00221E4E">
      <w:pPr>
        <w:pStyle w:val="Subtitle"/>
      </w:pPr>
      <w:r>
        <w:t xml:space="preserve">5.2 </w:t>
      </w:r>
      <w:r w:rsidR="0049047E" w:rsidRPr="00221E4E">
        <w:t>Appendix</w:t>
      </w:r>
      <w:r w:rsidR="0049047E">
        <w:t xml:space="preserve"> </w:t>
      </w:r>
    </w:p>
    <w:p w14:paraId="438CC52C" w14:textId="77777777" w:rsidR="0049047E" w:rsidRDefault="0049047E" w:rsidP="00A656FE">
      <w:pPr>
        <w:pStyle w:val="Heading2"/>
      </w:pPr>
      <w:r>
        <w:t xml:space="preserve">Appendix A: Note on </w:t>
      </w:r>
      <w:proofErr w:type="gramStart"/>
      <w:r>
        <w:t>child care</w:t>
      </w:r>
      <w:proofErr w:type="gramEnd"/>
      <w:r>
        <w:t xml:space="preserve"> charged and attended hours</w:t>
      </w:r>
    </w:p>
    <w:p w14:paraId="0A7508F9" w14:textId="15D2F341" w:rsidR="0049047E" w:rsidRDefault="0049047E" w:rsidP="0049047E">
      <w:r>
        <w:t xml:space="preserve">It is well known that the hours children attend </w:t>
      </w:r>
      <w:proofErr w:type="gramStart"/>
      <w:r>
        <w:t>child care</w:t>
      </w:r>
      <w:proofErr w:type="gramEnd"/>
      <w:r>
        <w:t xml:space="preserve"> are generally less than charged hours. </w:t>
      </w:r>
      <w:proofErr w:type="gramStart"/>
      <w:r>
        <w:t>Child care</w:t>
      </w:r>
      <w:proofErr w:type="gramEnd"/>
      <w:r>
        <w:t xml:space="preserve"> centres typically charge for the whole time the centre is open to cover the cost of staffing and running the centre, while families rarely use the full session. Other reasons such as holidays and illness may also reduce the hours a child</w:t>
      </w:r>
      <w:r w:rsidR="00221E4E">
        <w:t xml:space="preserve"> attends</w:t>
      </w:r>
      <w:r>
        <w:t xml:space="preserve">. </w:t>
      </w:r>
      <w:r w:rsidR="00961505">
        <w:t>Administrative data</w:t>
      </w:r>
      <w:r>
        <w:t xml:space="preserve"> suggests that children attend for roughly 70 per cent of the hours that families are charged. </w:t>
      </w:r>
    </w:p>
    <w:p w14:paraId="390EC060" w14:textId="083AC999" w:rsidR="00221E4E" w:rsidRDefault="0049047E" w:rsidP="0049047E">
      <w:r>
        <w:t xml:space="preserve">For the First Five Years project, the 2018 Australian Early Development Census (AEDC) is linked to the Child Care Management System (CCMS) data, where quarterly charged hours are recorded. Since July 2018, the new Child Care Subsidy (CCS) was introduced, and data on actual attendance at </w:t>
      </w:r>
      <w:proofErr w:type="gramStart"/>
      <w:r>
        <w:t>child care</w:t>
      </w:r>
      <w:proofErr w:type="gramEnd"/>
      <w:r>
        <w:t xml:space="preserve"> became available</w:t>
      </w:r>
      <w:r w:rsidR="00961505">
        <w:t xml:space="preserve"> from 2019</w:t>
      </w:r>
      <w:r>
        <w:t xml:space="preserve">. We linked the CCS data with the 2021 AEDC to test the relationship between hours charged and hours attended, and the association with rates of children’s developmental vulnerabilities. </w:t>
      </w:r>
    </w:p>
    <w:p w14:paraId="46E5DFB8" w14:textId="1465F0FB" w:rsidR="0049047E" w:rsidRPr="00994B62" w:rsidRDefault="00221E4E" w:rsidP="0049047E">
      <w:r>
        <w:t xml:space="preserve">The main goal of this subsection is to test the relationship between charged hours and attended hours, </w:t>
      </w:r>
      <w:r w:rsidR="006760F9">
        <w:t>and</w:t>
      </w:r>
      <w:r w:rsidR="0010281E">
        <w:t xml:space="preserve"> then</w:t>
      </w:r>
      <w:r>
        <w:t xml:space="preserve"> test whether the </w:t>
      </w:r>
      <w:r w:rsidR="002E607C">
        <w:t xml:space="preserve">reported </w:t>
      </w:r>
      <w:r>
        <w:t xml:space="preserve">relationship between </w:t>
      </w:r>
      <w:r w:rsidR="00BD0FA9">
        <w:t xml:space="preserve">charged </w:t>
      </w:r>
      <w:proofErr w:type="gramStart"/>
      <w:r>
        <w:t>child care</w:t>
      </w:r>
      <w:proofErr w:type="gramEnd"/>
      <w:r>
        <w:t xml:space="preserve"> hours </w:t>
      </w:r>
      <w:r w:rsidR="00BD0FA9">
        <w:t>and</w:t>
      </w:r>
      <w:r>
        <w:t xml:space="preserve"> children’s development still hold</w:t>
      </w:r>
      <w:r w:rsidR="006760F9">
        <w:t>s</w:t>
      </w:r>
      <w:r>
        <w:t xml:space="preserve"> for attended hours.</w:t>
      </w:r>
    </w:p>
    <w:p w14:paraId="7BC47693" w14:textId="77777777" w:rsidR="0049047E" w:rsidRDefault="0049047E" w:rsidP="0071285D">
      <w:pPr>
        <w:pStyle w:val="Caption"/>
      </w:pPr>
      <w:bookmarkStart w:id="0" w:name="_Hlk146615446"/>
      <w:r w:rsidRPr="00286151">
        <w:lastRenderedPageBreak/>
        <w:t xml:space="preserve">Figure </w:t>
      </w:r>
      <w:r>
        <w:t>1</w:t>
      </w:r>
      <w:r w:rsidRPr="00286151">
        <w:t xml:space="preserve">: </w:t>
      </w:r>
      <w:r>
        <w:t>Number of people by average weekly charged hours and attended hours</w:t>
      </w:r>
      <w:r w:rsidRPr="00442B32">
        <w:t xml:space="preserve">, </w:t>
      </w:r>
      <w:r>
        <w:t xml:space="preserve">2018 and 2021 </w:t>
      </w:r>
      <w:r w:rsidRPr="00442B32">
        <w:t>AEDC cohort.</w:t>
      </w:r>
    </w:p>
    <w:bookmarkEnd w:id="0"/>
    <w:p w14:paraId="3B05D259" w14:textId="77777777" w:rsidR="0049047E" w:rsidRDefault="0049047E" w:rsidP="0049047E">
      <w:r>
        <w:rPr>
          <w:noProof/>
          <w14:ligatures w14:val="standardContextual"/>
        </w:rPr>
        <w:drawing>
          <wp:inline distT="0" distB="0" distL="0" distR="0" wp14:anchorId="303CDF7C" wp14:editId="0F96CB13">
            <wp:extent cx="4880344" cy="2286000"/>
            <wp:effectExtent l="0" t="0" r="0" b="0"/>
            <wp:docPr id="1448040777" name="Chart 1" descr="Figure 1 shows that the distribution of hours families are charged is consistent between 2018 and 2021, with a slight shift towards higher amounts of charged hours in 2021. As expected, the actual hours attended are lower than charged hours, with a peak at 10-14 hours rather than 20-24 hours. ">
              <a:extLst xmlns:a="http://schemas.openxmlformats.org/drawingml/2006/main">
                <a:ext uri="{FF2B5EF4-FFF2-40B4-BE49-F238E27FC236}">
                  <a16:creationId xmlns:a16="http://schemas.microsoft.com/office/drawing/2014/main" id="{E94AC546-7EBC-48C5-9828-5EB1D80BA1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9637E5D" w14:textId="77777777" w:rsidR="0049047E" w:rsidRDefault="0049047E" w:rsidP="0071285D">
      <w:pPr>
        <w:pStyle w:val="Source"/>
      </w:pPr>
      <w:r w:rsidRPr="00A74445">
        <w:rPr>
          <w:b/>
          <w:bCs/>
        </w:rPr>
        <w:t>Source:</w:t>
      </w:r>
      <w:r w:rsidRPr="00A74445">
        <w:t xml:space="preserve"> Custom Multi-Agency Data Integration Project (MADIP) extract </w:t>
      </w:r>
      <w:r>
        <w:t>Education, Skills and Employment National Data Asset (ESENDA), including AEDC data linked to CCS data, accessed 2023.</w:t>
      </w:r>
    </w:p>
    <w:p w14:paraId="28F3B46A" w14:textId="672D8799" w:rsidR="0049047E" w:rsidRDefault="0049047E" w:rsidP="0049047E">
      <w:r>
        <w:t xml:space="preserve">As shown in Figure 1, the </w:t>
      </w:r>
      <w:r w:rsidR="002E607C">
        <w:t xml:space="preserve">distribution </w:t>
      </w:r>
      <w:r>
        <w:t xml:space="preserve">of </w:t>
      </w:r>
      <w:r w:rsidR="002E607C">
        <w:t xml:space="preserve">hours </w:t>
      </w:r>
      <w:r>
        <w:t>families</w:t>
      </w:r>
      <w:r w:rsidR="002E607C">
        <w:t xml:space="preserve"> </w:t>
      </w:r>
      <w:proofErr w:type="gramStart"/>
      <w:r w:rsidR="002E607C">
        <w:t>are</w:t>
      </w:r>
      <w:proofErr w:type="gramEnd"/>
      <w:r>
        <w:t xml:space="preserve"> charged </w:t>
      </w:r>
      <w:r w:rsidR="002E607C">
        <w:t>is</w:t>
      </w:r>
      <w:r>
        <w:t xml:space="preserve"> consistent between 2018 and 2021, with a slight shift towards higher amounts of charged hours in 2021. Most families are charged between 15 to 35 hours per week, equivalent to around 2 to 3 days per week. As expected, the actual hours attended are lower, with the peak at 10-14 hours of attendance per week. </w:t>
      </w:r>
    </w:p>
    <w:p w14:paraId="285D1F4D" w14:textId="77777777" w:rsidR="0049047E" w:rsidRDefault="0049047E" w:rsidP="0049047E">
      <w:r>
        <w:t xml:space="preserve">Note that the data only capture attendance at a service eligible for the Child Care Subsidy, and as such does not include fully government-funded preschools.  </w:t>
      </w:r>
    </w:p>
    <w:p w14:paraId="178689D1" w14:textId="77777777" w:rsidR="0049047E" w:rsidRDefault="0049047E" w:rsidP="0049047E">
      <w:r>
        <w:t>CCS data contains both charged hours and attended hours, which allows the comparison of child developmental vulnerability for charged and attended hours. In Figure 2, the blue and grey lines show the rate of developmental vulnerability on one or more domains (DV1) based on charged hours and attended hours respectively. Low DV1 rates for the children with low charged hours are observed. However, the DV1 rates for the children attending short or no hours (while paying for them) are high. This low attendance could be due to family and/or health issues. A more detailed study in the future on the comparison of charged hours and attended hours will be useful to identify these extra factors.</w:t>
      </w:r>
    </w:p>
    <w:p w14:paraId="1F61DD49" w14:textId="2ED1EBAB" w:rsidR="0049047E" w:rsidRPr="008311F0" w:rsidRDefault="0049047E" w:rsidP="0049047E">
      <w:r>
        <w:t xml:space="preserve">We conducted a simple test of the validity of using hours charged as a proxy for hours attended, by comparing the distribution of rates of vulnerability for both measures. We scaled charged hours by 0.7 (in effect, </w:t>
      </w:r>
      <w:proofErr w:type="gramStart"/>
      <w:r>
        <w:t>assuming that</w:t>
      </w:r>
      <w:proofErr w:type="gramEnd"/>
      <w:r>
        <w:t xml:space="preserve"> hours attended represent 70 per cent of hours charged</w:t>
      </w:r>
      <w:proofErr w:type="gramStart"/>
      <w:r>
        <w:t>), and</w:t>
      </w:r>
      <w:proofErr w:type="gramEnd"/>
      <w:r>
        <w:t xml:space="preserve"> compared the resulting distribution of rates of </w:t>
      </w:r>
      <w:r w:rsidR="00E5714B">
        <w:t xml:space="preserve">developmental </w:t>
      </w:r>
      <w:r>
        <w:t xml:space="preserve">vulnerability to the true distribution based on actual hours attended (blue and black lines in Figure 2). Between 10 and 40 hours, the two curves are very similar, suggesting the charged hours is a reasonable proxy measure of the </w:t>
      </w:r>
      <w:proofErr w:type="gramStart"/>
      <w:r>
        <w:t>child care</w:t>
      </w:r>
      <w:proofErr w:type="gramEnd"/>
      <w:r>
        <w:t xml:space="preserve"> attendance (and developmental vulnerability for those attendance rates) for normal ranges of attendance. However, for the lowest and highest end of the attended hours, the results based on charged hours deviate and care should be taken when dealing with those cases.   </w:t>
      </w:r>
    </w:p>
    <w:p w14:paraId="08730281" w14:textId="3591349D" w:rsidR="0049047E" w:rsidRDefault="0049047E" w:rsidP="0071285D">
      <w:pPr>
        <w:pStyle w:val="Caption"/>
      </w:pPr>
      <w:r w:rsidRPr="00286151">
        <w:lastRenderedPageBreak/>
        <w:t xml:space="preserve">Figure </w:t>
      </w:r>
      <w:r>
        <w:t>2</w:t>
      </w:r>
      <w:r w:rsidRPr="00286151">
        <w:t xml:space="preserve">: </w:t>
      </w:r>
      <w:r>
        <w:t>Proportions (%) of children who were developmentally vulnerable on one or more domain</w:t>
      </w:r>
      <w:r w:rsidR="00FF03EC">
        <w:t>s</w:t>
      </w:r>
      <w:r>
        <w:t xml:space="preserve"> (DV1), by average weekly charged hours and attended hours</w:t>
      </w:r>
      <w:r w:rsidRPr="00442B32">
        <w:t xml:space="preserve">, </w:t>
      </w:r>
      <w:r>
        <w:t xml:space="preserve">2021 </w:t>
      </w:r>
      <w:r w:rsidRPr="00442B32">
        <w:t>AEDC cohort.</w:t>
      </w:r>
    </w:p>
    <w:p w14:paraId="3F33BF31" w14:textId="77777777" w:rsidR="0049047E" w:rsidRDefault="0049047E" w:rsidP="0049047E">
      <w:r>
        <w:rPr>
          <w:noProof/>
          <w14:ligatures w14:val="standardContextual"/>
        </w:rPr>
        <w:drawing>
          <wp:inline distT="0" distB="0" distL="0" distR="0" wp14:anchorId="4D6530CA" wp14:editId="52CE1682">
            <wp:extent cx="5539563" cy="2690038"/>
            <wp:effectExtent l="0" t="0" r="4445" b="0"/>
            <wp:docPr id="1702427992" name="Chart 1" descr="Figure 2 shows the distribution of developmental vulnerability for weekly charged hours scaled by 0.7 and compares it to the true distribution based on actual hours attended. The two curves are similar between 10 and 40 hours, only deviating below 10 hours.">
              <a:extLst xmlns:a="http://schemas.openxmlformats.org/drawingml/2006/main">
                <a:ext uri="{FF2B5EF4-FFF2-40B4-BE49-F238E27FC236}">
                  <a16:creationId xmlns:a16="http://schemas.microsoft.com/office/drawing/2014/main" id="{62266FB2-955B-4EEE-9B25-F71294DBCC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64DFEC6" w14:textId="363BF18E" w:rsidR="0049047E" w:rsidRDefault="0049047E" w:rsidP="0071285D">
      <w:pPr>
        <w:pStyle w:val="Source"/>
      </w:pPr>
      <w:r w:rsidRPr="00A74445">
        <w:rPr>
          <w:b/>
          <w:bCs/>
        </w:rPr>
        <w:t>Source:</w:t>
      </w:r>
      <w:r w:rsidRPr="00A74445">
        <w:t xml:space="preserve"> Custom Multi-Agency Data Integration Project (MADIP) extract </w:t>
      </w:r>
      <w:r>
        <w:t>Education, Skills and Employment National Data Asset (ESENDA), including AEDC data linked to CCS data, accessed 2023.</w:t>
      </w:r>
    </w:p>
    <w:p w14:paraId="3933D6C9" w14:textId="77777777" w:rsidR="0049047E" w:rsidRDefault="0049047E" w:rsidP="00A656FE">
      <w:pPr>
        <w:pStyle w:val="Heading2"/>
      </w:pPr>
      <w:r>
        <w:t>Appendix B: Linkage bias</w:t>
      </w:r>
    </w:p>
    <w:p w14:paraId="14C3A33B" w14:textId="77777777" w:rsidR="0049047E" w:rsidRDefault="0049047E" w:rsidP="0049047E">
      <w:r>
        <w:t xml:space="preserve">As shown in the </w:t>
      </w:r>
      <w:r w:rsidRPr="00C51084">
        <w:rPr>
          <w:i/>
          <w:iCs/>
        </w:rPr>
        <w:t xml:space="preserve">Methodology </w:t>
      </w:r>
      <w:r>
        <w:t xml:space="preserve">paper (Table 2), the analytical cohort is smaller than the AEDC cohort due to linkage rates and exclusion of individuals without complete covariates. </w:t>
      </w:r>
    </w:p>
    <w:p w14:paraId="3059C97A" w14:textId="77777777" w:rsidR="0049047E" w:rsidRPr="00496028" w:rsidRDefault="0049047E" w:rsidP="0049047E">
      <w:r>
        <w:t xml:space="preserve">For the descriptive analysis of formal </w:t>
      </w:r>
      <w:proofErr w:type="gramStart"/>
      <w:r>
        <w:t>child care</w:t>
      </w:r>
      <w:proofErr w:type="gramEnd"/>
      <w:r>
        <w:t xml:space="preserve"> attendance, we defined </w:t>
      </w:r>
      <w:proofErr w:type="gramStart"/>
      <w:r>
        <w:t>child care</w:t>
      </w:r>
      <w:proofErr w:type="gramEnd"/>
      <w:r>
        <w:t xml:space="preserve"> attendance as unknown if (1) the child could not be linked to the MADIP data, and (2) if the child did not have information of a primary carer.  As can be seen from Figure 3, this group of children were more likely to be developmentally vulnerable in all domains compared to the analytical cohort, including both those who did and did not attend </w:t>
      </w:r>
      <w:proofErr w:type="gramStart"/>
      <w:r>
        <w:t>child care</w:t>
      </w:r>
      <w:proofErr w:type="gramEnd"/>
      <w:r>
        <w:t>.  Thus, the analytical cohort is biased towards those who are less likely to be developmentally vulnerable.</w:t>
      </w:r>
    </w:p>
    <w:p w14:paraId="7F932C40" w14:textId="77777777" w:rsidR="0049047E" w:rsidRDefault="0049047E" w:rsidP="0071285D">
      <w:pPr>
        <w:pStyle w:val="Caption"/>
      </w:pPr>
      <w:r w:rsidRPr="005D4BDF">
        <w:lastRenderedPageBreak/>
        <w:t xml:space="preserve">Figure </w:t>
      </w:r>
      <w:r>
        <w:t>3</w:t>
      </w:r>
      <w:r w:rsidRPr="005D4BDF">
        <w:t xml:space="preserve">. </w:t>
      </w:r>
      <w:r>
        <w:t xml:space="preserve">Proportion (%) of children who are developmentally vulnerable on different domains, for the analytical cohort attending </w:t>
      </w:r>
      <w:proofErr w:type="gramStart"/>
      <w:r>
        <w:t>child care</w:t>
      </w:r>
      <w:proofErr w:type="gramEnd"/>
      <w:r>
        <w:t xml:space="preserve"> and not attending </w:t>
      </w:r>
      <w:proofErr w:type="gramStart"/>
      <w:r>
        <w:t>child care</w:t>
      </w:r>
      <w:proofErr w:type="gramEnd"/>
      <w:r>
        <w:t xml:space="preserve"> and those excluded from the analytical cohort, 2018 AEDC cohort.</w:t>
      </w:r>
    </w:p>
    <w:p w14:paraId="4C1598C6" w14:textId="44ABAB36" w:rsidR="0049047E" w:rsidRDefault="00BF5BA5" w:rsidP="0049047E">
      <w:r>
        <w:rPr>
          <w:noProof/>
        </w:rPr>
        <w:drawing>
          <wp:inline distT="0" distB="0" distL="0" distR="0" wp14:anchorId="49DA9A5A" wp14:editId="5D48A06B">
            <wp:extent cx="5731510" cy="4441190"/>
            <wp:effectExtent l="0" t="0" r="2540" b="0"/>
            <wp:docPr id="1466727618" name="Chart 1" descr="Figure 3 shows the proportion of children who are developmentally vulnerable on different domains, for the analytical cohort attending child care and not attending child care and those excluded from the analytical cohort.">
              <a:extLst xmlns:a="http://schemas.openxmlformats.org/drawingml/2006/main">
                <a:ext uri="{FF2B5EF4-FFF2-40B4-BE49-F238E27FC236}">
                  <a16:creationId xmlns:a16="http://schemas.microsoft.com/office/drawing/2014/main" id="{76F2C991-3D82-45DA-93FA-2815662B97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392B1C7" w14:textId="77777777" w:rsidR="0049047E" w:rsidRDefault="0049047E" w:rsidP="0071285D">
      <w:pPr>
        <w:pStyle w:val="Source"/>
      </w:pPr>
      <w:r w:rsidRPr="00A74445">
        <w:rPr>
          <w:b/>
          <w:bCs/>
        </w:rPr>
        <w:t>Source:</w:t>
      </w:r>
      <w:r w:rsidRPr="00A74445">
        <w:t xml:space="preserve"> Custom Multi-Agency Data Integration Project (MADIP) extract </w:t>
      </w:r>
      <w:r>
        <w:t>Education, Skills and Employment National Data Asset (ESENDA), including AEDC data linked to CCS data, accessed 2023.</w:t>
      </w:r>
    </w:p>
    <w:p w14:paraId="5DBB14EE" w14:textId="77777777" w:rsidR="0049047E" w:rsidRDefault="0049047E" w:rsidP="0071285D">
      <w:pPr>
        <w:pStyle w:val="Source"/>
      </w:pPr>
      <w:r w:rsidRPr="004F5F0E">
        <w:rPr>
          <w:b/>
          <w:bCs/>
        </w:rPr>
        <w:t>Note</w:t>
      </w:r>
      <w:r>
        <w:rPr>
          <w:b/>
          <w:bCs/>
        </w:rPr>
        <w:t>s</w:t>
      </w:r>
      <w:r w:rsidRPr="004F5F0E">
        <w:rPr>
          <w:b/>
          <w:bCs/>
        </w:rPr>
        <w:t>:</w:t>
      </w:r>
      <w:r>
        <w:t xml:space="preserve"> Analytical cohort with valid DV1 score (including </w:t>
      </w:r>
      <w:proofErr w:type="gramStart"/>
      <w:r>
        <w:t>child care</w:t>
      </w:r>
      <w:proofErr w:type="gramEnd"/>
      <w:r>
        <w:t xml:space="preserve"> and no </w:t>
      </w:r>
      <w:proofErr w:type="gramStart"/>
      <w:r>
        <w:t>child care</w:t>
      </w:r>
      <w:proofErr w:type="gramEnd"/>
      <w:r>
        <w:t>): N=272,616; Rest of cohort N=20,286</w:t>
      </w:r>
    </w:p>
    <w:p w14:paraId="6D1ECF31" w14:textId="1E196150" w:rsidR="0049047E" w:rsidRPr="008311F0" w:rsidRDefault="0049047E" w:rsidP="0049047E">
      <w:pPr>
        <w:rPr>
          <w:rStyle w:val="Heading3Char"/>
          <w:color w:val="auto"/>
        </w:rPr>
      </w:pPr>
      <w:r w:rsidRPr="00F93FC5">
        <w:t xml:space="preserve">For the predictive modelling </w:t>
      </w:r>
      <w:r>
        <w:t xml:space="preserve">and statistical inference </w:t>
      </w:r>
      <w:r w:rsidRPr="00F93FC5">
        <w:t>work,</w:t>
      </w:r>
      <w:r>
        <w:t xml:space="preserve"> any child with one or more missing values was removed from the analytical cohort, resulting in a further reduced cohort of 211,885. A bias can be estimated for different variables as the difference between the data with no observations removed and the data with all observations with missing data removed.  The study of the bias shows that the individuals with missing data were more likely to be developmentally vulnerable and disadvantaged in other ways, including being more likely to live in a low socio-economic area, less likely to have employed parents or parents with a </w:t>
      </w:r>
      <w:proofErr w:type="gramStart"/>
      <w:r>
        <w:t>bachelor</w:t>
      </w:r>
      <w:proofErr w:type="gramEnd"/>
      <w:r>
        <w:t xml:space="preserve"> degree. The results of our predictive modelling and inference work are based on a cohort that is biased towards being representative of less disadvantaged individuals.   </w:t>
      </w:r>
    </w:p>
    <w:p w14:paraId="4B3304C7" w14:textId="70B4FB18" w:rsidR="0049047E" w:rsidRDefault="0049047E" w:rsidP="00A656FE">
      <w:pPr>
        <w:pStyle w:val="Heading2"/>
      </w:pPr>
      <w:r>
        <w:lastRenderedPageBreak/>
        <w:t xml:space="preserve">Appendix </w:t>
      </w:r>
      <w:r w:rsidR="00F13CF6">
        <w:t>C</w:t>
      </w:r>
      <w:r>
        <w:t xml:space="preserve">: Detailed </w:t>
      </w:r>
      <w:r w:rsidR="005E74A7">
        <w:t>statistical</w:t>
      </w:r>
      <w:r>
        <w:t xml:space="preserve"> inference results for chapter 3.4</w:t>
      </w:r>
    </w:p>
    <w:p w14:paraId="7F4B187C" w14:textId="77777777" w:rsidR="0049047E" w:rsidRDefault="0049047E" w:rsidP="0049047E">
      <w:r>
        <w:t xml:space="preserve">Detailed analysis results such as confidence intervals are available upon request. </w:t>
      </w:r>
    </w:p>
    <w:p w14:paraId="7EF75736" w14:textId="77777777" w:rsidR="0049047E" w:rsidRPr="00FD39EA" w:rsidRDefault="0049047E" w:rsidP="006F7957">
      <w:pPr>
        <w:pStyle w:val="Caption"/>
      </w:pPr>
      <w:r>
        <w:t xml:space="preserve">Effect of </w:t>
      </w:r>
      <w:proofErr w:type="gramStart"/>
      <w:r>
        <w:t>child care</w:t>
      </w:r>
      <w:proofErr w:type="gramEnd"/>
      <w:r>
        <w:t xml:space="preserve"> duration analysis:</w:t>
      </w:r>
    </w:p>
    <w:tbl>
      <w:tblPr>
        <w:tblW w:w="8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194"/>
        <w:gridCol w:w="774"/>
        <w:gridCol w:w="960"/>
        <w:gridCol w:w="960"/>
        <w:gridCol w:w="960"/>
        <w:gridCol w:w="960"/>
        <w:gridCol w:w="960"/>
      </w:tblGrid>
      <w:tr w:rsidR="0049047E" w:rsidRPr="006942A6" w14:paraId="475D77A8" w14:textId="77777777">
        <w:trPr>
          <w:trHeight w:val="300"/>
        </w:trPr>
        <w:tc>
          <w:tcPr>
            <w:tcW w:w="8728" w:type="dxa"/>
            <w:gridSpan w:val="8"/>
            <w:noWrap/>
            <w:vAlign w:val="bottom"/>
          </w:tcPr>
          <w:p w14:paraId="71D9B0B8" w14:textId="77777777" w:rsidR="0049047E" w:rsidRPr="006942A6" w:rsidRDefault="0049047E">
            <w:pPr>
              <w:spacing w:after="0"/>
              <w:jc w:val="center"/>
              <w:rPr>
                <w:rFonts w:ascii="Times New Roman" w:eastAsia="Times New Roman" w:hAnsi="Times New Roman" w:cs="Times New Roman"/>
                <w:sz w:val="20"/>
                <w:szCs w:val="20"/>
                <w:lang w:eastAsia="en-AU"/>
              </w:rPr>
            </w:pPr>
            <w:r w:rsidRPr="00227FDB">
              <w:t>Sample sizes</w:t>
            </w:r>
            <w:r>
              <w:t xml:space="preserve"> for statistical inference analysis on duration in </w:t>
            </w:r>
            <w:proofErr w:type="gramStart"/>
            <w:r>
              <w:t>child care</w:t>
            </w:r>
            <w:proofErr w:type="gramEnd"/>
          </w:p>
        </w:tc>
      </w:tr>
      <w:tr w:rsidR="0049047E" w:rsidRPr="006942A6" w14:paraId="553CF5E7" w14:textId="77777777">
        <w:trPr>
          <w:trHeight w:val="300"/>
        </w:trPr>
        <w:tc>
          <w:tcPr>
            <w:tcW w:w="1960" w:type="dxa"/>
            <w:noWrap/>
            <w:vAlign w:val="bottom"/>
            <w:hideMark/>
          </w:tcPr>
          <w:p w14:paraId="67C448C3" w14:textId="77777777" w:rsidR="0049047E" w:rsidRPr="006942A6" w:rsidRDefault="0049047E">
            <w:pPr>
              <w:spacing w:after="0" w:line="240" w:lineRule="auto"/>
              <w:rPr>
                <w:rFonts w:ascii="Times New Roman" w:eastAsia="Times New Roman" w:hAnsi="Times New Roman" w:cs="Times New Roman"/>
                <w:sz w:val="20"/>
                <w:szCs w:val="20"/>
                <w:lang w:eastAsia="en-AU"/>
              </w:rPr>
            </w:pPr>
          </w:p>
        </w:tc>
        <w:tc>
          <w:tcPr>
            <w:tcW w:w="6768" w:type="dxa"/>
            <w:gridSpan w:val="7"/>
            <w:noWrap/>
            <w:vAlign w:val="bottom"/>
            <w:hideMark/>
          </w:tcPr>
          <w:p w14:paraId="70284DC8" w14:textId="77777777" w:rsidR="0049047E" w:rsidRPr="006942A6" w:rsidRDefault="0049047E">
            <w:pPr>
              <w:spacing w:after="0" w:line="240" w:lineRule="auto"/>
              <w:rPr>
                <w:rFonts w:ascii="Times New Roman" w:eastAsia="Times New Roman" w:hAnsi="Times New Roman" w:cs="Times New Roman"/>
                <w:sz w:val="20"/>
                <w:szCs w:val="20"/>
                <w:lang w:eastAsia="en-AU"/>
              </w:rPr>
            </w:pPr>
            <w:r>
              <w:rPr>
                <w:rFonts w:ascii="Calibri" w:eastAsia="Times New Roman" w:hAnsi="Calibri" w:cs="Calibri"/>
                <w:b/>
                <w:bCs/>
                <w:color w:val="000000"/>
                <w:lang w:eastAsia="en-AU"/>
              </w:rPr>
              <w:t>Average weekly hours</w:t>
            </w:r>
          </w:p>
        </w:tc>
      </w:tr>
      <w:tr w:rsidR="0049047E" w:rsidRPr="006942A6" w14:paraId="6DF564C5" w14:textId="77777777">
        <w:trPr>
          <w:trHeight w:val="300"/>
        </w:trPr>
        <w:tc>
          <w:tcPr>
            <w:tcW w:w="1960" w:type="dxa"/>
            <w:noWrap/>
            <w:vAlign w:val="bottom"/>
            <w:hideMark/>
          </w:tcPr>
          <w:p w14:paraId="1EB28FB0" w14:textId="77777777" w:rsidR="0049047E" w:rsidRPr="00012ADD" w:rsidRDefault="0049047E">
            <w:pPr>
              <w:spacing w:after="0" w:line="240" w:lineRule="auto"/>
              <w:rPr>
                <w:rFonts w:ascii="Times New Roman" w:eastAsia="Times New Roman" w:hAnsi="Times New Roman" w:cs="Times New Roman"/>
                <w:b/>
                <w:bCs/>
                <w:sz w:val="20"/>
                <w:szCs w:val="20"/>
                <w:lang w:eastAsia="en-AU"/>
              </w:rPr>
            </w:pPr>
            <w:r>
              <w:rPr>
                <w:rFonts w:ascii="Calibri" w:eastAsia="Times New Roman" w:hAnsi="Calibri" w:cs="Calibri"/>
                <w:b/>
                <w:bCs/>
                <w:color w:val="000000"/>
                <w:lang w:eastAsia="en-AU"/>
              </w:rPr>
              <w:t>Total hours</w:t>
            </w:r>
          </w:p>
        </w:tc>
        <w:tc>
          <w:tcPr>
            <w:tcW w:w="1194" w:type="dxa"/>
            <w:noWrap/>
            <w:vAlign w:val="bottom"/>
            <w:hideMark/>
          </w:tcPr>
          <w:p w14:paraId="433F1493" w14:textId="77777777" w:rsidR="0049047E" w:rsidRPr="006942A6" w:rsidRDefault="0049047E">
            <w:pPr>
              <w:spacing w:after="0" w:line="240" w:lineRule="auto"/>
              <w:rPr>
                <w:rFonts w:ascii="Calibri" w:eastAsia="Times New Roman" w:hAnsi="Calibri" w:cs="Calibri"/>
                <w:color w:val="000000"/>
                <w:lang w:eastAsia="en-AU"/>
              </w:rPr>
            </w:pPr>
            <w:r w:rsidRPr="006942A6">
              <w:rPr>
                <w:rFonts w:ascii="Calibri" w:eastAsia="Times New Roman" w:hAnsi="Calibri" w:cs="Calibri"/>
                <w:color w:val="000000"/>
                <w:lang w:eastAsia="en-AU"/>
              </w:rPr>
              <w:t>0 (control)</w:t>
            </w:r>
          </w:p>
        </w:tc>
        <w:tc>
          <w:tcPr>
            <w:tcW w:w="774" w:type="dxa"/>
            <w:noWrap/>
            <w:vAlign w:val="bottom"/>
            <w:hideMark/>
          </w:tcPr>
          <w:p w14:paraId="660529BC" w14:textId="77777777" w:rsidR="0049047E" w:rsidRPr="006942A6" w:rsidRDefault="0049047E">
            <w:pPr>
              <w:spacing w:after="0" w:line="240" w:lineRule="auto"/>
              <w:rPr>
                <w:rFonts w:ascii="Calibri" w:eastAsia="Times New Roman" w:hAnsi="Calibri" w:cs="Calibri"/>
                <w:color w:val="000000"/>
                <w:lang w:eastAsia="en-AU"/>
              </w:rPr>
            </w:pPr>
            <w:r w:rsidRPr="006942A6">
              <w:rPr>
                <w:rFonts w:ascii="Calibri" w:eastAsia="Times New Roman" w:hAnsi="Calibri" w:cs="Calibri"/>
                <w:color w:val="000000"/>
                <w:lang w:eastAsia="en-AU"/>
              </w:rPr>
              <w:t>&lt;10</w:t>
            </w:r>
          </w:p>
        </w:tc>
        <w:tc>
          <w:tcPr>
            <w:tcW w:w="960" w:type="dxa"/>
            <w:noWrap/>
            <w:vAlign w:val="bottom"/>
            <w:hideMark/>
          </w:tcPr>
          <w:p w14:paraId="6F1F056F" w14:textId="77777777" w:rsidR="0049047E" w:rsidRPr="006942A6" w:rsidRDefault="0049047E">
            <w:pPr>
              <w:spacing w:after="0" w:line="240" w:lineRule="auto"/>
              <w:rPr>
                <w:rFonts w:ascii="Calibri" w:eastAsia="Times New Roman" w:hAnsi="Calibri" w:cs="Calibri"/>
                <w:color w:val="000000"/>
                <w:lang w:eastAsia="en-AU"/>
              </w:rPr>
            </w:pPr>
            <w:r w:rsidRPr="006942A6">
              <w:rPr>
                <w:rFonts w:ascii="Calibri" w:eastAsia="Times New Roman" w:hAnsi="Calibri" w:cs="Calibri"/>
                <w:color w:val="000000"/>
                <w:lang w:eastAsia="en-AU"/>
              </w:rPr>
              <w:t>10-19</w:t>
            </w:r>
          </w:p>
        </w:tc>
        <w:tc>
          <w:tcPr>
            <w:tcW w:w="960" w:type="dxa"/>
            <w:noWrap/>
            <w:vAlign w:val="bottom"/>
            <w:hideMark/>
          </w:tcPr>
          <w:p w14:paraId="142061FF" w14:textId="77777777" w:rsidR="0049047E" w:rsidRPr="006942A6" w:rsidRDefault="0049047E">
            <w:pPr>
              <w:spacing w:after="0" w:line="240" w:lineRule="auto"/>
              <w:rPr>
                <w:rFonts w:ascii="Calibri" w:eastAsia="Times New Roman" w:hAnsi="Calibri" w:cs="Calibri"/>
                <w:color w:val="000000"/>
                <w:lang w:eastAsia="en-AU"/>
              </w:rPr>
            </w:pPr>
            <w:r w:rsidRPr="006942A6">
              <w:rPr>
                <w:rFonts w:ascii="Calibri" w:eastAsia="Times New Roman" w:hAnsi="Calibri" w:cs="Calibri"/>
                <w:color w:val="000000"/>
                <w:lang w:eastAsia="en-AU"/>
              </w:rPr>
              <w:t>20-29</w:t>
            </w:r>
          </w:p>
        </w:tc>
        <w:tc>
          <w:tcPr>
            <w:tcW w:w="960" w:type="dxa"/>
            <w:noWrap/>
            <w:vAlign w:val="bottom"/>
            <w:hideMark/>
          </w:tcPr>
          <w:p w14:paraId="395C320D" w14:textId="77777777" w:rsidR="0049047E" w:rsidRPr="006942A6" w:rsidRDefault="0049047E">
            <w:pPr>
              <w:spacing w:after="0" w:line="240" w:lineRule="auto"/>
              <w:rPr>
                <w:rFonts w:ascii="Calibri" w:eastAsia="Times New Roman" w:hAnsi="Calibri" w:cs="Calibri"/>
                <w:color w:val="000000"/>
                <w:lang w:eastAsia="en-AU"/>
              </w:rPr>
            </w:pPr>
            <w:r w:rsidRPr="006942A6">
              <w:rPr>
                <w:rFonts w:ascii="Calibri" w:eastAsia="Times New Roman" w:hAnsi="Calibri" w:cs="Calibri"/>
                <w:color w:val="000000"/>
                <w:lang w:eastAsia="en-AU"/>
              </w:rPr>
              <w:t>30-39</w:t>
            </w:r>
          </w:p>
        </w:tc>
        <w:tc>
          <w:tcPr>
            <w:tcW w:w="960" w:type="dxa"/>
            <w:noWrap/>
            <w:vAlign w:val="bottom"/>
            <w:hideMark/>
          </w:tcPr>
          <w:p w14:paraId="20F90254" w14:textId="77777777" w:rsidR="0049047E" w:rsidRPr="006942A6" w:rsidRDefault="0049047E">
            <w:pPr>
              <w:spacing w:after="0" w:line="240" w:lineRule="auto"/>
              <w:rPr>
                <w:rFonts w:ascii="Calibri" w:eastAsia="Times New Roman" w:hAnsi="Calibri" w:cs="Calibri"/>
                <w:color w:val="000000"/>
                <w:lang w:eastAsia="en-AU"/>
              </w:rPr>
            </w:pPr>
            <w:r w:rsidRPr="006942A6">
              <w:rPr>
                <w:rFonts w:ascii="Calibri" w:eastAsia="Times New Roman" w:hAnsi="Calibri" w:cs="Calibri"/>
                <w:color w:val="000000"/>
                <w:lang w:eastAsia="en-AU"/>
              </w:rPr>
              <w:t>40-49</w:t>
            </w:r>
          </w:p>
        </w:tc>
        <w:tc>
          <w:tcPr>
            <w:tcW w:w="960" w:type="dxa"/>
            <w:noWrap/>
            <w:vAlign w:val="bottom"/>
            <w:hideMark/>
          </w:tcPr>
          <w:p w14:paraId="0BDB0FAF" w14:textId="77777777" w:rsidR="0049047E" w:rsidRPr="006942A6" w:rsidRDefault="0049047E">
            <w:pPr>
              <w:spacing w:after="0" w:line="240" w:lineRule="auto"/>
              <w:jc w:val="right"/>
              <w:rPr>
                <w:rFonts w:ascii="Calibri" w:eastAsia="Times New Roman" w:hAnsi="Calibri" w:cs="Calibri"/>
                <w:color w:val="000000"/>
                <w:lang w:eastAsia="en-AU"/>
              </w:rPr>
            </w:pPr>
            <w:r w:rsidRPr="006942A6">
              <w:rPr>
                <w:rFonts w:ascii="Calibri" w:eastAsia="Times New Roman" w:hAnsi="Calibri" w:cs="Calibri"/>
                <w:color w:val="000000"/>
                <w:lang w:eastAsia="en-AU"/>
              </w:rPr>
              <w:t>50</w:t>
            </w:r>
          </w:p>
        </w:tc>
      </w:tr>
      <w:tr w:rsidR="0049047E" w:rsidRPr="006942A6" w14:paraId="3BCD0255" w14:textId="77777777">
        <w:trPr>
          <w:trHeight w:val="300"/>
        </w:trPr>
        <w:tc>
          <w:tcPr>
            <w:tcW w:w="1960" w:type="dxa"/>
            <w:noWrap/>
            <w:vAlign w:val="bottom"/>
            <w:hideMark/>
          </w:tcPr>
          <w:p w14:paraId="7A27BC3E" w14:textId="77777777" w:rsidR="0049047E" w:rsidRPr="006942A6" w:rsidRDefault="0049047E">
            <w:pPr>
              <w:spacing w:after="0" w:line="240" w:lineRule="auto"/>
              <w:rPr>
                <w:rFonts w:ascii="Calibri" w:eastAsia="Times New Roman" w:hAnsi="Calibri" w:cs="Calibri"/>
                <w:color w:val="000000"/>
                <w:lang w:eastAsia="en-AU"/>
              </w:rPr>
            </w:pPr>
            <w:r w:rsidRPr="006942A6">
              <w:rPr>
                <w:rFonts w:ascii="Calibri" w:eastAsia="Times New Roman" w:hAnsi="Calibri" w:cs="Calibri"/>
                <w:color w:val="000000"/>
                <w:lang w:eastAsia="en-AU"/>
              </w:rPr>
              <w:t>0 (control)</w:t>
            </w:r>
          </w:p>
        </w:tc>
        <w:tc>
          <w:tcPr>
            <w:tcW w:w="1194" w:type="dxa"/>
            <w:noWrap/>
            <w:vAlign w:val="bottom"/>
            <w:hideMark/>
          </w:tcPr>
          <w:p w14:paraId="616D9F44" w14:textId="77777777" w:rsidR="0049047E" w:rsidRPr="006942A6" w:rsidRDefault="0049047E">
            <w:pPr>
              <w:spacing w:after="0" w:line="240" w:lineRule="auto"/>
              <w:jc w:val="right"/>
              <w:rPr>
                <w:rFonts w:ascii="Calibri" w:eastAsia="Times New Roman" w:hAnsi="Calibri" w:cs="Calibri"/>
                <w:color w:val="000000"/>
                <w:lang w:eastAsia="en-AU"/>
              </w:rPr>
            </w:pPr>
            <w:r w:rsidRPr="006942A6">
              <w:rPr>
                <w:rFonts w:ascii="Calibri" w:eastAsia="Times New Roman" w:hAnsi="Calibri" w:cs="Calibri"/>
                <w:color w:val="000000"/>
                <w:lang w:eastAsia="en-AU"/>
              </w:rPr>
              <w:t>55661</w:t>
            </w:r>
          </w:p>
        </w:tc>
        <w:tc>
          <w:tcPr>
            <w:tcW w:w="774" w:type="dxa"/>
            <w:noWrap/>
            <w:vAlign w:val="bottom"/>
            <w:hideMark/>
          </w:tcPr>
          <w:p w14:paraId="4583E093" w14:textId="77777777" w:rsidR="0049047E" w:rsidRPr="006942A6" w:rsidRDefault="0049047E">
            <w:pPr>
              <w:spacing w:after="0" w:line="240" w:lineRule="auto"/>
              <w:jc w:val="right"/>
              <w:rPr>
                <w:rFonts w:ascii="Calibri" w:eastAsia="Times New Roman" w:hAnsi="Calibri" w:cs="Calibri"/>
                <w:color w:val="000000"/>
                <w:lang w:eastAsia="en-AU"/>
              </w:rPr>
            </w:pPr>
          </w:p>
        </w:tc>
        <w:tc>
          <w:tcPr>
            <w:tcW w:w="960" w:type="dxa"/>
            <w:noWrap/>
            <w:vAlign w:val="bottom"/>
            <w:hideMark/>
          </w:tcPr>
          <w:p w14:paraId="6F4B3E51" w14:textId="77777777" w:rsidR="0049047E" w:rsidRPr="006942A6" w:rsidRDefault="0049047E">
            <w:pPr>
              <w:spacing w:after="0" w:line="240" w:lineRule="auto"/>
              <w:rPr>
                <w:rFonts w:ascii="Times New Roman" w:eastAsia="Times New Roman" w:hAnsi="Times New Roman" w:cs="Times New Roman"/>
                <w:sz w:val="20"/>
                <w:szCs w:val="20"/>
                <w:lang w:eastAsia="en-AU"/>
              </w:rPr>
            </w:pPr>
          </w:p>
        </w:tc>
        <w:tc>
          <w:tcPr>
            <w:tcW w:w="960" w:type="dxa"/>
            <w:noWrap/>
            <w:vAlign w:val="bottom"/>
            <w:hideMark/>
          </w:tcPr>
          <w:p w14:paraId="34A29E3D" w14:textId="77777777" w:rsidR="0049047E" w:rsidRPr="006942A6" w:rsidRDefault="0049047E">
            <w:pPr>
              <w:spacing w:after="0" w:line="240" w:lineRule="auto"/>
              <w:rPr>
                <w:rFonts w:ascii="Times New Roman" w:eastAsia="Times New Roman" w:hAnsi="Times New Roman" w:cs="Times New Roman"/>
                <w:sz w:val="20"/>
                <w:szCs w:val="20"/>
                <w:lang w:eastAsia="en-AU"/>
              </w:rPr>
            </w:pPr>
          </w:p>
        </w:tc>
        <w:tc>
          <w:tcPr>
            <w:tcW w:w="960" w:type="dxa"/>
            <w:noWrap/>
            <w:vAlign w:val="bottom"/>
            <w:hideMark/>
          </w:tcPr>
          <w:p w14:paraId="5D9D6AE4" w14:textId="77777777" w:rsidR="0049047E" w:rsidRPr="006942A6" w:rsidRDefault="0049047E">
            <w:pPr>
              <w:spacing w:after="0" w:line="240" w:lineRule="auto"/>
              <w:rPr>
                <w:rFonts w:ascii="Times New Roman" w:eastAsia="Times New Roman" w:hAnsi="Times New Roman" w:cs="Times New Roman"/>
                <w:sz w:val="20"/>
                <w:szCs w:val="20"/>
                <w:lang w:eastAsia="en-AU"/>
              </w:rPr>
            </w:pPr>
          </w:p>
        </w:tc>
        <w:tc>
          <w:tcPr>
            <w:tcW w:w="960" w:type="dxa"/>
            <w:noWrap/>
            <w:vAlign w:val="bottom"/>
            <w:hideMark/>
          </w:tcPr>
          <w:p w14:paraId="7B1A99C5" w14:textId="77777777" w:rsidR="0049047E" w:rsidRPr="006942A6" w:rsidRDefault="0049047E">
            <w:pPr>
              <w:spacing w:after="0" w:line="240" w:lineRule="auto"/>
              <w:rPr>
                <w:rFonts w:ascii="Times New Roman" w:eastAsia="Times New Roman" w:hAnsi="Times New Roman" w:cs="Times New Roman"/>
                <w:sz w:val="20"/>
                <w:szCs w:val="20"/>
                <w:lang w:eastAsia="en-AU"/>
              </w:rPr>
            </w:pPr>
          </w:p>
        </w:tc>
        <w:tc>
          <w:tcPr>
            <w:tcW w:w="960" w:type="dxa"/>
            <w:noWrap/>
            <w:vAlign w:val="bottom"/>
            <w:hideMark/>
          </w:tcPr>
          <w:p w14:paraId="468A1ED1" w14:textId="77777777" w:rsidR="0049047E" w:rsidRPr="006942A6" w:rsidRDefault="0049047E">
            <w:pPr>
              <w:spacing w:after="0" w:line="240" w:lineRule="auto"/>
              <w:rPr>
                <w:rFonts w:ascii="Times New Roman" w:eastAsia="Times New Roman" w:hAnsi="Times New Roman" w:cs="Times New Roman"/>
                <w:sz w:val="20"/>
                <w:szCs w:val="20"/>
                <w:lang w:eastAsia="en-AU"/>
              </w:rPr>
            </w:pPr>
          </w:p>
        </w:tc>
      </w:tr>
      <w:tr w:rsidR="0049047E" w:rsidRPr="006942A6" w14:paraId="0359E2EA" w14:textId="77777777">
        <w:trPr>
          <w:trHeight w:val="300"/>
        </w:trPr>
        <w:tc>
          <w:tcPr>
            <w:tcW w:w="1960" w:type="dxa"/>
            <w:noWrap/>
            <w:vAlign w:val="bottom"/>
            <w:hideMark/>
          </w:tcPr>
          <w:p w14:paraId="42DF3884" w14:textId="77777777" w:rsidR="0049047E" w:rsidRPr="006942A6" w:rsidRDefault="0049047E">
            <w:pPr>
              <w:spacing w:after="0" w:line="240" w:lineRule="auto"/>
              <w:rPr>
                <w:rFonts w:ascii="Calibri" w:eastAsia="Times New Roman" w:hAnsi="Calibri" w:cs="Calibri"/>
                <w:color w:val="000000"/>
                <w:lang w:eastAsia="en-AU"/>
              </w:rPr>
            </w:pPr>
            <w:r w:rsidRPr="006942A6">
              <w:rPr>
                <w:rFonts w:ascii="Calibri" w:eastAsia="Times New Roman" w:hAnsi="Calibri" w:cs="Calibri"/>
                <w:color w:val="000000"/>
                <w:lang w:eastAsia="en-AU"/>
              </w:rPr>
              <w:t>1-2000</w:t>
            </w:r>
          </w:p>
        </w:tc>
        <w:tc>
          <w:tcPr>
            <w:tcW w:w="1194" w:type="dxa"/>
            <w:noWrap/>
            <w:vAlign w:val="bottom"/>
            <w:hideMark/>
          </w:tcPr>
          <w:p w14:paraId="0887FE4B" w14:textId="77777777" w:rsidR="0049047E" w:rsidRPr="006942A6" w:rsidRDefault="0049047E">
            <w:pPr>
              <w:spacing w:after="0" w:line="240" w:lineRule="auto"/>
              <w:rPr>
                <w:rFonts w:ascii="Calibri" w:eastAsia="Times New Roman" w:hAnsi="Calibri" w:cs="Calibri"/>
                <w:color w:val="000000"/>
                <w:lang w:eastAsia="en-AU"/>
              </w:rPr>
            </w:pPr>
          </w:p>
        </w:tc>
        <w:tc>
          <w:tcPr>
            <w:tcW w:w="774" w:type="dxa"/>
            <w:noWrap/>
            <w:vAlign w:val="bottom"/>
            <w:hideMark/>
          </w:tcPr>
          <w:p w14:paraId="64332AA8" w14:textId="77777777" w:rsidR="0049047E" w:rsidRPr="006942A6" w:rsidRDefault="0049047E">
            <w:pPr>
              <w:spacing w:after="0" w:line="240" w:lineRule="auto"/>
              <w:jc w:val="right"/>
              <w:rPr>
                <w:rFonts w:ascii="Calibri" w:eastAsia="Times New Roman" w:hAnsi="Calibri" w:cs="Calibri"/>
                <w:color w:val="000000"/>
                <w:lang w:eastAsia="en-AU"/>
              </w:rPr>
            </w:pPr>
            <w:r w:rsidRPr="006942A6">
              <w:rPr>
                <w:rFonts w:ascii="Calibri" w:eastAsia="Times New Roman" w:hAnsi="Calibri" w:cs="Calibri"/>
                <w:color w:val="000000"/>
                <w:lang w:eastAsia="en-AU"/>
              </w:rPr>
              <w:t>13456</w:t>
            </w:r>
          </w:p>
        </w:tc>
        <w:tc>
          <w:tcPr>
            <w:tcW w:w="960" w:type="dxa"/>
            <w:noWrap/>
            <w:vAlign w:val="bottom"/>
            <w:hideMark/>
          </w:tcPr>
          <w:p w14:paraId="19F85DB4" w14:textId="77777777" w:rsidR="0049047E" w:rsidRPr="006942A6" w:rsidRDefault="0049047E">
            <w:pPr>
              <w:spacing w:after="0" w:line="240" w:lineRule="auto"/>
              <w:jc w:val="right"/>
              <w:rPr>
                <w:rFonts w:ascii="Calibri" w:eastAsia="Times New Roman" w:hAnsi="Calibri" w:cs="Calibri"/>
                <w:color w:val="000000"/>
                <w:lang w:eastAsia="en-AU"/>
              </w:rPr>
            </w:pPr>
            <w:r w:rsidRPr="006942A6">
              <w:rPr>
                <w:rFonts w:ascii="Calibri" w:eastAsia="Times New Roman" w:hAnsi="Calibri" w:cs="Calibri"/>
                <w:color w:val="000000"/>
                <w:lang w:eastAsia="en-AU"/>
              </w:rPr>
              <w:t>25517</w:t>
            </w:r>
          </w:p>
        </w:tc>
        <w:tc>
          <w:tcPr>
            <w:tcW w:w="960" w:type="dxa"/>
            <w:noWrap/>
            <w:vAlign w:val="bottom"/>
            <w:hideMark/>
          </w:tcPr>
          <w:p w14:paraId="682F80BB" w14:textId="77777777" w:rsidR="0049047E" w:rsidRPr="006942A6" w:rsidRDefault="0049047E">
            <w:pPr>
              <w:spacing w:after="0" w:line="240" w:lineRule="auto"/>
              <w:jc w:val="right"/>
              <w:rPr>
                <w:rFonts w:ascii="Calibri" w:eastAsia="Times New Roman" w:hAnsi="Calibri" w:cs="Calibri"/>
                <w:color w:val="000000"/>
                <w:lang w:eastAsia="en-AU"/>
              </w:rPr>
            </w:pPr>
            <w:r w:rsidRPr="006942A6">
              <w:rPr>
                <w:rFonts w:ascii="Calibri" w:eastAsia="Times New Roman" w:hAnsi="Calibri" w:cs="Calibri"/>
                <w:color w:val="000000"/>
                <w:lang w:eastAsia="en-AU"/>
              </w:rPr>
              <w:t>5933</w:t>
            </w:r>
          </w:p>
        </w:tc>
        <w:tc>
          <w:tcPr>
            <w:tcW w:w="960" w:type="dxa"/>
            <w:noWrap/>
            <w:vAlign w:val="bottom"/>
            <w:hideMark/>
          </w:tcPr>
          <w:p w14:paraId="016A6492" w14:textId="77777777" w:rsidR="0049047E" w:rsidRPr="006942A6" w:rsidRDefault="0049047E">
            <w:pPr>
              <w:spacing w:after="0" w:line="240" w:lineRule="auto"/>
              <w:jc w:val="right"/>
              <w:rPr>
                <w:rFonts w:ascii="Calibri" w:eastAsia="Times New Roman" w:hAnsi="Calibri" w:cs="Calibri"/>
                <w:color w:val="000000"/>
                <w:lang w:eastAsia="en-AU"/>
              </w:rPr>
            </w:pPr>
            <w:r w:rsidRPr="006942A6">
              <w:rPr>
                <w:rFonts w:ascii="Calibri" w:eastAsia="Times New Roman" w:hAnsi="Calibri" w:cs="Calibri"/>
                <w:color w:val="000000"/>
                <w:lang w:eastAsia="en-AU"/>
              </w:rPr>
              <w:t>877</w:t>
            </w:r>
          </w:p>
        </w:tc>
        <w:tc>
          <w:tcPr>
            <w:tcW w:w="960" w:type="dxa"/>
            <w:noWrap/>
            <w:vAlign w:val="bottom"/>
            <w:hideMark/>
          </w:tcPr>
          <w:p w14:paraId="69A0F853" w14:textId="77777777" w:rsidR="0049047E" w:rsidRPr="006942A6" w:rsidRDefault="0049047E">
            <w:pPr>
              <w:spacing w:after="0" w:line="240" w:lineRule="auto"/>
              <w:jc w:val="right"/>
              <w:rPr>
                <w:rFonts w:ascii="Calibri" w:eastAsia="Times New Roman" w:hAnsi="Calibri" w:cs="Calibri"/>
                <w:color w:val="000000"/>
                <w:lang w:eastAsia="en-AU"/>
              </w:rPr>
            </w:pPr>
            <w:r w:rsidRPr="006942A6">
              <w:rPr>
                <w:rFonts w:ascii="Calibri" w:eastAsia="Times New Roman" w:hAnsi="Calibri" w:cs="Calibri"/>
                <w:color w:val="000000"/>
                <w:lang w:eastAsia="en-AU"/>
              </w:rPr>
              <w:t>101</w:t>
            </w:r>
          </w:p>
        </w:tc>
        <w:tc>
          <w:tcPr>
            <w:tcW w:w="960" w:type="dxa"/>
            <w:noWrap/>
            <w:vAlign w:val="bottom"/>
            <w:hideMark/>
          </w:tcPr>
          <w:p w14:paraId="5F636656" w14:textId="77777777" w:rsidR="0049047E" w:rsidRPr="006942A6" w:rsidRDefault="0049047E">
            <w:pPr>
              <w:spacing w:after="0" w:line="240" w:lineRule="auto"/>
              <w:jc w:val="right"/>
              <w:rPr>
                <w:rFonts w:ascii="Calibri" w:eastAsia="Times New Roman" w:hAnsi="Calibri" w:cs="Calibri"/>
                <w:color w:val="000000"/>
                <w:lang w:eastAsia="en-AU"/>
              </w:rPr>
            </w:pPr>
          </w:p>
        </w:tc>
      </w:tr>
      <w:tr w:rsidR="0049047E" w:rsidRPr="006942A6" w14:paraId="6339F52F" w14:textId="77777777">
        <w:trPr>
          <w:trHeight w:val="300"/>
        </w:trPr>
        <w:tc>
          <w:tcPr>
            <w:tcW w:w="1960" w:type="dxa"/>
            <w:noWrap/>
            <w:vAlign w:val="bottom"/>
            <w:hideMark/>
          </w:tcPr>
          <w:p w14:paraId="2A62CD2D" w14:textId="77777777" w:rsidR="0049047E" w:rsidRPr="006942A6" w:rsidRDefault="0049047E">
            <w:pPr>
              <w:spacing w:after="0" w:line="240" w:lineRule="auto"/>
              <w:rPr>
                <w:rFonts w:ascii="Calibri" w:eastAsia="Times New Roman" w:hAnsi="Calibri" w:cs="Calibri"/>
                <w:color w:val="000000"/>
                <w:lang w:eastAsia="en-AU"/>
              </w:rPr>
            </w:pPr>
            <w:r w:rsidRPr="006942A6">
              <w:rPr>
                <w:rFonts w:ascii="Calibri" w:eastAsia="Times New Roman" w:hAnsi="Calibri" w:cs="Calibri"/>
                <w:color w:val="000000"/>
                <w:lang w:eastAsia="en-AU"/>
              </w:rPr>
              <w:t>2001-4000</w:t>
            </w:r>
          </w:p>
        </w:tc>
        <w:tc>
          <w:tcPr>
            <w:tcW w:w="1194" w:type="dxa"/>
            <w:noWrap/>
            <w:vAlign w:val="bottom"/>
            <w:hideMark/>
          </w:tcPr>
          <w:p w14:paraId="2B660A98" w14:textId="77777777" w:rsidR="0049047E" w:rsidRPr="006942A6" w:rsidRDefault="0049047E">
            <w:pPr>
              <w:spacing w:after="0" w:line="240" w:lineRule="auto"/>
              <w:rPr>
                <w:rFonts w:ascii="Calibri" w:eastAsia="Times New Roman" w:hAnsi="Calibri" w:cs="Calibri"/>
                <w:color w:val="000000"/>
                <w:lang w:eastAsia="en-AU"/>
              </w:rPr>
            </w:pPr>
          </w:p>
        </w:tc>
        <w:tc>
          <w:tcPr>
            <w:tcW w:w="774" w:type="dxa"/>
            <w:noWrap/>
            <w:vAlign w:val="bottom"/>
            <w:hideMark/>
          </w:tcPr>
          <w:p w14:paraId="04B13B7E" w14:textId="77777777" w:rsidR="0049047E" w:rsidRPr="006942A6" w:rsidRDefault="0049047E">
            <w:pPr>
              <w:spacing w:after="0" w:line="240" w:lineRule="auto"/>
              <w:jc w:val="right"/>
              <w:rPr>
                <w:rFonts w:ascii="Calibri" w:eastAsia="Times New Roman" w:hAnsi="Calibri" w:cs="Calibri"/>
                <w:color w:val="000000"/>
                <w:lang w:eastAsia="en-AU"/>
              </w:rPr>
            </w:pPr>
            <w:r w:rsidRPr="006942A6">
              <w:rPr>
                <w:rFonts w:ascii="Calibri" w:eastAsia="Times New Roman" w:hAnsi="Calibri" w:cs="Calibri"/>
                <w:color w:val="000000"/>
                <w:lang w:eastAsia="en-AU"/>
              </w:rPr>
              <w:t>56</w:t>
            </w:r>
          </w:p>
        </w:tc>
        <w:tc>
          <w:tcPr>
            <w:tcW w:w="960" w:type="dxa"/>
            <w:noWrap/>
            <w:vAlign w:val="bottom"/>
            <w:hideMark/>
          </w:tcPr>
          <w:p w14:paraId="1E44152F" w14:textId="77777777" w:rsidR="0049047E" w:rsidRPr="006942A6" w:rsidRDefault="0049047E">
            <w:pPr>
              <w:spacing w:after="0" w:line="240" w:lineRule="auto"/>
              <w:jc w:val="right"/>
              <w:rPr>
                <w:rFonts w:ascii="Calibri" w:eastAsia="Times New Roman" w:hAnsi="Calibri" w:cs="Calibri"/>
                <w:color w:val="000000"/>
                <w:lang w:eastAsia="en-AU"/>
              </w:rPr>
            </w:pPr>
            <w:r w:rsidRPr="006942A6">
              <w:rPr>
                <w:rFonts w:ascii="Calibri" w:eastAsia="Times New Roman" w:hAnsi="Calibri" w:cs="Calibri"/>
                <w:color w:val="000000"/>
                <w:lang w:eastAsia="en-AU"/>
              </w:rPr>
              <w:t>19839</w:t>
            </w:r>
          </w:p>
        </w:tc>
        <w:tc>
          <w:tcPr>
            <w:tcW w:w="960" w:type="dxa"/>
            <w:noWrap/>
            <w:vAlign w:val="bottom"/>
            <w:hideMark/>
          </w:tcPr>
          <w:p w14:paraId="34ED7FB2" w14:textId="77777777" w:rsidR="0049047E" w:rsidRPr="006942A6" w:rsidRDefault="0049047E">
            <w:pPr>
              <w:spacing w:after="0" w:line="240" w:lineRule="auto"/>
              <w:jc w:val="right"/>
              <w:rPr>
                <w:rFonts w:ascii="Calibri" w:eastAsia="Times New Roman" w:hAnsi="Calibri" w:cs="Calibri"/>
                <w:color w:val="000000"/>
                <w:lang w:eastAsia="en-AU"/>
              </w:rPr>
            </w:pPr>
            <w:r w:rsidRPr="006942A6">
              <w:rPr>
                <w:rFonts w:ascii="Calibri" w:eastAsia="Times New Roman" w:hAnsi="Calibri" w:cs="Calibri"/>
                <w:color w:val="000000"/>
                <w:lang w:eastAsia="en-AU"/>
              </w:rPr>
              <w:t>21416</w:t>
            </w:r>
          </w:p>
        </w:tc>
        <w:tc>
          <w:tcPr>
            <w:tcW w:w="960" w:type="dxa"/>
            <w:noWrap/>
            <w:vAlign w:val="bottom"/>
            <w:hideMark/>
          </w:tcPr>
          <w:p w14:paraId="16489E6B" w14:textId="77777777" w:rsidR="0049047E" w:rsidRPr="006942A6" w:rsidRDefault="0049047E">
            <w:pPr>
              <w:spacing w:after="0" w:line="240" w:lineRule="auto"/>
              <w:jc w:val="right"/>
              <w:rPr>
                <w:rFonts w:ascii="Calibri" w:eastAsia="Times New Roman" w:hAnsi="Calibri" w:cs="Calibri"/>
                <w:color w:val="000000"/>
                <w:lang w:eastAsia="en-AU"/>
              </w:rPr>
            </w:pPr>
            <w:r w:rsidRPr="006942A6">
              <w:rPr>
                <w:rFonts w:ascii="Calibri" w:eastAsia="Times New Roman" w:hAnsi="Calibri" w:cs="Calibri"/>
                <w:color w:val="000000"/>
                <w:lang w:eastAsia="en-AU"/>
              </w:rPr>
              <w:t>3124</w:t>
            </w:r>
          </w:p>
        </w:tc>
        <w:tc>
          <w:tcPr>
            <w:tcW w:w="960" w:type="dxa"/>
            <w:noWrap/>
            <w:vAlign w:val="bottom"/>
            <w:hideMark/>
          </w:tcPr>
          <w:p w14:paraId="7AF21EAC" w14:textId="77777777" w:rsidR="0049047E" w:rsidRPr="006942A6" w:rsidRDefault="0049047E">
            <w:pPr>
              <w:spacing w:after="0" w:line="240" w:lineRule="auto"/>
              <w:jc w:val="right"/>
              <w:rPr>
                <w:rFonts w:ascii="Calibri" w:eastAsia="Times New Roman" w:hAnsi="Calibri" w:cs="Calibri"/>
                <w:color w:val="000000"/>
                <w:lang w:eastAsia="en-AU"/>
              </w:rPr>
            </w:pPr>
            <w:r w:rsidRPr="006942A6">
              <w:rPr>
                <w:rFonts w:ascii="Calibri" w:eastAsia="Times New Roman" w:hAnsi="Calibri" w:cs="Calibri"/>
                <w:color w:val="000000"/>
                <w:lang w:eastAsia="en-AU"/>
              </w:rPr>
              <w:t>571</w:t>
            </w:r>
          </w:p>
        </w:tc>
        <w:tc>
          <w:tcPr>
            <w:tcW w:w="960" w:type="dxa"/>
            <w:noWrap/>
            <w:vAlign w:val="bottom"/>
            <w:hideMark/>
          </w:tcPr>
          <w:p w14:paraId="358FA858" w14:textId="77777777" w:rsidR="0049047E" w:rsidRPr="006942A6" w:rsidRDefault="0049047E">
            <w:pPr>
              <w:spacing w:after="0" w:line="240" w:lineRule="auto"/>
              <w:jc w:val="right"/>
              <w:rPr>
                <w:rFonts w:ascii="Calibri" w:eastAsia="Times New Roman" w:hAnsi="Calibri" w:cs="Calibri"/>
                <w:color w:val="000000"/>
                <w:lang w:eastAsia="en-AU"/>
              </w:rPr>
            </w:pPr>
            <w:r w:rsidRPr="006942A6">
              <w:rPr>
                <w:rFonts w:ascii="Calibri" w:eastAsia="Times New Roman" w:hAnsi="Calibri" w:cs="Calibri"/>
                <w:color w:val="000000"/>
                <w:lang w:eastAsia="en-AU"/>
              </w:rPr>
              <w:t>1569</w:t>
            </w:r>
          </w:p>
        </w:tc>
      </w:tr>
      <w:tr w:rsidR="0049047E" w:rsidRPr="006942A6" w14:paraId="525D005D" w14:textId="77777777">
        <w:trPr>
          <w:trHeight w:val="300"/>
        </w:trPr>
        <w:tc>
          <w:tcPr>
            <w:tcW w:w="1960" w:type="dxa"/>
            <w:noWrap/>
            <w:vAlign w:val="bottom"/>
            <w:hideMark/>
          </w:tcPr>
          <w:p w14:paraId="417FF546" w14:textId="77777777" w:rsidR="0049047E" w:rsidRPr="006942A6" w:rsidRDefault="0049047E">
            <w:pPr>
              <w:spacing w:after="0" w:line="240" w:lineRule="auto"/>
              <w:rPr>
                <w:rFonts w:ascii="Calibri" w:eastAsia="Times New Roman" w:hAnsi="Calibri" w:cs="Calibri"/>
                <w:color w:val="000000"/>
                <w:lang w:eastAsia="en-AU"/>
              </w:rPr>
            </w:pPr>
            <w:r w:rsidRPr="006942A6">
              <w:rPr>
                <w:rFonts w:ascii="Calibri" w:eastAsia="Times New Roman" w:hAnsi="Calibri" w:cs="Calibri"/>
                <w:color w:val="000000"/>
                <w:lang w:eastAsia="en-AU"/>
              </w:rPr>
              <w:t>4001-6000</w:t>
            </w:r>
          </w:p>
        </w:tc>
        <w:tc>
          <w:tcPr>
            <w:tcW w:w="1194" w:type="dxa"/>
            <w:noWrap/>
            <w:vAlign w:val="bottom"/>
            <w:hideMark/>
          </w:tcPr>
          <w:p w14:paraId="64F1592A" w14:textId="77777777" w:rsidR="0049047E" w:rsidRPr="006942A6" w:rsidRDefault="0049047E">
            <w:pPr>
              <w:spacing w:after="0" w:line="240" w:lineRule="auto"/>
              <w:rPr>
                <w:rFonts w:ascii="Calibri" w:eastAsia="Times New Roman" w:hAnsi="Calibri" w:cs="Calibri"/>
                <w:color w:val="000000"/>
                <w:lang w:eastAsia="en-AU"/>
              </w:rPr>
            </w:pPr>
          </w:p>
        </w:tc>
        <w:tc>
          <w:tcPr>
            <w:tcW w:w="774" w:type="dxa"/>
            <w:noWrap/>
            <w:vAlign w:val="bottom"/>
            <w:hideMark/>
          </w:tcPr>
          <w:p w14:paraId="19F69F30" w14:textId="77777777" w:rsidR="0049047E" w:rsidRPr="006942A6" w:rsidRDefault="0049047E">
            <w:pPr>
              <w:spacing w:after="0" w:line="240" w:lineRule="auto"/>
              <w:rPr>
                <w:rFonts w:ascii="Times New Roman" w:eastAsia="Times New Roman" w:hAnsi="Times New Roman" w:cs="Times New Roman"/>
                <w:sz w:val="20"/>
                <w:szCs w:val="20"/>
                <w:lang w:eastAsia="en-AU"/>
              </w:rPr>
            </w:pPr>
          </w:p>
        </w:tc>
        <w:tc>
          <w:tcPr>
            <w:tcW w:w="960" w:type="dxa"/>
            <w:noWrap/>
            <w:vAlign w:val="bottom"/>
            <w:hideMark/>
          </w:tcPr>
          <w:p w14:paraId="2545C2BD" w14:textId="77777777" w:rsidR="0049047E" w:rsidRPr="006942A6" w:rsidRDefault="0049047E">
            <w:pPr>
              <w:spacing w:after="0" w:line="240" w:lineRule="auto"/>
              <w:jc w:val="right"/>
              <w:rPr>
                <w:rFonts w:ascii="Calibri" w:eastAsia="Times New Roman" w:hAnsi="Calibri" w:cs="Calibri"/>
                <w:color w:val="000000"/>
                <w:lang w:eastAsia="en-AU"/>
              </w:rPr>
            </w:pPr>
            <w:r w:rsidRPr="006942A6">
              <w:rPr>
                <w:rFonts w:ascii="Calibri" w:eastAsia="Times New Roman" w:hAnsi="Calibri" w:cs="Calibri"/>
                <w:color w:val="000000"/>
                <w:lang w:eastAsia="en-AU"/>
              </w:rPr>
              <w:t>2012</w:t>
            </w:r>
          </w:p>
        </w:tc>
        <w:tc>
          <w:tcPr>
            <w:tcW w:w="960" w:type="dxa"/>
            <w:noWrap/>
            <w:vAlign w:val="bottom"/>
            <w:hideMark/>
          </w:tcPr>
          <w:p w14:paraId="004C9F63" w14:textId="77777777" w:rsidR="0049047E" w:rsidRPr="006942A6" w:rsidRDefault="0049047E">
            <w:pPr>
              <w:spacing w:after="0" w:line="240" w:lineRule="auto"/>
              <w:jc w:val="right"/>
              <w:rPr>
                <w:rFonts w:ascii="Calibri" w:eastAsia="Times New Roman" w:hAnsi="Calibri" w:cs="Calibri"/>
                <w:color w:val="000000"/>
                <w:lang w:eastAsia="en-AU"/>
              </w:rPr>
            </w:pPr>
            <w:r w:rsidRPr="006942A6">
              <w:rPr>
                <w:rFonts w:ascii="Calibri" w:eastAsia="Times New Roman" w:hAnsi="Calibri" w:cs="Calibri"/>
                <w:color w:val="000000"/>
                <w:lang w:eastAsia="en-AU"/>
              </w:rPr>
              <w:t>25841</w:t>
            </w:r>
          </w:p>
        </w:tc>
        <w:tc>
          <w:tcPr>
            <w:tcW w:w="960" w:type="dxa"/>
            <w:noWrap/>
            <w:vAlign w:val="bottom"/>
            <w:hideMark/>
          </w:tcPr>
          <w:p w14:paraId="168B3A76" w14:textId="77777777" w:rsidR="0049047E" w:rsidRPr="006942A6" w:rsidRDefault="0049047E">
            <w:pPr>
              <w:spacing w:after="0" w:line="240" w:lineRule="auto"/>
              <w:jc w:val="right"/>
              <w:rPr>
                <w:rFonts w:ascii="Calibri" w:eastAsia="Times New Roman" w:hAnsi="Calibri" w:cs="Calibri"/>
                <w:color w:val="000000"/>
                <w:lang w:eastAsia="en-AU"/>
              </w:rPr>
            </w:pPr>
            <w:r w:rsidRPr="006942A6">
              <w:rPr>
                <w:rFonts w:ascii="Calibri" w:eastAsia="Times New Roman" w:hAnsi="Calibri" w:cs="Calibri"/>
                <w:color w:val="000000"/>
                <w:lang w:eastAsia="en-AU"/>
              </w:rPr>
              <w:t>7631</w:t>
            </w:r>
          </w:p>
        </w:tc>
        <w:tc>
          <w:tcPr>
            <w:tcW w:w="960" w:type="dxa"/>
            <w:noWrap/>
            <w:vAlign w:val="bottom"/>
            <w:hideMark/>
          </w:tcPr>
          <w:p w14:paraId="764E7BC2" w14:textId="77777777" w:rsidR="0049047E" w:rsidRPr="006942A6" w:rsidRDefault="0049047E">
            <w:pPr>
              <w:spacing w:after="0" w:line="240" w:lineRule="auto"/>
              <w:jc w:val="right"/>
              <w:rPr>
                <w:rFonts w:ascii="Calibri" w:eastAsia="Times New Roman" w:hAnsi="Calibri" w:cs="Calibri"/>
                <w:color w:val="000000"/>
                <w:lang w:eastAsia="en-AU"/>
              </w:rPr>
            </w:pPr>
            <w:r w:rsidRPr="006942A6">
              <w:rPr>
                <w:rFonts w:ascii="Calibri" w:eastAsia="Times New Roman" w:hAnsi="Calibri" w:cs="Calibri"/>
                <w:color w:val="000000"/>
                <w:lang w:eastAsia="en-AU"/>
              </w:rPr>
              <w:t>1364</w:t>
            </w:r>
          </w:p>
        </w:tc>
        <w:tc>
          <w:tcPr>
            <w:tcW w:w="960" w:type="dxa"/>
            <w:noWrap/>
            <w:vAlign w:val="bottom"/>
            <w:hideMark/>
          </w:tcPr>
          <w:p w14:paraId="3BEEC735" w14:textId="77777777" w:rsidR="0049047E" w:rsidRPr="006942A6" w:rsidRDefault="0049047E">
            <w:pPr>
              <w:spacing w:after="0" w:line="240" w:lineRule="auto"/>
              <w:jc w:val="right"/>
              <w:rPr>
                <w:rFonts w:ascii="Calibri" w:eastAsia="Times New Roman" w:hAnsi="Calibri" w:cs="Calibri"/>
                <w:color w:val="000000"/>
                <w:lang w:eastAsia="en-AU"/>
              </w:rPr>
            </w:pPr>
            <w:r w:rsidRPr="006942A6">
              <w:rPr>
                <w:rFonts w:ascii="Calibri" w:eastAsia="Times New Roman" w:hAnsi="Calibri" w:cs="Calibri"/>
                <w:color w:val="000000"/>
                <w:lang w:eastAsia="en-AU"/>
              </w:rPr>
              <w:t>2137</w:t>
            </w:r>
          </w:p>
        </w:tc>
      </w:tr>
      <w:tr w:rsidR="0049047E" w:rsidRPr="006942A6" w14:paraId="68BABC86" w14:textId="77777777">
        <w:trPr>
          <w:trHeight w:val="300"/>
        </w:trPr>
        <w:tc>
          <w:tcPr>
            <w:tcW w:w="1960" w:type="dxa"/>
            <w:noWrap/>
            <w:vAlign w:val="bottom"/>
            <w:hideMark/>
          </w:tcPr>
          <w:p w14:paraId="54E3CDE5" w14:textId="77777777" w:rsidR="0049047E" w:rsidRPr="006942A6" w:rsidRDefault="0049047E">
            <w:pPr>
              <w:spacing w:after="0" w:line="240" w:lineRule="auto"/>
              <w:rPr>
                <w:rFonts w:ascii="Calibri" w:eastAsia="Times New Roman" w:hAnsi="Calibri" w:cs="Calibri"/>
                <w:color w:val="000000"/>
                <w:lang w:eastAsia="en-AU"/>
              </w:rPr>
            </w:pPr>
            <w:r w:rsidRPr="006942A6">
              <w:rPr>
                <w:rFonts w:ascii="Calibri" w:eastAsia="Times New Roman" w:hAnsi="Calibri" w:cs="Calibri"/>
                <w:color w:val="000000"/>
                <w:lang w:eastAsia="en-AU"/>
              </w:rPr>
              <w:t>6001-8000</w:t>
            </w:r>
          </w:p>
        </w:tc>
        <w:tc>
          <w:tcPr>
            <w:tcW w:w="1194" w:type="dxa"/>
            <w:noWrap/>
            <w:vAlign w:val="bottom"/>
            <w:hideMark/>
          </w:tcPr>
          <w:p w14:paraId="425EA96D" w14:textId="77777777" w:rsidR="0049047E" w:rsidRPr="006942A6" w:rsidRDefault="0049047E">
            <w:pPr>
              <w:spacing w:after="0" w:line="240" w:lineRule="auto"/>
              <w:rPr>
                <w:rFonts w:ascii="Calibri" w:eastAsia="Times New Roman" w:hAnsi="Calibri" w:cs="Calibri"/>
                <w:color w:val="000000"/>
                <w:lang w:eastAsia="en-AU"/>
              </w:rPr>
            </w:pPr>
          </w:p>
        </w:tc>
        <w:tc>
          <w:tcPr>
            <w:tcW w:w="774" w:type="dxa"/>
            <w:noWrap/>
            <w:vAlign w:val="bottom"/>
            <w:hideMark/>
          </w:tcPr>
          <w:p w14:paraId="44968F44" w14:textId="77777777" w:rsidR="0049047E" w:rsidRPr="006942A6" w:rsidRDefault="0049047E">
            <w:pPr>
              <w:spacing w:after="0" w:line="240" w:lineRule="auto"/>
              <w:rPr>
                <w:rFonts w:ascii="Times New Roman" w:eastAsia="Times New Roman" w:hAnsi="Times New Roman" w:cs="Times New Roman"/>
                <w:sz w:val="20"/>
                <w:szCs w:val="20"/>
                <w:lang w:eastAsia="en-AU"/>
              </w:rPr>
            </w:pPr>
          </w:p>
        </w:tc>
        <w:tc>
          <w:tcPr>
            <w:tcW w:w="960" w:type="dxa"/>
            <w:noWrap/>
            <w:vAlign w:val="bottom"/>
            <w:hideMark/>
          </w:tcPr>
          <w:p w14:paraId="5F030748" w14:textId="77777777" w:rsidR="0049047E" w:rsidRPr="006942A6" w:rsidRDefault="0049047E">
            <w:pPr>
              <w:spacing w:after="0" w:line="240" w:lineRule="auto"/>
              <w:rPr>
                <w:rFonts w:ascii="Times New Roman" w:eastAsia="Times New Roman" w:hAnsi="Times New Roman" w:cs="Times New Roman"/>
                <w:sz w:val="20"/>
                <w:szCs w:val="20"/>
                <w:lang w:eastAsia="en-AU"/>
              </w:rPr>
            </w:pPr>
          </w:p>
        </w:tc>
        <w:tc>
          <w:tcPr>
            <w:tcW w:w="960" w:type="dxa"/>
            <w:noWrap/>
            <w:vAlign w:val="bottom"/>
            <w:hideMark/>
          </w:tcPr>
          <w:p w14:paraId="123B3E5C" w14:textId="77777777" w:rsidR="0049047E" w:rsidRPr="006942A6" w:rsidRDefault="0049047E">
            <w:pPr>
              <w:spacing w:after="0" w:line="240" w:lineRule="auto"/>
              <w:jc w:val="right"/>
              <w:rPr>
                <w:rFonts w:ascii="Calibri" w:eastAsia="Times New Roman" w:hAnsi="Calibri" w:cs="Calibri"/>
                <w:color w:val="000000"/>
                <w:lang w:eastAsia="en-AU"/>
              </w:rPr>
            </w:pPr>
            <w:r w:rsidRPr="006942A6">
              <w:rPr>
                <w:rFonts w:ascii="Calibri" w:eastAsia="Times New Roman" w:hAnsi="Calibri" w:cs="Calibri"/>
                <w:color w:val="000000"/>
                <w:lang w:eastAsia="en-AU"/>
              </w:rPr>
              <w:t>6447</w:t>
            </w:r>
          </w:p>
        </w:tc>
        <w:tc>
          <w:tcPr>
            <w:tcW w:w="960" w:type="dxa"/>
            <w:noWrap/>
            <w:vAlign w:val="bottom"/>
            <w:hideMark/>
          </w:tcPr>
          <w:p w14:paraId="05D403CD" w14:textId="77777777" w:rsidR="0049047E" w:rsidRPr="006942A6" w:rsidRDefault="0049047E">
            <w:pPr>
              <w:spacing w:after="0" w:line="240" w:lineRule="auto"/>
              <w:jc w:val="right"/>
              <w:rPr>
                <w:rFonts w:ascii="Calibri" w:eastAsia="Times New Roman" w:hAnsi="Calibri" w:cs="Calibri"/>
                <w:color w:val="000000"/>
                <w:lang w:eastAsia="en-AU"/>
              </w:rPr>
            </w:pPr>
            <w:r w:rsidRPr="006942A6">
              <w:rPr>
                <w:rFonts w:ascii="Calibri" w:eastAsia="Times New Roman" w:hAnsi="Calibri" w:cs="Calibri"/>
                <w:color w:val="000000"/>
                <w:lang w:eastAsia="en-AU"/>
              </w:rPr>
              <w:t>15736</w:t>
            </w:r>
          </w:p>
        </w:tc>
        <w:tc>
          <w:tcPr>
            <w:tcW w:w="960" w:type="dxa"/>
            <w:noWrap/>
            <w:vAlign w:val="bottom"/>
            <w:hideMark/>
          </w:tcPr>
          <w:p w14:paraId="31A281AD" w14:textId="77777777" w:rsidR="0049047E" w:rsidRPr="006942A6" w:rsidRDefault="0049047E">
            <w:pPr>
              <w:spacing w:after="0" w:line="240" w:lineRule="auto"/>
              <w:jc w:val="right"/>
              <w:rPr>
                <w:rFonts w:ascii="Calibri" w:eastAsia="Times New Roman" w:hAnsi="Calibri" w:cs="Calibri"/>
                <w:color w:val="000000"/>
                <w:lang w:eastAsia="en-AU"/>
              </w:rPr>
            </w:pPr>
            <w:r w:rsidRPr="006942A6">
              <w:rPr>
                <w:rFonts w:ascii="Calibri" w:eastAsia="Times New Roman" w:hAnsi="Calibri" w:cs="Calibri"/>
                <w:color w:val="000000"/>
                <w:lang w:eastAsia="en-AU"/>
              </w:rPr>
              <w:t>2845</w:t>
            </w:r>
          </w:p>
        </w:tc>
        <w:tc>
          <w:tcPr>
            <w:tcW w:w="960" w:type="dxa"/>
            <w:noWrap/>
            <w:vAlign w:val="bottom"/>
            <w:hideMark/>
          </w:tcPr>
          <w:p w14:paraId="42559826" w14:textId="77777777" w:rsidR="0049047E" w:rsidRPr="006942A6" w:rsidRDefault="0049047E">
            <w:pPr>
              <w:spacing w:after="0" w:line="240" w:lineRule="auto"/>
              <w:jc w:val="right"/>
              <w:rPr>
                <w:rFonts w:ascii="Calibri" w:eastAsia="Times New Roman" w:hAnsi="Calibri" w:cs="Calibri"/>
                <w:color w:val="000000"/>
                <w:lang w:eastAsia="en-AU"/>
              </w:rPr>
            </w:pPr>
            <w:r w:rsidRPr="006942A6">
              <w:rPr>
                <w:rFonts w:ascii="Calibri" w:eastAsia="Times New Roman" w:hAnsi="Calibri" w:cs="Calibri"/>
                <w:color w:val="000000"/>
                <w:lang w:eastAsia="en-AU"/>
              </w:rPr>
              <w:t>80</w:t>
            </w:r>
          </w:p>
        </w:tc>
      </w:tr>
      <w:tr w:rsidR="0049047E" w:rsidRPr="006942A6" w14:paraId="244CC703" w14:textId="77777777">
        <w:trPr>
          <w:trHeight w:val="300"/>
        </w:trPr>
        <w:tc>
          <w:tcPr>
            <w:tcW w:w="1960" w:type="dxa"/>
            <w:noWrap/>
            <w:vAlign w:val="bottom"/>
            <w:hideMark/>
          </w:tcPr>
          <w:p w14:paraId="5EDF4EE6" w14:textId="77777777" w:rsidR="0049047E" w:rsidRPr="006942A6" w:rsidRDefault="0049047E">
            <w:pPr>
              <w:spacing w:after="0" w:line="240" w:lineRule="auto"/>
              <w:rPr>
                <w:rFonts w:ascii="Calibri" w:eastAsia="Times New Roman" w:hAnsi="Calibri" w:cs="Calibri"/>
                <w:color w:val="000000"/>
                <w:lang w:eastAsia="en-AU"/>
              </w:rPr>
            </w:pPr>
            <w:r w:rsidRPr="006942A6">
              <w:rPr>
                <w:rFonts w:ascii="Calibri" w:eastAsia="Times New Roman" w:hAnsi="Calibri" w:cs="Calibri"/>
                <w:color w:val="000000"/>
                <w:lang w:eastAsia="en-AU"/>
              </w:rPr>
              <w:t>8001-10000</w:t>
            </w:r>
          </w:p>
        </w:tc>
        <w:tc>
          <w:tcPr>
            <w:tcW w:w="1194" w:type="dxa"/>
            <w:noWrap/>
            <w:vAlign w:val="bottom"/>
            <w:hideMark/>
          </w:tcPr>
          <w:p w14:paraId="37E2AED0" w14:textId="77777777" w:rsidR="0049047E" w:rsidRPr="006942A6" w:rsidRDefault="0049047E">
            <w:pPr>
              <w:spacing w:after="0" w:line="240" w:lineRule="auto"/>
              <w:rPr>
                <w:rFonts w:ascii="Calibri" w:eastAsia="Times New Roman" w:hAnsi="Calibri" w:cs="Calibri"/>
                <w:color w:val="000000"/>
                <w:lang w:eastAsia="en-AU"/>
              </w:rPr>
            </w:pPr>
          </w:p>
        </w:tc>
        <w:tc>
          <w:tcPr>
            <w:tcW w:w="774" w:type="dxa"/>
            <w:noWrap/>
            <w:vAlign w:val="bottom"/>
            <w:hideMark/>
          </w:tcPr>
          <w:p w14:paraId="0E593290" w14:textId="77777777" w:rsidR="0049047E" w:rsidRPr="006942A6" w:rsidRDefault="0049047E">
            <w:pPr>
              <w:spacing w:after="0" w:line="240" w:lineRule="auto"/>
              <w:rPr>
                <w:rFonts w:ascii="Times New Roman" w:eastAsia="Times New Roman" w:hAnsi="Times New Roman" w:cs="Times New Roman"/>
                <w:sz w:val="20"/>
                <w:szCs w:val="20"/>
                <w:lang w:eastAsia="en-AU"/>
              </w:rPr>
            </w:pPr>
          </w:p>
        </w:tc>
        <w:tc>
          <w:tcPr>
            <w:tcW w:w="960" w:type="dxa"/>
            <w:noWrap/>
            <w:vAlign w:val="bottom"/>
            <w:hideMark/>
          </w:tcPr>
          <w:p w14:paraId="0EF57F5B" w14:textId="77777777" w:rsidR="0049047E" w:rsidRPr="006942A6" w:rsidRDefault="0049047E">
            <w:pPr>
              <w:spacing w:after="0" w:line="240" w:lineRule="auto"/>
              <w:rPr>
                <w:rFonts w:ascii="Times New Roman" w:eastAsia="Times New Roman" w:hAnsi="Times New Roman" w:cs="Times New Roman"/>
                <w:sz w:val="20"/>
                <w:szCs w:val="20"/>
                <w:lang w:eastAsia="en-AU"/>
              </w:rPr>
            </w:pPr>
          </w:p>
        </w:tc>
        <w:tc>
          <w:tcPr>
            <w:tcW w:w="960" w:type="dxa"/>
            <w:noWrap/>
            <w:vAlign w:val="bottom"/>
            <w:hideMark/>
          </w:tcPr>
          <w:p w14:paraId="7B236CA5" w14:textId="77777777" w:rsidR="0049047E" w:rsidRPr="006942A6" w:rsidRDefault="0049047E">
            <w:pPr>
              <w:spacing w:after="0" w:line="240" w:lineRule="auto"/>
              <w:jc w:val="right"/>
              <w:rPr>
                <w:rFonts w:ascii="Calibri" w:eastAsia="Times New Roman" w:hAnsi="Calibri" w:cs="Calibri"/>
                <w:color w:val="000000"/>
                <w:lang w:eastAsia="en-AU"/>
              </w:rPr>
            </w:pPr>
            <w:r w:rsidRPr="006942A6">
              <w:rPr>
                <w:rFonts w:ascii="Calibri" w:eastAsia="Times New Roman" w:hAnsi="Calibri" w:cs="Calibri"/>
                <w:color w:val="000000"/>
                <w:lang w:eastAsia="en-AU"/>
              </w:rPr>
              <w:t>56</w:t>
            </w:r>
          </w:p>
        </w:tc>
        <w:tc>
          <w:tcPr>
            <w:tcW w:w="960" w:type="dxa"/>
            <w:noWrap/>
            <w:vAlign w:val="bottom"/>
            <w:hideMark/>
          </w:tcPr>
          <w:p w14:paraId="190BE4B0" w14:textId="77777777" w:rsidR="0049047E" w:rsidRPr="006942A6" w:rsidRDefault="0049047E">
            <w:pPr>
              <w:spacing w:after="0" w:line="240" w:lineRule="auto"/>
              <w:jc w:val="right"/>
              <w:rPr>
                <w:rFonts w:ascii="Calibri" w:eastAsia="Times New Roman" w:hAnsi="Calibri" w:cs="Calibri"/>
                <w:color w:val="000000"/>
                <w:lang w:eastAsia="en-AU"/>
              </w:rPr>
            </w:pPr>
            <w:r w:rsidRPr="006942A6">
              <w:rPr>
                <w:rFonts w:ascii="Calibri" w:eastAsia="Times New Roman" w:hAnsi="Calibri" w:cs="Calibri"/>
                <w:color w:val="000000"/>
                <w:lang w:eastAsia="en-AU"/>
              </w:rPr>
              <w:t>7117</w:t>
            </w:r>
          </w:p>
        </w:tc>
        <w:tc>
          <w:tcPr>
            <w:tcW w:w="960" w:type="dxa"/>
            <w:noWrap/>
            <w:vAlign w:val="bottom"/>
            <w:hideMark/>
          </w:tcPr>
          <w:p w14:paraId="7850F965" w14:textId="77777777" w:rsidR="0049047E" w:rsidRPr="006942A6" w:rsidRDefault="0049047E">
            <w:pPr>
              <w:spacing w:after="0" w:line="240" w:lineRule="auto"/>
              <w:jc w:val="right"/>
              <w:rPr>
                <w:rFonts w:ascii="Calibri" w:eastAsia="Times New Roman" w:hAnsi="Calibri" w:cs="Calibri"/>
                <w:color w:val="000000"/>
                <w:lang w:eastAsia="en-AU"/>
              </w:rPr>
            </w:pPr>
            <w:r w:rsidRPr="006942A6">
              <w:rPr>
                <w:rFonts w:ascii="Calibri" w:eastAsia="Times New Roman" w:hAnsi="Calibri" w:cs="Calibri"/>
                <w:color w:val="000000"/>
                <w:lang w:eastAsia="en-AU"/>
              </w:rPr>
              <w:t>6284</w:t>
            </w:r>
          </w:p>
        </w:tc>
        <w:tc>
          <w:tcPr>
            <w:tcW w:w="960" w:type="dxa"/>
            <w:noWrap/>
            <w:vAlign w:val="bottom"/>
            <w:hideMark/>
          </w:tcPr>
          <w:p w14:paraId="557C8024" w14:textId="77777777" w:rsidR="0049047E" w:rsidRPr="006942A6" w:rsidRDefault="0049047E">
            <w:pPr>
              <w:spacing w:after="0" w:line="240" w:lineRule="auto"/>
              <w:jc w:val="right"/>
              <w:rPr>
                <w:rFonts w:ascii="Calibri" w:eastAsia="Times New Roman" w:hAnsi="Calibri" w:cs="Calibri"/>
                <w:color w:val="000000"/>
                <w:lang w:eastAsia="en-AU"/>
              </w:rPr>
            </w:pPr>
            <w:r w:rsidRPr="006942A6">
              <w:rPr>
                <w:rFonts w:ascii="Calibri" w:eastAsia="Times New Roman" w:hAnsi="Calibri" w:cs="Calibri"/>
                <w:color w:val="000000"/>
                <w:lang w:eastAsia="en-AU"/>
              </w:rPr>
              <w:t>168</w:t>
            </w:r>
          </w:p>
        </w:tc>
      </w:tr>
      <w:tr w:rsidR="0049047E" w:rsidRPr="006942A6" w14:paraId="510658C4" w14:textId="77777777">
        <w:trPr>
          <w:trHeight w:val="300"/>
        </w:trPr>
        <w:tc>
          <w:tcPr>
            <w:tcW w:w="1960" w:type="dxa"/>
            <w:noWrap/>
            <w:vAlign w:val="bottom"/>
            <w:hideMark/>
          </w:tcPr>
          <w:p w14:paraId="307B8114" w14:textId="77777777" w:rsidR="0049047E" w:rsidRPr="006942A6" w:rsidRDefault="0049047E">
            <w:pPr>
              <w:spacing w:after="0" w:line="240" w:lineRule="auto"/>
              <w:rPr>
                <w:rFonts w:ascii="Calibri" w:eastAsia="Times New Roman" w:hAnsi="Calibri" w:cs="Calibri"/>
                <w:color w:val="000000"/>
                <w:lang w:eastAsia="en-AU"/>
              </w:rPr>
            </w:pPr>
            <w:r w:rsidRPr="006942A6">
              <w:rPr>
                <w:rFonts w:ascii="Calibri" w:eastAsia="Times New Roman" w:hAnsi="Calibri" w:cs="Calibri"/>
                <w:color w:val="000000"/>
                <w:lang w:eastAsia="en-AU"/>
              </w:rPr>
              <w:t>10001-12000</w:t>
            </w:r>
          </w:p>
        </w:tc>
        <w:tc>
          <w:tcPr>
            <w:tcW w:w="1194" w:type="dxa"/>
            <w:noWrap/>
            <w:vAlign w:val="bottom"/>
            <w:hideMark/>
          </w:tcPr>
          <w:p w14:paraId="0D139E95" w14:textId="77777777" w:rsidR="0049047E" w:rsidRPr="006942A6" w:rsidRDefault="0049047E">
            <w:pPr>
              <w:spacing w:after="0" w:line="240" w:lineRule="auto"/>
              <w:rPr>
                <w:rFonts w:ascii="Calibri" w:eastAsia="Times New Roman" w:hAnsi="Calibri" w:cs="Calibri"/>
                <w:color w:val="000000"/>
                <w:lang w:eastAsia="en-AU"/>
              </w:rPr>
            </w:pPr>
          </w:p>
        </w:tc>
        <w:tc>
          <w:tcPr>
            <w:tcW w:w="774" w:type="dxa"/>
            <w:noWrap/>
            <w:vAlign w:val="bottom"/>
            <w:hideMark/>
          </w:tcPr>
          <w:p w14:paraId="44B76417" w14:textId="77777777" w:rsidR="0049047E" w:rsidRPr="006942A6" w:rsidRDefault="0049047E">
            <w:pPr>
              <w:spacing w:after="0" w:line="240" w:lineRule="auto"/>
              <w:rPr>
                <w:rFonts w:ascii="Times New Roman" w:eastAsia="Times New Roman" w:hAnsi="Times New Roman" w:cs="Times New Roman"/>
                <w:sz w:val="20"/>
                <w:szCs w:val="20"/>
                <w:lang w:eastAsia="en-AU"/>
              </w:rPr>
            </w:pPr>
          </w:p>
        </w:tc>
        <w:tc>
          <w:tcPr>
            <w:tcW w:w="960" w:type="dxa"/>
            <w:noWrap/>
            <w:vAlign w:val="bottom"/>
            <w:hideMark/>
          </w:tcPr>
          <w:p w14:paraId="4A879568" w14:textId="77777777" w:rsidR="0049047E" w:rsidRPr="006942A6" w:rsidRDefault="0049047E">
            <w:pPr>
              <w:spacing w:after="0" w:line="240" w:lineRule="auto"/>
              <w:rPr>
                <w:rFonts w:ascii="Times New Roman" w:eastAsia="Times New Roman" w:hAnsi="Times New Roman" w:cs="Times New Roman"/>
                <w:sz w:val="20"/>
                <w:szCs w:val="20"/>
                <w:lang w:eastAsia="en-AU"/>
              </w:rPr>
            </w:pPr>
          </w:p>
        </w:tc>
        <w:tc>
          <w:tcPr>
            <w:tcW w:w="960" w:type="dxa"/>
            <w:noWrap/>
            <w:vAlign w:val="bottom"/>
            <w:hideMark/>
          </w:tcPr>
          <w:p w14:paraId="4E7B8275" w14:textId="77777777" w:rsidR="0049047E" w:rsidRPr="006942A6" w:rsidRDefault="0049047E">
            <w:pPr>
              <w:spacing w:after="0" w:line="240" w:lineRule="auto"/>
              <w:rPr>
                <w:rFonts w:ascii="Times New Roman" w:eastAsia="Times New Roman" w:hAnsi="Times New Roman" w:cs="Times New Roman"/>
                <w:sz w:val="20"/>
                <w:szCs w:val="20"/>
                <w:lang w:eastAsia="en-AU"/>
              </w:rPr>
            </w:pPr>
          </w:p>
        </w:tc>
        <w:tc>
          <w:tcPr>
            <w:tcW w:w="960" w:type="dxa"/>
            <w:noWrap/>
            <w:vAlign w:val="bottom"/>
            <w:hideMark/>
          </w:tcPr>
          <w:p w14:paraId="7348ADE0" w14:textId="77777777" w:rsidR="0049047E" w:rsidRPr="006942A6" w:rsidRDefault="0049047E">
            <w:pPr>
              <w:spacing w:after="0" w:line="240" w:lineRule="auto"/>
              <w:jc w:val="right"/>
              <w:rPr>
                <w:rFonts w:ascii="Calibri" w:eastAsia="Times New Roman" w:hAnsi="Calibri" w:cs="Calibri"/>
                <w:color w:val="000000"/>
                <w:lang w:eastAsia="en-AU"/>
              </w:rPr>
            </w:pPr>
            <w:r w:rsidRPr="006942A6">
              <w:rPr>
                <w:rFonts w:ascii="Calibri" w:eastAsia="Times New Roman" w:hAnsi="Calibri" w:cs="Calibri"/>
                <w:color w:val="000000"/>
                <w:lang w:eastAsia="en-AU"/>
              </w:rPr>
              <w:t>397</w:t>
            </w:r>
          </w:p>
        </w:tc>
        <w:tc>
          <w:tcPr>
            <w:tcW w:w="960" w:type="dxa"/>
            <w:noWrap/>
            <w:vAlign w:val="bottom"/>
            <w:hideMark/>
          </w:tcPr>
          <w:p w14:paraId="46434F61" w14:textId="77777777" w:rsidR="0049047E" w:rsidRPr="006942A6" w:rsidRDefault="0049047E">
            <w:pPr>
              <w:spacing w:after="0" w:line="240" w:lineRule="auto"/>
              <w:jc w:val="right"/>
              <w:rPr>
                <w:rFonts w:ascii="Calibri" w:eastAsia="Times New Roman" w:hAnsi="Calibri" w:cs="Calibri"/>
                <w:color w:val="000000"/>
                <w:lang w:eastAsia="en-AU"/>
              </w:rPr>
            </w:pPr>
            <w:r w:rsidRPr="006942A6">
              <w:rPr>
                <w:rFonts w:ascii="Calibri" w:eastAsia="Times New Roman" w:hAnsi="Calibri" w:cs="Calibri"/>
                <w:color w:val="000000"/>
                <w:lang w:eastAsia="en-AU"/>
              </w:rPr>
              <w:t>4780</w:t>
            </w:r>
          </w:p>
        </w:tc>
        <w:tc>
          <w:tcPr>
            <w:tcW w:w="960" w:type="dxa"/>
            <w:noWrap/>
            <w:vAlign w:val="bottom"/>
            <w:hideMark/>
          </w:tcPr>
          <w:p w14:paraId="1F491063" w14:textId="77777777" w:rsidR="0049047E" w:rsidRPr="006942A6" w:rsidRDefault="0049047E">
            <w:pPr>
              <w:spacing w:after="0" w:line="240" w:lineRule="auto"/>
              <w:jc w:val="right"/>
              <w:rPr>
                <w:rFonts w:ascii="Calibri" w:eastAsia="Times New Roman" w:hAnsi="Calibri" w:cs="Calibri"/>
                <w:color w:val="000000"/>
                <w:lang w:eastAsia="en-AU"/>
              </w:rPr>
            </w:pPr>
            <w:r w:rsidRPr="006942A6">
              <w:rPr>
                <w:rFonts w:ascii="Calibri" w:eastAsia="Times New Roman" w:hAnsi="Calibri" w:cs="Calibri"/>
                <w:color w:val="000000"/>
                <w:lang w:eastAsia="en-AU"/>
              </w:rPr>
              <w:t>269</w:t>
            </w:r>
          </w:p>
        </w:tc>
      </w:tr>
      <w:tr w:rsidR="0049047E" w:rsidRPr="006942A6" w14:paraId="5636C871" w14:textId="77777777">
        <w:trPr>
          <w:trHeight w:val="300"/>
        </w:trPr>
        <w:tc>
          <w:tcPr>
            <w:tcW w:w="1960" w:type="dxa"/>
            <w:noWrap/>
            <w:vAlign w:val="bottom"/>
            <w:hideMark/>
          </w:tcPr>
          <w:p w14:paraId="7B8836E2" w14:textId="77777777" w:rsidR="0049047E" w:rsidRPr="006942A6" w:rsidRDefault="0049047E">
            <w:pPr>
              <w:spacing w:after="0" w:line="240" w:lineRule="auto"/>
              <w:rPr>
                <w:rFonts w:ascii="Calibri" w:eastAsia="Times New Roman" w:hAnsi="Calibri" w:cs="Calibri"/>
                <w:color w:val="000000"/>
                <w:lang w:eastAsia="en-AU"/>
              </w:rPr>
            </w:pPr>
            <w:r w:rsidRPr="006942A6">
              <w:rPr>
                <w:rFonts w:ascii="Calibri" w:eastAsia="Times New Roman" w:hAnsi="Calibri" w:cs="Calibri"/>
                <w:color w:val="000000"/>
                <w:lang w:eastAsia="en-AU"/>
              </w:rPr>
              <w:t>12000</w:t>
            </w:r>
          </w:p>
        </w:tc>
        <w:tc>
          <w:tcPr>
            <w:tcW w:w="1194" w:type="dxa"/>
            <w:noWrap/>
            <w:vAlign w:val="bottom"/>
            <w:hideMark/>
          </w:tcPr>
          <w:p w14:paraId="33AE7A95" w14:textId="77777777" w:rsidR="0049047E" w:rsidRPr="006942A6" w:rsidRDefault="0049047E">
            <w:pPr>
              <w:spacing w:after="0" w:line="240" w:lineRule="auto"/>
              <w:jc w:val="right"/>
              <w:rPr>
                <w:rFonts w:ascii="Calibri" w:eastAsia="Times New Roman" w:hAnsi="Calibri" w:cs="Calibri"/>
                <w:color w:val="000000"/>
                <w:lang w:eastAsia="en-AU"/>
              </w:rPr>
            </w:pPr>
          </w:p>
        </w:tc>
        <w:tc>
          <w:tcPr>
            <w:tcW w:w="774" w:type="dxa"/>
            <w:noWrap/>
            <w:vAlign w:val="bottom"/>
            <w:hideMark/>
          </w:tcPr>
          <w:p w14:paraId="47A170FB" w14:textId="77777777" w:rsidR="0049047E" w:rsidRPr="006942A6" w:rsidRDefault="0049047E">
            <w:pPr>
              <w:spacing w:after="0" w:line="240" w:lineRule="auto"/>
              <w:rPr>
                <w:rFonts w:ascii="Times New Roman" w:eastAsia="Times New Roman" w:hAnsi="Times New Roman" w:cs="Times New Roman"/>
                <w:sz w:val="20"/>
                <w:szCs w:val="20"/>
                <w:lang w:eastAsia="en-AU"/>
              </w:rPr>
            </w:pPr>
          </w:p>
        </w:tc>
        <w:tc>
          <w:tcPr>
            <w:tcW w:w="960" w:type="dxa"/>
            <w:noWrap/>
            <w:vAlign w:val="bottom"/>
            <w:hideMark/>
          </w:tcPr>
          <w:p w14:paraId="177838A2" w14:textId="77777777" w:rsidR="0049047E" w:rsidRPr="006942A6" w:rsidRDefault="0049047E">
            <w:pPr>
              <w:spacing w:after="0" w:line="240" w:lineRule="auto"/>
              <w:rPr>
                <w:rFonts w:ascii="Times New Roman" w:eastAsia="Times New Roman" w:hAnsi="Times New Roman" w:cs="Times New Roman"/>
                <w:sz w:val="20"/>
                <w:szCs w:val="20"/>
                <w:lang w:eastAsia="en-AU"/>
              </w:rPr>
            </w:pPr>
          </w:p>
        </w:tc>
        <w:tc>
          <w:tcPr>
            <w:tcW w:w="960" w:type="dxa"/>
            <w:noWrap/>
            <w:vAlign w:val="bottom"/>
            <w:hideMark/>
          </w:tcPr>
          <w:p w14:paraId="7A216475" w14:textId="77777777" w:rsidR="0049047E" w:rsidRPr="006942A6" w:rsidRDefault="0049047E">
            <w:pPr>
              <w:spacing w:after="0" w:line="240" w:lineRule="auto"/>
              <w:rPr>
                <w:rFonts w:ascii="Times New Roman" w:eastAsia="Times New Roman" w:hAnsi="Times New Roman" w:cs="Times New Roman"/>
                <w:sz w:val="20"/>
                <w:szCs w:val="20"/>
                <w:lang w:eastAsia="en-AU"/>
              </w:rPr>
            </w:pPr>
          </w:p>
        </w:tc>
        <w:tc>
          <w:tcPr>
            <w:tcW w:w="960" w:type="dxa"/>
            <w:noWrap/>
            <w:vAlign w:val="bottom"/>
            <w:hideMark/>
          </w:tcPr>
          <w:p w14:paraId="6E17D2E3" w14:textId="77777777" w:rsidR="0049047E" w:rsidRPr="006942A6" w:rsidRDefault="0049047E">
            <w:pPr>
              <w:spacing w:after="0" w:line="240" w:lineRule="auto"/>
              <w:rPr>
                <w:rFonts w:ascii="Times New Roman" w:eastAsia="Times New Roman" w:hAnsi="Times New Roman" w:cs="Times New Roman"/>
                <w:sz w:val="20"/>
                <w:szCs w:val="20"/>
                <w:lang w:eastAsia="en-AU"/>
              </w:rPr>
            </w:pPr>
          </w:p>
        </w:tc>
        <w:tc>
          <w:tcPr>
            <w:tcW w:w="960" w:type="dxa"/>
            <w:noWrap/>
            <w:vAlign w:val="bottom"/>
            <w:hideMark/>
          </w:tcPr>
          <w:p w14:paraId="23024E5F" w14:textId="77777777" w:rsidR="0049047E" w:rsidRPr="006942A6" w:rsidRDefault="0049047E">
            <w:pPr>
              <w:spacing w:after="0" w:line="240" w:lineRule="auto"/>
              <w:jc w:val="right"/>
              <w:rPr>
                <w:rFonts w:ascii="Calibri" w:eastAsia="Times New Roman" w:hAnsi="Calibri" w:cs="Calibri"/>
                <w:color w:val="000000"/>
                <w:lang w:eastAsia="en-AU"/>
              </w:rPr>
            </w:pPr>
            <w:r w:rsidRPr="006942A6">
              <w:rPr>
                <w:rFonts w:ascii="Calibri" w:eastAsia="Times New Roman" w:hAnsi="Calibri" w:cs="Calibri"/>
                <w:color w:val="000000"/>
                <w:lang w:eastAsia="en-AU"/>
              </w:rPr>
              <w:t>846</w:t>
            </w:r>
          </w:p>
        </w:tc>
        <w:tc>
          <w:tcPr>
            <w:tcW w:w="960" w:type="dxa"/>
            <w:noWrap/>
            <w:vAlign w:val="bottom"/>
            <w:hideMark/>
          </w:tcPr>
          <w:p w14:paraId="2A854863" w14:textId="77777777" w:rsidR="0049047E" w:rsidRPr="006942A6" w:rsidRDefault="0049047E">
            <w:pPr>
              <w:spacing w:after="0" w:line="240" w:lineRule="auto"/>
              <w:jc w:val="right"/>
              <w:rPr>
                <w:rFonts w:ascii="Calibri" w:eastAsia="Times New Roman" w:hAnsi="Calibri" w:cs="Calibri"/>
                <w:color w:val="000000"/>
                <w:lang w:eastAsia="en-AU"/>
              </w:rPr>
            </w:pPr>
            <w:r w:rsidRPr="006942A6">
              <w:rPr>
                <w:rFonts w:ascii="Calibri" w:eastAsia="Times New Roman" w:hAnsi="Calibri" w:cs="Calibri"/>
                <w:color w:val="000000"/>
                <w:lang w:eastAsia="en-AU"/>
              </w:rPr>
              <w:t>563</w:t>
            </w:r>
          </w:p>
        </w:tc>
      </w:tr>
    </w:tbl>
    <w:p w14:paraId="0EB48606" w14:textId="3DF2599D" w:rsidR="0049047E" w:rsidRDefault="0049047E" w:rsidP="00A656FE">
      <w:pPr>
        <w:pStyle w:val="Heading2"/>
      </w:pPr>
      <w:bookmarkStart w:id="1" w:name="_Toc77870539"/>
      <w:bookmarkStart w:id="2" w:name="_Toc156466087"/>
      <w:r>
        <w:t xml:space="preserve">Appendix </w:t>
      </w:r>
      <w:r w:rsidR="00336A7C">
        <w:t>D</w:t>
      </w:r>
      <w:r>
        <w:t>: Individual income rules</w:t>
      </w:r>
      <w:bookmarkEnd w:id="1"/>
      <w:bookmarkEnd w:id="2"/>
    </w:p>
    <w:p w14:paraId="3E864808" w14:textId="77777777" w:rsidR="0049047E" w:rsidRPr="002E383C" w:rsidRDefault="0049047E" w:rsidP="0049047E">
      <w:pPr>
        <w:pStyle w:val="Heading4"/>
        <w:rPr>
          <w:color w:val="000000" w:themeColor="text1"/>
          <w:sz w:val="22"/>
        </w:rPr>
      </w:pPr>
      <w:r w:rsidRPr="002E383C">
        <w:rPr>
          <w:color w:val="000000" w:themeColor="text1"/>
          <w:sz w:val="22"/>
        </w:rPr>
        <w:t>We calculated individual incomes</w:t>
      </w:r>
      <w:r>
        <w:rPr>
          <w:color w:val="000000" w:themeColor="text1"/>
          <w:sz w:val="22"/>
        </w:rPr>
        <w:t xml:space="preserve"> each financial year</w:t>
      </w:r>
      <w:r w:rsidRPr="002E383C">
        <w:rPr>
          <w:color w:val="000000" w:themeColor="text1"/>
          <w:sz w:val="22"/>
        </w:rPr>
        <w:t xml:space="preserve"> closely following an ABS methodology (</w:t>
      </w:r>
      <w:r w:rsidRPr="002E383C">
        <w:rPr>
          <w:rStyle w:val="normaltextrun"/>
          <w:rFonts w:cs="Calibri"/>
          <w:color w:val="000000" w:themeColor="text1"/>
          <w:sz w:val="22"/>
          <w:bdr w:val="none" w:sz="0" w:space="0" w:color="auto" w:frame="1"/>
        </w:rPr>
        <w:t xml:space="preserve">ABS 2020; see Methodology for Household income rules). </w:t>
      </w:r>
      <w:r>
        <w:rPr>
          <w:rStyle w:val="normaltextrun"/>
          <w:rFonts w:cs="Calibri"/>
          <w:color w:val="000000" w:themeColor="text1"/>
          <w:sz w:val="22"/>
          <w:bdr w:val="none" w:sz="0" w:space="0" w:color="auto" w:frame="1"/>
        </w:rPr>
        <w:t xml:space="preserve">Income data sourced from Personal Income Tax (PIT), Pay </w:t>
      </w:r>
      <w:proofErr w:type="gramStart"/>
      <w:r>
        <w:rPr>
          <w:rStyle w:val="normaltextrun"/>
          <w:rFonts w:cs="Calibri"/>
          <w:color w:val="000000" w:themeColor="text1"/>
          <w:sz w:val="22"/>
          <w:bdr w:val="none" w:sz="0" w:space="0" w:color="auto" w:frame="1"/>
        </w:rPr>
        <w:t>As</w:t>
      </w:r>
      <w:proofErr w:type="gramEnd"/>
      <w:r>
        <w:rPr>
          <w:rStyle w:val="normaltextrun"/>
          <w:rFonts w:cs="Calibri"/>
          <w:color w:val="000000" w:themeColor="text1"/>
          <w:sz w:val="22"/>
          <w:bdr w:val="none" w:sz="0" w:space="0" w:color="auto" w:frame="1"/>
        </w:rPr>
        <w:t xml:space="preserve"> You Go summaries (PAYG) and </w:t>
      </w:r>
      <w:r>
        <w:rPr>
          <w:rStyle w:val="normaltextrun"/>
          <w:rFonts w:cs="Calibri"/>
          <w:color w:val="000000"/>
          <w:sz w:val="22"/>
          <w:shd w:val="clear" w:color="auto" w:fill="FFFFFF"/>
        </w:rPr>
        <w:t>Data Over Multiple Individual Occurrences</w:t>
      </w:r>
      <w:r>
        <w:rPr>
          <w:rStyle w:val="eop"/>
          <w:rFonts w:cs="Calibri"/>
          <w:color w:val="000000"/>
          <w:sz w:val="22"/>
          <w:shd w:val="clear" w:color="auto" w:fill="FFFFFF"/>
        </w:rPr>
        <w:t xml:space="preserve"> (DOMINO). </w:t>
      </w:r>
    </w:p>
    <w:p w14:paraId="4086290F" w14:textId="77777777" w:rsidR="0049047E" w:rsidRPr="002E383C" w:rsidRDefault="0049047E" w:rsidP="0049047E">
      <w:pPr>
        <w:pStyle w:val="Heading4"/>
        <w:spacing w:before="120"/>
        <w:rPr>
          <w:color w:val="008276"/>
          <w:szCs w:val="24"/>
        </w:rPr>
      </w:pPr>
      <w:r w:rsidRPr="002E383C">
        <w:rPr>
          <w:iCs w:val="0"/>
          <w:color w:val="008276"/>
          <w:szCs w:val="24"/>
        </w:rPr>
        <w:t>Employee</w:t>
      </w:r>
      <w:r>
        <w:rPr>
          <w:iCs w:val="0"/>
          <w:color w:val="008276"/>
          <w:szCs w:val="24"/>
        </w:rPr>
        <w:t>/Exertion</w:t>
      </w:r>
      <w:r w:rsidRPr="002E383C">
        <w:rPr>
          <w:iCs w:val="0"/>
          <w:color w:val="008276"/>
          <w:szCs w:val="24"/>
        </w:rPr>
        <w:t>:</w:t>
      </w:r>
    </w:p>
    <w:p w14:paraId="75E1E93B" w14:textId="77777777" w:rsidR="0049047E" w:rsidRDefault="0049047E" w:rsidP="0049047E">
      <w:pPr>
        <w:pStyle w:val="ListParagraph"/>
        <w:numPr>
          <w:ilvl w:val="0"/>
          <w:numId w:val="21"/>
        </w:numPr>
      </w:pPr>
      <w:r w:rsidRPr="00810E57">
        <w:t>Salary or wages</w:t>
      </w:r>
      <w:r>
        <w:t xml:space="preserve"> (PIT) +</w:t>
      </w:r>
    </w:p>
    <w:p w14:paraId="76BD72E4" w14:textId="77777777" w:rsidR="0049047E" w:rsidRDefault="0049047E" w:rsidP="0049047E">
      <w:pPr>
        <w:pStyle w:val="ListParagraph"/>
        <w:numPr>
          <w:ilvl w:val="0"/>
          <w:numId w:val="21"/>
        </w:numPr>
      </w:pPr>
      <w:r w:rsidRPr="00810E57">
        <w:t>Allowances earnings tips directors’ fees etc</w:t>
      </w:r>
      <w:r>
        <w:t xml:space="preserve"> (PIT) +</w:t>
      </w:r>
    </w:p>
    <w:p w14:paraId="5CED9BC6" w14:textId="77777777" w:rsidR="0049047E" w:rsidRDefault="0049047E" w:rsidP="0049047E">
      <w:pPr>
        <w:pStyle w:val="ListParagraph"/>
        <w:numPr>
          <w:ilvl w:val="0"/>
          <w:numId w:val="21"/>
        </w:numPr>
      </w:pPr>
      <w:r>
        <w:t>Employment termination payments taxable component (PIT) +</w:t>
      </w:r>
    </w:p>
    <w:p w14:paraId="227DDA04" w14:textId="77777777" w:rsidR="0049047E" w:rsidRDefault="0049047E" w:rsidP="0049047E">
      <w:pPr>
        <w:pStyle w:val="ListParagraph"/>
        <w:numPr>
          <w:ilvl w:val="0"/>
          <w:numId w:val="21"/>
        </w:numPr>
      </w:pPr>
      <w:r>
        <w:t>Attributed personal services income (PIT) +</w:t>
      </w:r>
    </w:p>
    <w:p w14:paraId="5121922F" w14:textId="77777777" w:rsidR="0049047E" w:rsidRDefault="0049047E" w:rsidP="0049047E">
      <w:pPr>
        <w:pStyle w:val="ListParagraph"/>
        <w:numPr>
          <w:ilvl w:val="0"/>
          <w:numId w:val="21"/>
        </w:numPr>
      </w:pPr>
      <w:r>
        <w:t>Total reportable fringe benefits amount (PIT) +</w:t>
      </w:r>
    </w:p>
    <w:p w14:paraId="0FF200E6" w14:textId="77777777" w:rsidR="0049047E" w:rsidRDefault="0049047E" w:rsidP="0049047E">
      <w:pPr>
        <w:pStyle w:val="ListParagraph"/>
        <w:numPr>
          <w:ilvl w:val="0"/>
          <w:numId w:val="21"/>
        </w:numPr>
      </w:pPr>
      <w:r>
        <w:t xml:space="preserve">Reportable employer superannuation contributions (PIT) + </w:t>
      </w:r>
    </w:p>
    <w:p w14:paraId="521939A4" w14:textId="77777777" w:rsidR="0049047E" w:rsidRDefault="0049047E" w:rsidP="0049047E">
      <w:pPr>
        <w:pStyle w:val="ListParagraph"/>
        <w:numPr>
          <w:ilvl w:val="0"/>
          <w:numId w:val="21"/>
        </w:numPr>
      </w:pPr>
      <w:r>
        <w:t xml:space="preserve">Other net foreign employment income (PIT) + </w:t>
      </w:r>
    </w:p>
    <w:p w14:paraId="2CC52A5C" w14:textId="77777777" w:rsidR="0049047E" w:rsidRDefault="0049047E" w:rsidP="0049047E">
      <w:pPr>
        <w:pStyle w:val="ListParagraph"/>
        <w:numPr>
          <w:ilvl w:val="0"/>
          <w:numId w:val="21"/>
        </w:numPr>
      </w:pPr>
      <w:r>
        <w:t xml:space="preserve">Foreign source income </w:t>
      </w:r>
      <w:proofErr w:type="gramStart"/>
      <w:r>
        <w:t>exempt</w:t>
      </w:r>
      <w:proofErr w:type="gramEnd"/>
      <w:r>
        <w:t xml:space="preserve"> foreign employment income (PIT) + </w:t>
      </w:r>
    </w:p>
    <w:p w14:paraId="22F6E6D6" w14:textId="77777777" w:rsidR="0049047E" w:rsidRDefault="0049047E" w:rsidP="0049047E">
      <w:pPr>
        <w:pStyle w:val="ListParagraph"/>
        <w:numPr>
          <w:ilvl w:val="0"/>
          <w:numId w:val="21"/>
        </w:numPr>
      </w:pPr>
      <w:r>
        <w:t>Lump sum A (PAYG) +</w:t>
      </w:r>
    </w:p>
    <w:p w14:paraId="75026A4B" w14:textId="77777777" w:rsidR="0049047E" w:rsidRDefault="0049047E" w:rsidP="0049047E">
      <w:pPr>
        <w:pStyle w:val="ListParagraph"/>
        <w:numPr>
          <w:ilvl w:val="0"/>
          <w:numId w:val="21"/>
        </w:numPr>
      </w:pPr>
      <w:r>
        <w:t>Lump sum B (PAYG) +</w:t>
      </w:r>
    </w:p>
    <w:p w14:paraId="78B4B52E" w14:textId="77777777" w:rsidR="0049047E" w:rsidRDefault="0049047E" w:rsidP="0049047E">
      <w:pPr>
        <w:pStyle w:val="ListParagraph"/>
        <w:numPr>
          <w:ilvl w:val="0"/>
          <w:numId w:val="21"/>
        </w:numPr>
      </w:pPr>
      <w:r>
        <w:t>Lump sum D (PAYG) +</w:t>
      </w:r>
    </w:p>
    <w:p w14:paraId="4797A251" w14:textId="77777777" w:rsidR="0049047E" w:rsidRDefault="0049047E" w:rsidP="0049047E">
      <w:pPr>
        <w:pStyle w:val="ListParagraph"/>
        <w:numPr>
          <w:ilvl w:val="0"/>
          <w:numId w:val="21"/>
        </w:numPr>
      </w:pPr>
      <w:r>
        <w:t xml:space="preserve">Lump sum E (PAYG) </w:t>
      </w:r>
    </w:p>
    <w:p w14:paraId="1F3AD9F7" w14:textId="77777777" w:rsidR="0049047E" w:rsidRDefault="0049047E" w:rsidP="0049047E">
      <w:r>
        <w:t xml:space="preserve">When PIT data is unavailable or zero, use PAYG only definition: </w:t>
      </w:r>
    </w:p>
    <w:p w14:paraId="2FC898B8" w14:textId="77777777" w:rsidR="0049047E" w:rsidRDefault="0049047E" w:rsidP="0049047E">
      <w:pPr>
        <w:pStyle w:val="ListParagraph"/>
        <w:numPr>
          <w:ilvl w:val="0"/>
          <w:numId w:val="22"/>
        </w:numPr>
      </w:pPr>
      <w:r>
        <w:lastRenderedPageBreak/>
        <w:t>Lump sum A (PAYG) +</w:t>
      </w:r>
    </w:p>
    <w:p w14:paraId="3D97A954" w14:textId="77777777" w:rsidR="0049047E" w:rsidRDefault="0049047E" w:rsidP="0049047E">
      <w:pPr>
        <w:pStyle w:val="ListParagraph"/>
        <w:numPr>
          <w:ilvl w:val="0"/>
          <w:numId w:val="22"/>
        </w:numPr>
      </w:pPr>
      <w:r>
        <w:t>Lump sum B (PAYG) +</w:t>
      </w:r>
    </w:p>
    <w:p w14:paraId="7E47D739" w14:textId="77777777" w:rsidR="0049047E" w:rsidRDefault="0049047E" w:rsidP="0049047E">
      <w:pPr>
        <w:pStyle w:val="ListParagraph"/>
        <w:numPr>
          <w:ilvl w:val="0"/>
          <w:numId w:val="22"/>
        </w:numPr>
      </w:pPr>
      <w:r>
        <w:t>Lump sum D (PAYG) +</w:t>
      </w:r>
    </w:p>
    <w:p w14:paraId="2518B280" w14:textId="77777777" w:rsidR="0049047E" w:rsidRDefault="0049047E" w:rsidP="0049047E">
      <w:pPr>
        <w:pStyle w:val="ListParagraph"/>
        <w:numPr>
          <w:ilvl w:val="0"/>
          <w:numId w:val="22"/>
        </w:numPr>
      </w:pPr>
      <w:r>
        <w:t>Lump sum E (PAYG) +</w:t>
      </w:r>
    </w:p>
    <w:p w14:paraId="3F8497AA" w14:textId="77777777" w:rsidR="0049047E" w:rsidRDefault="0049047E" w:rsidP="0049047E">
      <w:pPr>
        <w:pStyle w:val="ListParagraph"/>
        <w:numPr>
          <w:ilvl w:val="0"/>
          <w:numId w:val="22"/>
        </w:numPr>
      </w:pPr>
      <w:r>
        <w:t>Total allowances (PAYG) +</w:t>
      </w:r>
    </w:p>
    <w:p w14:paraId="5CBB3351" w14:textId="77777777" w:rsidR="0049047E" w:rsidRDefault="0049047E" w:rsidP="0049047E">
      <w:pPr>
        <w:pStyle w:val="ListParagraph"/>
        <w:numPr>
          <w:ilvl w:val="0"/>
          <w:numId w:val="22"/>
        </w:numPr>
      </w:pPr>
      <w:r>
        <w:t>Gross Payment Amount (PAYG) +</w:t>
      </w:r>
    </w:p>
    <w:p w14:paraId="14AC8D1C" w14:textId="77777777" w:rsidR="0049047E" w:rsidRDefault="0049047E" w:rsidP="0049047E">
      <w:pPr>
        <w:pStyle w:val="ListParagraph"/>
        <w:numPr>
          <w:ilvl w:val="0"/>
          <w:numId w:val="22"/>
        </w:numPr>
      </w:pPr>
      <w:r>
        <w:t>Exempt foreign employment income (PAYG)</w:t>
      </w:r>
    </w:p>
    <w:p w14:paraId="3AAE271D" w14:textId="77777777" w:rsidR="0049047E" w:rsidRPr="003E155A" w:rsidRDefault="0049047E" w:rsidP="0049047E">
      <w:pPr>
        <w:pStyle w:val="Heading4"/>
        <w:spacing w:before="120"/>
        <w:rPr>
          <w:iCs w:val="0"/>
          <w:color w:val="008276"/>
          <w:szCs w:val="24"/>
        </w:rPr>
      </w:pPr>
      <w:r w:rsidRPr="003E155A">
        <w:rPr>
          <w:iCs w:val="0"/>
          <w:color w:val="008276"/>
          <w:szCs w:val="24"/>
        </w:rPr>
        <w:t>Business:</w:t>
      </w:r>
    </w:p>
    <w:p w14:paraId="461F695D" w14:textId="77777777" w:rsidR="0049047E" w:rsidRDefault="0049047E" w:rsidP="0049047E">
      <w:pPr>
        <w:pStyle w:val="ListParagraph"/>
        <w:numPr>
          <w:ilvl w:val="0"/>
          <w:numId w:val="23"/>
        </w:numPr>
      </w:pPr>
      <w:r>
        <w:t xml:space="preserve">Net income or loss from business - primary production (PIT) + </w:t>
      </w:r>
    </w:p>
    <w:p w14:paraId="3E19E8DB" w14:textId="77777777" w:rsidR="0049047E" w:rsidRDefault="0049047E" w:rsidP="0049047E">
      <w:pPr>
        <w:pStyle w:val="ListParagraph"/>
        <w:numPr>
          <w:ilvl w:val="0"/>
          <w:numId w:val="23"/>
        </w:numPr>
      </w:pPr>
      <w:r>
        <w:t xml:space="preserve">Net income or loss from business - non-primary production (PIT) + </w:t>
      </w:r>
    </w:p>
    <w:p w14:paraId="0306EBC2" w14:textId="77777777" w:rsidR="0049047E" w:rsidRDefault="0049047E" w:rsidP="0049047E">
      <w:pPr>
        <w:pStyle w:val="ListParagraph"/>
        <w:numPr>
          <w:ilvl w:val="0"/>
          <w:numId w:val="23"/>
        </w:numPr>
      </w:pPr>
      <w:r>
        <w:t xml:space="preserve">Distribution from trusts primary production (PIT) + </w:t>
      </w:r>
    </w:p>
    <w:p w14:paraId="3B8F2EEB" w14:textId="77777777" w:rsidR="0049047E" w:rsidRDefault="0049047E" w:rsidP="0049047E">
      <w:pPr>
        <w:pStyle w:val="ListParagraph"/>
        <w:numPr>
          <w:ilvl w:val="0"/>
          <w:numId w:val="23"/>
        </w:numPr>
      </w:pPr>
      <w:r>
        <w:t>Net PSI (PIT) +</w:t>
      </w:r>
    </w:p>
    <w:p w14:paraId="7F07C51C" w14:textId="77777777" w:rsidR="0049047E" w:rsidRDefault="0049047E" w:rsidP="0049047E">
      <w:pPr>
        <w:pStyle w:val="ListParagraph"/>
        <w:numPr>
          <w:ilvl w:val="0"/>
          <w:numId w:val="23"/>
        </w:numPr>
      </w:pPr>
      <w:r>
        <w:t>Distribution from partnerships less foreign income non primary production (PIT) +</w:t>
      </w:r>
    </w:p>
    <w:p w14:paraId="6821CEE9" w14:textId="77777777" w:rsidR="0049047E" w:rsidRDefault="0049047E" w:rsidP="0049047E">
      <w:pPr>
        <w:pStyle w:val="ListParagraph"/>
        <w:numPr>
          <w:ilvl w:val="0"/>
          <w:numId w:val="23"/>
        </w:numPr>
      </w:pPr>
      <w:r>
        <w:t>Distribution from partnerships primary production (PIT)</w:t>
      </w:r>
    </w:p>
    <w:p w14:paraId="740BB7B4" w14:textId="77777777" w:rsidR="0049047E" w:rsidRPr="00F77400" w:rsidRDefault="0049047E" w:rsidP="0049047E">
      <w:pPr>
        <w:pStyle w:val="Heading4"/>
        <w:spacing w:before="120"/>
        <w:rPr>
          <w:iCs w:val="0"/>
          <w:color w:val="008276"/>
          <w:szCs w:val="24"/>
        </w:rPr>
      </w:pPr>
      <w:r w:rsidRPr="00F77400">
        <w:rPr>
          <w:iCs w:val="0"/>
          <w:color w:val="008276"/>
          <w:szCs w:val="24"/>
        </w:rPr>
        <w:t>Investment</w:t>
      </w:r>
      <w:r>
        <w:rPr>
          <w:iCs w:val="0"/>
          <w:color w:val="008276"/>
          <w:szCs w:val="24"/>
        </w:rPr>
        <w:t>:</w:t>
      </w:r>
    </w:p>
    <w:p w14:paraId="00936649" w14:textId="77777777" w:rsidR="0049047E" w:rsidRDefault="0049047E" w:rsidP="0049047E">
      <w:pPr>
        <w:pStyle w:val="ListParagraph"/>
        <w:numPr>
          <w:ilvl w:val="0"/>
          <w:numId w:val="24"/>
        </w:numPr>
      </w:pPr>
      <w:r>
        <w:t xml:space="preserve">Gross interest (PIT) + </w:t>
      </w:r>
    </w:p>
    <w:p w14:paraId="31C7B598" w14:textId="77777777" w:rsidR="0049047E" w:rsidRDefault="0049047E" w:rsidP="0049047E">
      <w:pPr>
        <w:pStyle w:val="ListParagraph"/>
        <w:numPr>
          <w:ilvl w:val="0"/>
          <w:numId w:val="24"/>
        </w:numPr>
      </w:pPr>
      <w:r>
        <w:t>Dividends unfranked (PIT) +</w:t>
      </w:r>
    </w:p>
    <w:p w14:paraId="558E4F1A" w14:textId="77777777" w:rsidR="0049047E" w:rsidRDefault="0049047E" w:rsidP="0049047E">
      <w:pPr>
        <w:pStyle w:val="ListParagraph"/>
        <w:numPr>
          <w:ilvl w:val="0"/>
          <w:numId w:val="24"/>
        </w:numPr>
      </w:pPr>
      <w:r>
        <w:t>Dividends franked (PIT) +</w:t>
      </w:r>
    </w:p>
    <w:p w14:paraId="4F7D7757" w14:textId="77777777" w:rsidR="0049047E" w:rsidRDefault="0049047E" w:rsidP="0049047E">
      <w:pPr>
        <w:pStyle w:val="ListParagraph"/>
        <w:numPr>
          <w:ilvl w:val="0"/>
          <w:numId w:val="24"/>
        </w:numPr>
      </w:pPr>
      <w:r>
        <w:t>Dividends franking credit (PIT) +</w:t>
      </w:r>
    </w:p>
    <w:p w14:paraId="1B583380" w14:textId="77777777" w:rsidR="0049047E" w:rsidRDefault="0049047E" w:rsidP="0049047E">
      <w:pPr>
        <w:pStyle w:val="ListParagraph"/>
        <w:numPr>
          <w:ilvl w:val="0"/>
          <w:numId w:val="24"/>
        </w:numPr>
      </w:pPr>
      <w:r>
        <w:t>Share of net income from trusts less net capital gains and foreign income non primary production (PIT) +</w:t>
      </w:r>
    </w:p>
    <w:p w14:paraId="21BC88BF" w14:textId="77777777" w:rsidR="0049047E" w:rsidRDefault="0049047E" w:rsidP="0049047E">
      <w:pPr>
        <w:pStyle w:val="ListParagraph"/>
        <w:numPr>
          <w:ilvl w:val="0"/>
          <w:numId w:val="24"/>
        </w:numPr>
      </w:pPr>
      <w:r>
        <w:t>Franked distributions from trusts non primary production (PIT) +</w:t>
      </w:r>
    </w:p>
    <w:p w14:paraId="58D6D9A8" w14:textId="77777777" w:rsidR="0049047E" w:rsidRDefault="0049047E" w:rsidP="0049047E">
      <w:pPr>
        <w:pStyle w:val="ListParagraph"/>
        <w:numPr>
          <w:ilvl w:val="0"/>
          <w:numId w:val="24"/>
        </w:numPr>
      </w:pPr>
      <w:r>
        <w:t>Foreign source income Australian franking credits from a NZ company (PIT) +</w:t>
      </w:r>
    </w:p>
    <w:p w14:paraId="4568ECCE" w14:textId="77777777" w:rsidR="0049047E" w:rsidRDefault="0049047E" w:rsidP="0049047E">
      <w:pPr>
        <w:pStyle w:val="ListParagraph"/>
        <w:numPr>
          <w:ilvl w:val="0"/>
          <w:numId w:val="24"/>
        </w:numPr>
      </w:pPr>
      <w:r>
        <w:t>Foreign source income net foreign rent (PIT) +</w:t>
      </w:r>
    </w:p>
    <w:p w14:paraId="65516E74" w14:textId="77777777" w:rsidR="0049047E" w:rsidRDefault="0049047E" w:rsidP="0049047E">
      <w:pPr>
        <w:pStyle w:val="ListParagraph"/>
        <w:numPr>
          <w:ilvl w:val="0"/>
          <w:numId w:val="24"/>
        </w:numPr>
      </w:pPr>
      <w:r>
        <w:t xml:space="preserve">Rent net rent (PIT) </w:t>
      </w:r>
    </w:p>
    <w:p w14:paraId="00074D42" w14:textId="77777777" w:rsidR="0049047E" w:rsidRPr="009E6F19" w:rsidRDefault="0049047E" w:rsidP="0049047E">
      <w:pPr>
        <w:pStyle w:val="Heading4"/>
        <w:spacing w:before="120"/>
        <w:rPr>
          <w:iCs w:val="0"/>
          <w:color w:val="008276"/>
          <w:szCs w:val="24"/>
        </w:rPr>
      </w:pPr>
      <w:r w:rsidRPr="009E6F19">
        <w:rPr>
          <w:iCs w:val="0"/>
          <w:color w:val="008276"/>
          <w:szCs w:val="24"/>
        </w:rPr>
        <w:t>Superannuation:</w:t>
      </w:r>
    </w:p>
    <w:p w14:paraId="332B8CC8" w14:textId="77777777" w:rsidR="0049047E" w:rsidRDefault="0049047E" w:rsidP="0049047E">
      <w:pPr>
        <w:pStyle w:val="ListParagraph"/>
        <w:numPr>
          <w:ilvl w:val="0"/>
          <w:numId w:val="25"/>
        </w:numPr>
      </w:pPr>
      <w:r>
        <w:t>Australian annuities and superannuation income streams taxable component taxed element (PIT) +</w:t>
      </w:r>
    </w:p>
    <w:p w14:paraId="28C4AA27" w14:textId="77777777" w:rsidR="0049047E" w:rsidRDefault="0049047E" w:rsidP="0049047E">
      <w:pPr>
        <w:pStyle w:val="ListParagraph"/>
        <w:numPr>
          <w:ilvl w:val="0"/>
          <w:numId w:val="25"/>
        </w:numPr>
      </w:pPr>
      <w:r>
        <w:t>Australian annuities and superannuation income streams taxable component untaxed element (PIT) +</w:t>
      </w:r>
    </w:p>
    <w:p w14:paraId="1BC064F3" w14:textId="77777777" w:rsidR="0049047E" w:rsidRDefault="0049047E" w:rsidP="0049047E">
      <w:pPr>
        <w:pStyle w:val="ListParagraph"/>
        <w:numPr>
          <w:ilvl w:val="0"/>
          <w:numId w:val="25"/>
        </w:numPr>
      </w:pPr>
      <w:r>
        <w:t>Australian annuities and superannuation income streams lump sum in arrears taxable component taxed element (PIT) +</w:t>
      </w:r>
    </w:p>
    <w:p w14:paraId="3EED7C65" w14:textId="77777777" w:rsidR="0049047E" w:rsidRDefault="0049047E" w:rsidP="0049047E">
      <w:pPr>
        <w:pStyle w:val="ListParagraph"/>
        <w:numPr>
          <w:ilvl w:val="0"/>
          <w:numId w:val="25"/>
        </w:numPr>
      </w:pPr>
      <w:r>
        <w:lastRenderedPageBreak/>
        <w:t>Australian annuities and superannuation income streams lump sum in arrears taxable component untaxed element (PIT) +</w:t>
      </w:r>
    </w:p>
    <w:p w14:paraId="37C9F86C" w14:textId="77777777" w:rsidR="0049047E" w:rsidRDefault="0049047E" w:rsidP="0049047E">
      <w:pPr>
        <w:pStyle w:val="ListParagraph"/>
        <w:numPr>
          <w:ilvl w:val="0"/>
          <w:numId w:val="25"/>
        </w:numPr>
      </w:pPr>
      <w:r>
        <w:t>Australian superannuation lump sum payments taxed element (PIT) +</w:t>
      </w:r>
    </w:p>
    <w:p w14:paraId="5A4C16E2" w14:textId="77777777" w:rsidR="0049047E" w:rsidRDefault="0049047E" w:rsidP="0049047E">
      <w:pPr>
        <w:pStyle w:val="ListParagraph"/>
        <w:numPr>
          <w:ilvl w:val="0"/>
          <w:numId w:val="25"/>
        </w:numPr>
      </w:pPr>
      <w:r>
        <w:t>Australian superannuation lump sum payments untaxed element (PIT) +</w:t>
      </w:r>
    </w:p>
    <w:p w14:paraId="3416B92A" w14:textId="77777777" w:rsidR="0049047E" w:rsidRDefault="0049047E" w:rsidP="0049047E">
      <w:pPr>
        <w:pStyle w:val="ListParagraph"/>
        <w:numPr>
          <w:ilvl w:val="0"/>
          <w:numId w:val="25"/>
        </w:numPr>
      </w:pPr>
      <w:r>
        <w:t xml:space="preserve">Bonuses from life insurance companies and friendly societies (PIT) </w:t>
      </w:r>
    </w:p>
    <w:p w14:paraId="66CA4AA9" w14:textId="77777777" w:rsidR="0049047E" w:rsidRPr="00E10D83" w:rsidRDefault="0049047E" w:rsidP="0049047E">
      <w:pPr>
        <w:pStyle w:val="Heading4"/>
        <w:spacing w:before="120"/>
        <w:rPr>
          <w:iCs w:val="0"/>
          <w:color w:val="008276"/>
          <w:szCs w:val="24"/>
        </w:rPr>
      </w:pPr>
      <w:r w:rsidRPr="00E10D83">
        <w:rPr>
          <w:iCs w:val="0"/>
          <w:color w:val="008276"/>
          <w:szCs w:val="24"/>
        </w:rPr>
        <w:t>Other:</w:t>
      </w:r>
    </w:p>
    <w:p w14:paraId="799F1D64" w14:textId="77777777" w:rsidR="0049047E" w:rsidRDefault="0049047E" w:rsidP="0049047E">
      <w:pPr>
        <w:pStyle w:val="ListParagraph"/>
        <w:numPr>
          <w:ilvl w:val="0"/>
          <w:numId w:val="26"/>
        </w:numPr>
      </w:pPr>
      <w:r>
        <w:t>Foreign source income net foreign pension or annuity without UPP (PIT) +</w:t>
      </w:r>
    </w:p>
    <w:p w14:paraId="68378A06" w14:textId="77777777" w:rsidR="0049047E" w:rsidRDefault="0049047E" w:rsidP="0049047E">
      <w:pPr>
        <w:pStyle w:val="ListParagraph"/>
        <w:numPr>
          <w:ilvl w:val="0"/>
          <w:numId w:val="26"/>
        </w:numPr>
      </w:pPr>
      <w:r>
        <w:t>Foreign source income net foreign pension or annuity with UPP (PIT) +</w:t>
      </w:r>
    </w:p>
    <w:p w14:paraId="35B6FC65" w14:textId="77777777" w:rsidR="0049047E" w:rsidRDefault="0049047E" w:rsidP="0049047E">
      <w:pPr>
        <w:pStyle w:val="ListParagraph"/>
        <w:numPr>
          <w:ilvl w:val="0"/>
          <w:numId w:val="26"/>
        </w:numPr>
      </w:pPr>
      <w:r>
        <w:t>Foreign entities controlled foreign company income (PIT) +</w:t>
      </w:r>
    </w:p>
    <w:p w14:paraId="47FD7DF7" w14:textId="77777777" w:rsidR="0049047E" w:rsidRDefault="0049047E" w:rsidP="0049047E">
      <w:pPr>
        <w:pStyle w:val="ListParagraph"/>
        <w:numPr>
          <w:ilvl w:val="0"/>
          <w:numId w:val="26"/>
        </w:numPr>
      </w:pPr>
      <w:r>
        <w:t>Foreign entities Transferor trust income (PIT) +</w:t>
      </w:r>
    </w:p>
    <w:p w14:paraId="62D64D50" w14:textId="77777777" w:rsidR="0049047E" w:rsidRDefault="0049047E" w:rsidP="0049047E">
      <w:pPr>
        <w:pStyle w:val="ListParagraph"/>
        <w:numPr>
          <w:ilvl w:val="0"/>
          <w:numId w:val="26"/>
        </w:numPr>
      </w:pPr>
      <w:r>
        <w:t>Foreign source income other net foreign source income (PIT) +</w:t>
      </w:r>
    </w:p>
    <w:p w14:paraId="5260D512" w14:textId="77777777" w:rsidR="0049047E" w:rsidRDefault="0049047E" w:rsidP="0049047E">
      <w:pPr>
        <w:pStyle w:val="ListParagraph"/>
        <w:numPr>
          <w:ilvl w:val="0"/>
          <w:numId w:val="26"/>
        </w:numPr>
      </w:pPr>
      <w:r>
        <w:t>Other income category 1 (PIT) +</w:t>
      </w:r>
    </w:p>
    <w:p w14:paraId="67DAF9AA" w14:textId="77777777" w:rsidR="0049047E" w:rsidRDefault="0049047E" w:rsidP="0049047E">
      <w:pPr>
        <w:pStyle w:val="ListParagraph"/>
        <w:numPr>
          <w:ilvl w:val="0"/>
          <w:numId w:val="26"/>
        </w:numPr>
      </w:pPr>
      <w:r>
        <w:t xml:space="preserve">Other income category 2 (PIT) </w:t>
      </w:r>
    </w:p>
    <w:p w14:paraId="56A8DEB3" w14:textId="77777777" w:rsidR="0049047E" w:rsidRPr="00C62512" w:rsidRDefault="0049047E" w:rsidP="0049047E">
      <w:pPr>
        <w:pStyle w:val="Heading4"/>
        <w:spacing w:before="120"/>
        <w:rPr>
          <w:iCs w:val="0"/>
          <w:color w:val="008276"/>
          <w:szCs w:val="24"/>
        </w:rPr>
      </w:pPr>
      <w:r w:rsidRPr="00C62512">
        <w:rPr>
          <w:iCs w:val="0"/>
          <w:color w:val="008276"/>
          <w:szCs w:val="24"/>
        </w:rPr>
        <w:t>Welfare:</w:t>
      </w:r>
    </w:p>
    <w:p w14:paraId="2774611B" w14:textId="77777777" w:rsidR="0049047E" w:rsidRDefault="0049047E" w:rsidP="0049047E">
      <w:pPr>
        <w:pStyle w:val="ListParagraph"/>
        <w:numPr>
          <w:ilvl w:val="0"/>
          <w:numId w:val="29"/>
        </w:numPr>
      </w:pPr>
      <w:r w:rsidRPr="00810E57">
        <w:t>Australian Government pensions and allowances</w:t>
      </w:r>
      <w:r>
        <w:t xml:space="preserve"> (PIT)</w:t>
      </w:r>
    </w:p>
    <w:p w14:paraId="36BE07C0" w14:textId="77777777" w:rsidR="0049047E" w:rsidRDefault="0049047E" w:rsidP="0049047E">
      <w:r>
        <w:t>When PIT data is unavailable or zero, use DOMINO based derivation for total welfare payments:</w:t>
      </w:r>
    </w:p>
    <w:p w14:paraId="333C1A68" w14:textId="77777777" w:rsidR="0049047E" w:rsidRDefault="0049047E" w:rsidP="0049047E">
      <w:pPr>
        <w:pStyle w:val="ListParagraph"/>
        <w:numPr>
          <w:ilvl w:val="0"/>
          <w:numId w:val="29"/>
        </w:numPr>
      </w:pPr>
      <w:r w:rsidRPr="00810E57">
        <w:t>C</w:t>
      </w:r>
      <w:r>
        <w:t xml:space="preserve">omponent amount paid (daily), multiplied by days received per financial year. </w:t>
      </w:r>
      <w:r w:rsidRPr="00810E57">
        <w:t xml:space="preserve">All payment types </w:t>
      </w:r>
      <w:r>
        <w:t>summed. (DOMINO)</w:t>
      </w:r>
    </w:p>
    <w:p w14:paraId="23CDD077" w14:textId="77777777" w:rsidR="0049047E" w:rsidRPr="00E10D83" w:rsidRDefault="0049047E" w:rsidP="0049047E">
      <w:pPr>
        <w:pStyle w:val="Heading4"/>
        <w:spacing w:before="120"/>
        <w:rPr>
          <w:iCs w:val="0"/>
          <w:color w:val="008276"/>
          <w:szCs w:val="24"/>
        </w:rPr>
      </w:pPr>
      <w:r>
        <w:rPr>
          <w:iCs w:val="0"/>
          <w:color w:val="008276"/>
          <w:szCs w:val="24"/>
        </w:rPr>
        <w:t>Tax</w:t>
      </w:r>
      <w:r w:rsidRPr="00E10D83">
        <w:rPr>
          <w:iCs w:val="0"/>
          <w:color w:val="008276"/>
          <w:szCs w:val="24"/>
        </w:rPr>
        <w:t>:</w:t>
      </w:r>
    </w:p>
    <w:p w14:paraId="29C3200D" w14:textId="77777777" w:rsidR="0049047E" w:rsidRDefault="0049047E" w:rsidP="0049047E">
      <w:pPr>
        <w:pStyle w:val="ListParagraph"/>
        <w:numPr>
          <w:ilvl w:val="0"/>
          <w:numId w:val="27"/>
        </w:numPr>
      </w:pPr>
      <w:r>
        <w:t>Net tax (PIT) +</w:t>
      </w:r>
    </w:p>
    <w:p w14:paraId="3DB15CC1" w14:textId="77777777" w:rsidR="0049047E" w:rsidRDefault="0049047E" w:rsidP="0049047E">
      <w:pPr>
        <w:pStyle w:val="ListParagraph"/>
        <w:numPr>
          <w:ilvl w:val="0"/>
          <w:numId w:val="27"/>
        </w:numPr>
      </w:pPr>
      <w:r>
        <w:t>Medicare levy (PIT) +</w:t>
      </w:r>
    </w:p>
    <w:p w14:paraId="58401D45" w14:textId="77777777" w:rsidR="0049047E" w:rsidRDefault="0049047E" w:rsidP="0049047E">
      <w:pPr>
        <w:pStyle w:val="ListParagraph"/>
        <w:numPr>
          <w:ilvl w:val="0"/>
          <w:numId w:val="27"/>
        </w:numPr>
      </w:pPr>
      <w:r>
        <w:t>Medicare levy surcharge (PIT) -</w:t>
      </w:r>
    </w:p>
    <w:p w14:paraId="2EAFD302" w14:textId="77777777" w:rsidR="0049047E" w:rsidRDefault="0049047E" w:rsidP="0049047E">
      <w:pPr>
        <w:pStyle w:val="ListParagraph"/>
        <w:numPr>
          <w:ilvl w:val="0"/>
          <w:numId w:val="27"/>
        </w:numPr>
      </w:pPr>
      <w:r>
        <w:t>Medical expenses offset available</w:t>
      </w:r>
    </w:p>
    <w:p w14:paraId="2A3EBFA1" w14:textId="77777777" w:rsidR="0049047E" w:rsidRDefault="0049047E" w:rsidP="0049047E">
      <w:r>
        <w:t xml:space="preserve">When PIT data is unavailable or zero, use PAYG only definition: </w:t>
      </w:r>
    </w:p>
    <w:p w14:paraId="444A5D67" w14:textId="77777777" w:rsidR="0049047E" w:rsidRDefault="0049047E" w:rsidP="0049047E">
      <w:pPr>
        <w:pStyle w:val="ListParagraph"/>
        <w:numPr>
          <w:ilvl w:val="0"/>
          <w:numId w:val="28"/>
        </w:numPr>
      </w:pPr>
      <w:r w:rsidRPr="00810E57">
        <w:t>Tax Withheld Amount</w:t>
      </w:r>
      <w:r>
        <w:t xml:space="preserve"> (PAYG)</w:t>
      </w:r>
    </w:p>
    <w:p w14:paraId="73EE110E" w14:textId="77777777" w:rsidR="0049047E" w:rsidRPr="00607A90" w:rsidRDefault="0049047E" w:rsidP="0049047E">
      <w:pPr>
        <w:pStyle w:val="Heading4"/>
        <w:spacing w:before="120"/>
        <w:rPr>
          <w:iCs w:val="0"/>
          <w:color w:val="008276"/>
          <w:szCs w:val="24"/>
        </w:rPr>
      </w:pPr>
      <w:r w:rsidRPr="00607A90">
        <w:rPr>
          <w:iCs w:val="0"/>
          <w:color w:val="008276"/>
          <w:szCs w:val="24"/>
        </w:rPr>
        <w:t>Gross:</w:t>
      </w:r>
    </w:p>
    <w:p w14:paraId="0F1141B9" w14:textId="77777777" w:rsidR="0049047E" w:rsidRDefault="0049047E" w:rsidP="0049047E">
      <w:pPr>
        <w:pStyle w:val="ListParagraph"/>
        <w:numPr>
          <w:ilvl w:val="0"/>
          <w:numId w:val="28"/>
        </w:numPr>
      </w:pPr>
      <w:r>
        <w:t>Employee/Exertion (derived) +</w:t>
      </w:r>
    </w:p>
    <w:p w14:paraId="2412FE98" w14:textId="77777777" w:rsidR="0049047E" w:rsidRDefault="0049047E" w:rsidP="0049047E">
      <w:pPr>
        <w:pStyle w:val="ListParagraph"/>
        <w:numPr>
          <w:ilvl w:val="0"/>
          <w:numId w:val="28"/>
        </w:numPr>
      </w:pPr>
      <w:r>
        <w:t>Business (derived) +</w:t>
      </w:r>
    </w:p>
    <w:p w14:paraId="07BDE364" w14:textId="77777777" w:rsidR="0049047E" w:rsidRDefault="0049047E" w:rsidP="0049047E">
      <w:pPr>
        <w:pStyle w:val="ListParagraph"/>
        <w:numPr>
          <w:ilvl w:val="0"/>
          <w:numId w:val="28"/>
        </w:numPr>
      </w:pPr>
      <w:r>
        <w:t>Investment (derived) +</w:t>
      </w:r>
    </w:p>
    <w:p w14:paraId="1AC92276" w14:textId="77777777" w:rsidR="0049047E" w:rsidRDefault="0049047E" w:rsidP="0049047E">
      <w:pPr>
        <w:pStyle w:val="ListParagraph"/>
        <w:numPr>
          <w:ilvl w:val="0"/>
          <w:numId w:val="28"/>
        </w:numPr>
      </w:pPr>
      <w:r>
        <w:t>Superannuation (derived) +</w:t>
      </w:r>
    </w:p>
    <w:p w14:paraId="313BC603" w14:textId="77777777" w:rsidR="0049047E" w:rsidRDefault="0049047E" w:rsidP="0049047E">
      <w:pPr>
        <w:pStyle w:val="ListParagraph"/>
        <w:numPr>
          <w:ilvl w:val="0"/>
          <w:numId w:val="28"/>
        </w:numPr>
      </w:pPr>
      <w:r>
        <w:t>Welfare (derived)</w:t>
      </w:r>
    </w:p>
    <w:p w14:paraId="5D281CF5" w14:textId="77777777" w:rsidR="0049047E" w:rsidRDefault="0049047E" w:rsidP="0049047E">
      <w:r>
        <w:lastRenderedPageBreak/>
        <w:t xml:space="preserve">When PIT data is unavailable or zero, use PAYG and DOMINO based definitions: </w:t>
      </w:r>
    </w:p>
    <w:p w14:paraId="66EBC1DC" w14:textId="77777777" w:rsidR="0049047E" w:rsidRDefault="0049047E" w:rsidP="0049047E">
      <w:pPr>
        <w:pStyle w:val="ListParagraph"/>
        <w:numPr>
          <w:ilvl w:val="0"/>
          <w:numId w:val="30"/>
        </w:numPr>
      </w:pPr>
      <w:r>
        <w:t>Employee/Exertion (derived) +</w:t>
      </w:r>
    </w:p>
    <w:p w14:paraId="7D791379" w14:textId="77777777" w:rsidR="0049047E" w:rsidRDefault="0049047E" w:rsidP="0049047E">
      <w:pPr>
        <w:pStyle w:val="ListParagraph"/>
        <w:numPr>
          <w:ilvl w:val="0"/>
          <w:numId w:val="30"/>
        </w:numPr>
      </w:pPr>
      <w:r>
        <w:t>Reportable fringe benefits amount (PAYG) +</w:t>
      </w:r>
    </w:p>
    <w:p w14:paraId="28ED0125" w14:textId="77777777" w:rsidR="0049047E" w:rsidRDefault="0049047E" w:rsidP="0049047E">
      <w:pPr>
        <w:pStyle w:val="ListParagraph"/>
        <w:numPr>
          <w:ilvl w:val="0"/>
          <w:numId w:val="30"/>
        </w:numPr>
      </w:pPr>
      <w:r>
        <w:t>Tax-free component (PAYG) +</w:t>
      </w:r>
    </w:p>
    <w:p w14:paraId="2751A968" w14:textId="77777777" w:rsidR="0049047E" w:rsidRDefault="0049047E" w:rsidP="0049047E">
      <w:pPr>
        <w:pStyle w:val="ListParagraph"/>
        <w:numPr>
          <w:ilvl w:val="0"/>
          <w:numId w:val="30"/>
        </w:numPr>
      </w:pPr>
      <w:r>
        <w:t>Taxable component (PAYG) +</w:t>
      </w:r>
    </w:p>
    <w:p w14:paraId="02DCC0C5" w14:textId="77777777" w:rsidR="0049047E" w:rsidRDefault="0049047E" w:rsidP="0049047E">
      <w:pPr>
        <w:pStyle w:val="ListParagraph"/>
        <w:numPr>
          <w:ilvl w:val="0"/>
          <w:numId w:val="30"/>
        </w:numPr>
      </w:pPr>
      <w:r>
        <w:t>Welfare (derived)</w:t>
      </w:r>
    </w:p>
    <w:p w14:paraId="69DBEBB4" w14:textId="77777777" w:rsidR="0049047E" w:rsidRPr="00607A90" w:rsidRDefault="0049047E" w:rsidP="0049047E">
      <w:pPr>
        <w:pStyle w:val="Heading4"/>
        <w:spacing w:before="120"/>
        <w:rPr>
          <w:iCs w:val="0"/>
          <w:color w:val="008276"/>
          <w:szCs w:val="24"/>
        </w:rPr>
      </w:pPr>
      <w:r>
        <w:rPr>
          <w:iCs w:val="0"/>
          <w:color w:val="008276"/>
          <w:szCs w:val="24"/>
        </w:rPr>
        <w:t>Disposable</w:t>
      </w:r>
      <w:r w:rsidRPr="00607A90">
        <w:rPr>
          <w:iCs w:val="0"/>
          <w:color w:val="008276"/>
          <w:szCs w:val="24"/>
        </w:rPr>
        <w:t>:</w:t>
      </w:r>
    </w:p>
    <w:p w14:paraId="34EE43B1" w14:textId="77777777" w:rsidR="0049047E" w:rsidRDefault="0049047E" w:rsidP="0049047E">
      <w:pPr>
        <w:pStyle w:val="ListParagraph"/>
        <w:numPr>
          <w:ilvl w:val="0"/>
          <w:numId w:val="32"/>
        </w:numPr>
      </w:pPr>
      <w:r>
        <w:t xml:space="preserve">Gross (derived) - </w:t>
      </w:r>
    </w:p>
    <w:p w14:paraId="33A7ABFA" w14:textId="77777777" w:rsidR="0049047E" w:rsidRDefault="0049047E" w:rsidP="0049047E">
      <w:pPr>
        <w:pStyle w:val="ListParagraph"/>
        <w:numPr>
          <w:ilvl w:val="0"/>
          <w:numId w:val="32"/>
        </w:numPr>
      </w:pPr>
      <w:r>
        <w:t>Total deductions (PIT) -</w:t>
      </w:r>
    </w:p>
    <w:p w14:paraId="427D6505" w14:textId="77777777" w:rsidR="0049047E" w:rsidRDefault="0049047E" w:rsidP="0049047E">
      <w:pPr>
        <w:pStyle w:val="ListParagraph"/>
        <w:numPr>
          <w:ilvl w:val="0"/>
          <w:numId w:val="32"/>
        </w:numPr>
      </w:pPr>
      <w:r>
        <w:t xml:space="preserve">Tax (derived) </w:t>
      </w:r>
    </w:p>
    <w:p w14:paraId="5F994A6E" w14:textId="77777777" w:rsidR="0049047E" w:rsidRDefault="0049047E" w:rsidP="0049047E">
      <w:r>
        <w:t xml:space="preserve">When PIT data is unavailable or zero, use PAYG and DOMINO based definitions: </w:t>
      </w:r>
    </w:p>
    <w:p w14:paraId="16C94118" w14:textId="77777777" w:rsidR="0049047E" w:rsidRDefault="0049047E" w:rsidP="0049047E">
      <w:pPr>
        <w:pStyle w:val="ListParagraph"/>
        <w:numPr>
          <w:ilvl w:val="0"/>
          <w:numId w:val="31"/>
        </w:numPr>
      </w:pPr>
      <w:r>
        <w:t xml:space="preserve">Gross (derived) - </w:t>
      </w:r>
    </w:p>
    <w:p w14:paraId="41D2F51C" w14:textId="77777777" w:rsidR="0049047E" w:rsidRDefault="0049047E" w:rsidP="0049047E">
      <w:pPr>
        <w:pStyle w:val="ListParagraph"/>
        <w:numPr>
          <w:ilvl w:val="0"/>
          <w:numId w:val="31"/>
        </w:numPr>
      </w:pPr>
      <w:r>
        <w:t>Tax (derived)</w:t>
      </w:r>
    </w:p>
    <w:p w14:paraId="55120046" w14:textId="77777777" w:rsidR="0049047E" w:rsidRDefault="0049047E" w:rsidP="0049047E">
      <w:pPr>
        <w:pStyle w:val="Heading4"/>
        <w:spacing w:before="120"/>
        <w:rPr>
          <w:iCs w:val="0"/>
          <w:color w:val="008276"/>
          <w:szCs w:val="24"/>
        </w:rPr>
      </w:pPr>
      <w:r w:rsidRPr="008E3980">
        <w:rPr>
          <w:iCs w:val="0"/>
          <w:color w:val="008276"/>
          <w:szCs w:val="24"/>
        </w:rPr>
        <w:t>Spousal gross</w:t>
      </w:r>
      <w:r>
        <w:rPr>
          <w:iCs w:val="0"/>
          <w:color w:val="008276"/>
          <w:szCs w:val="24"/>
        </w:rPr>
        <w:t>:</w:t>
      </w:r>
    </w:p>
    <w:p w14:paraId="2EA153C0" w14:textId="77777777" w:rsidR="0049047E" w:rsidRDefault="0049047E" w:rsidP="0049047E">
      <w:pPr>
        <w:pStyle w:val="ListParagraph"/>
        <w:numPr>
          <w:ilvl w:val="0"/>
          <w:numId w:val="33"/>
        </w:numPr>
      </w:pPr>
      <w:r>
        <w:t xml:space="preserve">Your spouse's taxable income (PIT) + </w:t>
      </w:r>
    </w:p>
    <w:p w14:paraId="7E16A9D0" w14:textId="77777777" w:rsidR="0049047E" w:rsidRDefault="0049047E" w:rsidP="0049047E">
      <w:pPr>
        <w:pStyle w:val="ListParagraph"/>
        <w:numPr>
          <w:ilvl w:val="0"/>
          <w:numId w:val="33"/>
        </w:numPr>
      </w:pPr>
      <w:r>
        <w:t>Amount of Australian Government pensions and allowances that your spouse received (PIT) +</w:t>
      </w:r>
    </w:p>
    <w:p w14:paraId="467D9230" w14:textId="77777777" w:rsidR="0049047E" w:rsidRDefault="0049047E" w:rsidP="0049047E">
      <w:pPr>
        <w:pStyle w:val="ListParagraph"/>
        <w:numPr>
          <w:ilvl w:val="0"/>
          <w:numId w:val="33"/>
        </w:numPr>
      </w:pPr>
      <w:r>
        <w:t>Amount of exempt pension income your spouse received (PIT) +</w:t>
      </w:r>
    </w:p>
    <w:p w14:paraId="5A5E1E91" w14:textId="77777777" w:rsidR="0049047E" w:rsidRDefault="0049047E" w:rsidP="0049047E">
      <w:pPr>
        <w:pStyle w:val="ListParagraph"/>
        <w:numPr>
          <w:ilvl w:val="0"/>
          <w:numId w:val="33"/>
        </w:numPr>
      </w:pPr>
      <w:r>
        <w:t>Amount of your spouse's reportable superannuation contributions (PIT) +</w:t>
      </w:r>
    </w:p>
    <w:p w14:paraId="67C7866D" w14:textId="77777777" w:rsidR="0049047E" w:rsidRDefault="0049047E" w:rsidP="0049047E">
      <w:pPr>
        <w:pStyle w:val="ListParagraph"/>
        <w:numPr>
          <w:ilvl w:val="0"/>
          <w:numId w:val="33"/>
        </w:numPr>
      </w:pPr>
      <w:r>
        <w:t>Your spouse's target foreign income (PIT) +</w:t>
      </w:r>
    </w:p>
    <w:p w14:paraId="6C7CF70F" w14:textId="77777777" w:rsidR="0049047E" w:rsidRDefault="0049047E" w:rsidP="0049047E">
      <w:pPr>
        <w:pStyle w:val="ListParagraph"/>
        <w:numPr>
          <w:ilvl w:val="0"/>
          <w:numId w:val="33"/>
        </w:numPr>
      </w:pPr>
      <w:r>
        <w:t>Your spouse's total net investment loss (PIT) +</w:t>
      </w:r>
    </w:p>
    <w:p w14:paraId="111EF722" w14:textId="77777777" w:rsidR="0049047E" w:rsidRDefault="0049047E" w:rsidP="0049047E">
      <w:pPr>
        <w:pStyle w:val="ListParagraph"/>
        <w:numPr>
          <w:ilvl w:val="0"/>
          <w:numId w:val="33"/>
        </w:numPr>
      </w:pPr>
      <w:r>
        <w:t>Your spouse's total reportable fringe benefits amounts</w:t>
      </w:r>
    </w:p>
    <w:p w14:paraId="6BFB906A" w14:textId="77777777" w:rsidR="0049047E" w:rsidRDefault="0049047E" w:rsidP="00C64AFC">
      <w:pPr>
        <w:pStyle w:val="Heading2"/>
      </w:pPr>
      <w:r w:rsidRPr="00C64AFC">
        <w:rPr>
          <w:rStyle w:val="normaltextrun"/>
        </w:rPr>
        <w:t>References</w:t>
      </w:r>
      <w:r>
        <w:rPr>
          <w:rStyle w:val="eop"/>
          <w:rFonts w:cs="Calibri"/>
          <w:bCs/>
          <w:color w:val="343741"/>
          <w:sz w:val="32"/>
          <w:szCs w:val="32"/>
          <w:shd w:val="clear" w:color="auto" w:fill="FFFFFF"/>
        </w:rPr>
        <w:t> </w:t>
      </w:r>
    </w:p>
    <w:p w14:paraId="79185F53" w14:textId="22818291" w:rsidR="0017134D" w:rsidRDefault="00C675EE" w:rsidP="00A656FE">
      <w:pPr>
        <w:spacing w:after="160"/>
        <w:rPr>
          <w:noProof/>
        </w:rPr>
      </w:pPr>
      <w:r>
        <w:rPr>
          <w:rStyle w:val="normaltextrun"/>
          <w:rFonts w:ascii="Calibri" w:hAnsi="Calibri" w:cs="Calibri"/>
          <w:color w:val="000000"/>
          <w:shd w:val="clear" w:color="auto" w:fill="FFFFFF"/>
        </w:rPr>
        <w:t>ABS (</w:t>
      </w:r>
      <w:r w:rsidR="0049047E">
        <w:rPr>
          <w:rStyle w:val="normaltextrun"/>
          <w:rFonts w:ascii="Calibri" w:hAnsi="Calibri" w:cs="Calibri"/>
          <w:color w:val="000000"/>
          <w:shd w:val="clear" w:color="auto" w:fill="FFFFFF"/>
        </w:rPr>
        <w:t>A</w:t>
      </w:r>
      <w:r w:rsidR="001A1688">
        <w:rPr>
          <w:rStyle w:val="normaltextrun"/>
          <w:rFonts w:ascii="Calibri" w:hAnsi="Calibri" w:cs="Calibri"/>
          <w:color w:val="000000"/>
          <w:shd w:val="clear" w:color="auto" w:fill="FFFFFF"/>
        </w:rPr>
        <w:t xml:space="preserve">ustralian </w:t>
      </w:r>
      <w:r w:rsidR="0049047E">
        <w:rPr>
          <w:rStyle w:val="normaltextrun"/>
          <w:rFonts w:ascii="Calibri" w:hAnsi="Calibri" w:cs="Calibri"/>
          <w:color w:val="000000"/>
          <w:shd w:val="clear" w:color="auto" w:fill="FFFFFF"/>
        </w:rPr>
        <w:t>B</w:t>
      </w:r>
      <w:r w:rsidR="001A1688">
        <w:rPr>
          <w:rStyle w:val="normaltextrun"/>
          <w:rFonts w:ascii="Calibri" w:hAnsi="Calibri" w:cs="Calibri"/>
          <w:color w:val="000000"/>
          <w:shd w:val="clear" w:color="auto" w:fill="FFFFFF"/>
        </w:rPr>
        <w:t xml:space="preserve">ureau of </w:t>
      </w:r>
      <w:r w:rsidR="0049047E">
        <w:rPr>
          <w:rStyle w:val="normaltextrun"/>
          <w:rFonts w:ascii="Calibri" w:hAnsi="Calibri" w:cs="Calibri"/>
          <w:color w:val="000000"/>
          <w:shd w:val="clear" w:color="auto" w:fill="FFFFFF"/>
        </w:rPr>
        <w:t>S</w:t>
      </w:r>
      <w:r w:rsidR="001A1688">
        <w:rPr>
          <w:rStyle w:val="normaltextrun"/>
          <w:rFonts w:ascii="Calibri" w:hAnsi="Calibri" w:cs="Calibri"/>
          <w:color w:val="000000"/>
          <w:shd w:val="clear" w:color="auto" w:fill="FFFFFF"/>
        </w:rPr>
        <w:t>tatistics</w:t>
      </w:r>
      <w:r>
        <w:rPr>
          <w:rStyle w:val="normaltextrun"/>
          <w:rFonts w:ascii="Calibri" w:hAnsi="Calibri" w:cs="Calibri"/>
          <w:color w:val="000000"/>
          <w:shd w:val="clear" w:color="auto" w:fill="FFFFFF"/>
        </w:rPr>
        <w:t>)</w:t>
      </w:r>
      <w:r w:rsidR="0049047E">
        <w:rPr>
          <w:rStyle w:val="normaltextrun"/>
          <w:rFonts w:ascii="Calibri" w:hAnsi="Calibri" w:cs="Calibri"/>
          <w:color w:val="000000"/>
          <w:shd w:val="clear" w:color="auto" w:fill="FFFFFF"/>
        </w:rPr>
        <w:t xml:space="preserve"> (2020) </w:t>
      </w:r>
      <w:hyperlink r:id="rId17" w:tgtFrame="_blank" w:history="1">
        <w:r w:rsidR="0049047E">
          <w:rPr>
            <w:rStyle w:val="normaltextrun"/>
            <w:rFonts w:ascii="Calibri" w:hAnsi="Calibri" w:cs="Calibri"/>
            <w:i/>
            <w:iCs/>
            <w:color w:val="287BB3"/>
            <w:u w:val="single"/>
            <w:shd w:val="clear" w:color="auto" w:fill="FFFFFF"/>
          </w:rPr>
          <w:t>Personal Income in Australia methodology, 2011</w:t>
        </w:r>
        <w:r w:rsidR="00267788">
          <w:rPr>
            <w:rStyle w:val="normaltextrun"/>
            <w:rFonts w:ascii="Calibri" w:hAnsi="Calibri" w:cs="Calibri"/>
            <w:i/>
            <w:iCs/>
            <w:color w:val="287BB3"/>
            <w:u w:val="single"/>
            <w:shd w:val="clear" w:color="auto" w:fill="FFFFFF"/>
          </w:rPr>
          <w:t>—</w:t>
        </w:r>
        <w:r w:rsidR="0049047E">
          <w:rPr>
            <w:rStyle w:val="normaltextrun"/>
            <w:rFonts w:ascii="Calibri" w:hAnsi="Calibri" w:cs="Calibri"/>
            <w:i/>
            <w:iCs/>
            <w:color w:val="287BB3"/>
            <w:u w:val="single"/>
            <w:shd w:val="clear" w:color="auto" w:fill="FFFFFF"/>
          </w:rPr>
          <w:t>12 to 2017</w:t>
        </w:r>
        <w:r w:rsidR="00267788">
          <w:rPr>
            <w:rStyle w:val="normaltextrun"/>
            <w:rFonts w:ascii="Calibri" w:hAnsi="Calibri" w:cs="Calibri"/>
            <w:i/>
            <w:iCs/>
            <w:color w:val="287BB3"/>
            <w:u w:val="single"/>
            <w:shd w:val="clear" w:color="auto" w:fill="FFFFFF"/>
          </w:rPr>
          <w:t>—</w:t>
        </w:r>
        <w:r w:rsidR="0049047E">
          <w:rPr>
            <w:rStyle w:val="normaltextrun"/>
            <w:rFonts w:ascii="Calibri" w:hAnsi="Calibri" w:cs="Calibri"/>
            <w:i/>
            <w:iCs/>
            <w:color w:val="287BB3"/>
            <w:u w:val="single"/>
            <w:shd w:val="clear" w:color="auto" w:fill="FFFFFF"/>
          </w:rPr>
          <w:t>18</w:t>
        </w:r>
      </w:hyperlink>
      <w:r w:rsidR="0049047E">
        <w:rPr>
          <w:rStyle w:val="normaltextrun"/>
          <w:rFonts w:ascii="Calibri" w:hAnsi="Calibri" w:cs="Calibri"/>
          <w:shd w:val="clear" w:color="auto" w:fill="FFFFFF"/>
        </w:rPr>
        <w:t>,</w:t>
      </w:r>
      <w:r w:rsidR="0049047E">
        <w:rPr>
          <w:rStyle w:val="normaltextrun"/>
          <w:rFonts w:ascii="Calibri" w:hAnsi="Calibri" w:cs="Calibri"/>
          <w:color w:val="000000"/>
          <w:shd w:val="clear" w:color="auto" w:fill="FFFFFF"/>
        </w:rPr>
        <w:t xml:space="preserve"> ABS website, accessed 23 February 2021.</w:t>
      </w:r>
      <w:r w:rsidR="0049047E">
        <w:rPr>
          <w:rStyle w:val="eop"/>
          <w:rFonts w:cs="Calibri"/>
          <w:color w:val="000000"/>
          <w:shd w:val="clear" w:color="auto" w:fill="FFFFFF"/>
        </w:rPr>
        <w:t> </w:t>
      </w:r>
    </w:p>
    <w:sectPr w:rsidR="0017134D" w:rsidSect="00D86284">
      <w:footerReference w:type="default" r:id="rId18"/>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89D53" w14:textId="77777777" w:rsidR="00AA32B2" w:rsidRDefault="00AA32B2" w:rsidP="000A6228">
      <w:pPr>
        <w:spacing w:after="0" w:line="240" w:lineRule="auto"/>
      </w:pPr>
      <w:r>
        <w:separator/>
      </w:r>
    </w:p>
  </w:endnote>
  <w:endnote w:type="continuationSeparator" w:id="0">
    <w:p w14:paraId="59B26FB6" w14:textId="77777777" w:rsidR="00AA32B2" w:rsidRDefault="00AA32B2" w:rsidP="000A6228">
      <w:pPr>
        <w:spacing w:after="0" w:line="240" w:lineRule="auto"/>
      </w:pPr>
      <w:r>
        <w:continuationSeparator/>
      </w:r>
    </w:p>
  </w:endnote>
  <w:endnote w:type="continuationNotice" w:id="1">
    <w:p w14:paraId="6903204F" w14:textId="77777777" w:rsidR="00AA32B2" w:rsidRDefault="00AA32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D5A5D" w14:textId="77777777" w:rsidR="00D86284" w:rsidRDefault="00D86284">
    <w:pPr>
      <w:pStyle w:val="Footer"/>
    </w:pPr>
    <w:r>
      <w:rPr>
        <w:noProof/>
      </w:rPr>
      <w:drawing>
        <wp:anchor distT="0" distB="0" distL="114300" distR="114300" simplePos="0" relativeHeight="251658240" behindDoc="1" locked="1" layoutInCell="1" allowOverlap="1" wp14:anchorId="7D440DDE" wp14:editId="36D4F157">
          <wp:simplePos x="5425440" y="9593580"/>
          <wp:positionH relativeFrom="page">
            <wp:align>right</wp:align>
          </wp:positionH>
          <wp:positionV relativeFrom="page">
            <wp:align>bottom</wp:align>
          </wp:positionV>
          <wp:extent cx="1216800" cy="648000"/>
          <wp:effectExtent l="0" t="0" r="2540" b="0"/>
          <wp:wrapNone/>
          <wp:docPr id="1474947322" name="Picture 14749473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55A32" w14:textId="77777777" w:rsidR="00AA32B2" w:rsidRDefault="00AA32B2" w:rsidP="000A6228">
      <w:pPr>
        <w:spacing w:after="0" w:line="240" w:lineRule="auto"/>
      </w:pPr>
      <w:r>
        <w:separator/>
      </w:r>
    </w:p>
  </w:footnote>
  <w:footnote w:type="continuationSeparator" w:id="0">
    <w:p w14:paraId="0547FA5F" w14:textId="77777777" w:rsidR="00AA32B2" w:rsidRDefault="00AA32B2" w:rsidP="000A6228">
      <w:pPr>
        <w:spacing w:after="0" w:line="240" w:lineRule="auto"/>
      </w:pPr>
      <w:r>
        <w:continuationSeparator/>
      </w:r>
    </w:p>
  </w:footnote>
  <w:footnote w:type="continuationNotice" w:id="1">
    <w:p w14:paraId="41A4E2EE" w14:textId="77777777" w:rsidR="00AA32B2" w:rsidRDefault="00AA32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2E059B"/>
    <w:multiLevelType w:val="hybridMultilevel"/>
    <w:tmpl w:val="8488B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9A81CD1"/>
    <w:multiLevelType w:val="hybridMultilevel"/>
    <w:tmpl w:val="4DC86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4DD7192"/>
    <w:multiLevelType w:val="hybridMultilevel"/>
    <w:tmpl w:val="696A8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DD6595"/>
    <w:multiLevelType w:val="hybridMultilevel"/>
    <w:tmpl w:val="84205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F6B61EC"/>
    <w:multiLevelType w:val="hybridMultilevel"/>
    <w:tmpl w:val="7A22D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B32C49"/>
    <w:multiLevelType w:val="hybridMultilevel"/>
    <w:tmpl w:val="3998C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566A4A"/>
    <w:multiLevelType w:val="hybridMultilevel"/>
    <w:tmpl w:val="E3DAD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2F486C"/>
    <w:multiLevelType w:val="hybridMultilevel"/>
    <w:tmpl w:val="C1569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863037"/>
    <w:multiLevelType w:val="hybridMultilevel"/>
    <w:tmpl w:val="D0D87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C50C24"/>
    <w:multiLevelType w:val="hybridMultilevel"/>
    <w:tmpl w:val="08C6E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BF305A"/>
    <w:multiLevelType w:val="hybridMultilevel"/>
    <w:tmpl w:val="0F7EA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05B4D92"/>
    <w:multiLevelType w:val="hybridMultilevel"/>
    <w:tmpl w:val="2ABA8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622625B"/>
    <w:multiLevelType w:val="hybridMultilevel"/>
    <w:tmpl w:val="FCDC0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76777A94"/>
    <w:multiLevelType w:val="hybridMultilevel"/>
    <w:tmpl w:val="8918C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0803065">
    <w:abstractNumId w:val="13"/>
  </w:num>
  <w:num w:numId="2" w16cid:durableId="1144616732">
    <w:abstractNumId w:val="5"/>
  </w:num>
  <w:num w:numId="3" w16cid:durableId="979309186">
    <w:abstractNumId w:val="4"/>
  </w:num>
  <w:num w:numId="4" w16cid:durableId="144787752">
    <w:abstractNumId w:val="3"/>
  </w:num>
  <w:num w:numId="5" w16cid:durableId="934556078">
    <w:abstractNumId w:val="17"/>
  </w:num>
  <w:num w:numId="6" w16cid:durableId="816344236">
    <w:abstractNumId w:val="2"/>
  </w:num>
  <w:num w:numId="7" w16cid:durableId="1908612059">
    <w:abstractNumId w:val="1"/>
  </w:num>
  <w:num w:numId="8" w16cid:durableId="1618215078">
    <w:abstractNumId w:val="0"/>
  </w:num>
  <w:num w:numId="9" w16cid:durableId="1850677422">
    <w:abstractNumId w:val="16"/>
  </w:num>
  <w:num w:numId="10" w16cid:durableId="1599946406">
    <w:abstractNumId w:val="8"/>
  </w:num>
  <w:num w:numId="11" w16cid:durableId="714038629">
    <w:abstractNumId w:val="29"/>
  </w:num>
  <w:num w:numId="12" w16cid:durableId="1728914001">
    <w:abstractNumId w:val="12"/>
  </w:num>
  <w:num w:numId="13" w16cid:durableId="17856119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1"/>
  </w:num>
  <w:num w:numId="15" w16cid:durableId="268391646">
    <w:abstractNumId w:val="6"/>
  </w:num>
  <w:num w:numId="16" w16cid:durableId="1261833621">
    <w:abstractNumId w:val="30"/>
  </w:num>
  <w:num w:numId="17" w16cid:durableId="2029670193">
    <w:abstractNumId w:val="19"/>
  </w:num>
  <w:num w:numId="18" w16cid:durableId="887570554">
    <w:abstractNumId w:val="9"/>
  </w:num>
  <w:num w:numId="19" w16cid:durableId="147789394">
    <w:abstractNumId w:val="26"/>
  </w:num>
  <w:num w:numId="20" w16cid:durableId="307171317">
    <w:abstractNumId w:val="25"/>
  </w:num>
  <w:num w:numId="21" w16cid:durableId="1149399281">
    <w:abstractNumId w:val="15"/>
  </w:num>
  <w:num w:numId="22" w16cid:durableId="861432060">
    <w:abstractNumId w:val="24"/>
  </w:num>
  <w:num w:numId="23" w16cid:durableId="1570774774">
    <w:abstractNumId w:val="10"/>
  </w:num>
  <w:num w:numId="24" w16cid:durableId="1788352671">
    <w:abstractNumId w:val="21"/>
  </w:num>
  <w:num w:numId="25" w16cid:durableId="1875002925">
    <w:abstractNumId w:val="28"/>
  </w:num>
  <w:num w:numId="26" w16cid:durableId="1612127729">
    <w:abstractNumId w:val="27"/>
  </w:num>
  <w:num w:numId="27" w16cid:durableId="1826974174">
    <w:abstractNumId w:val="14"/>
  </w:num>
  <w:num w:numId="28" w16cid:durableId="1901818491">
    <w:abstractNumId w:val="18"/>
  </w:num>
  <w:num w:numId="29" w16cid:durableId="39943508">
    <w:abstractNumId w:val="22"/>
  </w:num>
  <w:num w:numId="30" w16cid:durableId="258877699">
    <w:abstractNumId w:val="7"/>
  </w:num>
  <w:num w:numId="31" w16cid:durableId="1334336946">
    <w:abstractNumId w:val="23"/>
  </w:num>
  <w:num w:numId="32" w16cid:durableId="1709064909">
    <w:abstractNumId w:val="31"/>
  </w:num>
  <w:num w:numId="33" w16cid:durableId="2916430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4F4C"/>
    <w:rsid w:val="00012366"/>
    <w:rsid w:val="00014D6D"/>
    <w:rsid w:val="0001527D"/>
    <w:rsid w:val="00021FBE"/>
    <w:rsid w:val="00032AF3"/>
    <w:rsid w:val="000356CB"/>
    <w:rsid w:val="000521D7"/>
    <w:rsid w:val="00052CC9"/>
    <w:rsid w:val="000A0B58"/>
    <w:rsid w:val="000A0DBD"/>
    <w:rsid w:val="000A6228"/>
    <w:rsid w:val="000B5D40"/>
    <w:rsid w:val="000B7EC6"/>
    <w:rsid w:val="000C3C95"/>
    <w:rsid w:val="000F5D14"/>
    <w:rsid w:val="0010159D"/>
    <w:rsid w:val="0010281E"/>
    <w:rsid w:val="00107D87"/>
    <w:rsid w:val="00107DD5"/>
    <w:rsid w:val="0012343A"/>
    <w:rsid w:val="00123ABB"/>
    <w:rsid w:val="00133B8D"/>
    <w:rsid w:val="0013611E"/>
    <w:rsid w:val="001515BF"/>
    <w:rsid w:val="00164F76"/>
    <w:rsid w:val="001654AE"/>
    <w:rsid w:val="0017134D"/>
    <w:rsid w:val="00192BC8"/>
    <w:rsid w:val="001A1688"/>
    <w:rsid w:val="001C1523"/>
    <w:rsid w:val="001C6805"/>
    <w:rsid w:val="001E1354"/>
    <w:rsid w:val="001E1BBD"/>
    <w:rsid w:val="002137CC"/>
    <w:rsid w:val="00220C96"/>
    <w:rsid w:val="00221D8F"/>
    <w:rsid w:val="00221E4E"/>
    <w:rsid w:val="002272DB"/>
    <w:rsid w:val="00237736"/>
    <w:rsid w:val="00252271"/>
    <w:rsid w:val="00255531"/>
    <w:rsid w:val="00267788"/>
    <w:rsid w:val="002717FD"/>
    <w:rsid w:val="002736DA"/>
    <w:rsid w:val="00276047"/>
    <w:rsid w:val="00291560"/>
    <w:rsid w:val="002959CF"/>
    <w:rsid w:val="002A0BC6"/>
    <w:rsid w:val="002A4458"/>
    <w:rsid w:val="002B4D7C"/>
    <w:rsid w:val="002C2ECD"/>
    <w:rsid w:val="002D2E39"/>
    <w:rsid w:val="002D589A"/>
    <w:rsid w:val="002E491A"/>
    <w:rsid w:val="002E607C"/>
    <w:rsid w:val="00314C14"/>
    <w:rsid w:val="003224F6"/>
    <w:rsid w:val="00336A7C"/>
    <w:rsid w:val="003510A7"/>
    <w:rsid w:val="00373847"/>
    <w:rsid w:val="00375CFB"/>
    <w:rsid w:val="003832D9"/>
    <w:rsid w:val="003C369F"/>
    <w:rsid w:val="003F743B"/>
    <w:rsid w:val="0040155D"/>
    <w:rsid w:val="0041713E"/>
    <w:rsid w:val="00421D3F"/>
    <w:rsid w:val="00423785"/>
    <w:rsid w:val="00426A81"/>
    <w:rsid w:val="00452D26"/>
    <w:rsid w:val="00463550"/>
    <w:rsid w:val="00486F31"/>
    <w:rsid w:val="0049047E"/>
    <w:rsid w:val="00490FA9"/>
    <w:rsid w:val="004A06CD"/>
    <w:rsid w:val="004A4B6F"/>
    <w:rsid w:val="004A4CF9"/>
    <w:rsid w:val="004C0F01"/>
    <w:rsid w:val="004D2965"/>
    <w:rsid w:val="004D2D9D"/>
    <w:rsid w:val="0053617B"/>
    <w:rsid w:val="0054254B"/>
    <w:rsid w:val="00562B9B"/>
    <w:rsid w:val="00597625"/>
    <w:rsid w:val="005A75C9"/>
    <w:rsid w:val="005B187D"/>
    <w:rsid w:val="005D7779"/>
    <w:rsid w:val="005E74A7"/>
    <w:rsid w:val="0062316D"/>
    <w:rsid w:val="006232DC"/>
    <w:rsid w:val="0063094F"/>
    <w:rsid w:val="00631667"/>
    <w:rsid w:val="0064685F"/>
    <w:rsid w:val="0065506C"/>
    <w:rsid w:val="00661D0A"/>
    <w:rsid w:val="006760F9"/>
    <w:rsid w:val="006D2E1E"/>
    <w:rsid w:val="006D67F3"/>
    <w:rsid w:val="006F034B"/>
    <w:rsid w:val="006F1FFF"/>
    <w:rsid w:val="006F6D10"/>
    <w:rsid w:val="006F7957"/>
    <w:rsid w:val="0071285D"/>
    <w:rsid w:val="00712B94"/>
    <w:rsid w:val="00715641"/>
    <w:rsid w:val="00725D15"/>
    <w:rsid w:val="00755D98"/>
    <w:rsid w:val="00770861"/>
    <w:rsid w:val="0078320D"/>
    <w:rsid w:val="00785D9F"/>
    <w:rsid w:val="0079552D"/>
    <w:rsid w:val="007B2CA1"/>
    <w:rsid w:val="007C1A5F"/>
    <w:rsid w:val="007D0ABC"/>
    <w:rsid w:val="008042F5"/>
    <w:rsid w:val="00862CF9"/>
    <w:rsid w:val="00886959"/>
    <w:rsid w:val="008927AA"/>
    <w:rsid w:val="00893A34"/>
    <w:rsid w:val="00894ED3"/>
    <w:rsid w:val="008A36E1"/>
    <w:rsid w:val="008A37A7"/>
    <w:rsid w:val="008A3CE5"/>
    <w:rsid w:val="008B0736"/>
    <w:rsid w:val="008B5119"/>
    <w:rsid w:val="008E70F5"/>
    <w:rsid w:val="00913C5D"/>
    <w:rsid w:val="009247CC"/>
    <w:rsid w:val="00945EB5"/>
    <w:rsid w:val="00950B06"/>
    <w:rsid w:val="00952C47"/>
    <w:rsid w:val="00960FF6"/>
    <w:rsid w:val="00961505"/>
    <w:rsid w:val="00963180"/>
    <w:rsid w:val="00970069"/>
    <w:rsid w:val="009721EB"/>
    <w:rsid w:val="00983010"/>
    <w:rsid w:val="009B706E"/>
    <w:rsid w:val="009C423A"/>
    <w:rsid w:val="009D4CD2"/>
    <w:rsid w:val="009E79ED"/>
    <w:rsid w:val="009F0EC5"/>
    <w:rsid w:val="009F5DB4"/>
    <w:rsid w:val="00A07596"/>
    <w:rsid w:val="00A12292"/>
    <w:rsid w:val="00A166E3"/>
    <w:rsid w:val="00A17A08"/>
    <w:rsid w:val="00A30630"/>
    <w:rsid w:val="00A60673"/>
    <w:rsid w:val="00A636D7"/>
    <w:rsid w:val="00A656FE"/>
    <w:rsid w:val="00A67E9C"/>
    <w:rsid w:val="00A868A5"/>
    <w:rsid w:val="00A93931"/>
    <w:rsid w:val="00AA32B2"/>
    <w:rsid w:val="00AB4004"/>
    <w:rsid w:val="00AC07AC"/>
    <w:rsid w:val="00AC1872"/>
    <w:rsid w:val="00AC7CAA"/>
    <w:rsid w:val="00AD631F"/>
    <w:rsid w:val="00AE21FF"/>
    <w:rsid w:val="00AE2338"/>
    <w:rsid w:val="00AE526C"/>
    <w:rsid w:val="00AE72A4"/>
    <w:rsid w:val="00AF1F18"/>
    <w:rsid w:val="00AF4C2D"/>
    <w:rsid w:val="00B0726E"/>
    <w:rsid w:val="00B1762F"/>
    <w:rsid w:val="00B179E4"/>
    <w:rsid w:val="00B2112B"/>
    <w:rsid w:val="00B219D1"/>
    <w:rsid w:val="00B45126"/>
    <w:rsid w:val="00B45522"/>
    <w:rsid w:val="00B47194"/>
    <w:rsid w:val="00B6480E"/>
    <w:rsid w:val="00B65910"/>
    <w:rsid w:val="00B81FA4"/>
    <w:rsid w:val="00B8794C"/>
    <w:rsid w:val="00B95EF4"/>
    <w:rsid w:val="00BA51FC"/>
    <w:rsid w:val="00BB6509"/>
    <w:rsid w:val="00BC248C"/>
    <w:rsid w:val="00BD0956"/>
    <w:rsid w:val="00BD0FA9"/>
    <w:rsid w:val="00BF5BA5"/>
    <w:rsid w:val="00C01EC0"/>
    <w:rsid w:val="00C02F8F"/>
    <w:rsid w:val="00C244EE"/>
    <w:rsid w:val="00C306A5"/>
    <w:rsid w:val="00C434C3"/>
    <w:rsid w:val="00C56C2D"/>
    <w:rsid w:val="00C64AFC"/>
    <w:rsid w:val="00C64B5D"/>
    <w:rsid w:val="00C675EE"/>
    <w:rsid w:val="00C72224"/>
    <w:rsid w:val="00C75706"/>
    <w:rsid w:val="00C83798"/>
    <w:rsid w:val="00CA1C35"/>
    <w:rsid w:val="00CA1D5E"/>
    <w:rsid w:val="00CA4815"/>
    <w:rsid w:val="00CB4CE0"/>
    <w:rsid w:val="00CC2399"/>
    <w:rsid w:val="00CC746C"/>
    <w:rsid w:val="00CD3F82"/>
    <w:rsid w:val="00CE0569"/>
    <w:rsid w:val="00CF6562"/>
    <w:rsid w:val="00D0508A"/>
    <w:rsid w:val="00D5688A"/>
    <w:rsid w:val="00D86284"/>
    <w:rsid w:val="00D90B4C"/>
    <w:rsid w:val="00DB50AC"/>
    <w:rsid w:val="00DC5980"/>
    <w:rsid w:val="00DD2B46"/>
    <w:rsid w:val="00DF3352"/>
    <w:rsid w:val="00E06ED6"/>
    <w:rsid w:val="00E42AA6"/>
    <w:rsid w:val="00E529E5"/>
    <w:rsid w:val="00E5714B"/>
    <w:rsid w:val="00E6564A"/>
    <w:rsid w:val="00EB4C2F"/>
    <w:rsid w:val="00ED0DDF"/>
    <w:rsid w:val="00ED30D2"/>
    <w:rsid w:val="00F1000D"/>
    <w:rsid w:val="00F13CF6"/>
    <w:rsid w:val="00F2319C"/>
    <w:rsid w:val="00F311A4"/>
    <w:rsid w:val="00F65AF7"/>
    <w:rsid w:val="00F7363A"/>
    <w:rsid w:val="00F82C2C"/>
    <w:rsid w:val="00F85913"/>
    <w:rsid w:val="00FB0528"/>
    <w:rsid w:val="00FB753F"/>
    <w:rsid w:val="00FD4D6E"/>
    <w:rsid w:val="00FD6383"/>
    <w:rsid w:val="00FE095B"/>
    <w:rsid w:val="00FE74AB"/>
    <w:rsid w:val="00FF03EC"/>
    <w:rsid w:val="00FF5BC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61377"/>
  <w15:chartTrackingRefBased/>
  <w15:docId w15:val="{EA2C7FEF-35B8-4815-B98E-64FC7A1E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6F7957"/>
    <w:pPr>
      <w:keepNext/>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8"/>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8"/>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Title">
    <w:name w:val="Title"/>
    <w:basedOn w:val="Normal"/>
    <w:next w:val="Normal"/>
    <w:link w:val="TitleChar"/>
    <w:uiPriority w:val="7"/>
    <w:qFormat/>
    <w:rsid w:val="0049047E"/>
    <w:pPr>
      <w:spacing w:before="1800" w:after="0" w:line="276" w:lineRule="auto"/>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49047E"/>
    <w:rPr>
      <w:rFonts w:ascii="Calibri" w:eastAsiaTheme="majorEastAsia" w:hAnsi="Calibri" w:cstheme="majorBidi"/>
      <w:b/>
      <w:color w:val="343741"/>
      <w:spacing w:val="-10"/>
      <w:kern w:val="28"/>
      <w:sz w:val="60"/>
      <w:szCs w:val="56"/>
    </w:rPr>
  </w:style>
  <w:style w:type="paragraph" w:styleId="ListParagraph">
    <w:name w:val="List Paragraph"/>
    <w:basedOn w:val="Normal"/>
    <w:uiPriority w:val="34"/>
    <w:qFormat/>
    <w:rsid w:val="0049047E"/>
    <w:pPr>
      <w:spacing w:after="200" w:line="360" w:lineRule="auto"/>
      <w:ind w:left="720"/>
      <w:contextualSpacing/>
    </w:pPr>
  </w:style>
  <w:style w:type="paragraph" w:styleId="CommentText">
    <w:name w:val="annotation text"/>
    <w:basedOn w:val="Normal"/>
    <w:link w:val="CommentTextChar"/>
    <w:uiPriority w:val="99"/>
    <w:unhideWhenUsed/>
    <w:rsid w:val="0049047E"/>
    <w:pPr>
      <w:spacing w:after="200" w:line="240" w:lineRule="auto"/>
    </w:pPr>
    <w:rPr>
      <w:sz w:val="20"/>
      <w:szCs w:val="20"/>
    </w:rPr>
  </w:style>
  <w:style w:type="character" w:customStyle="1" w:styleId="CommentTextChar">
    <w:name w:val="Comment Text Char"/>
    <w:basedOn w:val="DefaultParagraphFont"/>
    <w:link w:val="CommentText"/>
    <w:uiPriority w:val="99"/>
    <w:rsid w:val="0049047E"/>
    <w:rPr>
      <w:sz w:val="20"/>
      <w:szCs w:val="20"/>
    </w:rPr>
  </w:style>
  <w:style w:type="character" w:styleId="CommentReference">
    <w:name w:val="annotation reference"/>
    <w:basedOn w:val="DefaultParagraphFont"/>
    <w:uiPriority w:val="99"/>
    <w:semiHidden/>
    <w:unhideWhenUsed/>
    <w:rsid w:val="0049047E"/>
    <w:rPr>
      <w:sz w:val="16"/>
      <w:szCs w:val="16"/>
    </w:rPr>
  </w:style>
  <w:style w:type="character" w:customStyle="1" w:styleId="normaltextrun">
    <w:name w:val="normaltextrun"/>
    <w:basedOn w:val="DefaultParagraphFont"/>
    <w:rsid w:val="0049047E"/>
  </w:style>
  <w:style w:type="character" w:customStyle="1" w:styleId="eop">
    <w:name w:val="eop"/>
    <w:basedOn w:val="DefaultParagraphFont"/>
    <w:rsid w:val="0049047E"/>
  </w:style>
  <w:style w:type="paragraph" w:styleId="Revision">
    <w:name w:val="Revision"/>
    <w:hidden/>
    <w:uiPriority w:val="99"/>
    <w:semiHidden/>
    <w:rsid w:val="00221E4E"/>
    <w:pPr>
      <w:spacing w:after="0" w:line="240" w:lineRule="auto"/>
    </w:pPr>
  </w:style>
  <w:style w:type="paragraph" w:styleId="CommentSubject">
    <w:name w:val="annotation subject"/>
    <w:basedOn w:val="CommentText"/>
    <w:next w:val="CommentText"/>
    <w:link w:val="CommentSubjectChar"/>
    <w:uiPriority w:val="99"/>
    <w:semiHidden/>
    <w:unhideWhenUsed/>
    <w:rsid w:val="00961505"/>
    <w:pPr>
      <w:spacing w:after="240"/>
    </w:pPr>
    <w:rPr>
      <w:b/>
      <w:bCs/>
    </w:rPr>
  </w:style>
  <w:style w:type="character" w:customStyle="1" w:styleId="CommentSubjectChar">
    <w:name w:val="Comment Subject Char"/>
    <w:basedOn w:val="CommentTextChar"/>
    <w:link w:val="CommentSubject"/>
    <w:uiPriority w:val="99"/>
    <w:semiHidden/>
    <w:rsid w:val="009615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bs.gov.au/methodologies/personal-income-australia-methodology/2011-12-2017-18" TargetMode="Externa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hart" Target="charts/chart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50819413587865"/>
          <c:y val="8.6193602458443902E-2"/>
          <c:w val="0.85515630571326695"/>
          <c:h val="0.70860914497621974"/>
        </c:manualLayout>
      </c:layout>
      <c:lineChart>
        <c:grouping val="standard"/>
        <c:varyColors val="0"/>
        <c:ser>
          <c:idx val="0"/>
          <c:order val="0"/>
          <c:tx>
            <c:strRef>
              <c:f>'[Results 2015 to 2021.xlsx]graphs Attendance v charged (2)'!$D$32</c:f>
              <c:strCache>
                <c:ptCount val="1"/>
                <c:pt idx="0">
                  <c:v>Atteded 2021 AEDC</c:v>
                </c:pt>
              </c:strCache>
            </c:strRef>
          </c:tx>
          <c:spPr>
            <a:ln w="25400">
              <a:solidFill>
                <a:schemeClr val="accent1">
                  <a:lumMod val="40000"/>
                  <a:lumOff val="60000"/>
                </a:schemeClr>
              </a:solidFill>
              <a:prstDash val="sysDot"/>
            </a:ln>
          </c:spPr>
          <c:marker>
            <c:symbol val="none"/>
          </c:marker>
          <c:cat>
            <c:strRef>
              <c:f>'[Results 2015 to 2021.xlsx]graphs Attendance v charged (2)'!$A$34:$A$44</c:f>
              <c:strCache>
                <c:ptCount val="11"/>
                <c:pt idx="0">
                  <c:v>0-4</c:v>
                </c:pt>
                <c:pt idx="1">
                  <c:v>5-9</c:v>
                </c:pt>
                <c:pt idx="2">
                  <c:v>10-14</c:v>
                </c:pt>
                <c:pt idx="3">
                  <c:v>15-19</c:v>
                </c:pt>
                <c:pt idx="4">
                  <c:v>20-24</c:v>
                </c:pt>
                <c:pt idx="5">
                  <c:v>25-29</c:v>
                </c:pt>
                <c:pt idx="6">
                  <c:v>30-34</c:v>
                </c:pt>
                <c:pt idx="7">
                  <c:v>35-39</c:v>
                </c:pt>
                <c:pt idx="8">
                  <c:v>40-44</c:v>
                </c:pt>
                <c:pt idx="9">
                  <c:v>45-49</c:v>
                </c:pt>
                <c:pt idx="10">
                  <c:v>50+</c:v>
                </c:pt>
              </c:strCache>
            </c:strRef>
          </c:cat>
          <c:val>
            <c:numRef>
              <c:f>'[Results 2015 to 2021.xlsx]graphs Attendance v charged (2)'!$D$34:$D$44</c:f>
              <c:numCache>
                <c:formatCode>General</c:formatCode>
                <c:ptCount val="11"/>
                <c:pt idx="0">
                  <c:v>6620</c:v>
                </c:pt>
                <c:pt idx="1">
                  <c:v>30900</c:v>
                </c:pt>
                <c:pt idx="2">
                  <c:v>48700</c:v>
                </c:pt>
                <c:pt idx="3">
                  <c:v>43100</c:v>
                </c:pt>
                <c:pt idx="4">
                  <c:v>31420</c:v>
                </c:pt>
                <c:pt idx="5">
                  <c:v>19330</c:v>
                </c:pt>
                <c:pt idx="6">
                  <c:v>11340</c:v>
                </c:pt>
                <c:pt idx="7">
                  <c:v>5190</c:v>
                </c:pt>
                <c:pt idx="8">
                  <c:v>1170</c:v>
                </c:pt>
                <c:pt idx="9">
                  <c:v>130</c:v>
                </c:pt>
                <c:pt idx="10">
                  <c:v>80</c:v>
                </c:pt>
              </c:numCache>
            </c:numRef>
          </c:val>
          <c:smooth val="0"/>
          <c:extLst>
            <c:ext xmlns:c16="http://schemas.microsoft.com/office/drawing/2014/chart" uri="{C3380CC4-5D6E-409C-BE32-E72D297353CC}">
              <c16:uniqueId val="{00000000-7019-48C6-84DF-F3E0206D5301}"/>
            </c:ext>
          </c:extLst>
        </c:ser>
        <c:ser>
          <c:idx val="2"/>
          <c:order val="1"/>
          <c:tx>
            <c:strRef>
              <c:f>'[Results 2015 to 2021.xlsx]graphs Attendance v charged (2)'!$F$32</c:f>
              <c:strCache>
                <c:ptCount val="1"/>
                <c:pt idx="0">
                  <c:v>Charged 2021 AEDC</c:v>
                </c:pt>
              </c:strCache>
            </c:strRef>
          </c:tx>
          <c:spPr>
            <a:ln w="25400">
              <a:solidFill>
                <a:schemeClr val="accent1">
                  <a:lumMod val="40000"/>
                  <a:lumOff val="60000"/>
                </a:schemeClr>
              </a:solidFill>
            </a:ln>
          </c:spPr>
          <c:marker>
            <c:symbol val="none"/>
          </c:marker>
          <c:cat>
            <c:strRef>
              <c:f>'[Results 2015 to 2021.xlsx]graphs Attendance v charged (2)'!$A$34:$A$44</c:f>
              <c:strCache>
                <c:ptCount val="11"/>
                <c:pt idx="0">
                  <c:v>0-4</c:v>
                </c:pt>
                <c:pt idx="1">
                  <c:v>5-9</c:v>
                </c:pt>
                <c:pt idx="2">
                  <c:v>10-14</c:v>
                </c:pt>
                <c:pt idx="3">
                  <c:v>15-19</c:v>
                </c:pt>
                <c:pt idx="4">
                  <c:v>20-24</c:v>
                </c:pt>
                <c:pt idx="5">
                  <c:v>25-29</c:v>
                </c:pt>
                <c:pt idx="6">
                  <c:v>30-34</c:v>
                </c:pt>
                <c:pt idx="7">
                  <c:v>35-39</c:v>
                </c:pt>
                <c:pt idx="8">
                  <c:v>40-44</c:v>
                </c:pt>
                <c:pt idx="9">
                  <c:v>45-49</c:v>
                </c:pt>
                <c:pt idx="10">
                  <c:v>50+</c:v>
                </c:pt>
              </c:strCache>
            </c:strRef>
          </c:cat>
          <c:val>
            <c:numRef>
              <c:f>'[Results 2015 to 2021.xlsx]graphs Attendance v charged (2)'!$F$34:$F$44</c:f>
              <c:numCache>
                <c:formatCode>General</c:formatCode>
                <c:ptCount val="11"/>
                <c:pt idx="0">
                  <c:v>630</c:v>
                </c:pt>
                <c:pt idx="1">
                  <c:v>6080</c:v>
                </c:pt>
                <c:pt idx="2">
                  <c:v>19440</c:v>
                </c:pt>
                <c:pt idx="3">
                  <c:v>24520</c:v>
                </c:pt>
                <c:pt idx="4">
                  <c:v>35000</c:v>
                </c:pt>
                <c:pt idx="5">
                  <c:v>28700</c:v>
                </c:pt>
                <c:pt idx="6">
                  <c:v>30950</c:v>
                </c:pt>
                <c:pt idx="7">
                  <c:v>18930</c:v>
                </c:pt>
                <c:pt idx="8">
                  <c:v>15410</c:v>
                </c:pt>
                <c:pt idx="9">
                  <c:v>14850</c:v>
                </c:pt>
                <c:pt idx="10">
                  <c:v>4060</c:v>
                </c:pt>
              </c:numCache>
            </c:numRef>
          </c:val>
          <c:smooth val="0"/>
          <c:extLst>
            <c:ext xmlns:c16="http://schemas.microsoft.com/office/drawing/2014/chart" uri="{C3380CC4-5D6E-409C-BE32-E72D297353CC}">
              <c16:uniqueId val="{00000001-7019-48C6-84DF-F3E0206D5301}"/>
            </c:ext>
          </c:extLst>
        </c:ser>
        <c:ser>
          <c:idx val="1"/>
          <c:order val="2"/>
          <c:tx>
            <c:strRef>
              <c:f>'[Results 2015 to 2021.xlsx]graphs Attendance v charged (2)'!$O$32</c:f>
              <c:strCache>
                <c:ptCount val="1"/>
                <c:pt idx="0">
                  <c:v>Charged 2018 AEDC</c:v>
                </c:pt>
              </c:strCache>
            </c:strRef>
          </c:tx>
          <c:spPr>
            <a:ln w="25400" cap="rnd">
              <a:solidFill>
                <a:schemeClr val="accent6">
                  <a:lumMod val="40000"/>
                  <a:lumOff val="60000"/>
                </a:schemeClr>
              </a:solidFill>
              <a:round/>
            </a:ln>
            <a:effectLst/>
          </c:spPr>
          <c:marker>
            <c:symbol val="none"/>
          </c:marker>
          <c:cat>
            <c:strRef>
              <c:f>'[Results 2015 to 2021.xlsx]graphs Attendance v charged (2)'!$A$34:$A$44</c:f>
              <c:strCache>
                <c:ptCount val="11"/>
                <c:pt idx="0">
                  <c:v>0-4</c:v>
                </c:pt>
                <c:pt idx="1">
                  <c:v>5-9</c:v>
                </c:pt>
                <c:pt idx="2">
                  <c:v>10-14</c:v>
                </c:pt>
                <c:pt idx="3">
                  <c:v>15-19</c:v>
                </c:pt>
                <c:pt idx="4">
                  <c:v>20-24</c:v>
                </c:pt>
                <c:pt idx="5">
                  <c:v>25-29</c:v>
                </c:pt>
                <c:pt idx="6">
                  <c:v>30-34</c:v>
                </c:pt>
                <c:pt idx="7">
                  <c:v>35-39</c:v>
                </c:pt>
                <c:pt idx="8">
                  <c:v>40-44</c:v>
                </c:pt>
                <c:pt idx="9">
                  <c:v>45-49</c:v>
                </c:pt>
                <c:pt idx="10">
                  <c:v>50+</c:v>
                </c:pt>
              </c:strCache>
            </c:strRef>
          </c:cat>
          <c:val>
            <c:numRef>
              <c:f>'[Results 2015 to 2021.xlsx]graphs Attendance v charged (2)'!$O$34:$O$44</c:f>
              <c:numCache>
                <c:formatCode>General</c:formatCode>
                <c:ptCount val="11"/>
                <c:pt idx="0">
                  <c:v>5717</c:v>
                </c:pt>
                <c:pt idx="1">
                  <c:v>14919.999999999998</c:v>
                </c:pt>
                <c:pt idx="2">
                  <c:v>23824</c:v>
                </c:pt>
                <c:pt idx="3">
                  <c:v>34883</c:v>
                </c:pt>
                <c:pt idx="4">
                  <c:v>36387</c:v>
                </c:pt>
                <c:pt idx="5">
                  <c:v>28134</c:v>
                </c:pt>
                <c:pt idx="6">
                  <c:v>21963</c:v>
                </c:pt>
                <c:pt idx="7">
                  <c:v>14805</c:v>
                </c:pt>
                <c:pt idx="8">
                  <c:v>10874</c:v>
                </c:pt>
                <c:pt idx="9">
                  <c:v>6713</c:v>
                </c:pt>
                <c:pt idx="10">
                  <c:v>4342</c:v>
                </c:pt>
              </c:numCache>
            </c:numRef>
          </c:val>
          <c:smooth val="0"/>
          <c:extLst>
            <c:ext xmlns:c16="http://schemas.microsoft.com/office/drawing/2014/chart" uri="{C3380CC4-5D6E-409C-BE32-E72D297353CC}">
              <c16:uniqueId val="{00000002-7019-48C6-84DF-F3E0206D5301}"/>
            </c:ext>
          </c:extLst>
        </c:ser>
        <c:dLbls>
          <c:showLegendKey val="0"/>
          <c:showVal val="0"/>
          <c:showCatName val="0"/>
          <c:showSerName val="0"/>
          <c:showPercent val="0"/>
          <c:showBubbleSize val="0"/>
        </c:dLbls>
        <c:smooth val="0"/>
        <c:axId val="1389035088"/>
        <c:axId val="1389036528"/>
      </c:lineChart>
      <c:catAx>
        <c:axId val="1389035088"/>
        <c:scaling>
          <c:orientation val="minMax"/>
        </c:scaling>
        <c:delete val="0"/>
        <c:axPos val="b"/>
        <c:title>
          <c:tx>
            <c:rich>
              <a:bodyPr/>
              <a:lstStyle/>
              <a:p>
                <a:pPr>
                  <a:defRPr/>
                </a:pPr>
                <a:r>
                  <a:rPr lang="en-AU"/>
                  <a:t>Average weekly hours (for weeks charged)</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389036528"/>
        <c:crosses val="autoZero"/>
        <c:auto val="1"/>
        <c:lblAlgn val="ctr"/>
        <c:lblOffset val="100"/>
        <c:noMultiLvlLbl val="0"/>
      </c:catAx>
      <c:valAx>
        <c:axId val="1389036528"/>
        <c:scaling>
          <c:orientation val="minMax"/>
          <c:max val="500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vert="horz"/>
          <a:lstStyle/>
          <a:p>
            <a:pPr>
              <a:defRPr/>
            </a:pPr>
            <a:endParaRPr lang="en-US"/>
          </a:p>
        </c:txPr>
        <c:crossAx val="1389035088"/>
        <c:crosses val="autoZero"/>
        <c:crossBetween val="between"/>
        <c:majorUnit val="10000"/>
      </c:valAx>
    </c:plotArea>
    <c:plotVisOnly val="1"/>
    <c:dispBlanksAs val="gap"/>
    <c:showDLblsOverMax val="0"/>
    <c:extLst/>
  </c:chart>
  <c:spPr>
    <a:ln>
      <a:noFill/>
    </a:ln>
  </c:spPr>
  <c:txPr>
    <a:bodyPr/>
    <a:lstStyle/>
    <a:p>
      <a:pPr>
        <a:defRPr sz="1100">
          <a:solidFill>
            <a:schemeClr val="tx1">
              <a:lumMod val="65000"/>
              <a:lumOff val="35000"/>
            </a:schemeClr>
          </a:solidFill>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0"/>
          <c:tx>
            <c:strRef>
              <c:f>'[Results 2015 to 2021.xlsx]graphs Attendance v charged (2)'!$P$32</c:f>
              <c:strCache>
                <c:ptCount val="1"/>
                <c:pt idx="0">
                  <c:v>2021charged</c:v>
                </c:pt>
              </c:strCache>
            </c:strRef>
          </c:tx>
          <c:spPr>
            <a:ln w="25400">
              <a:solidFill>
                <a:schemeClr val="bg1">
                  <a:lumMod val="65000"/>
                </a:schemeClr>
              </a:solidFill>
            </a:ln>
          </c:spPr>
          <c:marker>
            <c:symbol val="none"/>
          </c:marker>
          <c:xVal>
            <c:numRef>
              <c:f>'[Results 2015 to 2021.xlsx]graphs Attendance v charged (2)'!$A$50:$A$61</c:f>
              <c:numCache>
                <c:formatCode>General</c:formatCode>
                <c:ptCount val="12"/>
                <c:pt idx="0">
                  <c:v>5</c:v>
                </c:pt>
                <c:pt idx="1">
                  <c:v>10</c:v>
                </c:pt>
                <c:pt idx="2">
                  <c:v>15</c:v>
                </c:pt>
                <c:pt idx="3">
                  <c:v>20</c:v>
                </c:pt>
                <c:pt idx="4">
                  <c:v>25</c:v>
                </c:pt>
                <c:pt idx="5">
                  <c:v>30</c:v>
                </c:pt>
                <c:pt idx="6">
                  <c:v>35</c:v>
                </c:pt>
                <c:pt idx="7">
                  <c:v>40</c:v>
                </c:pt>
                <c:pt idx="8">
                  <c:v>45</c:v>
                </c:pt>
                <c:pt idx="9">
                  <c:v>50</c:v>
                </c:pt>
                <c:pt idx="10">
                  <c:v>55</c:v>
                </c:pt>
                <c:pt idx="11">
                  <c:v>60</c:v>
                </c:pt>
              </c:numCache>
            </c:numRef>
          </c:xVal>
          <c:yVal>
            <c:numRef>
              <c:f>'[Results 2015 to 2021.xlsx]graphs Attendance v charged (2)'!$P$34:$P$44</c:f>
              <c:numCache>
                <c:formatCode>0.0</c:formatCode>
                <c:ptCount val="11"/>
                <c:pt idx="0">
                  <c:v>15.873015873015872</c:v>
                </c:pt>
                <c:pt idx="1">
                  <c:v>18.421052631578945</c:v>
                </c:pt>
                <c:pt idx="2">
                  <c:v>19.804526748971192</c:v>
                </c:pt>
                <c:pt idx="3">
                  <c:v>19.412724306688418</c:v>
                </c:pt>
                <c:pt idx="4">
                  <c:v>17.685714285714287</c:v>
                </c:pt>
                <c:pt idx="5">
                  <c:v>19.372822299651567</c:v>
                </c:pt>
                <c:pt idx="6">
                  <c:v>20.290791599353796</c:v>
                </c:pt>
                <c:pt idx="7">
                  <c:v>22.398309561542526</c:v>
                </c:pt>
                <c:pt idx="8">
                  <c:v>24.659312134977288</c:v>
                </c:pt>
                <c:pt idx="9">
                  <c:v>27.27272727272727</c:v>
                </c:pt>
                <c:pt idx="10">
                  <c:v>25.615763546798032</c:v>
                </c:pt>
              </c:numCache>
            </c:numRef>
          </c:yVal>
          <c:smooth val="0"/>
          <c:extLst>
            <c:ext xmlns:c16="http://schemas.microsoft.com/office/drawing/2014/chart" uri="{C3380CC4-5D6E-409C-BE32-E72D297353CC}">
              <c16:uniqueId val="{00000000-D56D-4E09-AED8-C8F9F9FCBA90}"/>
            </c:ext>
          </c:extLst>
        </c:ser>
        <c:ser>
          <c:idx val="2"/>
          <c:order val="1"/>
          <c:tx>
            <c:strRef>
              <c:f>'[Results 2015 to 2021.xlsx]graphs Attendance v charged (2)'!$B$32</c:f>
              <c:strCache>
                <c:ptCount val="1"/>
                <c:pt idx="0">
                  <c:v>Attended hours</c:v>
                </c:pt>
              </c:strCache>
            </c:strRef>
          </c:tx>
          <c:spPr>
            <a:ln>
              <a:solidFill>
                <a:schemeClr val="accent6">
                  <a:lumMod val="60000"/>
                  <a:lumOff val="40000"/>
                </a:schemeClr>
              </a:solidFill>
            </a:ln>
          </c:spPr>
          <c:marker>
            <c:symbol val="none"/>
          </c:marker>
          <c:xVal>
            <c:numRef>
              <c:f>'[Results 2015 to 2021.xlsx]graphs Attendance v charged (2)'!$A$49:$A$61</c:f>
              <c:numCache>
                <c:formatCode>General</c:formatCode>
                <c:ptCount val="13"/>
                <c:pt idx="0">
                  <c:v>0</c:v>
                </c:pt>
                <c:pt idx="1">
                  <c:v>5</c:v>
                </c:pt>
                <c:pt idx="2">
                  <c:v>10</c:v>
                </c:pt>
                <c:pt idx="3">
                  <c:v>15</c:v>
                </c:pt>
                <c:pt idx="4">
                  <c:v>20</c:v>
                </c:pt>
                <c:pt idx="5">
                  <c:v>25</c:v>
                </c:pt>
                <c:pt idx="6">
                  <c:v>30</c:v>
                </c:pt>
                <c:pt idx="7">
                  <c:v>35</c:v>
                </c:pt>
                <c:pt idx="8">
                  <c:v>40</c:v>
                </c:pt>
                <c:pt idx="9">
                  <c:v>45</c:v>
                </c:pt>
                <c:pt idx="10">
                  <c:v>50</c:v>
                </c:pt>
                <c:pt idx="11">
                  <c:v>55</c:v>
                </c:pt>
                <c:pt idx="12">
                  <c:v>60</c:v>
                </c:pt>
              </c:numCache>
            </c:numRef>
          </c:xVal>
          <c:yVal>
            <c:numRef>
              <c:f>'[Results 2015 to 2021.xlsx]graphs Attendance v charged (2)'!$B$33:$B$44</c:f>
              <c:numCache>
                <c:formatCode>0.0</c:formatCode>
                <c:ptCount val="12"/>
                <c:pt idx="0">
                  <c:v>30</c:v>
                </c:pt>
                <c:pt idx="1">
                  <c:v>24.622356495468278</c:v>
                </c:pt>
                <c:pt idx="2">
                  <c:v>20.453074433656958</c:v>
                </c:pt>
                <c:pt idx="3">
                  <c:v>18.501026694045176</c:v>
                </c:pt>
                <c:pt idx="4">
                  <c:v>19.164733178654291</c:v>
                </c:pt>
                <c:pt idx="5">
                  <c:v>20.401018459579888</c:v>
                </c:pt>
                <c:pt idx="6">
                  <c:v>23.331608898085875</c:v>
                </c:pt>
                <c:pt idx="7">
                  <c:v>25.132275132275133</c:v>
                </c:pt>
                <c:pt idx="8">
                  <c:v>26.589595375722542</c:v>
                </c:pt>
                <c:pt idx="9">
                  <c:v>30.76923076923077</c:v>
                </c:pt>
                <c:pt idx="10">
                  <c:v>30.76923076923077</c:v>
                </c:pt>
                <c:pt idx="11">
                  <c:v>37.5</c:v>
                </c:pt>
              </c:numCache>
            </c:numRef>
          </c:yVal>
          <c:smooth val="0"/>
          <c:extLst>
            <c:ext xmlns:c16="http://schemas.microsoft.com/office/drawing/2014/chart" uri="{C3380CC4-5D6E-409C-BE32-E72D297353CC}">
              <c16:uniqueId val="{00000001-D56D-4E09-AED8-C8F9F9FCBA90}"/>
            </c:ext>
          </c:extLst>
        </c:ser>
        <c:ser>
          <c:idx val="0"/>
          <c:order val="2"/>
          <c:tx>
            <c:strRef>
              <c:f>'[Results 2015 to 2021.xlsx]graphs Attendance v charged (2)'!$P$32</c:f>
              <c:strCache>
                <c:ptCount val="1"/>
                <c:pt idx="0">
                  <c:v>2021charged</c:v>
                </c:pt>
              </c:strCache>
            </c:strRef>
          </c:tx>
          <c:spPr>
            <a:ln>
              <a:solidFill>
                <a:schemeClr val="tx1"/>
              </a:solidFill>
            </a:ln>
          </c:spPr>
          <c:marker>
            <c:symbol val="none"/>
          </c:marker>
          <c:xVal>
            <c:numRef>
              <c:f>'[Results 2015 to 2021.xlsx]graphs Attendance v charged (2)'!$B$50:$B$61</c:f>
              <c:numCache>
                <c:formatCode>General</c:formatCode>
                <c:ptCount val="12"/>
                <c:pt idx="0">
                  <c:v>3.5</c:v>
                </c:pt>
                <c:pt idx="1">
                  <c:v>7</c:v>
                </c:pt>
                <c:pt idx="2">
                  <c:v>10.5</c:v>
                </c:pt>
                <c:pt idx="3">
                  <c:v>14</c:v>
                </c:pt>
                <c:pt idx="4">
                  <c:v>17.5</c:v>
                </c:pt>
                <c:pt idx="5">
                  <c:v>21</c:v>
                </c:pt>
                <c:pt idx="6">
                  <c:v>24.5</c:v>
                </c:pt>
                <c:pt idx="7">
                  <c:v>28</c:v>
                </c:pt>
                <c:pt idx="8">
                  <c:v>31.499999999999996</c:v>
                </c:pt>
                <c:pt idx="9">
                  <c:v>35</c:v>
                </c:pt>
                <c:pt idx="10">
                  <c:v>38.5</c:v>
                </c:pt>
                <c:pt idx="11">
                  <c:v>42</c:v>
                </c:pt>
              </c:numCache>
            </c:numRef>
          </c:xVal>
          <c:yVal>
            <c:numRef>
              <c:f>'[Results 2015 to 2021.xlsx]graphs Attendance v charged (2)'!$P$34:$P$44</c:f>
              <c:numCache>
                <c:formatCode>0.0</c:formatCode>
                <c:ptCount val="11"/>
                <c:pt idx="0">
                  <c:v>15.873015873015872</c:v>
                </c:pt>
                <c:pt idx="1">
                  <c:v>18.421052631578945</c:v>
                </c:pt>
                <c:pt idx="2">
                  <c:v>19.804526748971192</c:v>
                </c:pt>
                <c:pt idx="3">
                  <c:v>19.412724306688418</c:v>
                </c:pt>
                <c:pt idx="4">
                  <c:v>17.685714285714287</c:v>
                </c:pt>
                <c:pt idx="5">
                  <c:v>19.372822299651567</c:v>
                </c:pt>
                <c:pt idx="6">
                  <c:v>20.290791599353796</c:v>
                </c:pt>
                <c:pt idx="7">
                  <c:v>22.398309561542526</c:v>
                </c:pt>
                <c:pt idx="8">
                  <c:v>24.659312134977288</c:v>
                </c:pt>
                <c:pt idx="9">
                  <c:v>27.27272727272727</c:v>
                </c:pt>
                <c:pt idx="10">
                  <c:v>25.615763546798032</c:v>
                </c:pt>
              </c:numCache>
            </c:numRef>
          </c:yVal>
          <c:smooth val="0"/>
          <c:extLst>
            <c:ext xmlns:c16="http://schemas.microsoft.com/office/drawing/2014/chart" uri="{C3380CC4-5D6E-409C-BE32-E72D297353CC}">
              <c16:uniqueId val="{00000002-D56D-4E09-AED8-C8F9F9FCBA90}"/>
            </c:ext>
          </c:extLst>
        </c:ser>
        <c:dLbls>
          <c:showLegendKey val="0"/>
          <c:showVal val="0"/>
          <c:showCatName val="0"/>
          <c:showSerName val="0"/>
          <c:showPercent val="0"/>
          <c:showBubbleSize val="0"/>
        </c:dLbls>
        <c:axId val="1244659984"/>
        <c:axId val="1244660944"/>
      </c:scatterChart>
      <c:valAx>
        <c:axId val="1244659984"/>
        <c:scaling>
          <c:orientation val="minMax"/>
          <c:max val="60"/>
        </c:scaling>
        <c:delete val="0"/>
        <c:axPos val="b"/>
        <c:title>
          <c:tx>
            <c:rich>
              <a:bodyPr/>
              <a:lstStyle/>
              <a:p>
                <a:pPr>
                  <a:defRPr/>
                </a:pPr>
                <a:r>
                  <a:rPr lang="en-AU"/>
                  <a:t>Average weekly hours (for weeks charged)</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244660944"/>
        <c:crossesAt val="0"/>
        <c:crossBetween val="midCat"/>
      </c:valAx>
      <c:valAx>
        <c:axId val="12446609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w="9525" cap="flat" cmpd="sng" algn="ctr">
            <a:noFill/>
            <a:round/>
          </a:ln>
          <a:effectLst/>
        </c:spPr>
        <c:txPr>
          <a:bodyPr rot="-60000000" vert="horz"/>
          <a:lstStyle/>
          <a:p>
            <a:pPr>
              <a:defRPr/>
            </a:pPr>
            <a:endParaRPr lang="en-US"/>
          </a:p>
        </c:txPr>
        <c:crossAx val="1244659984"/>
        <c:crosses val="autoZero"/>
        <c:crossBetween val="midCat"/>
      </c:valAx>
    </c:plotArea>
    <c:plotVisOnly val="1"/>
    <c:dispBlanksAs val="gap"/>
    <c:showDLblsOverMax val="0"/>
    <c:extLst/>
  </c:chart>
  <c:spPr>
    <a:ln>
      <a:noFill/>
    </a:ln>
  </c:spPr>
  <c:txPr>
    <a:bodyPr/>
    <a:lstStyle/>
    <a:p>
      <a:pPr>
        <a:defRPr sz="1100"/>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6414484753610064"/>
          <c:y val="4.6065259117082535E-2"/>
          <c:w val="0.53585515246389925"/>
          <c:h val="0.86724218014015042"/>
        </c:manualLayout>
      </c:layout>
      <c:barChart>
        <c:barDir val="bar"/>
        <c:grouping val="clustered"/>
        <c:varyColors val="0"/>
        <c:ser>
          <c:idx val="0"/>
          <c:order val="0"/>
          <c:tx>
            <c:strRef>
              <c:f>'4_2_Figure 3'!$J$10</c:f>
              <c:strCache>
                <c:ptCount val="1"/>
                <c:pt idx="0">
                  <c:v>Formal child care</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'4_2_Figure 3'!$I$11:$I$16</c:f>
              <c:strCache>
                <c:ptCount val="6"/>
                <c:pt idx="0">
                  <c:v>Physical health and wellbeing</c:v>
                </c:pt>
                <c:pt idx="1">
                  <c:v>Social competence</c:v>
                </c:pt>
                <c:pt idx="2">
                  <c:v>Emotional maturity</c:v>
                </c:pt>
                <c:pt idx="3">
                  <c:v>Language and cognitive skills (school-based)</c:v>
                </c:pt>
                <c:pt idx="4">
                  <c:v>Communication skills and general knowledge</c:v>
                </c:pt>
                <c:pt idx="5">
                  <c:v>Developmentally vulnerable on one or more domains</c:v>
                </c:pt>
              </c:strCache>
            </c:strRef>
          </c:cat>
          <c:val>
            <c:numRef>
              <c:f>'4_2_Figure 3'!$J$11:$J$16</c:f>
              <c:numCache>
                <c:formatCode>0.00%</c:formatCode>
                <c:ptCount val="6"/>
                <c:pt idx="0">
                  <c:v>9.1422396588818261E-2</c:v>
                </c:pt>
                <c:pt idx="1">
                  <c:v>9.8332327342822101E-2</c:v>
                </c:pt>
                <c:pt idx="2">
                  <c:v>8.7200128961033255E-2</c:v>
                </c:pt>
                <c:pt idx="3">
                  <c:v>5.6876032172104192E-2</c:v>
                </c:pt>
                <c:pt idx="4">
                  <c:v>7.0034610834992475E-2</c:v>
                </c:pt>
                <c:pt idx="5">
                  <c:v>0.20758512269189833</c:v>
                </c:pt>
              </c:numCache>
            </c:numRef>
          </c:val>
          <c:extLst>
            <c:ext xmlns:c16="http://schemas.microsoft.com/office/drawing/2014/chart" uri="{C3380CC4-5D6E-409C-BE32-E72D297353CC}">
              <c16:uniqueId val="{00000000-77B6-4333-A493-38B96A243974}"/>
            </c:ext>
          </c:extLst>
        </c:ser>
        <c:ser>
          <c:idx val="1"/>
          <c:order val="1"/>
          <c:tx>
            <c:strRef>
              <c:f>'4_2_Figure 3'!$K$10</c:f>
              <c:strCache>
                <c:ptCount val="1"/>
                <c:pt idx="0">
                  <c:v>No formal child care</c:v>
                </c:pt>
              </c:strCache>
            </c:strRef>
          </c:tx>
          <c:spPr>
            <a:solidFill>
              <a:schemeClr val="accent1">
                <a:lumMod val="40000"/>
                <a:lumOff val="60000"/>
              </a:schemeClr>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'4_2_Figure 3'!$I$11:$I$16</c:f>
              <c:strCache>
                <c:ptCount val="6"/>
                <c:pt idx="0">
                  <c:v>Physical health and wellbeing</c:v>
                </c:pt>
                <c:pt idx="1">
                  <c:v>Social competence</c:v>
                </c:pt>
                <c:pt idx="2">
                  <c:v>Emotional maturity</c:v>
                </c:pt>
                <c:pt idx="3">
                  <c:v>Language and cognitive skills (school-based)</c:v>
                </c:pt>
                <c:pt idx="4">
                  <c:v>Communication skills and general knowledge</c:v>
                </c:pt>
                <c:pt idx="5">
                  <c:v>Developmentally vulnerable on one or more domains</c:v>
                </c:pt>
              </c:strCache>
            </c:strRef>
          </c:cat>
          <c:val>
            <c:numRef>
              <c:f>'4_2_Figure 3'!$K$11:$K$16</c:f>
              <c:numCache>
                <c:formatCode>0.00%</c:formatCode>
                <c:ptCount val="6"/>
                <c:pt idx="0">
                  <c:v>0.10339100142577867</c:v>
                </c:pt>
                <c:pt idx="1">
                  <c:v>8.4807056229327452E-2</c:v>
                </c:pt>
                <c:pt idx="2">
                  <c:v>6.8960939343875385E-2</c:v>
                </c:pt>
                <c:pt idx="3">
                  <c:v>7.9359236737878938E-2</c:v>
                </c:pt>
                <c:pt idx="4">
                  <c:v>9.170427649471502E-2</c:v>
                </c:pt>
                <c:pt idx="5">
                  <c:v>0.21432363872337915</c:v>
                </c:pt>
              </c:numCache>
            </c:numRef>
          </c:val>
          <c:extLst>
            <c:ext xmlns:c16="http://schemas.microsoft.com/office/drawing/2014/chart" uri="{C3380CC4-5D6E-409C-BE32-E72D297353CC}">
              <c16:uniqueId val="{00000001-77B6-4333-A493-38B96A243974}"/>
            </c:ext>
          </c:extLst>
        </c:ser>
        <c:ser>
          <c:idx val="2"/>
          <c:order val="2"/>
          <c:tx>
            <c:strRef>
              <c:f>'4_2_Figure 3'!$L$10</c:f>
              <c:strCache>
                <c:ptCount val="1"/>
                <c:pt idx="0">
                  <c:v>Excluded</c:v>
                </c:pt>
              </c:strCache>
            </c:strRef>
          </c:tx>
          <c:spPr>
            <a:solidFill>
              <a:schemeClr val="accent3"/>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'4_2_Figure 3'!$I$11:$I$16</c:f>
              <c:strCache>
                <c:ptCount val="6"/>
                <c:pt idx="0">
                  <c:v>Physical health and wellbeing</c:v>
                </c:pt>
                <c:pt idx="1">
                  <c:v>Social competence</c:v>
                </c:pt>
                <c:pt idx="2">
                  <c:v>Emotional maturity</c:v>
                </c:pt>
                <c:pt idx="3">
                  <c:v>Language and cognitive skills (school-based)</c:v>
                </c:pt>
                <c:pt idx="4">
                  <c:v>Communication skills and general knowledge</c:v>
                </c:pt>
                <c:pt idx="5">
                  <c:v>Developmentally vulnerable on one or more domains</c:v>
                </c:pt>
              </c:strCache>
            </c:strRef>
          </c:cat>
          <c:val>
            <c:numRef>
              <c:f>'4_2_Figure 3'!$L$11:$L$16</c:f>
              <c:numCache>
                <c:formatCode>0.00%</c:formatCode>
                <c:ptCount val="6"/>
                <c:pt idx="0">
                  <c:v>0.11893883566691231</c:v>
                </c:pt>
                <c:pt idx="1">
                  <c:v>0.13211811526556283</c:v>
                </c:pt>
                <c:pt idx="2">
                  <c:v>9.4297280647716267E-2</c:v>
                </c:pt>
                <c:pt idx="3">
                  <c:v>0.11508561306829364</c:v>
                </c:pt>
                <c:pt idx="4">
                  <c:v>0.17637810749729782</c:v>
                </c:pt>
                <c:pt idx="5">
                  <c:v>0.31405895691609975</c:v>
                </c:pt>
              </c:numCache>
            </c:numRef>
          </c:val>
          <c:extLst>
            <c:ext xmlns:c16="http://schemas.microsoft.com/office/drawing/2014/chart" uri="{C3380CC4-5D6E-409C-BE32-E72D297353CC}">
              <c16:uniqueId val="{00000002-77B6-4333-A493-38B96A243974}"/>
            </c:ext>
          </c:extLst>
        </c:ser>
        <c:dLbls>
          <c:showLegendKey val="0"/>
          <c:showVal val="0"/>
          <c:showCatName val="0"/>
          <c:showSerName val="0"/>
          <c:showPercent val="0"/>
          <c:showBubbleSize val="0"/>
        </c:dLbls>
        <c:gapWidth val="182"/>
        <c:axId val="1824747119"/>
        <c:axId val="1824747599"/>
      </c:barChart>
      <c:catAx>
        <c:axId val="1824747119"/>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4747599"/>
        <c:crosses val="autoZero"/>
        <c:auto val="1"/>
        <c:lblAlgn val="ctr"/>
        <c:lblOffset val="100"/>
        <c:noMultiLvlLbl val="0"/>
      </c:catAx>
      <c:valAx>
        <c:axId val="1824747599"/>
        <c:scaling>
          <c:orientation val="minMax"/>
        </c:scaling>
        <c:delete val="1"/>
        <c:axPos val="t"/>
        <c:numFmt formatCode="0%" sourceLinked="0"/>
        <c:majorTickMark val="none"/>
        <c:minorTickMark val="none"/>
        <c:tickLblPos val="nextTo"/>
        <c:crossAx val="1824747119"/>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0.27093</cdr:x>
      <cdr:y>0.13943</cdr:y>
    </cdr:from>
    <cdr:to>
      <cdr:x>0.40761</cdr:x>
      <cdr:y>0.55844</cdr:y>
    </cdr:to>
    <cdr:sp macro="" textlink="">
      <cdr:nvSpPr>
        <cdr:cNvPr id="2" name="TextBox 1">
          <a:extLst xmlns:a="http://schemas.openxmlformats.org/drawingml/2006/main">
            <a:ext uri="{FF2B5EF4-FFF2-40B4-BE49-F238E27FC236}">
              <a16:creationId xmlns:a16="http://schemas.microsoft.com/office/drawing/2014/main" id="{838CA9EF-3279-2AC8-98FB-947CD4A02A66}"/>
            </a:ext>
          </a:extLst>
        </cdr:cNvPr>
        <cdr:cNvSpPr txBox="1"/>
      </cdr:nvSpPr>
      <cdr:spPr>
        <a:xfrm xmlns:a="http://schemas.openxmlformats.org/drawingml/2006/main">
          <a:off x="1322156" y="318727"/>
          <a:ext cx="666961" cy="9578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100">
              <a:solidFill>
                <a:schemeClr val="accent6">
                  <a:lumMod val="40000"/>
                  <a:lumOff val="60000"/>
                </a:schemeClr>
              </a:solidFill>
            </a:rPr>
            <a:t>Charged </a:t>
          </a:r>
        </a:p>
        <a:p xmlns:a="http://schemas.openxmlformats.org/drawingml/2006/main">
          <a:r>
            <a:rPr lang="en-AU" sz="1100">
              <a:solidFill>
                <a:schemeClr val="accent6">
                  <a:lumMod val="40000"/>
                  <a:lumOff val="60000"/>
                </a:schemeClr>
              </a:solidFill>
            </a:rPr>
            <a:t>2018 AEDC</a:t>
          </a:r>
        </a:p>
      </cdr:txBody>
    </cdr:sp>
  </cdr:relSizeAnchor>
  <cdr:relSizeAnchor xmlns:cdr="http://schemas.openxmlformats.org/drawingml/2006/chartDrawing">
    <cdr:from>
      <cdr:x>0.6665</cdr:x>
      <cdr:y>0.37901</cdr:y>
    </cdr:from>
    <cdr:to>
      <cdr:x>0.97907</cdr:x>
      <cdr:y>0.48461</cdr:y>
    </cdr:to>
    <cdr:sp macro="" textlink="">
      <cdr:nvSpPr>
        <cdr:cNvPr id="3" name="TextBox 1">
          <a:extLst xmlns:a="http://schemas.openxmlformats.org/drawingml/2006/main">
            <a:ext uri="{FF2B5EF4-FFF2-40B4-BE49-F238E27FC236}">
              <a16:creationId xmlns:a16="http://schemas.microsoft.com/office/drawing/2014/main" id="{EF26C373-2041-7307-0728-B9A889901B07}"/>
            </a:ext>
          </a:extLst>
        </cdr:cNvPr>
        <cdr:cNvSpPr txBox="1"/>
      </cdr:nvSpPr>
      <cdr:spPr>
        <a:xfrm xmlns:a="http://schemas.openxmlformats.org/drawingml/2006/main">
          <a:off x="3888014" y="1221014"/>
          <a:ext cx="1823357" cy="3401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solidFill>
                <a:schemeClr val="accent1">
                  <a:lumMod val="40000"/>
                  <a:lumOff val="60000"/>
                </a:schemeClr>
              </a:solidFill>
            </a:rPr>
            <a:t>Charged 2021 AEDC</a:t>
          </a:r>
        </a:p>
      </cdr:txBody>
    </cdr:sp>
  </cdr:relSizeAnchor>
  <cdr:relSizeAnchor xmlns:cdr="http://schemas.openxmlformats.org/drawingml/2006/chartDrawing">
    <cdr:from>
      <cdr:x>0.38565</cdr:x>
      <cdr:y>0.09967</cdr:y>
    </cdr:from>
    <cdr:to>
      <cdr:x>0.69822</cdr:x>
      <cdr:y>0.20526</cdr:y>
    </cdr:to>
    <cdr:sp macro="" textlink="">
      <cdr:nvSpPr>
        <cdr:cNvPr id="4" name="TextBox 1">
          <a:extLst xmlns:a="http://schemas.openxmlformats.org/drawingml/2006/main">
            <a:ext uri="{FF2B5EF4-FFF2-40B4-BE49-F238E27FC236}">
              <a16:creationId xmlns:a16="http://schemas.microsoft.com/office/drawing/2014/main" id="{EF26C373-2041-7307-0728-B9A889901B07}"/>
            </a:ext>
          </a:extLst>
        </cdr:cNvPr>
        <cdr:cNvSpPr txBox="1"/>
      </cdr:nvSpPr>
      <cdr:spPr>
        <a:xfrm xmlns:a="http://schemas.openxmlformats.org/drawingml/2006/main">
          <a:off x="1881943" y="227856"/>
          <a:ext cx="1525334" cy="241379"/>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solidFill>
                <a:schemeClr val="accent1">
                  <a:lumMod val="40000"/>
                  <a:lumOff val="60000"/>
                </a:schemeClr>
              </a:solidFill>
            </a:rPr>
            <a:t>Attended 2021 AEDC</a:t>
          </a:r>
        </a:p>
      </cdr:txBody>
    </cdr:sp>
  </cdr:relSizeAnchor>
</c:userShapes>
</file>

<file path=word/drawings/drawing2.xml><?xml version="1.0" encoding="utf-8"?>
<c:userShapes xmlns:c="http://schemas.openxmlformats.org/drawingml/2006/chart">
  <cdr:relSizeAnchor xmlns:cdr="http://schemas.openxmlformats.org/drawingml/2006/chartDrawing">
    <cdr:from>
      <cdr:x>0.55234</cdr:x>
      <cdr:y>0.12192</cdr:y>
    </cdr:from>
    <cdr:to>
      <cdr:x>0.97534</cdr:x>
      <cdr:y>0.203</cdr:y>
    </cdr:to>
    <cdr:sp macro="" textlink="">
      <cdr:nvSpPr>
        <cdr:cNvPr id="2" name="TextBox 1">
          <a:extLst xmlns:a="http://schemas.openxmlformats.org/drawingml/2006/main">
            <a:ext uri="{FF2B5EF4-FFF2-40B4-BE49-F238E27FC236}">
              <a16:creationId xmlns:a16="http://schemas.microsoft.com/office/drawing/2014/main" id="{479D99E7-9819-EB98-C19A-539C949214C5}"/>
            </a:ext>
          </a:extLst>
        </cdr:cNvPr>
        <cdr:cNvSpPr txBox="1"/>
      </cdr:nvSpPr>
      <cdr:spPr>
        <a:xfrm xmlns:a="http://schemas.openxmlformats.org/drawingml/2006/main">
          <a:off x="3165760" y="388874"/>
          <a:ext cx="2424428" cy="25861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100">
              <a:solidFill>
                <a:schemeClr val="accent6"/>
              </a:solidFill>
            </a:rPr>
            <a:t>Hours attended 2021 AEDC</a:t>
          </a:r>
        </a:p>
      </cdr:txBody>
    </cdr:sp>
  </cdr:relSizeAnchor>
  <cdr:relSizeAnchor xmlns:cdr="http://schemas.openxmlformats.org/drawingml/2006/chartDrawing">
    <cdr:from>
      <cdr:x>0.52022</cdr:x>
      <cdr:y>0.42342</cdr:y>
    </cdr:from>
    <cdr:to>
      <cdr:x>0.94489</cdr:x>
      <cdr:y>0.5015</cdr:y>
    </cdr:to>
    <cdr:sp macro="" textlink="">
      <cdr:nvSpPr>
        <cdr:cNvPr id="3" name="TextBox 2">
          <a:extLst xmlns:a="http://schemas.openxmlformats.org/drawingml/2006/main">
            <a:ext uri="{FF2B5EF4-FFF2-40B4-BE49-F238E27FC236}">
              <a16:creationId xmlns:a16="http://schemas.microsoft.com/office/drawing/2014/main" id="{45BD1D3C-FB75-AE2D-EB31-1AC6D3D75E44}"/>
            </a:ext>
          </a:extLst>
        </cdr:cNvPr>
        <cdr:cNvSpPr txBox="1"/>
      </cdr:nvSpPr>
      <cdr:spPr>
        <a:xfrm xmlns:a="http://schemas.openxmlformats.org/drawingml/2006/main">
          <a:off x="2881547" y="1138944"/>
          <a:ext cx="2352292" cy="2100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100">
              <a:solidFill>
                <a:schemeClr val="bg1">
                  <a:lumMod val="65000"/>
                </a:schemeClr>
              </a:solidFill>
            </a:rPr>
            <a:t>Hours charged 2021 AEDC</a:t>
          </a:r>
        </a:p>
      </cdr:txBody>
    </cdr:sp>
  </cdr:relSizeAnchor>
  <cdr:relSizeAnchor xmlns:cdr="http://schemas.openxmlformats.org/drawingml/2006/chartDrawing">
    <cdr:from>
      <cdr:x>0.22714</cdr:x>
      <cdr:y>0.23341</cdr:y>
    </cdr:from>
    <cdr:to>
      <cdr:x>0.69989</cdr:x>
      <cdr:y>0.31149</cdr:y>
    </cdr:to>
    <cdr:sp macro="" textlink="">
      <cdr:nvSpPr>
        <cdr:cNvPr id="4" name="TextBox 1">
          <a:extLst xmlns:a="http://schemas.openxmlformats.org/drawingml/2006/main">
            <a:ext uri="{FF2B5EF4-FFF2-40B4-BE49-F238E27FC236}">
              <a16:creationId xmlns:a16="http://schemas.microsoft.com/office/drawing/2014/main" id="{E7DE669F-0D31-84BF-F882-4868D53347C0}"/>
            </a:ext>
          </a:extLst>
        </cdr:cNvPr>
        <cdr:cNvSpPr txBox="1"/>
      </cdr:nvSpPr>
      <cdr:spPr>
        <a:xfrm xmlns:a="http://schemas.openxmlformats.org/drawingml/2006/main">
          <a:off x="1258159" y="627851"/>
          <a:ext cx="2618612" cy="21002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t>Scaled hours charged 2021 AEDC</a:t>
          </a:r>
        </a:p>
      </cdr:txBody>
    </cdr:sp>
  </cdr:relSizeAnchor>
</c:userShape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4485f1-0608-40f2-b649-7dde6654a8bf">
      <Terms xmlns="http://schemas.microsoft.com/office/infopath/2007/PartnerControls"/>
    </lcf76f155ced4ddcb4097134ff3c332f>
    <TaxCatchAll xmlns="60988540-e91d-41bb-b7bc-24ab8c39df10" xsi:nil="true"/>
    <Summary xmlns="5f4485f1-0608-40f2-b649-7dde6654a8bf" xsi:nil="true"/>
    <Topic xmlns="5f4485f1-0608-40f2-b649-7dde6654a8bf" xsi:nil="true"/>
    <_Flow_SignoffStatus xmlns="5f4485f1-0608-40f2-b649-7dde6654a8bf" xsi:nil="true"/>
    <Status xmlns="5f4485f1-0608-40f2-b649-7dde6654a8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d52b926a1efa343649866d3d3164d647">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770929fa639ec03ca78063c47f0c95cb"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A2141-EBEB-46AE-AD12-078A8DF893DA}">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customXml/itemProps2.xml><?xml version="1.0" encoding="utf-8"?>
<ds:datastoreItem xmlns:ds="http://schemas.openxmlformats.org/officeDocument/2006/customXml" ds:itemID="{964D6810-E91D-4EB3-8633-7DFDF5533F0C}">
  <ds:schemaRefs>
    <ds:schemaRef ds:uri="http://schemas.microsoft.com/sharepoint/v3/contenttype/forms"/>
  </ds:schemaRefs>
</ds:datastoreItem>
</file>

<file path=customXml/itemProps3.xml><?xml version="1.0" encoding="utf-8"?>
<ds:datastoreItem xmlns:ds="http://schemas.openxmlformats.org/officeDocument/2006/customXml" ds:itemID="{FF94C415-2385-48A8-866A-09C884C68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8</Pages>
  <Words>1744</Words>
  <Characters>9522</Characters>
  <Application>Microsoft Office Word</Application>
  <DocSecurity>0</DocSecurity>
  <Lines>263</Lines>
  <Paragraphs>168</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11212</CharactersWithSpaces>
  <SharedDoc>false</SharedDoc>
  <HLinks>
    <vt:vector size="6" baseType="variant">
      <vt:variant>
        <vt:i4>7405625</vt:i4>
      </vt:variant>
      <vt:variant>
        <vt:i4>0</vt:i4>
      </vt:variant>
      <vt:variant>
        <vt:i4>0</vt:i4>
      </vt:variant>
      <vt:variant>
        <vt:i4>5</vt:i4>
      </vt:variant>
      <vt:variant>
        <vt:lpwstr>https://www.abs.gov.au/methodologies/personal-income-australia-methodology/2011-12-2017-18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XIA,Hua</dc:creator>
  <cp:keywords/>
  <dc:description/>
  <cp:lastModifiedBy>HARDIE,Jeff</cp:lastModifiedBy>
  <cp:revision>93</cp:revision>
  <dcterms:created xsi:type="dcterms:W3CDTF">2024-08-10T00:22:00Z</dcterms:created>
  <dcterms:modified xsi:type="dcterms:W3CDTF">2025-11-24T03:39:00Z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y fmtid="{D5CDD505-2E9C-101B-9397-08002B2CF9AE}" pid="11" name="docLang">
    <vt:lpwstr>en</vt:lpwstr>
  </property>
</Properties>
</file>