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A5C6" w14:textId="77777777" w:rsidR="00107DD5" w:rsidRDefault="00221D8F" w:rsidP="00CA4815">
      <w:r w:rsidRPr="00CA4815">
        <w:rPr>
          <w:b/>
          <w:bCs/>
          <w:noProof/>
        </w:rPr>
        <w:drawing>
          <wp:anchor distT="0" distB="0" distL="114300" distR="114300" simplePos="0" relativeHeight="251658240" behindDoc="1" locked="1" layoutInCell="1" allowOverlap="1" wp14:anchorId="193AE9BF" wp14:editId="0426158A">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414F7BE" wp14:editId="73711F1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bookmarkStart w:id="2" w:name="_Hlk176256934" w:displacedByCustomXml="next"/>
    <w:bookmarkStart w:id="3" w:name="_Hlk176256867"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6497665C" w14:textId="6CC652EA" w:rsidR="00221D8F" w:rsidRDefault="00824DBC" w:rsidP="00893A34">
          <w:pPr>
            <w:pStyle w:val="Heading1"/>
          </w:pPr>
          <w:r>
            <w:t>The First Five Years: What makes a difference?</w:t>
          </w:r>
        </w:p>
      </w:sdtContent>
    </w:sdt>
    <w:bookmarkEnd w:id="0" w:displacedByCustomXml="prev"/>
    <w:bookmarkEnd w:id="1" w:displacedByCustomXml="prev"/>
    <w:bookmarkEnd w:id="2"/>
    <w:p w14:paraId="552DE763" w14:textId="77777777" w:rsidR="009A3B03" w:rsidRPr="009A3B03" w:rsidRDefault="009A3B03" w:rsidP="00324AC3">
      <w:pPr>
        <w:pStyle w:val="Subtitle"/>
      </w:pPr>
      <w:r w:rsidRPr="009A3B03">
        <w:t xml:space="preserve">3.4 Estimating the effect of </w:t>
      </w:r>
      <w:proofErr w:type="gramStart"/>
      <w:r w:rsidRPr="009A3B03">
        <w:t>child care</w:t>
      </w:r>
      <w:proofErr w:type="gramEnd"/>
      <w:r w:rsidRPr="009A3B03">
        <w:t xml:space="preserve"> on children’s developmental outcomes </w:t>
      </w:r>
    </w:p>
    <w:p w14:paraId="1D7DB1EA" w14:textId="77777777" w:rsidR="009A3B03" w:rsidRPr="009A3B03" w:rsidRDefault="009A3B03" w:rsidP="00324AC3">
      <w:pPr>
        <w:pStyle w:val="Heading2"/>
      </w:pPr>
      <w:bookmarkStart w:id="4" w:name="_Toc146549015"/>
      <w:r w:rsidRPr="009A3B03">
        <w:t>Key findings</w:t>
      </w:r>
      <w:bookmarkEnd w:id="4"/>
    </w:p>
    <w:p w14:paraId="7A1F10BB" w14:textId="721CCFB6" w:rsidR="009A3B03" w:rsidRPr="009A3B03" w:rsidRDefault="009A3B03" w:rsidP="009A3B03">
      <w:bookmarkStart w:id="5" w:name="_Hlk158890301"/>
      <w:r w:rsidRPr="009A3B03">
        <w:t xml:space="preserve">The </w:t>
      </w:r>
      <w:r w:rsidR="00AD49FF">
        <w:t>results</w:t>
      </w:r>
      <w:r w:rsidR="00AD49FF" w:rsidRPr="009A3B03">
        <w:t xml:space="preserve"> </w:t>
      </w:r>
      <w:r w:rsidRPr="009A3B03">
        <w:t>presented in the other factsheets</w:t>
      </w:r>
      <w:r w:rsidR="00175F66">
        <w:t xml:space="preserve"> simply described the different outcomes for different groups of children. </w:t>
      </w:r>
      <w:r w:rsidR="00DE3208">
        <w:t>This basic analysis</w:t>
      </w:r>
      <w:r w:rsidRPr="009A3B03">
        <w:t xml:space="preserve"> was extended by statistical techniques</w:t>
      </w:r>
      <w:r w:rsidR="00FA52CE">
        <w:t xml:space="preserve"> that</w:t>
      </w:r>
      <w:r w:rsidRPr="009A3B03">
        <w:t xml:space="preserve"> allow better estimates of the effect of </w:t>
      </w:r>
      <w:proofErr w:type="gramStart"/>
      <w:r w:rsidRPr="009A3B03">
        <w:t>child care</w:t>
      </w:r>
      <w:proofErr w:type="gramEnd"/>
      <w:r w:rsidRPr="009A3B03">
        <w:t xml:space="preserve"> on children’s developmental outcomes</w:t>
      </w:r>
      <w:r w:rsidR="00FA52CE">
        <w:t xml:space="preserve">. These techniques </w:t>
      </w:r>
      <w:r w:rsidR="006E15A0">
        <w:t xml:space="preserve">aim to </w:t>
      </w:r>
      <w:r w:rsidR="0035561F">
        <w:t>take account</w:t>
      </w:r>
      <w:r w:rsidRPr="009A3B03">
        <w:t xml:space="preserve"> </w:t>
      </w:r>
      <w:r w:rsidR="0035561F">
        <w:t>of</w:t>
      </w:r>
      <w:r w:rsidRPr="009A3B03">
        <w:t xml:space="preserve"> the </w:t>
      </w:r>
      <w:r w:rsidR="00212EAA">
        <w:t xml:space="preserve">other </w:t>
      </w:r>
      <w:r w:rsidRPr="009A3B03">
        <w:t>differences in children’s circumstances that are visible in the data</w:t>
      </w:r>
      <w:r w:rsidR="0035561F">
        <w:t xml:space="preserve">, and so </w:t>
      </w:r>
      <w:r w:rsidR="00C57694">
        <w:t xml:space="preserve">focus </w:t>
      </w:r>
      <w:r w:rsidR="00CE3040">
        <w:t xml:space="preserve">on </w:t>
      </w:r>
      <w:r w:rsidR="00314DAA">
        <w:t xml:space="preserve">outcomes </w:t>
      </w:r>
      <w:r w:rsidR="00CE3040">
        <w:t>due to</w:t>
      </w:r>
      <w:r w:rsidR="008F548E">
        <w:t xml:space="preserve"> different</w:t>
      </w:r>
      <w:r w:rsidR="00CE3040">
        <w:t xml:space="preserve"> </w:t>
      </w:r>
      <w:proofErr w:type="gramStart"/>
      <w:r w:rsidR="00CE3040">
        <w:t>child care</w:t>
      </w:r>
      <w:proofErr w:type="gramEnd"/>
      <w:r w:rsidR="00CE3040">
        <w:t xml:space="preserve"> use rather than </w:t>
      </w:r>
      <w:r w:rsidR="00F574E1">
        <w:t>any</w:t>
      </w:r>
      <w:r w:rsidR="00CE3040">
        <w:t xml:space="preserve"> other underlying differences</w:t>
      </w:r>
      <w:r w:rsidR="00F574E1">
        <w:t xml:space="preserve"> between groups</w:t>
      </w:r>
      <w:r w:rsidRPr="009A3B03">
        <w:t xml:space="preserve">. </w:t>
      </w:r>
    </w:p>
    <w:bookmarkEnd w:id="5"/>
    <w:p w14:paraId="14D1D504" w14:textId="0E3AF9FD" w:rsidR="009A3B03" w:rsidRPr="009A3B03" w:rsidRDefault="009A3B03" w:rsidP="009A3B03">
      <w:pPr>
        <w:numPr>
          <w:ilvl w:val="0"/>
          <w:numId w:val="20"/>
        </w:numPr>
        <w:spacing w:after="200" w:line="276" w:lineRule="auto"/>
        <w:ind w:left="714" w:hanging="357"/>
        <w:contextualSpacing/>
      </w:pPr>
      <w:r>
        <w:t xml:space="preserve">As average weekly charged hours increased, the risk of </w:t>
      </w:r>
      <w:r w:rsidR="7279027A">
        <w:t xml:space="preserve">developmental </w:t>
      </w:r>
      <w:r>
        <w:t xml:space="preserve">vulnerability on one or more domains (DV1) initially fell and then rose. This same pattern was observed </w:t>
      </w:r>
      <w:r w:rsidR="528826BE">
        <w:t>for</w:t>
      </w:r>
      <w:r>
        <w:t xml:space="preserve"> total hours before adjustment, but risk ratios increased with total hours after controlling for the different circumstances of different groups.</w:t>
      </w:r>
    </w:p>
    <w:p w14:paraId="50E5B053" w14:textId="69894051" w:rsidR="009A3B03" w:rsidRPr="009A3B03" w:rsidRDefault="009A3B03" w:rsidP="009A3B03">
      <w:pPr>
        <w:numPr>
          <w:ilvl w:val="0"/>
          <w:numId w:val="20"/>
        </w:numPr>
        <w:spacing w:after="200" w:line="276" w:lineRule="auto"/>
        <w:ind w:left="714" w:hanging="357"/>
        <w:contextualSpacing/>
      </w:pPr>
      <w:proofErr w:type="gramStart"/>
      <w:r>
        <w:t>Child care</w:t>
      </w:r>
      <w:proofErr w:type="gramEnd"/>
      <w:r>
        <w:t xml:space="preserve"> was generally a protective factor for the communication skills and general knowledge, and language and cognitive skills (school</w:t>
      </w:r>
      <w:r w:rsidR="6EA2E5D3">
        <w:t>-</w:t>
      </w:r>
      <w:r>
        <w:t>based) domains.</w:t>
      </w:r>
    </w:p>
    <w:p w14:paraId="16AA50FF" w14:textId="55D6DC08" w:rsidR="009A3B03" w:rsidRPr="009A3B03" w:rsidRDefault="008100A7" w:rsidP="009A3B03">
      <w:pPr>
        <w:numPr>
          <w:ilvl w:val="0"/>
          <w:numId w:val="20"/>
        </w:numPr>
        <w:spacing w:after="200" w:line="276" w:lineRule="auto"/>
        <w:ind w:left="714" w:hanging="357"/>
        <w:contextualSpacing/>
      </w:pPr>
      <w:r w:rsidRPr="008100A7">
        <w:t xml:space="preserve">Higher average and total hours of </w:t>
      </w:r>
      <w:proofErr w:type="gramStart"/>
      <w:r w:rsidRPr="008100A7">
        <w:t>child care</w:t>
      </w:r>
      <w:proofErr w:type="gramEnd"/>
      <w:r w:rsidRPr="008100A7">
        <w:t xml:space="preserve"> were associated with elevated risks of developmental vulnerabilities for the emotional maturity and social competence domains</w:t>
      </w:r>
      <w:r w:rsidR="009A3B03" w:rsidRPr="009A3B03">
        <w:t xml:space="preserve">.    </w:t>
      </w:r>
    </w:p>
    <w:p w14:paraId="1EF20F3F" w14:textId="77777777" w:rsidR="009A3B03" w:rsidRPr="009A3B03" w:rsidRDefault="009A3B03" w:rsidP="009A3B03">
      <w:pPr>
        <w:numPr>
          <w:ilvl w:val="0"/>
          <w:numId w:val="20"/>
        </w:numPr>
        <w:spacing w:after="200" w:line="276" w:lineRule="auto"/>
        <w:ind w:left="714" w:hanging="357"/>
        <w:contextualSpacing/>
      </w:pPr>
      <w:r w:rsidRPr="009A3B03">
        <w:t xml:space="preserve">The pattern of risk ratios for the physical health and wellbeing domain were more complex, with </w:t>
      </w:r>
      <w:proofErr w:type="gramStart"/>
      <w:r w:rsidRPr="009A3B03">
        <w:t>child care</w:t>
      </w:r>
      <w:proofErr w:type="gramEnd"/>
      <w:r w:rsidRPr="009A3B03">
        <w:t xml:space="preserve"> attendance a protective factor for some patterns of attendance and a risk factor for others. In general, risk ratios increased with increasing average hours and broadly fell with increasing total hours.</w:t>
      </w:r>
    </w:p>
    <w:p w14:paraId="473F97BD" w14:textId="0E5A8EC9" w:rsidR="009A3B03" w:rsidRPr="009A3B03" w:rsidRDefault="009A3B03" w:rsidP="009A3B03">
      <w:pPr>
        <w:numPr>
          <w:ilvl w:val="0"/>
          <w:numId w:val="20"/>
        </w:numPr>
        <w:spacing w:after="200" w:line="276" w:lineRule="auto"/>
        <w:ind w:left="714" w:hanging="357"/>
        <w:contextualSpacing/>
      </w:pPr>
      <w:r>
        <w:t xml:space="preserve">Children’s outcomes improved with increasing </w:t>
      </w:r>
      <w:proofErr w:type="gramStart"/>
      <w:r>
        <w:t>child care</w:t>
      </w:r>
      <w:proofErr w:type="gramEnd"/>
      <w:r>
        <w:t xml:space="preserve"> quality. Attending above standard </w:t>
      </w:r>
      <w:proofErr w:type="gramStart"/>
      <w:r>
        <w:t>child care</w:t>
      </w:r>
      <w:proofErr w:type="gramEnd"/>
      <w:r>
        <w:t xml:space="preserve"> reduced the child developmental vulnerability </w:t>
      </w:r>
      <w:r w:rsidR="691798E0">
        <w:t>on</w:t>
      </w:r>
      <w:r>
        <w:t xml:space="preserve"> one or more domains (DV1) and in each domain, compared to attending at standard </w:t>
      </w:r>
      <w:proofErr w:type="gramStart"/>
      <w:r>
        <w:t>child care</w:t>
      </w:r>
      <w:proofErr w:type="gramEnd"/>
      <w:r>
        <w:t xml:space="preserve">. Not attending formal </w:t>
      </w:r>
      <w:proofErr w:type="gramStart"/>
      <w:r>
        <w:t>child care</w:t>
      </w:r>
      <w:proofErr w:type="gramEnd"/>
      <w:r>
        <w:t xml:space="preserve"> was a protective factor on some domains and a risk for others.</w:t>
      </w:r>
    </w:p>
    <w:p w14:paraId="6DACFBCF" w14:textId="77777777" w:rsidR="009A3B03" w:rsidRPr="009A3B03" w:rsidRDefault="009A3B03" w:rsidP="009A3B03">
      <w:pPr>
        <w:keepNext/>
        <w:keepLines/>
        <w:spacing w:before="720" w:after="160"/>
        <w:outlineLvl w:val="1"/>
        <w:rPr>
          <w:rFonts w:asciiTheme="majorHAnsi" w:eastAsiaTheme="majorEastAsia" w:hAnsiTheme="majorHAnsi" w:cstheme="majorBidi"/>
          <w:b/>
          <w:color w:val="004C6C" w:themeColor="background2"/>
          <w:sz w:val="44"/>
          <w:szCs w:val="26"/>
        </w:rPr>
      </w:pPr>
      <w:r w:rsidRPr="009A3B03">
        <w:rPr>
          <w:rFonts w:asciiTheme="majorHAnsi" w:eastAsiaTheme="majorEastAsia" w:hAnsiTheme="majorHAnsi" w:cstheme="majorBidi"/>
          <w:b/>
          <w:color w:val="004C6C" w:themeColor="background2"/>
          <w:sz w:val="44"/>
          <w:szCs w:val="26"/>
        </w:rPr>
        <w:lastRenderedPageBreak/>
        <w:t>Moving from description to inference</w:t>
      </w:r>
    </w:p>
    <w:p w14:paraId="20451F59" w14:textId="2EC40E1A" w:rsidR="009A3B03" w:rsidRPr="009A3B03" w:rsidRDefault="009A3B03" w:rsidP="009A3B03">
      <w:r w:rsidRPr="009A3B03">
        <w:t xml:space="preserve">In sections 3.1 to 3.3, we presented descriptive analysis which showed variations in children’s developmental vulnerability by </w:t>
      </w:r>
      <w:proofErr w:type="gramStart"/>
      <w:r w:rsidRPr="009A3B03">
        <w:t>child care</w:t>
      </w:r>
      <w:proofErr w:type="gramEnd"/>
      <w:r w:rsidRPr="009A3B03">
        <w:t xml:space="preserve"> attendance, quality of </w:t>
      </w:r>
      <w:proofErr w:type="gramStart"/>
      <w:r w:rsidRPr="009A3B03">
        <w:t>child care</w:t>
      </w:r>
      <w:proofErr w:type="gramEnd"/>
      <w:r w:rsidRPr="009A3B03">
        <w:t xml:space="preserve"> and </w:t>
      </w:r>
      <w:r w:rsidR="00727E2D">
        <w:t>hours</w:t>
      </w:r>
      <w:r w:rsidR="00727E2D" w:rsidRPr="009A3B03">
        <w:t xml:space="preserve"> </w:t>
      </w:r>
      <w:r w:rsidRPr="009A3B03">
        <w:t xml:space="preserve">of </w:t>
      </w:r>
      <w:proofErr w:type="gramStart"/>
      <w:r w:rsidRPr="009A3B03">
        <w:t>child care</w:t>
      </w:r>
      <w:proofErr w:type="gramEnd"/>
      <w:r w:rsidRPr="009A3B03">
        <w:t xml:space="preserve">. While this descriptive analysis shows trends between developmental vulnerability and </w:t>
      </w:r>
      <w:proofErr w:type="gramStart"/>
      <w:r w:rsidRPr="009A3B03">
        <w:t>child care</w:t>
      </w:r>
      <w:proofErr w:type="gramEnd"/>
      <w:r w:rsidRPr="009A3B03">
        <w:t xml:space="preserve"> use, it cannot tell whether there is a causal relationship. To establish a causal effect between </w:t>
      </w:r>
      <w:proofErr w:type="gramStart"/>
      <w:r w:rsidRPr="009A3B03">
        <w:t>child care</w:t>
      </w:r>
      <w:proofErr w:type="gramEnd"/>
      <w:r w:rsidRPr="009A3B03">
        <w:t xml:space="preserve"> attendance and developmental vulnerability, additional analysis is needed to account for other factors contributing to developmental vulnerabilities</w:t>
      </w:r>
      <w:r w:rsidR="004A2E9A">
        <w:t xml:space="preserve"> (</w:t>
      </w:r>
      <w:r w:rsidR="004A2E9A" w:rsidRPr="009A3B03">
        <w:rPr>
          <w:rFonts w:ascii="NimbusSanL-Regu" w:hAnsi="NimbusSanL-Regu" w:cs="NimbusSanL-Regu"/>
        </w:rPr>
        <w:t>Hernan and Robins</w:t>
      </w:r>
      <w:r w:rsidR="004A2E9A">
        <w:rPr>
          <w:rFonts w:ascii="NimbusSanL-Regu" w:hAnsi="NimbusSanL-Regu" w:cs="NimbusSanL-Regu"/>
        </w:rPr>
        <w:t xml:space="preserve"> 2020</w:t>
      </w:r>
      <w:r w:rsidR="004A2E9A">
        <w:t>)</w:t>
      </w:r>
      <w:r w:rsidRPr="009A3B03">
        <w:t>.</w:t>
      </w:r>
    </w:p>
    <w:p w14:paraId="16D06995" w14:textId="77777777" w:rsidR="009A3B03" w:rsidRPr="009A3B03" w:rsidRDefault="009A3B03" w:rsidP="009A3B03">
      <w:r w:rsidRPr="009A3B03">
        <w:t xml:space="preserve">The </w:t>
      </w:r>
      <w:r w:rsidRPr="009A3B03">
        <w:rPr>
          <w:i/>
          <w:iCs/>
        </w:rPr>
        <w:t>observable</w:t>
      </w:r>
      <w:r w:rsidRPr="009A3B03">
        <w:t xml:space="preserve"> socio-economic factors and health factors described in section 2 influence child development. For example, children who attended </w:t>
      </w:r>
      <w:proofErr w:type="gramStart"/>
      <w:r w:rsidRPr="009A3B03">
        <w:t>child care</w:t>
      </w:r>
      <w:proofErr w:type="gramEnd"/>
      <w:r w:rsidRPr="009A3B03">
        <w:t xml:space="preserve"> may come from higher income households than those who did not. As such measuring the influence of </w:t>
      </w:r>
      <w:proofErr w:type="gramStart"/>
      <w:r w:rsidRPr="009A3B03">
        <w:t>child care</w:t>
      </w:r>
      <w:proofErr w:type="gramEnd"/>
      <w:r w:rsidRPr="009A3B03">
        <w:t xml:space="preserve"> attendance is in part measuring the effect of household</w:t>
      </w:r>
      <w:r w:rsidRPr="009A3B03" w:rsidDel="00154732">
        <w:t xml:space="preserve"> </w:t>
      </w:r>
      <w:r w:rsidRPr="009A3B03">
        <w:t xml:space="preserve">income rather than just the effect of </w:t>
      </w:r>
      <w:proofErr w:type="gramStart"/>
      <w:r w:rsidRPr="009A3B03">
        <w:t>child care</w:t>
      </w:r>
      <w:proofErr w:type="gramEnd"/>
      <w:r w:rsidRPr="009A3B03">
        <w:t xml:space="preserve">. Appropriate statistical analysis techniques can be used to adjust for observable confounding factors and better estimate the effect of </w:t>
      </w:r>
      <w:proofErr w:type="gramStart"/>
      <w:r w:rsidRPr="009A3B03">
        <w:t>child care</w:t>
      </w:r>
      <w:proofErr w:type="gramEnd"/>
      <w:r w:rsidRPr="009A3B03">
        <w:t xml:space="preserve">. </w:t>
      </w:r>
    </w:p>
    <w:p w14:paraId="546F4136" w14:textId="77777777" w:rsidR="009A3B03" w:rsidRPr="009A3B03" w:rsidRDefault="009A3B03" w:rsidP="009A3B03">
      <w:r w:rsidRPr="009A3B03">
        <w:t xml:space="preserve">There are also </w:t>
      </w:r>
      <w:r w:rsidRPr="009A3B03">
        <w:rPr>
          <w:i/>
          <w:iCs/>
        </w:rPr>
        <w:t>unobservable</w:t>
      </w:r>
      <w:r w:rsidRPr="009A3B03">
        <w:t xml:space="preserve"> factors that affect child development, such as quality of home care, parenting behaviour, and genetic factors. We are unable to adjust for these factors in our analysis, and thus cannot conclude causal effects for </w:t>
      </w:r>
      <w:proofErr w:type="gramStart"/>
      <w:r w:rsidRPr="009A3B03">
        <w:t>child care</w:t>
      </w:r>
      <w:proofErr w:type="gramEnd"/>
      <w:r w:rsidRPr="009A3B03">
        <w:t xml:space="preserve"> on developmental vulnerabilities.</w:t>
      </w:r>
    </w:p>
    <w:p w14:paraId="4B25846A" w14:textId="53523E6D" w:rsidR="009A3B03" w:rsidRPr="009A3B03" w:rsidRDefault="009A3B03" w:rsidP="009A3B03">
      <w:r>
        <w:t xml:space="preserve">Nonetheless, in this section, we aim to estimate the effect of </w:t>
      </w:r>
      <w:proofErr w:type="gramStart"/>
      <w:r>
        <w:t>child care</w:t>
      </w:r>
      <w:proofErr w:type="gramEnd"/>
      <w:r>
        <w:t xml:space="preserve"> on AEDC domain </w:t>
      </w:r>
      <w:r w:rsidR="0DA33B3D">
        <w:t xml:space="preserve">developmental </w:t>
      </w:r>
      <w:r>
        <w:t xml:space="preserve">vulnerabilities adjusting for imbalance in confounding covariates (Tartaglia and Knapp </w:t>
      </w:r>
      <w:r w:rsidR="00E744C5">
        <w:t>(unpublished</w:t>
      </w:r>
      <w:r>
        <w:t>)</w:t>
      </w:r>
      <w:r w:rsidR="00E744C5">
        <w:t>)</w:t>
      </w:r>
      <w:r>
        <w:t xml:space="preserve">. Two approaches were used for the analysis: G-computation and Inverse Propensity Weighting (IPW) (see the </w:t>
      </w:r>
      <w:r w:rsidRPr="610E5706">
        <w:rPr>
          <w:i/>
          <w:iCs/>
        </w:rPr>
        <w:t>Methodology</w:t>
      </w:r>
      <w:r>
        <w:t xml:space="preserve"> section for details). These methods adjust for available confounding factors that predict </w:t>
      </w:r>
      <w:proofErr w:type="gramStart"/>
      <w:r>
        <w:t>child care</w:t>
      </w:r>
      <w:proofErr w:type="gramEnd"/>
      <w:r>
        <w:t xml:space="preserve"> use and developmental vulnerability. </w:t>
      </w:r>
      <w:r w:rsidRPr="610E5706">
        <w:rPr>
          <w:i/>
          <w:iCs/>
        </w:rPr>
        <w:t>Unobserved</w:t>
      </w:r>
      <w:r>
        <w:t xml:space="preserve"> variables, for example parenting style and quality of home care, cannot be </w:t>
      </w:r>
      <w:proofErr w:type="gramStart"/>
      <w:r>
        <w:t>taken into account</w:t>
      </w:r>
      <w:proofErr w:type="gramEnd"/>
      <w:r>
        <w:t xml:space="preserve">. As such, the results establish a better estimate of the effect of </w:t>
      </w:r>
      <w:proofErr w:type="gramStart"/>
      <w:r>
        <w:t>child care</w:t>
      </w:r>
      <w:proofErr w:type="gramEnd"/>
      <w:r>
        <w:t xml:space="preserve"> on developmental </w:t>
      </w:r>
      <w:proofErr w:type="gramStart"/>
      <w:r>
        <w:t>vulnerability, but</w:t>
      </w:r>
      <w:proofErr w:type="gramEnd"/>
      <w:r>
        <w:t xml:space="preserve"> require further research to be confirmed. </w:t>
      </w:r>
    </w:p>
    <w:p w14:paraId="7955C181" w14:textId="77777777" w:rsidR="009A3B03" w:rsidRPr="009A3B03" w:rsidRDefault="009A3B03" w:rsidP="009A3B03">
      <w:pPr>
        <w:keepNext/>
        <w:keepLines/>
        <w:spacing w:before="720" w:after="160"/>
        <w:outlineLvl w:val="1"/>
        <w:rPr>
          <w:rFonts w:asciiTheme="majorHAnsi" w:eastAsiaTheme="majorEastAsia" w:hAnsiTheme="majorHAnsi" w:cstheme="majorBidi"/>
          <w:b/>
          <w:color w:val="004C6C" w:themeColor="background2"/>
          <w:sz w:val="44"/>
          <w:szCs w:val="26"/>
        </w:rPr>
      </w:pPr>
      <w:r w:rsidRPr="009A3B03">
        <w:rPr>
          <w:rFonts w:asciiTheme="majorHAnsi" w:eastAsiaTheme="majorEastAsia" w:hAnsiTheme="majorHAnsi" w:cstheme="majorBidi"/>
          <w:b/>
          <w:color w:val="004C6C" w:themeColor="background2"/>
          <w:sz w:val="44"/>
          <w:szCs w:val="26"/>
        </w:rPr>
        <w:t xml:space="preserve">Risk ratios </w:t>
      </w:r>
    </w:p>
    <w:p w14:paraId="69ED5A63" w14:textId="77777777" w:rsidR="009A3B03" w:rsidRPr="009A3B03" w:rsidRDefault="009A3B03" w:rsidP="009A3B03">
      <w:r w:rsidRPr="009A3B03">
        <w:t xml:space="preserve">In this section, the risk ratio of a particular treatment (for example, using </w:t>
      </w:r>
      <w:proofErr w:type="gramStart"/>
      <w:r w:rsidRPr="009A3B03">
        <w:t>child care</w:t>
      </w:r>
      <w:proofErr w:type="gramEnd"/>
      <w:r w:rsidRPr="009A3B03">
        <w:t xml:space="preserve"> for a particular range of average weekly charged hours) is reported. The risk ratio is the ratio of the risk of being developmentally vulnerable for the treated group (those using </w:t>
      </w:r>
      <w:proofErr w:type="gramStart"/>
      <w:r w:rsidRPr="009A3B03">
        <w:t>child care</w:t>
      </w:r>
      <w:proofErr w:type="gramEnd"/>
      <w:r w:rsidRPr="009A3B03">
        <w:t xml:space="preserve"> in this way) compared to the risk of being developmentally vulnerable in the reference group (generally those not attending formal </w:t>
      </w:r>
      <w:proofErr w:type="gramStart"/>
      <w:r w:rsidRPr="009A3B03">
        <w:t>child care</w:t>
      </w:r>
      <w:proofErr w:type="gramEnd"/>
      <w:r w:rsidRPr="009A3B03">
        <w:t xml:space="preserve">). </w:t>
      </w:r>
      <w:r w:rsidRPr="009A3B03">
        <w:rPr>
          <w:rFonts w:eastAsiaTheme="minorEastAsia" w:cs="Calibri"/>
          <w:color w:val="000000"/>
          <w:shd w:val="clear" w:color="auto" w:fill="FFFFFF"/>
        </w:rPr>
        <w:t>A risk ratio of 1.2 for a particular treatment and domain means children with that treatment are 20 per cent more likely to be developmentally vulnerable in that domain than the reference group. A risk ratio of 0.9 means a child is 10 per cent less likely to be developmentally vulnerable.</w:t>
      </w:r>
      <w:r w:rsidRPr="009A3B03">
        <w:t xml:space="preserve"> The risk ratio derived from associative analysis without adjusting for any confounding factors (for example, the results in section 3.1) is termed the unadjusted risk ratio.  The adjusted risk ratio uses statistical techniques to adjust for underlying differences in characteristics between the groups.</w:t>
      </w:r>
    </w:p>
    <w:p w14:paraId="51B170CA" w14:textId="0282B7EB" w:rsidR="009A3B03" w:rsidRPr="009A3B03" w:rsidRDefault="009A3B03" w:rsidP="009A3B03">
      <w:r w:rsidRPr="009A3B03">
        <w:t xml:space="preserve">The difference between the adjusted and unadjusted risk ratios is due to the confounding factors which are associated with both </w:t>
      </w:r>
      <w:proofErr w:type="gramStart"/>
      <w:r w:rsidRPr="009A3B03">
        <w:t>child care</w:t>
      </w:r>
      <w:proofErr w:type="gramEnd"/>
      <w:r w:rsidRPr="009A3B03">
        <w:t xml:space="preserve"> use and child development, such as parental education. Children who attend </w:t>
      </w:r>
      <w:proofErr w:type="gramStart"/>
      <w:r w:rsidRPr="009A3B03">
        <w:t>child care</w:t>
      </w:r>
      <w:proofErr w:type="gramEnd"/>
      <w:r w:rsidRPr="009A3B03">
        <w:t xml:space="preserve"> are more likely to </w:t>
      </w:r>
      <w:r w:rsidR="003B635A">
        <w:t>experience socio-economic factors</w:t>
      </w:r>
      <w:r w:rsidRPr="009A3B03">
        <w:t xml:space="preserve"> such as higher parental education and income, which are associated with lower rates of developmental </w:t>
      </w:r>
      <w:r w:rsidRPr="009A3B03">
        <w:lastRenderedPageBreak/>
        <w:t xml:space="preserve">vulnerability. This means that adjusted risk ratios for </w:t>
      </w:r>
      <w:proofErr w:type="gramStart"/>
      <w:r w:rsidRPr="009A3B03">
        <w:t>child care</w:t>
      </w:r>
      <w:proofErr w:type="gramEnd"/>
      <w:r w:rsidRPr="009A3B03">
        <w:t xml:space="preserve"> use are typically higher than unadjusted risk ratios – the unadjusted ratios also pick up some of these underlying advantages, while the adjusted ratios aim to focus on just the effect of </w:t>
      </w:r>
      <w:proofErr w:type="gramStart"/>
      <w:r w:rsidRPr="009A3B03">
        <w:t>child care</w:t>
      </w:r>
      <w:proofErr w:type="gramEnd"/>
      <w:r w:rsidRPr="009A3B03">
        <w:t xml:space="preserve"> usage.</w:t>
      </w:r>
    </w:p>
    <w:p w14:paraId="1F40D3A5" w14:textId="325DC434" w:rsidR="009A3B03" w:rsidRPr="009A3B03" w:rsidRDefault="009A3B03" w:rsidP="009A3B03">
      <w:pPr>
        <w:keepNext/>
        <w:keepLines/>
        <w:spacing w:before="720" w:after="160"/>
        <w:outlineLvl w:val="1"/>
        <w:rPr>
          <w:rFonts w:asciiTheme="majorHAnsi" w:eastAsia="Calibri" w:hAnsiTheme="majorHAnsi" w:cstheme="majorBidi"/>
          <w:b/>
          <w:color w:val="004C6C" w:themeColor="background2"/>
          <w:sz w:val="44"/>
          <w:szCs w:val="26"/>
        </w:rPr>
      </w:pPr>
      <w:proofErr w:type="gramStart"/>
      <w:r w:rsidRPr="009A3B03">
        <w:rPr>
          <w:rFonts w:asciiTheme="majorHAnsi" w:eastAsia="Calibri" w:hAnsiTheme="majorHAnsi" w:cstheme="majorBidi"/>
          <w:b/>
          <w:color w:val="004C6C" w:themeColor="background2"/>
          <w:sz w:val="44"/>
          <w:szCs w:val="26"/>
        </w:rPr>
        <w:t>Child care</w:t>
      </w:r>
      <w:proofErr w:type="gramEnd"/>
      <w:r w:rsidRPr="009A3B03">
        <w:rPr>
          <w:rFonts w:asciiTheme="majorHAnsi" w:eastAsia="Calibri" w:hAnsiTheme="majorHAnsi" w:cstheme="majorBidi"/>
          <w:b/>
          <w:color w:val="004C6C" w:themeColor="background2"/>
          <w:sz w:val="44"/>
          <w:szCs w:val="26"/>
        </w:rPr>
        <w:t xml:space="preserve"> attendance and </w:t>
      </w:r>
      <w:r w:rsidR="00727E2D">
        <w:rPr>
          <w:rFonts w:asciiTheme="majorHAnsi" w:eastAsia="Calibri" w:hAnsiTheme="majorHAnsi" w:cstheme="majorBidi"/>
          <w:b/>
          <w:color w:val="004C6C" w:themeColor="background2"/>
          <w:sz w:val="44"/>
          <w:szCs w:val="26"/>
        </w:rPr>
        <w:t>hours</w:t>
      </w:r>
    </w:p>
    <w:p w14:paraId="150427C0" w14:textId="523CC0AD" w:rsidR="009A3B03" w:rsidRPr="009A3B03" w:rsidRDefault="009A3B03" w:rsidP="009A3B03">
      <w:r w:rsidRPr="009A3B03">
        <w:t xml:space="preserve">In section 3.1 it was shown that attending </w:t>
      </w:r>
      <w:proofErr w:type="gramStart"/>
      <w:r w:rsidRPr="009A3B03">
        <w:t>child care</w:t>
      </w:r>
      <w:proofErr w:type="gramEnd"/>
      <w:r w:rsidRPr="009A3B03">
        <w:t xml:space="preserve"> is associated with a lower rate of developmental vulnerability on one or more domains.  Further analysis, in section 3.3, which extends the binary </w:t>
      </w:r>
      <w:proofErr w:type="gramStart"/>
      <w:r w:rsidRPr="009A3B03">
        <w:t>child care</w:t>
      </w:r>
      <w:proofErr w:type="gramEnd"/>
      <w:r w:rsidRPr="009A3B03">
        <w:t xml:space="preserve"> attendance to different attendance patterns using average weekly and total hours, showed large variations in children’s developmental outcomes depending on patterns of attendance. </w:t>
      </w:r>
    </w:p>
    <w:p w14:paraId="5B75BD2D" w14:textId="7FB8991E" w:rsidR="009A3B03" w:rsidRPr="009A3B03" w:rsidRDefault="009A3B03" w:rsidP="009A3B03">
      <w:r>
        <w:t xml:space="preserve">In this section, we use the statistical techniques (descripted in the </w:t>
      </w:r>
      <w:r w:rsidRPr="610E5706">
        <w:rPr>
          <w:i/>
          <w:iCs/>
        </w:rPr>
        <w:t xml:space="preserve">Methodology </w:t>
      </w:r>
      <w:r>
        <w:t xml:space="preserve">paper) to estimate the effect of average weekly hours, total hours, and a combination of weekly intensity and overall </w:t>
      </w:r>
      <w:r w:rsidR="00727E2D">
        <w:t xml:space="preserve">hours </w:t>
      </w:r>
      <w:r>
        <w:t xml:space="preserve">in </w:t>
      </w:r>
      <w:proofErr w:type="gramStart"/>
      <w:r>
        <w:t>child care</w:t>
      </w:r>
      <w:proofErr w:type="gramEnd"/>
      <w:r>
        <w:t xml:space="preserve"> enrolment on children’s risk of developmental vulnerability </w:t>
      </w:r>
      <w:r w:rsidR="5226B2E5">
        <w:t>o</w:t>
      </w:r>
      <w:r>
        <w:t xml:space="preserve">n one or more domains (DV1) and in each domain. </w:t>
      </w:r>
    </w:p>
    <w:p w14:paraId="1A4F0E02" w14:textId="77777777" w:rsidR="009A3B03" w:rsidRPr="009A3B03" w:rsidRDefault="009A3B03" w:rsidP="009A3B03">
      <w:r w:rsidRPr="009A3B03">
        <w:t xml:space="preserve">In Figure 1 and 2, the adjusted risk ratios for attending </w:t>
      </w:r>
      <w:proofErr w:type="gramStart"/>
      <w:r w:rsidRPr="009A3B03">
        <w:t>child care</w:t>
      </w:r>
      <w:proofErr w:type="gramEnd"/>
      <w:r w:rsidRPr="009A3B03">
        <w:t xml:space="preserve"> for different average weekly hours and total hours are shown. </w:t>
      </w:r>
    </w:p>
    <w:p w14:paraId="65D91441" w14:textId="77777777" w:rsidR="009A3B03" w:rsidRPr="009A3B03" w:rsidRDefault="009A3B03" w:rsidP="00007C9D">
      <w:pPr>
        <w:pStyle w:val="Caption"/>
      </w:pPr>
      <w:r w:rsidRPr="009A3B03">
        <w:t xml:space="preserve">Figure 1. Risk ratios for the effect of average weekly hours of enrolment in </w:t>
      </w:r>
      <w:proofErr w:type="gramStart"/>
      <w:r w:rsidRPr="009A3B03">
        <w:t>child care</w:t>
      </w:r>
      <w:proofErr w:type="gramEnd"/>
      <w:r w:rsidRPr="009A3B03">
        <w:t xml:space="preserve"> on developmental vulnerability on one or more domains compared to not attending formal </w:t>
      </w:r>
      <w:proofErr w:type="gramStart"/>
      <w:r w:rsidRPr="009A3B03">
        <w:t>child care</w:t>
      </w:r>
      <w:proofErr w:type="gramEnd"/>
      <w:r w:rsidRPr="009A3B03">
        <w:t>.</w:t>
      </w:r>
    </w:p>
    <w:p w14:paraId="53EADDED" w14:textId="699FF5C1" w:rsidR="009A3B03" w:rsidRPr="009A3B03" w:rsidRDefault="00AE2F81" w:rsidP="00324AC3">
      <w:pPr>
        <w:keepNext/>
      </w:pPr>
      <w:r w:rsidRPr="00AE2F81">
        <w:rPr>
          <w:noProof/>
        </w:rPr>
        <w:t xml:space="preserve"> </w:t>
      </w:r>
      <w:r>
        <w:rPr>
          <w:noProof/>
        </w:rPr>
        <w:drawing>
          <wp:inline distT="0" distB="0" distL="0" distR="0" wp14:anchorId="49F7048F" wp14:editId="355B210F">
            <wp:extent cx="5179482" cy="4056062"/>
            <wp:effectExtent l="0" t="0" r="2540" b="1905"/>
            <wp:docPr id="1997835426" name="Chart 1" descr="In Figure 1, the adjusted risk ratios for attending child care for different average weekly hours are shown. ">
              <a:extLst xmlns:a="http://schemas.openxmlformats.org/drawingml/2006/main">
                <a:ext uri="{FF2B5EF4-FFF2-40B4-BE49-F238E27FC236}">
                  <a16:creationId xmlns:a16="http://schemas.microsoft.com/office/drawing/2014/main" id="{F1FFAD13-F203-4718-9D12-92355C5EE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509E8B" w14:textId="67D6FFCB"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53DF2558" w14:textId="09E63AC6" w:rsidR="009A3B03" w:rsidRPr="009A3B03" w:rsidRDefault="009A3B03" w:rsidP="00007C9D">
      <w:pPr>
        <w:pStyle w:val="Source"/>
      </w:pPr>
      <w:r w:rsidRPr="610E5706">
        <w:rPr>
          <w:b/>
          <w:bCs/>
        </w:rPr>
        <w:lastRenderedPageBreak/>
        <w:t>Notes</w:t>
      </w:r>
      <w:r w:rsidRPr="009A3B03">
        <w:rPr>
          <w:szCs w:val="18"/>
        </w:rPr>
        <w:t xml:space="preserve">: </w:t>
      </w:r>
      <w:r w:rsidRPr="610E5706">
        <w:rPr>
          <w:rFonts w:ascii="Calibri" w:hAnsi="Calibri" w:cs="Calibri"/>
          <w:color w:val="000000"/>
          <w:shd w:val="clear" w:color="auto" w:fill="FFFFFF"/>
        </w:rPr>
        <w:t xml:space="preserve">This figure compares children from the 2018 cohort of the Australian Early Development Census. </w:t>
      </w:r>
      <w:r w:rsidRPr="610E5706">
        <w:t>DV1: Developmentally vulnerable on one or more domain</w:t>
      </w:r>
      <w:r w:rsidR="5578F38B" w:rsidRPr="610E5706">
        <w:t>s</w:t>
      </w:r>
      <w:r w:rsidRPr="610E5706">
        <w:t xml:space="preserve">. N =232,693. For simplicity, results from G-computation were the only statistical inference results shown.  For the &lt;10 group, the unadjusted risk ratio is 1.05; after adjustment, the risk ratio reduced to 0.95. </w:t>
      </w:r>
    </w:p>
    <w:p w14:paraId="32A87BB5" w14:textId="6C98F731" w:rsidR="009A3B03" w:rsidRPr="009A3B03" w:rsidRDefault="009A3B03" w:rsidP="009A3B03">
      <w:proofErr w:type="gramStart"/>
      <w:r>
        <w:t>Child care</w:t>
      </w:r>
      <w:proofErr w:type="gramEnd"/>
      <w:r>
        <w:t xml:space="preserve"> usage at less than 20 average weekly charged hours was a protective factor for developmental vulnerability </w:t>
      </w:r>
      <w:r w:rsidR="05370FFD">
        <w:t>o</w:t>
      </w:r>
      <w:r>
        <w:t xml:space="preserve">n one or more domains.  Before adjustment, the risk ratios of being developmentally vulnerable </w:t>
      </w:r>
      <w:r w:rsidR="6C43785D">
        <w:t>o</w:t>
      </w:r>
      <w:r>
        <w:t xml:space="preserve">n one or more domains were 1.05 and 0.96 for the group with average hours of less than 10 and 20 respectively. The corresponding risk ratio changed to 0.95 and 0.98 after adjusting for covariates. Higher average weekly hours resulted in risk ratios above 1, indicating higher risks of developmental vulnerability compared to children who did not attend </w:t>
      </w:r>
      <w:proofErr w:type="gramStart"/>
      <w:r>
        <w:t>child care</w:t>
      </w:r>
      <w:proofErr w:type="gramEnd"/>
      <w:r>
        <w:t xml:space="preserve">. </w:t>
      </w:r>
    </w:p>
    <w:p w14:paraId="049EA753" w14:textId="77777777" w:rsidR="009A3B03" w:rsidRPr="009A3B03" w:rsidRDefault="009A3B03" w:rsidP="009A3B03">
      <w:r w:rsidRPr="009A3B03">
        <w:t xml:space="preserve">Total hours appeared to be a risk factor for DV1 across all levels (figure 2) after adjustment, though before adjustment the risk ratio was less than 1 for less than 8,000 total hours. As total hours are the sum of charged hours from birth to the year before school, there can be large variations in the attendance patterns within each group: for example, children who attended </w:t>
      </w:r>
      <w:proofErr w:type="gramStart"/>
      <w:r w:rsidRPr="009A3B03">
        <w:t>child care</w:t>
      </w:r>
      <w:proofErr w:type="gramEnd"/>
      <w:r w:rsidRPr="009A3B03">
        <w:t xml:space="preserve"> intensively when they were young and other children who attended </w:t>
      </w:r>
      <w:proofErr w:type="gramStart"/>
      <w:r w:rsidRPr="009A3B03">
        <w:t>child care</w:t>
      </w:r>
      <w:proofErr w:type="gramEnd"/>
      <w:r w:rsidRPr="009A3B03">
        <w:t xml:space="preserve"> only when they were older can be in the same group.</w:t>
      </w:r>
    </w:p>
    <w:p w14:paraId="5585C317" w14:textId="77777777" w:rsidR="009A3B03" w:rsidRPr="00101D3D" w:rsidRDefault="009A3B03" w:rsidP="00007C9D">
      <w:pPr>
        <w:pStyle w:val="Caption"/>
        <w:rPr>
          <w:highlight w:val="yellow"/>
        </w:rPr>
      </w:pPr>
      <w:r w:rsidRPr="00101D3D">
        <w:t xml:space="preserve">Figure 2. Risk ratios for the effect of Total enrolment hours of </w:t>
      </w:r>
      <w:proofErr w:type="gramStart"/>
      <w:r w:rsidRPr="00101D3D">
        <w:t>child care</w:t>
      </w:r>
      <w:proofErr w:type="gramEnd"/>
      <w:r w:rsidRPr="00101D3D">
        <w:t xml:space="preserve"> on developmental vulnerability on one or more domains compared to not attending formal </w:t>
      </w:r>
      <w:proofErr w:type="gramStart"/>
      <w:r w:rsidRPr="00101D3D">
        <w:t>child care</w:t>
      </w:r>
      <w:proofErr w:type="gramEnd"/>
      <w:r w:rsidRPr="00101D3D">
        <w:t>.</w:t>
      </w:r>
    </w:p>
    <w:p w14:paraId="079A1C14" w14:textId="285E4667" w:rsidR="009A3B03" w:rsidRPr="009A3B03" w:rsidRDefault="00AE2F81" w:rsidP="00324AC3">
      <w:pPr>
        <w:keepNext/>
        <w:rPr>
          <w:highlight w:val="yellow"/>
        </w:rPr>
      </w:pPr>
      <w:r w:rsidRPr="00AE2F81">
        <w:rPr>
          <w:noProof/>
        </w:rPr>
        <w:t xml:space="preserve"> </w:t>
      </w:r>
      <w:r>
        <w:rPr>
          <w:noProof/>
        </w:rPr>
        <w:drawing>
          <wp:inline distT="0" distB="0" distL="0" distR="0" wp14:anchorId="4EBA06D5" wp14:editId="0B4B289B">
            <wp:extent cx="5438775" cy="4082521"/>
            <wp:effectExtent l="0" t="0" r="0" b="0"/>
            <wp:docPr id="570841159" name="Chart 1" descr="In Figure 2, the adjusted risk ratios for attending child care for different  total hours are shown. ">
              <a:extLst xmlns:a="http://schemas.openxmlformats.org/drawingml/2006/main">
                <a:ext uri="{FF2B5EF4-FFF2-40B4-BE49-F238E27FC236}">
                  <a16:creationId xmlns:a16="http://schemas.microsoft.com/office/drawing/2014/main" id="{E64457BF-5039-4F5F-B6E1-952501A01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3F31F" w14:textId="3E1FFE2A"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6A02CD84" w14:textId="07E8F263" w:rsidR="009A3B03" w:rsidRPr="009A3B03" w:rsidRDefault="009A3B03" w:rsidP="00007C9D">
      <w:pPr>
        <w:pStyle w:val="Source"/>
        <w:rPr>
          <w:highlight w:val="yellow"/>
        </w:rPr>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DV1: Developmentally vulnerable on one or more domain</w:t>
      </w:r>
      <w:r w:rsidR="6C1629C2" w:rsidRPr="009A3B03">
        <w:t>s</w:t>
      </w:r>
      <w:r w:rsidRPr="009A3B03">
        <w:t xml:space="preserve">. N =232,693. For simplicity, results from G-computation were the only statistical inference results shown.  </w:t>
      </w:r>
    </w:p>
    <w:p w14:paraId="08933851" w14:textId="77777777" w:rsidR="009A3B03" w:rsidRPr="009A3B03" w:rsidRDefault="009A3B03" w:rsidP="009A3B03">
      <w:bookmarkStart w:id="6" w:name="_Hlk167260201"/>
      <w:r w:rsidRPr="009A3B03">
        <w:lastRenderedPageBreak/>
        <w:t xml:space="preserve">To account for both the intensity and total amount of </w:t>
      </w:r>
      <w:proofErr w:type="gramStart"/>
      <w:r w:rsidRPr="009A3B03">
        <w:t>child care</w:t>
      </w:r>
      <w:proofErr w:type="gramEnd"/>
      <w:r w:rsidRPr="009A3B03">
        <w:t xml:space="preserve"> usage, we showed adjusted risk ratios for combinations of average weekly and total lifetime </w:t>
      </w:r>
      <w:proofErr w:type="gramStart"/>
      <w:r w:rsidRPr="009A3B03">
        <w:t>child care</w:t>
      </w:r>
      <w:proofErr w:type="gramEnd"/>
      <w:r w:rsidRPr="009A3B03">
        <w:t xml:space="preserve"> hours</w:t>
      </w:r>
      <w:bookmarkEnd w:id="6"/>
      <w:r w:rsidRPr="009A3B03">
        <w:t xml:space="preserve"> (Table 1). </w:t>
      </w:r>
      <w:bookmarkStart w:id="7" w:name="_Hlk167092136"/>
      <w:r w:rsidRPr="009A3B03">
        <w:t xml:space="preserve">The horizontal bar at the bottom of the table summarises the risk ratios for average weekly hours (as already shown in figure 1), while the vertical bar to the right does the same for total hours (just like together with the effect of total hours (as shown in figure 2). </w:t>
      </w:r>
      <w:bookmarkEnd w:id="7"/>
    </w:p>
    <w:p w14:paraId="12E43C77" w14:textId="40814EF1" w:rsidR="009A3B03" w:rsidRPr="009A3B03" w:rsidRDefault="009A3B03" w:rsidP="009A3B03">
      <w:pPr>
        <w:rPr>
          <w:rFonts w:ascii="Calibri" w:hAnsi="Calibri" w:cs="Calibri"/>
        </w:rPr>
      </w:pPr>
      <w:r w:rsidRPr="009A3B03">
        <w:t xml:space="preserve">The results were less precisely estimated when the number of children </w:t>
      </w:r>
      <w:proofErr w:type="gramStart"/>
      <w:r w:rsidRPr="009A3B03">
        <w:t>in a given</w:t>
      </w:r>
      <w:proofErr w:type="gramEnd"/>
      <w:r w:rsidRPr="009A3B03">
        <w:t xml:space="preserve"> combination of average weekly and total hours were small. For this </w:t>
      </w:r>
      <w:r w:rsidR="00324AC3" w:rsidRPr="009A3B03">
        <w:t>reason,</w:t>
      </w:r>
      <w:r w:rsidRPr="009A3B03">
        <w:t xml:space="preserve"> cells with fewer than 200 children, or </w:t>
      </w:r>
      <w:r w:rsidRPr="009A3B03">
        <w:rPr>
          <w:rFonts w:ascii="Calibri" w:hAnsi="Calibri" w:cs="Calibri"/>
        </w:rPr>
        <w:t>risk ratios with a confidence interval equal to or exceeding one, have been removed (the number of children in each combination of average and total hours is shown in Figure 4b of section 3.3). The small number of children with 50 or more average weekly hours are also removed, because at most a single such cell per table passes these conditions.</w:t>
      </w:r>
    </w:p>
    <w:p w14:paraId="58F06E2E" w14:textId="61C0C1C5" w:rsidR="009A3B03" w:rsidRPr="009A3B03" w:rsidRDefault="009A3B03" w:rsidP="009A3B03">
      <w:r>
        <w:t xml:space="preserve">Overall, the results show that consistent use of lower weekly hours of </w:t>
      </w:r>
      <w:proofErr w:type="gramStart"/>
      <w:r>
        <w:t>child care</w:t>
      </w:r>
      <w:proofErr w:type="gramEnd"/>
      <w:r>
        <w:t xml:space="preserve"> was associated with lower rates of developmental vulnerability. This held when considering the risk of </w:t>
      </w:r>
      <w:r w:rsidR="4935AA0C">
        <w:t xml:space="preserve">developmental </w:t>
      </w:r>
      <w:r>
        <w:t>vulnerability across any of the domains or in each domain separately.</w:t>
      </w:r>
    </w:p>
    <w:p w14:paraId="1ABFC975" w14:textId="6BFE3100" w:rsidR="009A3B03" w:rsidRPr="009A3B03" w:rsidRDefault="009A3B03" w:rsidP="00007C9D">
      <w:pPr>
        <w:pStyle w:val="Caption"/>
      </w:pPr>
      <w:r w:rsidRPr="009A3B03">
        <w:rPr>
          <w:bCs/>
        </w:rPr>
        <w:t>Table 1. Adjusted risk</w:t>
      </w:r>
      <w:r w:rsidRPr="009A3B03">
        <w:t xml:space="preserve"> ratios for the effect of combined </w:t>
      </w:r>
      <w:proofErr w:type="gramStart"/>
      <w:r w:rsidRPr="009A3B03">
        <w:t>child care</w:t>
      </w:r>
      <w:proofErr w:type="gramEnd"/>
      <w:r w:rsidRPr="009A3B03">
        <w:t xml:space="preserve"> </w:t>
      </w:r>
      <w:r w:rsidR="00D2211F">
        <w:rPr>
          <w:bCs/>
        </w:rPr>
        <w:t>average and total</w:t>
      </w:r>
      <w:r w:rsidRPr="009A3B03">
        <w:rPr>
          <w:bCs/>
        </w:rPr>
        <w:t xml:space="preserve"> </w:t>
      </w:r>
      <w:r w:rsidR="00727E2D">
        <w:rPr>
          <w:bCs/>
        </w:rPr>
        <w:t>hours</w:t>
      </w:r>
      <w:r w:rsidR="00727E2D" w:rsidRPr="009A3B03">
        <w:t xml:space="preserve"> </w:t>
      </w:r>
      <w:r w:rsidRPr="009A3B03">
        <w:t xml:space="preserve">on </w:t>
      </w:r>
      <w:r w:rsidRPr="009A3B03">
        <w:rPr>
          <w:bCs/>
        </w:rPr>
        <w:t>developmental</w:t>
      </w:r>
      <w:r w:rsidRPr="009A3B03">
        <w:t xml:space="preserve"> vulnerability in any AEDC domain compared to no formal </w:t>
      </w:r>
      <w:proofErr w:type="gramStart"/>
      <w:r w:rsidRPr="009A3B03">
        <w:t>child care</w:t>
      </w:r>
      <w:proofErr w:type="gramEnd"/>
      <w:r w:rsidRPr="009A3B03">
        <w:t xml:space="preserve"> attendance. </w:t>
      </w:r>
      <w:r w:rsidRPr="009A3B03">
        <w:br/>
      </w:r>
      <w:r w:rsidRPr="009A3B03">
        <w:rPr>
          <w:noProof/>
        </w:rPr>
        <w:drawing>
          <wp:inline distT="0" distB="0" distL="0" distR="0" wp14:anchorId="26844F4F" wp14:editId="25E8B2DA">
            <wp:extent cx="5420995" cy="2268220"/>
            <wp:effectExtent l="0" t="0" r="0" b="0"/>
            <wp:docPr id="1068507464" name="Picture 3" descr="Table 1 shows the adjusted risk ratios of being developmentally vulnerable in one or more domains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07464" name="Picture 3" descr="Table 1 shows the adjusted risk ratios of being developmentally vulnerable in one or more domains for combinations of average weekly and total lifetime child care hour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0995" cy="2268220"/>
                    </a:xfrm>
                    <a:prstGeom prst="rect">
                      <a:avLst/>
                    </a:prstGeom>
                    <a:noFill/>
                    <a:ln>
                      <a:noFill/>
                    </a:ln>
                  </pic:spPr>
                </pic:pic>
              </a:graphicData>
            </a:graphic>
          </wp:inline>
        </w:drawing>
      </w:r>
    </w:p>
    <w:p w14:paraId="4AA052D0" w14:textId="77777777"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 accessed 2023.</w:t>
      </w:r>
      <w:r w:rsidRPr="009A3B03">
        <w:rPr>
          <w:sz w:val="16"/>
          <w:szCs w:val="16"/>
        </w:rPr>
        <w:t xml:space="preserve"> </w:t>
      </w:r>
    </w:p>
    <w:p w14:paraId="0395D014" w14:textId="789BDA8C"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DV1: Developmentally vulnerable on one or more domain</w:t>
      </w:r>
      <w:r w:rsidR="12FF060D" w:rsidRPr="009A3B03">
        <w:t>s</w:t>
      </w:r>
      <w:r w:rsidRPr="009A3B03">
        <w:t xml:space="preserve">. N =232,693. For simplicity, results from G-computation were the only results shown.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255C52EE" w14:textId="77777777" w:rsidR="009A3B03" w:rsidRPr="009A3B03" w:rsidRDefault="009A3B03" w:rsidP="009A3B03">
      <w:r w:rsidRPr="009A3B03">
        <w:t>Figure 3 summarises on a single chart the risk ratios by average weekly charged hours for the separate AEDC domains.</w:t>
      </w:r>
    </w:p>
    <w:p w14:paraId="61E628C2" w14:textId="77777777" w:rsidR="009A3B03" w:rsidRPr="009A3B03" w:rsidRDefault="009A3B03" w:rsidP="00007C9D">
      <w:pPr>
        <w:pStyle w:val="Caption"/>
      </w:pPr>
      <w:r w:rsidRPr="009A3B03">
        <w:rPr>
          <w:bCs/>
        </w:rPr>
        <w:lastRenderedPageBreak/>
        <w:t>Figure 3. Adjusted risk</w:t>
      </w:r>
      <w:r w:rsidRPr="009A3B03">
        <w:t xml:space="preserve"> ratios for the </w:t>
      </w:r>
      <w:r w:rsidRPr="009A3B03">
        <w:rPr>
          <w:bCs/>
        </w:rPr>
        <w:t>developmental</w:t>
      </w:r>
      <w:r w:rsidRPr="009A3B03">
        <w:t xml:space="preserve"> vulnerability by average weekly charged hours and AEDC domain, compared to no formal </w:t>
      </w:r>
      <w:proofErr w:type="gramStart"/>
      <w:r w:rsidRPr="009A3B03">
        <w:t>child care</w:t>
      </w:r>
      <w:proofErr w:type="gramEnd"/>
      <w:r w:rsidRPr="009A3B03">
        <w:t xml:space="preserve"> attendance.</w:t>
      </w:r>
    </w:p>
    <w:p w14:paraId="55B69270" w14:textId="5E90C956" w:rsidR="009A3B03" w:rsidRPr="009A3B03" w:rsidRDefault="007D0AC4" w:rsidP="00324AC3">
      <w:pPr>
        <w:keepNext/>
      </w:pPr>
      <w:r>
        <w:rPr>
          <w:noProof/>
        </w:rPr>
        <w:drawing>
          <wp:inline distT="0" distB="0" distL="0" distR="0" wp14:anchorId="2E428573" wp14:editId="493C3BFA">
            <wp:extent cx="5731510" cy="4117975"/>
            <wp:effectExtent l="0" t="0" r="2540" b="0"/>
            <wp:docPr id="576154814" name="Chart 1" descr="Figure 3 summarises on a single chart the risk ratios by average weekly charged hours for the separate AEDC domains.">
              <a:extLst xmlns:a="http://schemas.openxmlformats.org/drawingml/2006/main">
                <a:ext uri="{FF2B5EF4-FFF2-40B4-BE49-F238E27FC236}">
                  <a16:creationId xmlns:a16="http://schemas.microsoft.com/office/drawing/2014/main" id="{D0733210-D11C-36F5-FAC3-D1DD9D9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F6F584" w14:textId="11AAB54E" w:rsidR="009A3B03" w:rsidRPr="009A3B03" w:rsidRDefault="009A3B03" w:rsidP="00007C9D">
      <w:pPr>
        <w:pStyle w:val="Source"/>
        <w:rPr>
          <w:rFonts w:cs="Times New Roman"/>
          <w:sz w:val="16"/>
          <w:szCs w:val="16"/>
        </w:rPr>
      </w:pPr>
      <w:r w:rsidRPr="009A3B03">
        <w:rPr>
          <w:b/>
          <w:bCs/>
          <w:shd w:val="clear" w:color="auto" w:fill="FFFFFF"/>
        </w:rPr>
        <w:t>Source</w:t>
      </w:r>
      <w:r w:rsidRPr="009A3B03">
        <w:rPr>
          <w:shd w:val="clear" w:color="auto" w:fill="FFFFFF"/>
        </w:rPr>
        <w:t>: Customised ‘First Five Years’ extract from the Multi-Agency Data Integration Project. </w:t>
      </w:r>
      <w:r w:rsidRPr="009A3B03">
        <w:rPr>
          <w:rFonts w:cs="Times New Roman"/>
          <w:sz w:val="16"/>
          <w:szCs w:val="16"/>
        </w:rPr>
        <w:t xml:space="preserve"> </w:t>
      </w:r>
    </w:p>
    <w:p w14:paraId="6635BAB1" w14:textId="5CFA1ED1" w:rsidR="009A3B03" w:rsidRPr="009A3B03" w:rsidRDefault="009A3B03" w:rsidP="00007C9D">
      <w:pPr>
        <w:pStyle w:val="Source"/>
      </w:pPr>
      <w:r w:rsidRPr="009A3B03">
        <w:rPr>
          <w:rFonts w:cs="Times New Roman"/>
          <w:b/>
          <w:bCs/>
        </w:rPr>
        <w:t>Notes</w:t>
      </w:r>
      <w:r w:rsidRPr="009A3B03">
        <w:rPr>
          <w:rFonts w:cs="Times New Roman"/>
        </w:rPr>
        <w:t xml:space="preserve">: </w:t>
      </w:r>
      <w:r w:rsidRPr="009A3B03">
        <w:t>Children may have</w:t>
      </w:r>
      <w:r w:rsidR="001D2B0F">
        <w:t xml:space="preserve"> separately</w:t>
      </w:r>
      <w:r w:rsidRPr="009A3B03">
        <w:t xml:space="preserve"> attended preschool, which was not captured in the CCMS data.   </w:t>
      </w:r>
    </w:p>
    <w:p w14:paraId="36480E2A" w14:textId="3A4A9846" w:rsidR="009A3B03" w:rsidRPr="009A3B03" w:rsidRDefault="009A3B03" w:rsidP="009A3B03">
      <w:r>
        <w:t xml:space="preserve">There are clear differences in the patterns of risk ratios across the domains and average weekly hours. Risk ratios for the communication skills and general knowledge domain remain below 1 for all levels of average hours, indicating that </w:t>
      </w:r>
      <w:proofErr w:type="gramStart"/>
      <w:r>
        <w:t>child care</w:t>
      </w:r>
      <w:proofErr w:type="gramEnd"/>
      <w:r>
        <w:t xml:space="preserve"> is generally a protective factor for this domain. For the language and cognitive skills (school</w:t>
      </w:r>
      <w:r w:rsidR="1788B0F6">
        <w:t>-</w:t>
      </w:r>
      <w:r>
        <w:t xml:space="preserve">based) domain, risk ratios initially fall as average weekly hours increase, suggesting that some </w:t>
      </w:r>
      <w:proofErr w:type="gramStart"/>
      <w:r>
        <w:t>child care</w:t>
      </w:r>
      <w:proofErr w:type="gramEnd"/>
      <w:r>
        <w:t xml:space="preserve"> hours result in a reduced risk of</w:t>
      </w:r>
      <w:r w:rsidR="7EF46D4D">
        <w:t xml:space="preserve"> developmental</w:t>
      </w:r>
      <w:r>
        <w:t xml:space="preserve"> vulnerability on this domain. Only for higher levels of average weekly hours for this domain do the risk ratios exceed 1, indicating an increased risk of </w:t>
      </w:r>
      <w:r w:rsidR="34DF7DAF">
        <w:t xml:space="preserve">developmental </w:t>
      </w:r>
      <w:r>
        <w:t>vulnerability. For the social competence and emotional maturity domains, risk ratios increase significantly as average weekly hours increase and reach high levels.</w:t>
      </w:r>
    </w:p>
    <w:p w14:paraId="05543063" w14:textId="77777777" w:rsidR="009A3B03" w:rsidRPr="009A3B03" w:rsidRDefault="009A3B03" w:rsidP="009A3B03">
      <w:pPr>
        <w:keepNext/>
        <w:keepLines/>
        <w:spacing w:before="320" w:after="60"/>
        <w:outlineLvl w:val="2"/>
        <w:rPr>
          <w:rFonts w:asciiTheme="majorHAnsi" w:eastAsiaTheme="majorEastAsia" w:hAnsiTheme="majorHAnsi" w:cstheme="majorBidi"/>
          <w:b/>
          <w:color w:val="008599" w:themeColor="accent1"/>
          <w:sz w:val="32"/>
          <w:szCs w:val="24"/>
        </w:rPr>
      </w:pPr>
      <w:r w:rsidRPr="009A3B03">
        <w:rPr>
          <w:rFonts w:asciiTheme="majorHAnsi" w:eastAsiaTheme="majorEastAsia" w:hAnsiTheme="majorHAnsi" w:cstheme="majorBidi"/>
          <w:b/>
          <w:color w:val="008599" w:themeColor="accent1"/>
          <w:sz w:val="32"/>
          <w:szCs w:val="24"/>
        </w:rPr>
        <w:t>Cognitive Domains</w:t>
      </w:r>
    </w:p>
    <w:p w14:paraId="09D0F240" w14:textId="48179BA8" w:rsidR="009A3B03" w:rsidRPr="009A3B03" w:rsidRDefault="009A3B03" w:rsidP="009A3B03">
      <w:r>
        <w:t xml:space="preserve">Focusing on the different AEDC domains, formal </w:t>
      </w:r>
      <w:proofErr w:type="gramStart"/>
      <w:r>
        <w:t>child care</w:t>
      </w:r>
      <w:proofErr w:type="gramEnd"/>
      <w:r>
        <w:t xml:space="preserve"> use generally served as a protective factor for cognitive domains (communication skills and general knowledge and language and cognitive skills (school</w:t>
      </w:r>
      <w:r w:rsidR="2396B256">
        <w:t>-</w:t>
      </w:r>
      <w:r>
        <w:t xml:space="preserve">based)), as shown in section 3.1, before any adjustment. The protective effect remained when considering average weekly hours of attendance (figure 6 of section 3.3), for the group with less than 30 average weekly charged hours. </w:t>
      </w:r>
    </w:p>
    <w:p w14:paraId="2FEA4224" w14:textId="1E5F10D3" w:rsidR="009A3B03" w:rsidRPr="009A3B03" w:rsidRDefault="009A3B03" w:rsidP="009A3B03">
      <w:r>
        <w:t xml:space="preserve">The adjusted risk ratios for the effect of </w:t>
      </w:r>
      <w:proofErr w:type="gramStart"/>
      <w:r>
        <w:t>child care</w:t>
      </w:r>
      <w:proofErr w:type="gramEnd"/>
      <w:r>
        <w:t xml:space="preserve"> on language and cognitive skills (school</w:t>
      </w:r>
      <w:r w:rsidR="0DCA456A">
        <w:t>-</w:t>
      </w:r>
      <w:r>
        <w:t xml:space="preserve">based), and the communication skills and general knowledge, are shown in Table 2 and Table 3 respectively. </w:t>
      </w:r>
    </w:p>
    <w:p w14:paraId="48F81E18" w14:textId="4AE42F12" w:rsidR="009A3B03" w:rsidRPr="009A3B03" w:rsidRDefault="009A3B03" w:rsidP="009A3B03">
      <w:r>
        <w:lastRenderedPageBreak/>
        <w:t xml:space="preserve">For less than 30 average weekly charged hours, and between 2,000 to 8,000 total hours, the risk ratio of being developmentally vulnerable in the language and cognitive skills </w:t>
      </w:r>
      <w:r w:rsidR="16114DB0">
        <w:t xml:space="preserve">(school-based) </w:t>
      </w:r>
      <w:r>
        <w:t xml:space="preserve">domain were less than 1. Adjusted risk ratios for the language and cognitive skills </w:t>
      </w:r>
      <w:r w:rsidR="0D1E9EA3">
        <w:t xml:space="preserve">(school-based) </w:t>
      </w:r>
      <w:r>
        <w:t>domain (Table 2) generally fell with total hours and increased with average hours.</w:t>
      </w:r>
    </w:p>
    <w:p w14:paraId="2B8A9941" w14:textId="1497ECF0" w:rsidR="00F81BEC" w:rsidRDefault="009A3B03" w:rsidP="00324AC3">
      <w:pPr>
        <w:pStyle w:val="Caption"/>
      </w:pPr>
      <w:r>
        <w:t xml:space="preserve">Table 2. Adjusted risk ratios for the effect of combined </w:t>
      </w:r>
      <w:proofErr w:type="gramStart"/>
      <w:r>
        <w:t>child care</w:t>
      </w:r>
      <w:proofErr w:type="gramEnd"/>
      <w:r>
        <w:t xml:space="preserve"> </w:t>
      </w:r>
      <w:r w:rsidR="00D2211F">
        <w:rPr>
          <w:bCs/>
        </w:rPr>
        <w:t>average and total</w:t>
      </w:r>
      <w:r w:rsidR="00D2211F" w:rsidRPr="009A3B03">
        <w:rPr>
          <w:bCs/>
        </w:rPr>
        <w:t xml:space="preserve"> </w:t>
      </w:r>
      <w:r w:rsidR="00114106">
        <w:t xml:space="preserve">hours </w:t>
      </w:r>
      <w:r>
        <w:t xml:space="preserve">on developmental vulnerability in the </w:t>
      </w:r>
      <w:r w:rsidR="0088369C">
        <w:t>L</w:t>
      </w:r>
      <w:r>
        <w:t>anguage and cognitive skills (school</w:t>
      </w:r>
      <w:r w:rsidR="09A6E6D2">
        <w:t>-</w:t>
      </w:r>
      <w:r>
        <w:t xml:space="preserve">based) AEDC domain compared to no formal </w:t>
      </w:r>
      <w:proofErr w:type="gramStart"/>
      <w:r>
        <w:t>child care</w:t>
      </w:r>
      <w:proofErr w:type="gramEnd"/>
      <w:r>
        <w:t xml:space="preserve"> attendance. </w:t>
      </w:r>
    </w:p>
    <w:p w14:paraId="3A9BA787" w14:textId="52D6F011" w:rsidR="009A3B03" w:rsidRPr="009A3B03" w:rsidRDefault="007D0AC4" w:rsidP="00324AC3">
      <w:pPr>
        <w:pStyle w:val="Caption"/>
        <w:rPr>
          <w:sz w:val="18"/>
        </w:rPr>
      </w:pPr>
      <w:r w:rsidRPr="007D0AC4">
        <w:rPr>
          <w:b w:val="0"/>
          <w:iCs w:val="0"/>
          <w:sz w:val="18"/>
        </w:rPr>
        <w:t xml:space="preserve"> </w:t>
      </w:r>
      <w:r w:rsidRPr="007D0AC4">
        <w:rPr>
          <w:noProof/>
        </w:rPr>
        <w:drawing>
          <wp:inline distT="0" distB="0" distL="0" distR="0" wp14:anchorId="3C14E330" wp14:editId="1A344AC6">
            <wp:extent cx="5200015" cy="2345690"/>
            <wp:effectExtent l="0" t="0" r="0" b="0"/>
            <wp:docPr id="183028189" name="Picture 1" descr="Table 2 shows the adjusted risk ratios of being developmentally vulnerable in the Language and cognitive skills (school-based) domain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8189" name="Picture 1" descr="Table 2 shows the adjusted risk ratios of being developmentally vulnerable in the Language and cognitive skills (school-based) domain for combinations of average weekly and total lifetime child care hour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0015" cy="2345690"/>
                    </a:xfrm>
                    <a:prstGeom prst="rect">
                      <a:avLst/>
                    </a:prstGeom>
                    <a:noFill/>
                    <a:ln>
                      <a:noFill/>
                    </a:ln>
                  </pic:spPr>
                </pic:pic>
              </a:graphicData>
            </a:graphic>
          </wp:inline>
        </w:drawing>
      </w:r>
    </w:p>
    <w:p w14:paraId="0076C7AE" w14:textId="23696372"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67D70552" w14:textId="77777777"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N =232,693. For simplicity, results from G-computation were the only causal inference results shown. Further discussion available in methodology.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3EF413F3" w14:textId="1764FE3D" w:rsidR="009A3B03" w:rsidRPr="009A3B03" w:rsidRDefault="009A3B03" w:rsidP="009A3B03">
      <w:r>
        <w:t xml:space="preserve">The communication skills and general knowledge domain exhibited the same general pattern as the language and cognitive skills </w:t>
      </w:r>
      <w:r w:rsidR="1EF57F00">
        <w:t xml:space="preserve">(school-based) </w:t>
      </w:r>
      <w:r>
        <w:t xml:space="preserve">domain, with risk ratios generally falling with total hours and increasing with average hours. </w:t>
      </w:r>
      <w:proofErr w:type="gramStart"/>
      <w:r>
        <w:t>Child care</w:t>
      </w:r>
      <w:proofErr w:type="gramEnd"/>
      <w:r>
        <w:t xml:space="preserve"> attendance remained a protective factor even up to 50 average weekly charged hours. Risk ratios were only above 1, indicating higher risks of </w:t>
      </w:r>
      <w:r w:rsidR="0D8F9A38">
        <w:t xml:space="preserve">developmental </w:t>
      </w:r>
      <w:r>
        <w:t xml:space="preserve">vulnerability, for children with less than 4,000 total hours or 30 or more average weekly charged hours.  </w:t>
      </w:r>
    </w:p>
    <w:p w14:paraId="5E2B7607" w14:textId="262E90A3" w:rsidR="00324AC3" w:rsidRDefault="009A3B03" w:rsidP="00324AC3">
      <w:pPr>
        <w:pStyle w:val="Caption"/>
      </w:pPr>
      <w:r w:rsidRPr="009A3B03">
        <w:rPr>
          <w:bCs/>
        </w:rPr>
        <w:lastRenderedPageBreak/>
        <w:t xml:space="preserve">Table 3. </w:t>
      </w:r>
      <w:r w:rsidRPr="009A3B03">
        <w:t xml:space="preserve">Adjusted risk ratios for the effect of combined </w:t>
      </w:r>
      <w:proofErr w:type="gramStart"/>
      <w:r w:rsidRPr="009A3B03">
        <w:t>child care</w:t>
      </w:r>
      <w:proofErr w:type="gramEnd"/>
      <w:r w:rsidRPr="009A3B03">
        <w:t xml:space="preserve"> </w:t>
      </w:r>
      <w:r w:rsidR="00D2211F">
        <w:rPr>
          <w:bCs/>
        </w:rPr>
        <w:t>average and total</w:t>
      </w:r>
      <w:r w:rsidR="00D2211F" w:rsidRPr="009A3B03">
        <w:rPr>
          <w:bCs/>
        </w:rPr>
        <w:t xml:space="preserve"> </w:t>
      </w:r>
      <w:r w:rsidR="00114106">
        <w:rPr>
          <w:bCs/>
        </w:rPr>
        <w:t>hours</w:t>
      </w:r>
      <w:r w:rsidR="00114106" w:rsidRPr="009A3B03">
        <w:t xml:space="preserve"> </w:t>
      </w:r>
      <w:r w:rsidRPr="009A3B03">
        <w:t xml:space="preserve">on </w:t>
      </w:r>
      <w:r w:rsidRPr="009A3B03">
        <w:rPr>
          <w:bCs/>
        </w:rPr>
        <w:t>developmental</w:t>
      </w:r>
      <w:r w:rsidRPr="009A3B03">
        <w:t xml:space="preserve"> vulnerability in the </w:t>
      </w:r>
      <w:r w:rsidR="0088369C">
        <w:t>C</w:t>
      </w:r>
      <w:r w:rsidRPr="009A3B03">
        <w:t xml:space="preserve">ommunication skills and general knowledge AEDC domain compared to no formal </w:t>
      </w:r>
      <w:proofErr w:type="gramStart"/>
      <w:r w:rsidRPr="009A3B03">
        <w:t>child care</w:t>
      </w:r>
      <w:proofErr w:type="gramEnd"/>
      <w:r w:rsidRPr="009A3B03">
        <w:t xml:space="preserve"> attendance.</w:t>
      </w:r>
    </w:p>
    <w:p w14:paraId="18CA2ECC" w14:textId="445BE487" w:rsidR="009A3B03" w:rsidRPr="009A3B03" w:rsidRDefault="009A3B03" w:rsidP="00324AC3">
      <w:pPr>
        <w:pStyle w:val="Caption"/>
        <w:rPr>
          <w:sz w:val="18"/>
        </w:rPr>
      </w:pPr>
      <w:r w:rsidRPr="009A3B03">
        <w:rPr>
          <w:noProof/>
        </w:rPr>
        <w:drawing>
          <wp:inline distT="0" distB="0" distL="0" distR="0" wp14:anchorId="08D056B8" wp14:editId="6C4F3E98">
            <wp:extent cx="5420995" cy="2273935"/>
            <wp:effectExtent l="0" t="0" r="0" b="0"/>
            <wp:docPr id="395307302" name="Picture 5" descr="Table 3 shows the adjusted risk ratios in the Communication skills and general knowledge AEDC domain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07302" name="Picture 5" descr="Table 3 shows the adjusted risk ratios in the Communication skills and general knowledge AEDC domain for combinations of average weekly and total lifetime child care hour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0995" cy="2273935"/>
                    </a:xfrm>
                    <a:prstGeom prst="rect">
                      <a:avLst/>
                    </a:prstGeom>
                    <a:noFill/>
                    <a:ln>
                      <a:noFill/>
                    </a:ln>
                  </pic:spPr>
                </pic:pic>
              </a:graphicData>
            </a:graphic>
          </wp:inline>
        </w:drawing>
      </w:r>
    </w:p>
    <w:p w14:paraId="1F7208C6" w14:textId="636F86DE"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74C76466" w14:textId="77777777"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N =232,693. For simplicity, results from G-computation were the only causal inference results shown. Further discussion available in methodology.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2063A068" w14:textId="77777777" w:rsidR="009A3B03" w:rsidRPr="009A3B03" w:rsidRDefault="009A3B03" w:rsidP="009A3B03">
      <w:pPr>
        <w:keepNext/>
        <w:keepLines/>
        <w:spacing w:before="320" w:after="60"/>
        <w:outlineLvl w:val="2"/>
        <w:rPr>
          <w:rFonts w:asciiTheme="majorHAnsi" w:eastAsiaTheme="majorEastAsia" w:hAnsiTheme="majorHAnsi" w:cstheme="majorBidi"/>
          <w:b/>
          <w:color w:val="008599" w:themeColor="accent1"/>
          <w:sz w:val="32"/>
          <w:szCs w:val="24"/>
        </w:rPr>
      </w:pPr>
      <w:r w:rsidRPr="009A3B03">
        <w:rPr>
          <w:rFonts w:asciiTheme="majorHAnsi" w:eastAsiaTheme="majorEastAsia" w:hAnsiTheme="majorHAnsi" w:cstheme="majorBidi"/>
          <w:b/>
          <w:color w:val="008599" w:themeColor="accent1"/>
          <w:sz w:val="32"/>
          <w:szCs w:val="24"/>
        </w:rPr>
        <w:t>Non-Cognitive Domains</w:t>
      </w:r>
    </w:p>
    <w:p w14:paraId="290D794B" w14:textId="14150932" w:rsidR="009A3B03" w:rsidRPr="009A3B03" w:rsidRDefault="009A3B03" w:rsidP="009A3B03">
      <w:r w:rsidRPr="009A3B03">
        <w:t xml:space="preserve">Non-cognitive domains showed a different pattern to the cognitive domains. Formal </w:t>
      </w:r>
      <w:proofErr w:type="gramStart"/>
      <w:r w:rsidRPr="009A3B03">
        <w:t>child care</w:t>
      </w:r>
      <w:proofErr w:type="gramEnd"/>
      <w:r w:rsidRPr="009A3B03">
        <w:t xml:space="preserve"> attendance appeared to be a risk factor for the emotional maturity and social competenc</w:t>
      </w:r>
      <w:r w:rsidR="00A15494">
        <w:t>e</w:t>
      </w:r>
      <w:r w:rsidRPr="009A3B03">
        <w:t xml:space="preserve"> domains</w:t>
      </w:r>
      <w:r w:rsidRPr="009A3B03">
        <w:rPr>
          <w:bCs/>
        </w:rPr>
        <w:t xml:space="preserve"> </w:t>
      </w:r>
      <w:r w:rsidRPr="009A3B03">
        <w:t>before any adjustment</w:t>
      </w:r>
      <w:r w:rsidRPr="009A3B03">
        <w:rPr>
          <w:bCs/>
        </w:rPr>
        <w:t xml:space="preserve">, </w:t>
      </w:r>
      <w:r w:rsidRPr="009A3B03">
        <w:t xml:space="preserve">as shown in section 3.1. Higher average weekly hours were associated with significantly lower rates of being </w:t>
      </w:r>
      <w:r w:rsidR="00A15494">
        <w:t>developmentally on track</w:t>
      </w:r>
      <w:r w:rsidRPr="009A3B03">
        <w:t xml:space="preserve"> for these two domains (figure 6 of section 3.3). </w:t>
      </w:r>
    </w:p>
    <w:p w14:paraId="04F2FEFA" w14:textId="30395C81" w:rsidR="009A3B03" w:rsidRPr="009A3B03" w:rsidRDefault="009A3B03" w:rsidP="009A3B03">
      <w:r w:rsidRPr="009A3B03">
        <w:t xml:space="preserve">The adjusted risk ratios for the effect of </w:t>
      </w:r>
      <w:proofErr w:type="gramStart"/>
      <w:r w:rsidRPr="009A3B03">
        <w:t>child care</w:t>
      </w:r>
      <w:proofErr w:type="gramEnd"/>
      <w:r w:rsidRPr="009A3B03">
        <w:t xml:space="preserve"> on </w:t>
      </w:r>
      <w:r w:rsidR="009F2C9E">
        <w:t xml:space="preserve">the </w:t>
      </w:r>
      <w:r w:rsidRPr="009A3B03">
        <w:t>emotional maturity and social competenc</w:t>
      </w:r>
      <w:r w:rsidR="00A15494">
        <w:t>e</w:t>
      </w:r>
      <w:r w:rsidRPr="009A3B03">
        <w:t xml:space="preserve"> domain</w:t>
      </w:r>
      <w:r w:rsidR="009F2C9E">
        <w:t>s</w:t>
      </w:r>
      <w:r w:rsidRPr="009A3B03">
        <w:t xml:space="preserve"> are shown in Table 4 and Table 5 respectively. </w:t>
      </w:r>
    </w:p>
    <w:p w14:paraId="792C704B" w14:textId="55847313" w:rsidR="009A3B03" w:rsidRPr="009A3B03" w:rsidRDefault="009A3B03" w:rsidP="009A3B03">
      <w:r w:rsidRPr="009A3B03">
        <w:t xml:space="preserve">As with the descriptive analysis, the adjusted ratio shows that </w:t>
      </w:r>
      <w:r w:rsidR="007328B9">
        <w:t xml:space="preserve">higher average weekly or total hours of </w:t>
      </w:r>
      <w:proofErr w:type="gramStart"/>
      <w:r w:rsidRPr="009A3B03">
        <w:t>child care</w:t>
      </w:r>
      <w:proofErr w:type="gramEnd"/>
      <w:r w:rsidRPr="009A3B03">
        <w:t xml:space="preserve"> use </w:t>
      </w:r>
      <w:r w:rsidR="008C31C6">
        <w:t>were</w:t>
      </w:r>
      <w:r w:rsidR="008C31C6" w:rsidRPr="009A3B03">
        <w:t xml:space="preserve"> </w:t>
      </w:r>
      <w:r w:rsidRPr="009A3B03">
        <w:t xml:space="preserve">associated with elevated risk ratios on the emotional maturity domain (Table 4). </w:t>
      </w:r>
      <w:r w:rsidR="008C31C6">
        <w:t>T</w:t>
      </w:r>
      <w:r w:rsidRPr="009A3B03">
        <w:t>his effect</w:t>
      </w:r>
      <w:r w:rsidR="008C31C6">
        <w:t xml:space="preserve"> was</w:t>
      </w:r>
      <w:r w:rsidRPr="009A3B03">
        <w:t xml:space="preserve"> particularly pronounced for high average weekly hours. </w:t>
      </w:r>
    </w:p>
    <w:p w14:paraId="38DCE548" w14:textId="55380740" w:rsidR="009A3B03" w:rsidRDefault="009A3B03" w:rsidP="00007C9D">
      <w:pPr>
        <w:pStyle w:val="Caption"/>
      </w:pPr>
      <w:r w:rsidRPr="009A3B03">
        <w:rPr>
          <w:bCs/>
        </w:rPr>
        <w:lastRenderedPageBreak/>
        <w:t>Table 4. Adjusted r</w:t>
      </w:r>
      <w:r w:rsidRPr="009A3B03">
        <w:t xml:space="preserve">isk ratios for the effect of combined </w:t>
      </w:r>
      <w:proofErr w:type="gramStart"/>
      <w:r w:rsidRPr="009A3B03">
        <w:t>child care</w:t>
      </w:r>
      <w:proofErr w:type="gramEnd"/>
      <w:r w:rsidRPr="009A3B03">
        <w:t xml:space="preserve"> </w:t>
      </w:r>
      <w:r w:rsidR="00D2211F">
        <w:rPr>
          <w:bCs/>
        </w:rPr>
        <w:t>average and total</w:t>
      </w:r>
      <w:r w:rsidR="00D2211F" w:rsidRPr="009A3B03">
        <w:rPr>
          <w:bCs/>
        </w:rPr>
        <w:t xml:space="preserve"> </w:t>
      </w:r>
      <w:r w:rsidR="00114106">
        <w:rPr>
          <w:bCs/>
        </w:rPr>
        <w:t>hours</w:t>
      </w:r>
      <w:r w:rsidR="00114106" w:rsidRPr="009A3B03">
        <w:t xml:space="preserve"> </w:t>
      </w:r>
      <w:r w:rsidRPr="009A3B03">
        <w:t xml:space="preserve">on </w:t>
      </w:r>
      <w:r w:rsidRPr="009A3B03">
        <w:rPr>
          <w:bCs/>
        </w:rPr>
        <w:t>developmental</w:t>
      </w:r>
      <w:r w:rsidRPr="009A3B03">
        <w:t xml:space="preserve"> vulnerability in the </w:t>
      </w:r>
      <w:r w:rsidR="0088369C">
        <w:t>E</w:t>
      </w:r>
      <w:r w:rsidRPr="009A3B03">
        <w:t xml:space="preserve">motional maturity AEDC domain compared to no formal </w:t>
      </w:r>
      <w:proofErr w:type="gramStart"/>
      <w:r w:rsidRPr="009A3B03">
        <w:t>child care</w:t>
      </w:r>
      <w:proofErr w:type="gramEnd"/>
      <w:r w:rsidRPr="009A3B03">
        <w:t xml:space="preserve"> attendance.</w:t>
      </w:r>
    </w:p>
    <w:p w14:paraId="0D54D4B3" w14:textId="77777777" w:rsidR="009A3B03" w:rsidRPr="009A3B03" w:rsidRDefault="009A3B03" w:rsidP="009A3B03">
      <w:pPr>
        <w:rPr>
          <w:sz w:val="18"/>
          <w:szCs w:val="18"/>
        </w:rPr>
      </w:pPr>
      <w:r w:rsidRPr="009A3B03">
        <w:rPr>
          <w:noProof/>
        </w:rPr>
        <w:drawing>
          <wp:inline distT="0" distB="0" distL="0" distR="0" wp14:anchorId="57A055ED" wp14:editId="3498D29A">
            <wp:extent cx="5420995" cy="2273935"/>
            <wp:effectExtent l="0" t="0" r="0" b="0"/>
            <wp:docPr id="1843559475" name="Picture 6" descr="Table 4 shows the adjusted risk ratios in the Emotional maturity AEDC domain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59475" name="Picture 6" descr="Table 4 shows the adjusted risk ratios in the Emotional maturity AEDC domain for combinations of average weekly and total lifetime child care hour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0995" cy="2273935"/>
                    </a:xfrm>
                    <a:prstGeom prst="rect">
                      <a:avLst/>
                    </a:prstGeom>
                    <a:noFill/>
                    <a:ln>
                      <a:noFill/>
                    </a:ln>
                  </pic:spPr>
                </pic:pic>
              </a:graphicData>
            </a:graphic>
          </wp:inline>
        </w:drawing>
      </w:r>
    </w:p>
    <w:p w14:paraId="0A708CD4" w14:textId="617AFC2A"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1AD76487" w14:textId="77777777"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N =232,693. For simplicity, results from G-computation were the only causal inference results shown. Further discussion available in methodology.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7B08AC85" w14:textId="6F386CAF" w:rsidR="00324AC3" w:rsidRDefault="009A3B03" w:rsidP="00324AC3">
      <w:pPr>
        <w:pStyle w:val="Caption"/>
      </w:pPr>
      <w:r w:rsidRPr="009A3B03">
        <w:rPr>
          <w:bCs/>
        </w:rPr>
        <w:t>Table 5. Adjusted r</w:t>
      </w:r>
      <w:r w:rsidRPr="009A3B03">
        <w:t xml:space="preserve">isk ratios for the effect of combined </w:t>
      </w:r>
      <w:proofErr w:type="gramStart"/>
      <w:r w:rsidRPr="009A3B03">
        <w:t>child care</w:t>
      </w:r>
      <w:proofErr w:type="gramEnd"/>
      <w:r w:rsidRPr="009A3B03">
        <w:t xml:space="preserve"> </w:t>
      </w:r>
      <w:r w:rsidR="00D2211F">
        <w:rPr>
          <w:bCs/>
        </w:rPr>
        <w:t>average and total</w:t>
      </w:r>
      <w:r w:rsidR="00D2211F" w:rsidRPr="009A3B03">
        <w:rPr>
          <w:bCs/>
        </w:rPr>
        <w:t xml:space="preserve"> </w:t>
      </w:r>
      <w:r w:rsidR="00114106">
        <w:rPr>
          <w:bCs/>
        </w:rPr>
        <w:t>hours</w:t>
      </w:r>
      <w:r w:rsidR="00114106" w:rsidRPr="009A3B03">
        <w:t xml:space="preserve"> </w:t>
      </w:r>
      <w:r w:rsidRPr="009A3B03">
        <w:t xml:space="preserve">on </w:t>
      </w:r>
      <w:r w:rsidRPr="009A3B03">
        <w:rPr>
          <w:bCs/>
        </w:rPr>
        <w:t>developmental</w:t>
      </w:r>
      <w:r w:rsidRPr="009A3B03">
        <w:t xml:space="preserve"> vulnerability in the </w:t>
      </w:r>
      <w:proofErr w:type="gramStart"/>
      <w:r w:rsidR="0088369C">
        <w:t>S</w:t>
      </w:r>
      <w:r w:rsidRPr="009A3B03">
        <w:t>ocial</w:t>
      </w:r>
      <w:proofErr w:type="gramEnd"/>
      <w:r w:rsidRPr="009A3B03">
        <w:t xml:space="preserve"> competence AEDC domain compared to no formal </w:t>
      </w:r>
      <w:proofErr w:type="gramStart"/>
      <w:r w:rsidRPr="009A3B03">
        <w:t>child care</w:t>
      </w:r>
      <w:proofErr w:type="gramEnd"/>
      <w:r w:rsidRPr="009A3B03">
        <w:t xml:space="preserve"> attendance.</w:t>
      </w:r>
    </w:p>
    <w:p w14:paraId="11256E69" w14:textId="16CF5D1C" w:rsidR="009A3B03" w:rsidRPr="009A3B03" w:rsidRDefault="009A3B03" w:rsidP="00324AC3">
      <w:pPr>
        <w:pStyle w:val="Caption"/>
        <w:rPr>
          <w:sz w:val="18"/>
        </w:rPr>
      </w:pPr>
      <w:r w:rsidRPr="009A3B03">
        <w:rPr>
          <w:noProof/>
        </w:rPr>
        <w:drawing>
          <wp:inline distT="0" distB="0" distL="0" distR="0" wp14:anchorId="42453710" wp14:editId="7F351FBE">
            <wp:extent cx="5420995" cy="2273935"/>
            <wp:effectExtent l="0" t="0" r="0" b="0"/>
            <wp:docPr id="1070083285" name="Picture 8" descr="Table 5 shows the adjusted risk ratios in the Social competence AEDC domain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83285" name="Picture 8" descr="Table 5 shows the adjusted risk ratios in the Social competence AEDC domain for combinations of average weekly and total lifetime child care hour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0995" cy="2273935"/>
                    </a:xfrm>
                    <a:prstGeom prst="rect">
                      <a:avLst/>
                    </a:prstGeom>
                    <a:noFill/>
                    <a:ln>
                      <a:noFill/>
                    </a:ln>
                  </pic:spPr>
                </pic:pic>
              </a:graphicData>
            </a:graphic>
          </wp:inline>
        </w:drawing>
      </w:r>
    </w:p>
    <w:p w14:paraId="64095D74" w14:textId="62AE6417"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56530487" w14:textId="77777777"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N =232,693. For simplicity, results from G-computation were the only causal inference results shown. Further discussion available in methodology.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49E1A3A2" w14:textId="77777777" w:rsidR="009A3B03" w:rsidRPr="009A3B03" w:rsidRDefault="009A3B03" w:rsidP="009A3B03">
      <w:r w:rsidRPr="009A3B03">
        <w:t xml:space="preserve">The social competence domain also showed elevated risk ratios with increasing weekly </w:t>
      </w:r>
      <w:proofErr w:type="gramStart"/>
      <w:r w:rsidRPr="009A3B03">
        <w:t>child care</w:t>
      </w:r>
      <w:proofErr w:type="gramEnd"/>
      <w:r w:rsidRPr="009A3B03">
        <w:t xml:space="preserve"> hours and increasing total hours (Table 5). </w:t>
      </w:r>
    </w:p>
    <w:p w14:paraId="598075E1" w14:textId="5A8A7A86" w:rsidR="00324AC3" w:rsidRDefault="009A3B03" w:rsidP="00324AC3">
      <w:pPr>
        <w:pStyle w:val="Caption"/>
      </w:pPr>
      <w:r w:rsidRPr="009A3B03">
        <w:rPr>
          <w:bCs/>
        </w:rPr>
        <w:lastRenderedPageBreak/>
        <w:t>Table 6. Adjusted r</w:t>
      </w:r>
      <w:r w:rsidRPr="009A3B03">
        <w:t xml:space="preserve">isk ratios for the effect of combined </w:t>
      </w:r>
      <w:proofErr w:type="gramStart"/>
      <w:r w:rsidRPr="009A3B03">
        <w:t>child care</w:t>
      </w:r>
      <w:proofErr w:type="gramEnd"/>
      <w:r w:rsidRPr="009A3B03">
        <w:t xml:space="preserve"> </w:t>
      </w:r>
      <w:r w:rsidR="00D2211F">
        <w:rPr>
          <w:bCs/>
        </w:rPr>
        <w:t>average and total</w:t>
      </w:r>
      <w:r w:rsidR="00D2211F" w:rsidRPr="009A3B03">
        <w:rPr>
          <w:bCs/>
        </w:rPr>
        <w:t xml:space="preserve"> </w:t>
      </w:r>
      <w:r w:rsidR="00114106">
        <w:rPr>
          <w:bCs/>
        </w:rPr>
        <w:t>hours</w:t>
      </w:r>
      <w:r w:rsidR="00114106" w:rsidRPr="009A3B03">
        <w:t xml:space="preserve"> </w:t>
      </w:r>
      <w:r w:rsidRPr="009A3B03">
        <w:t xml:space="preserve">on </w:t>
      </w:r>
      <w:r w:rsidRPr="009A3B03">
        <w:rPr>
          <w:bCs/>
        </w:rPr>
        <w:t>developmental</w:t>
      </w:r>
      <w:r w:rsidRPr="009A3B03">
        <w:t xml:space="preserve"> vulnerability in the </w:t>
      </w:r>
      <w:r w:rsidR="0088369C">
        <w:t>P</w:t>
      </w:r>
      <w:r w:rsidRPr="009A3B03">
        <w:t xml:space="preserve">hysical health and wellbeing AEDC domain compared to no formal </w:t>
      </w:r>
      <w:proofErr w:type="gramStart"/>
      <w:r w:rsidRPr="009A3B03">
        <w:t>child care</w:t>
      </w:r>
      <w:proofErr w:type="gramEnd"/>
      <w:r w:rsidRPr="009A3B03">
        <w:t xml:space="preserve"> attendance. </w:t>
      </w:r>
    </w:p>
    <w:p w14:paraId="2CC78B4A" w14:textId="30372396" w:rsidR="009A3B03" w:rsidRPr="009A3B03" w:rsidRDefault="009A3B03" w:rsidP="00324AC3">
      <w:pPr>
        <w:pStyle w:val="Caption"/>
        <w:rPr>
          <w:sz w:val="18"/>
        </w:rPr>
      </w:pPr>
      <w:r w:rsidRPr="009A3B03">
        <w:rPr>
          <w:noProof/>
        </w:rPr>
        <w:drawing>
          <wp:inline distT="0" distB="0" distL="0" distR="0" wp14:anchorId="5F449B98" wp14:editId="124777A8">
            <wp:extent cx="5420995" cy="2273935"/>
            <wp:effectExtent l="0" t="0" r="0" b="0"/>
            <wp:docPr id="1171053346" name="Picture 9" descr="Table 6 shows the adjusted risk ratios in the Physical health and wellbeing AEDC domain for combinations of average weekly and total lifetime child car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53346" name="Picture 9" descr="Table 6 shows the adjusted risk ratios in the Physical health and wellbeing AEDC domain for combinations of average weekly and total lifetime child care hours.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0995" cy="2273935"/>
                    </a:xfrm>
                    <a:prstGeom prst="rect">
                      <a:avLst/>
                    </a:prstGeom>
                    <a:noFill/>
                    <a:ln>
                      <a:noFill/>
                    </a:ln>
                  </pic:spPr>
                </pic:pic>
              </a:graphicData>
            </a:graphic>
          </wp:inline>
        </w:drawing>
      </w:r>
    </w:p>
    <w:p w14:paraId="7E37508C" w14:textId="0D8B4C49"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2B1A13AE" w14:textId="77777777"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N =232,693. For simplicity, results from G-computation were the only causal inference results shown. Further discussion available in methodology. Reference is the group not attending formal </w:t>
      </w:r>
      <w:proofErr w:type="gramStart"/>
      <w:r w:rsidRPr="009A3B03">
        <w:t>child care</w:t>
      </w:r>
      <w:proofErr w:type="gramEnd"/>
      <w:r w:rsidRPr="009A3B03">
        <w:t xml:space="preserve"> (risk ratio=1).  Only the central estimations were shown. Cells with fewer than 200 children or risk ratios with a confidence interval equal to or exceeding one have been removed.</w:t>
      </w:r>
    </w:p>
    <w:p w14:paraId="2271C7C4" w14:textId="77777777" w:rsidR="009A3B03" w:rsidRPr="009A3B03" w:rsidRDefault="009A3B03" w:rsidP="009A3B03">
      <w:bookmarkStart w:id="8" w:name="_Hlk167114863"/>
      <w:r w:rsidRPr="009A3B03">
        <w:t xml:space="preserve">Risk ratios for the physical health and wellbeing domain were more complex, with formal </w:t>
      </w:r>
      <w:proofErr w:type="gramStart"/>
      <w:r w:rsidRPr="009A3B03">
        <w:t>child care</w:t>
      </w:r>
      <w:proofErr w:type="gramEnd"/>
      <w:r w:rsidRPr="009A3B03">
        <w:t xml:space="preserve"> a protective factor for some patterns of attendance and a risk factor for others. In general, risk ratios increased with increasing average hours and broadly fell with increasing total hours. Taking average weekly and total hours separately, </w:t>
      </w:r>
      <w:proofErr w:type="gramStart"/>
      <w:r w:rsidRPr="009A3B03">
        <w:t>child care</w:t>
      </w:r>
      <w:proofErr w:type="gramEnd"/>
      <w:r w:rsidRPr="009A3B03">
        <w:t xml:space="preserve"> was estimated to be a protective factor for this domain for less than 30 average charged weekly hours, or between 2,000 and 6,000 total hours. </w:t>
      </w:r>
    </w:p>
    <w:bookmarkEnd w:id="8"/>
    <w:p w14:paraId="02095D9C" w14:textId="77777777" w:rsidR="009A3B03" w:rsidRPr="009A3B03" w:rsidRDefault="009A3B03" w:rsidP="00007C9D">
      <w:pPr>
        <w:pStyle w:val="Heading2"/>
      </w:pPr>
      <w:proofErr w:type="gramStart"/>
      <w:r w:rsidRPr="009A3B03">
        <w:t>Child care</w:t>
      </w:r>
      <w:proofErr w:type="gramEnd"/>
      <w:r w:rsidRPr="009A3B03">
        <w:t xml:space="preserve"> quality</w:t>
      </w:r>
    </w:p>
    <w:p w14:paraId="3C58CE03" w14:textId="24365723" w:rsidR="009A3B03" w:rsidRPr="009A3B03" w:rsidRDefault="009A3B03" w:rsidP="610E5706">
      <w:pPr>
        <w:rPr>
          <w:rFonts w:eastAsia="Calibri"/>
        </w:rPr>
      </w:pPr>
      <w:r w:rsidRPr="610E5706">
        <w:rPr>
          <w:rFonts w:eastAsia="Calibri"/>
        </w:rPr>
        <w:t xml:space="preserve">The descriptive results in section 3.2 compare rates of developmental vulnerability for children who attend </w:t>
      </w:r>
      <w:proofErr w:type="gramStart"/>
      <w:r w:rsidRPr="610E5706">
        <w:rPr>
          <w:rFonts w:eastAsia="Calibri"/>
        </w:rPr>
        <w:t>child care</w:t>
      </w:r>
      <w:proofErr w:type="gramEnd"/>
      <w:r w:rsidRPr="610E5706">
        <w:rPr>
          <w:rFonts w:eastAsia="Calibri"/>
        </w:rPr>
        <w:t xml:space="preserve"> at different quality ratings. Children who attend </w:t>
      </w:r>
      <w:proofErr w:type="gramStart"/>
      <w:r w:rsidRPr="610E5706">
        <w:rPr>
          <w:rFonts w:eastAsia="Calibri"/>
        </w:rPr>
        <w:t>child care</w:t>
      </w:r>
      <w:proofErr w:type="gramEnd"/>
      <w:r w:rsidRPr="610E5706">
        <w:rPr>
          <w:rFonts w:eastAsia="Calibri"/>
        </w:rPr>
        <w:t xml:space="preserve"> have lower rates of </w:t>
      </w:r>
      <w:r w:rsidR="073737E2" w:rsidRPr="610E5706">
        <w:rPr>
          <w:rFonts w:eastAsia="Calibri"/>
        </w:rPr>
        <w:t xml:space="preserve">developmental </w:t>
      </w:r>
      <w:r w:rsidRPr="610E5706">
        <w:rPr>
          <w:rFonts w:eastAsia="Calibri"/>
        </w:rPr>
        <w:t xml:space="preserve">vulnerability than children who do not, except for those attending </w:t>
      </w:r>
      <w:proofErr w:type="gramStart"/>
      <w:r w:rsidRPr="610E5706">
        <w:rPr>
          <w:rFonts w:eastAsia="Calibri"/>
        </w:rPr>
        <w:t>child care</w:t>
      </w:r>
      <w:proofErr w:type="gramEnd"/>
      <w:r w:rsidRPr="610E5706">
        <w:rPr>
          <w:rFonts w:eastAsia="Calibri"/>
        </w:rPr>
        <w:t xml:space="preserve"> with a </w:t>
      </w:r>
      <w:r w:rsidR="00275432">
        <w:rPr>
          <w:rFonts w:eastAsia="Calibri"/>
        </w:rPr>
        <w:t>not yet at</w:t>
      </w:r>
      <w:r w:rsidR="00275432" w:rsidRPr="610E5706">
        <w:rPr>
          <w:rFonts w:eastAsia="Calibri"/>
        </w:rPr>
        <w:t xml:space="preserve"> </w:t>
      </w:r>
      <w:r w:rsidRPr="610E5706">
        <w:rPr>
          <w:rFonts w:eastAsia="Calibri"/>
        </w:rPr>
        <w:t>standard quality rating. As has been shown from Australian national data, there are inequities to accessing high quality care associated with geographic and socio-economic disadvantage (Tang</w:t>
      </w:r>
      <w:r w:rsidR="00E744C5" w:rsidRPr="610E5706">
        <w:rPr>
          <w:rFonts w:eastAsia="Calibri"/>
        </w:rPr>
        <w:t xml:space="preserve"> et al. </w:t>
      </w:r>
      <w:r w:rsidRPr="610E5706">
        <w:rPr>
          <w:rFonts w:eastAsia="Calibri"/>
        </w:rPr>
        <w:t>2024).</w:t>
      </w:r>
    </w:p>
    <w:p w14:paraId="35E4269B" w14:textId="53B99608" w:rsidR="009A3B03" w:rsidRPr="009A3B03" w:rsidRDefault="009A3B03" w:rsidP="009A3B03">
      <w:r w:rsidRPr="009A3B03">
        <w:t xml:space="preserve">In this section, we use statistical techniques to estimate the effect of </w:t>
      </w:r>
      <w:r w:rsidRPr="009A3B03">
        <w:rPr>
          <w:rFonts w:eastAsia="Calibri" w:cstheme="minorHAnsi"/>
        </w:rPr>
        <w:t xml:space="preserve">different </w:t>
      </w:r>
      <w:proofErr w:type="gramStart"/>
      <w:r w:rsidRPr="009A3B03">
        <w:rPr>
          <w:rFonts w:eastAsia="Calibri" w:cstheme="minorHAnsi"/>
        </w:rPr>
        <w:t>child care</w:t>
      </w:r>
      <w:proofErr w:type="gramEnd"/>
      <w:r w:rsidRPr="009A3B03">
        <w:rPr>
          <w:rFonts w:eastAsia="Calibri" w:cstheme="minorHAnsi"/>
        </w:rPr>
        <w:t xml:space="preserve"> quality (</w:t>
      </w:r>
      <w:r w:rsidR="00267E29">
        <w:rPr>
          <w:rFonts w:eastAsia="Calibri" w:cstheme="minorHAnsi"/>
        </w:rPr>
        <w:t>not yet at</w:t>
      </w:r>
      <w:r w:rsidR="00267E29" w:rsidRPr="009A3B03">
        <w:rPr>
          <w:rFonts w:eastAsia="Calibri" w:cstheme="minorHAnsi"/>
        </w:rPr>
        <w:t xml:space="preserve"> </w:t>
      </w:r>
      <w:r w:rsidRPr="009A3B03">
        <w:rPr>
          <w:rFonts w:eastAsia="Calibri" w:cstheme="minorHAnsi"/>
        </w:rPr>
        <w:t xml:space="preserve">standard </w:t>
      </w:r>
      <w:proofErr w:type="gramStart"/>
      <w:r w:rsidRPr="009A3B03">
        <w:rPr>
          <w:rFonts w:eastAsia="Calibri" w:cstheme="minorHAnsi"/>
        </w:rPr>
        <w:t>child care</w:t>
      </w:r>
      <w:proofErr w:type="gramEnd"/>
      <w:r w:rsidRPr="009A3B03">
        <w:rPr>
          <w:rFonts w:eastAsia="Calibri" w:cstheme="minorHAnsi"/>
        </w:rPr>
        <w:t xml:space="preserve">, above standard </w:t>
      </w:r>
      <w:proofErr w:type="gramStart"/>
      <w:r w:rsidRPr="009A3B03">
        <w:rPr>
          <w:rFonts w:eastAsia="Calibri" w:cstheme="minorHAnsi"/>
        </w:rPr>
        <w:t>child care</w:t>
      </w:r>
      <w:proofErr w:type="gramEnd"/>
      <w:r w:rsidRPr="009A3B03">
        <w:rPr>
          <w:rFonts w:eastAsia="Calibri" w:cstheme="minorHAnsi"/>
        </w:rPr>
        <w:t xml:space="preserve">, and no formal </w:t>
      </w:r>
      <w:proofErr w:type="gramStart"/>
      <w:r w:rsidRPr="009A3B03">
        <w:rPr>
          <w:rFonts w:eastAsia="Calibri" w:cstheme="minorHAnsi"/>
        </w:rPr>
        <w:t>child care</w:t>
      </w:r>
      <w:proofErr w:type="gramEnd"/>
      <w:r w:rsidRPr="009A3B03">
        <w:rPr>
          <w:rFonts w:eastAsia="Calibri" w:cstheme="minorHAnsi"/>
        </w:rPr>
        <w:t xml:space="preserve">, with at standard </w:t>
      </w:r>
      <w:proofErr w:type="gramStart"/>
      <w:r w:rsidRPr="009A3B03">
        <w:rPr>
          <w:rFonts w:eastAsia="Calibri" w:cstheme="minorHAnsi"/>
        </w:rPr>
        <w:t>child care</w:t>
      </w:r>
      <w:proofErr w:type="gramEnd"/>
      <w:r w:rsidRPr="009A3B03">
        <w:rPr>
          <w:rFonts w:eastAsia="Calibri" w:cstheme="minorHAnsi"/>
        </w:rPr>
        <w:t xml:space="preserve"> as a reference group), to better understand the relationship between </w:t>
      </w:r>
      <w:proofErr w:type="gramStart"/>
      <w:r w:rsidRPr="009A3B03">
        <w:rPr>
          <w:rFonts w:eastAsia="Calibri" w:cstheme="minorHAnsi"/>
        </w:rPr>
        <w:t>child care</w:t>
      </w:r>
      <w:proofErr w:type="gramEnd"/>
      <w:r w:rsidRPr="009A3B03">
        <w:rPr>
          <w:rFonts w:eastAsia="Calibri" w:cstheme="minorHAnsi"/>
        </w:rPr>
        <w:t xml:space="preserve"> quality </w:t>
      </w:r>
      <w:r w:rsidRPr="009A3B03">
        <w:t>on children’s risk of developmental vulnerability.</w:t>
      </w:r>
    </w:p>
    <w:p w14:paraId="0CA9C6CD" w14:textId="11BD9337" w:rsidR="009A3B03" w:rsidRDefault="009A3B03" w:rsidP="009A3B03">
      <w:pPr>
        <w:rPr>
          <w:rFonts w:eastAsia="Calibri" w:cstheme="minorHAnsi"/>
        </w:rPr>
      </w:pPr>
      <w:r w:rsidRPr="009A3B03">
        <w:rPr>
          <w:rFonts w:eastAsia="Calibri" w:cstheme="minorHAnsi"/>
        </w:rPr>
        <w:t xml:space="preserve">We checked the distribution of </w:t>
      </w:r>
      <w:proofErr w:type="gramStart"/>
      <w:r w:rsidRPr="009A3B03">
        <w:rPr>
          <w:rFonts w:eastAsia="Calibri" w:cstheme="minorHAnsi"/>
        </w:rPr>
        <w:t>child care</w:t>
      </w:r>
      <w:proofErr w:type="gramEnd"/>
      <w:r w:rsidRPr="009A3B03">
        <w:rPr>
          <w:rFonts w:eastAsia="Calibri" w:cstheme="minorHAnsi"/>
        </w:rPr>
        <w:t xml:space="preserve"> </w:t>
      </w:r>
      <w:r w:rsidR="00114106">
        <w:rPr>
          <w:rFonts w:eastAsia="Calibri" w:cstheme="minorHAnsi"/>
        </w:rPr>
        <w:t>hours</w:t>
      </w:r>
      <w:r w:rsidR="00114106" w:rsidRPr="009A3B03">
        <w:rPr>
          <w:rFonts w:eastAsia="Calibri" w:cstheme="minorHAnsi"/>
        </w:rPr>
        <w:t xml:space="preserve"> </w:t>
      </w:r>
      <w:r w:rsidRPr="009A3B03">
        <w:rPr>
          <w:rFonts w:eastAsia="Calibri" w:cstheme="minorHAnsi"/>
        </w:rPr>
        <w:t xml:space="preserve">for the different quality group to make sure that differences in outcomes were not being driven by differences in hours across the quality groups. The distributions of average weekly </w:t>
      </w:r>
      <w:proofErr w:type="gramStart"/>
      <w:r w:rsidRPr="009A3B03">
        <w:rPr>
          <w:rFonts w:eastAsia="Calibri" w:cstheme="minorHAnsi"/>
        </w:rPr>
        <w:t>child care</w:t>
      </w:r>
      <w:proofErr w:type="gramEnd"/>
      <w:r w:rsidRPr="009A3B03">
        <w:rPr>
          <w:rFonts w:eastAsia="Calibri" w:cstheme="minorHAnsi"/>
        </w:rPr>
        <w:t xml:space="preserve"> hours are similar for the three groups using formal </w:t>
      </w:r>
      <w:proofErr w:type="gramStart"/>
      <w:r w:rsidRPr="009A3B03">
        <w:rPr>
          <w:rFonts w:eastAsia="Calibri" w:cstheme="minorHAnsi"/>
        </w:rPr>
        <w:t xml:space="preserve">child </w:t>
      </w:r>
      <w:r w:rsidRPr="009A3B03">
        <w:rPr>
          <w:rFonts w:eastAsia="Calibri" w:cstheme="minorHAnsi"/>
        </w:rPr>
        <w:lastRenderedPageBreak/>
        <w:t>care</w:t>
      </w:r>
      <w:proofErr w:type="gramEnd"/>
      <w:r w:rsidRPr="009A3B03">
        <w:rPr>
          <w:rFonts w:eastAsia="Calibri" w:cstheme="minorHAnsi"/>
        </w:rPr>
        <w:t xml:space="preserve">. The group who did not use formal </w:t>
      </w:r>
      <w:proofErr w:type="gramStart"/>
      <w:r w:rsidRPr="009A3B03">
        <w:rPr>
          <w:rFonts w:eastAsia="Calibri" w:cstheme="minorHAnsi"/>
        </w:rPr>
        <w:t>child care</w:t>
      </w:r>
      <w:proofErr w:type="gramEnd"/>
      <w:r w:rsidRPr="009A3B03">
        <w:rPr>
          <w:rFonts w:eastAsia="Calibri" w:cstheme="minorHAnsi"/>
        </w:rPr>
        <w:t xml:space="preserve"> is also included, noting its diversity (</w:t>
      </w:r>
      <w:proofErr w:type="gramStart"/>
      <w:r w:rsidRPr="009A3B03">
        <w:rPr>
          <w:rFonts w:eastAsia="Calibri" w:cstheme="minorHAnsi"/>
        </w:rPr>
        <w:t>and in particular, the</w:t>
      </w:r>
      <w:proofErr w:type="gramEnd"/>
      <w:r w:rsidRPr="009A3B03">
        <w:rPr>
          <w:rFonts w:eastAsia="Calibri" w:cstheme="minorHAnsi"/>
        </w:rPr>
        <w:t xml:space="preserve"> different outcomes for those who did and did not attend preschool).</w:t>
      </w:r>
    </w:p>
    <w:p w14:paraId="146D244C" w14:textId="30C56472" w:rsidR="00FF1379" w:rsidRPr="009A3B03" w:rsidRDefault="008E04C7" w:rsidP="009A3B03">
      <w:pPr>
        <w:rPr>
          <w:rFonts w:eastAsia="Calibri" w:cstheme="minorHAnsi"/>
        </w:rPr>
      </w:pPr>
      <w:r>
        <w:rPr>
          <w:rFonts w:eastAsia="Calibri" w:cstheme="minorHAnsi"/>
        </w:rPr>
        <w:t>This section focusses on the effect of quality on outcomes</w:t>
      </w:r>
      <w:r w:rsidR="00565708">
        <w:rPr>
          <w:rFonts w:eastAsia="Calibri" w:cstheme="minorHAnsi"/>
        </w:rPr>
        <w:t>. Other analysis that consider</w:t>
      </w:r>
      <w:r w:rsidR="00DA5234">
        <w:rPr>
          <w:rFonts w:eastAsia="Calibri" w:cstheme="minorHAnsi"/>
        </w:rPr>
        <w:t>ed</w:t>
      </w:r>
      <w:r w:rsidR="00565708">
        <w:rPr>
          <w:rFonts w:eastAsia="Calibri" w:cstheme="minorHAnsi"/>
        </w:rPr>
        <w:t xml:space="preserve"> the combined effects of quality and </w:t>
      </w:r>
      <w:r w:rsidR="00D2211F">
        <w:rPr>
          <w:rFonts w:eastAsia="Calibri" w:cstheme="minorHAnsi"/>
        </w:rPr>
        <w:t xml:space="preserve">hours </w:t>
      </w:r>
      <w:r w:rsidR="00565708">
        <w:rPr>
          <w:rFonts w:eastAsia="Calibri" w:cstheme="minorHAnsi"/>
        </w:rPr>
        <w:t xml:space="preserve">suggests that these </w:t>
      </w:r>
      <w:r w:rsidR="00DA5234">
        <w:rPr>
          <w:rFonts w:eastAsia="Calibri" w:cstheme="minorHAnsi"/>
        </w:rPr>
        <w:t xml:space="preserve">dimensions </w:t>
      </w:r>
      <w:r w:rsidR="00565708">
        <w:rPr>
          <w:rFonts w:eastAsia="Calibri" w:cstheme="minorHAnsi"/>
        </w:rPr>
        <w:t>can be considered separately</w:t>
      </w:r>
      <w:r w:rsidR="000367AA">
        <w:rPr>
          <w:rFonts w:eastAsia="Calibri" w:cstheme="minorHAnsi"/>
        </w:rPr>
        <w:t xml:space="preserve">, rather than </w:t>
      </w:r>
      <w:r w:rsidR="00DA5234">
        <w:rPr>
          <w:rFonts w:eastAsia="Calibri" w:cstheme="minorHAnsi"/>
        </w:rPr>
        <w:t>there</w:t>
      </w:r>
      <w:r w:rsidR="000367AA">
        <w:rPr>
          <w:rFonts w:eastAsia="Calibri" w:cstheme="minorHAnsi"/>
        </w:rPr>
        <w:t xml:space="preserve"> being significant interaction effects.</w:t>
      </w:r>
    </w:p>
    <w:p w14:paraId="683C6CAE" w14:textId="0762903F" w:rsidR="009A3B03" w:rsidRPr="009A3B03" w:rsidRDefault="009A3B03" w:rsidP="009A3B03">
      <w:pPr>
        <w:rPr>
          <w:rFonts w:eastAsia="Calibri" w:cstheme="minorHAnsi"/>
        </w:rPr>
      </w:pPr>
      <w:r w:rsidRPr="009A3B03">
        <w:rPr>
          <w:rFonts w:eastAsia="Calibri" w:cstheme="minorHAnsi"/>
        </w:rPr>
        <w:t xml:space="preserve">Overall, the adjusted risk ratios for DV1 and each domain showed the higher the quality rating received by the </w:t>
      </w:r>
      <w:proofErr w:type="gramStart"/>
      <w:r w:rsidRPr="009A3B03">
        <w:rPr>
          <w:rFonts w:eastAsia="Calibri" w:cstheme="minorHAnsi"/>
        </w:rPr>
        <w:t>child care</w:t>
      </w:r>
      <w:proofErr w:type="gramEnd"/>
      <w:r w:rsidRPr="009A3B03">
        <w:rPr>
          <w:rFonts w:eastAsia="Calibri" w:cstheme="minorHAnsi"/>
        </w:rPr>
        <w:t xml:space="preserve"> provider, the better the outcome for the child. Attending above standard </w:t>
      </w:r>
      <w:proofErr w:type="gramStart"/>
      <w:r w:rsidRPr="009A3B03">
        <w:rPr>
          <w:rFonts w:eastAsia="Calibri" w:cstheme="minorHAnsi"/>
        </w:rPr>
        <w:t>child care</w:t>
      </w:r>
      <w:proofErr w:type="gramEnd"/>
      <w:r w:rsidRPr="009A3B03">
        <w:rPr>
          <w:rFonts w:eastAsia="Calibri" w:cstheme="minorHAnsi"/>
        </w:rPr>
        <w:t xml:space="preserve"> decreases the risk of being developmentally vulnerable in DV1 and in each domain when compared with attending at standard </w:t>
      </w:r>
      <w:proofErr w:type="gramStart"/>
      <w:r w:rsidRPr="009A3B03">
        <w:rPr>
          <w:rFonts w:eastAsia="Calibri" w:cstheme="minorHAnsi"/>
        </w:rPr>
        <w:t>child care</w:t>
      </w:r>
      <w:proofErr w:type="gramEnd"/>
      <w:r w:rsidRPr="009A3B03">
        <w:rPr>
          <w:rFonts w:eastAsia="Calibri" w:cstheme="minorHAnsi"/>
        </w:rPr>
        <w:t>. This is consistent with finding from similar studies (focusing on different quality areas) in Australia (Rankin et al</w:t>
      </w:r>
      <w:r w:rsidR="009318A0">
        <w:rPr>
          <w:rFonts w:eastAsia="Calibri" w:cstheme="minorHAnsi"/>
        </w:rPr>
        <w:t>.</w:t>
      </w:r>
      <w:r w:rsidRPr="009A3B03">
        <w:rPr>
          <w:rFonts w:eastAsia="Calibri" w:cstheme="minorHAnsi"/>
        </w:rPr>
        <w:t xml:space="preserve"> 2024), where it is shown that children in services </w:t>
      </w:r>
      <w:r w:rsidR="00C77C6C">
        <w:rPr>
          <w:rFonts w:eastAsia="Calibri" w:cstheme="minorHAnsi"/>
        </w:rPr>
        <w:t>not yet at</w:t>
      </w:r>
      <w:r w:rsidR="00C77C6C" w:rsidRPr="009A3B03">
        <w:rPr>
          <w:rFonts w:eastAsia="Calibri" w:cstheme="minorHAnsi"/>
        </w:rPr>
        <w:t xml:space="preserve"> </w:t>
      </w:r>
      <w:r w:rsidRPr="009A3B03">
        <w:rPr>
          <w:rFonts w:eastAsia="Calibri" w:cstheme="minorHAnsi"/>
        </w:rPr>
        <w:t xml:space="preserve">or at standard had higher rates of developmental vulnerability compared to those in services rated as above standard. </w:t>
      </w:r>
    </w:p>
    <w:p w14:paraId="7122309D" w14:textId="6B447E53" w:rsidR="009A3B03" w:rsidRPr="009A3B03" w:rsidRDefault="009A3B03" w:rsidP="009A3B03">
      <w:pPr>
        <w:rPr>
          <w:rFonts w:ascii="Calibri" w:eastAsia="Calibri" w:hAnsi="Calibri" w:cs="Times New Roman"/>
        </w:rPr>
      </w:pPr>
      <w:r w:rsidRPr="009A3B03">
        <w:rPr>
          <w:rFonts w:eastAsia="Calibri" w:cstheme="minorHAnsi"/>
        </w:rPr>
        <w:t xml:space="preserve">Figure 4 shows risk ratios for being developmentally vulnerable in one or more domains (DV1).   </w:t>
      </w:r>
      <w:r w:rsidRPr="009A3B03">
        <w:rPr>
          <w:rFonts w:ascii="Calibri" w:eastAsia="Calibri" w:hAnsi="Calibri" w:cs="Times New Roman"/>
        </w:rPr>
        <w:t xml:space="preserve">Compared with attending at standard </w:t>
      </w:r>
      <w:proofErr w:type="gramStart"/>
      <w:r w:rsidRPr="009A3B03">
        <w:rPr>
          <w:rFonts w:ascii="Calibri" w:eastAsia="Calibri" w:hAnsi="Calibri" w:cs="Times New Roman"/>
        </w:rPr>
        <w:t>child care</w:t>
      </w:r>
      <w:proofErr w:type="gramEnd"/>
      <w:r w:rsidRPr="009A3B03">
        <w:rPr>
          <w:rFonts w:ascii="Calibri" w:eastAsia="Calibri" w:hAnsi="Calibri" w:cs="Times New Roman"/>
        </w:rPr>
        <w:t xml:space="preserve">, attending above standard quality </w:t>
      </w:r>
      <w:proofErr w:type="gramStart"/>
      <w:r w:rsidRPr="009A3B03">
        <w:rPr>
          <w:rFonts w:ascii="Calibri" w:eastAsia="Calibri" w:hAnsi="Calibri" w:cs="Times New Roman"/>
        </w:rPr>
        <w:t>child care</w:t>
      </w:r>
      <w:proofErr w:type="gramEnd"/>
      <w:r w:rsidRPr="009A3B03">
        <w:rPr>
          <w:rFonts w:ascii="Calibri" w:eastAsia="Calibri" w:hAnsi="Calibri" w:cs="Times New Roman"/>
        </w:rPr>
        <w:t xml:space="preserve"> decreases the risk of being developmentally vulnerable (the adjusted risk ratio is 0.96 – that is, the risk of vulnerability is 4 per cent lower).  Attending </w:t>
      </w:r>
      <w:r w:rsidR="00843C42">
        <w:rPr>
          <w:rFonts w:ascii="Calibri" w:eastAsia="Calibri" w:hAnsi="Calibri" w:cs="Times New Roman"/>
        </w:rPr>
        <w:t>not yet at</w:t>
      </w:r>
      <w:r w:rsidR="00843C42" w:rsidRPr="009A3B03">
        <w:rPr>
          <w:rFonts w:ascii="Calibri" w:eastAsia="Calibri" w:hAnsi="Calibri" w:cs="Times New Roman"/>
        </w:rPr>
        <w:t xml:space="preserve"> </w:t>
      </w:r>
      <w:r w:rsidR="001617D1">
        <w:rPr>
          <w:rFonts w:ascii="Calibri" w:eastAsia="Calibri" w:hAnsi="Calibri" w:cs="Times New Roman"/>
        </w:rPr>
        <w:t xml:space="preserve">standard </w:t>
      </w:r>
      <w:r w:rsidRPr="009A3B03">
        <w:rPr>
          <w:rFonts w:ascii="Calibri" w:eastAsia="Calibri" w:hAnsi="Calibri" w:cs="Times New Roman"/>
        </w:rPr>
        <w:t xml:space="preserve">quality </w:t>
      </w:r>
      <w:proofErr w:type="gramStart"/>
      <w:r w:rsidRPr="009A3B03">
        <w:rPr>
          <w:rFonts w:ascii="Calibri" w:eastAsia="Calibri" w:hAnsi="Calibri" w:cs="Times New Roman"/>
        </w:rPr>
        <w:t>child care</w:t>
      </w:r>
      <w:proofErr w:type="gramEnd"/>
      <w:r w:rsidRPr="009A3B03">
        <w:rPr>
          <w:rFonts w:ascii="Calibri" w:eastAsia="Calibri" w:hAnsi="Calibri" w:cs="Times New Roman"/>
        </w:rPr>
        <w:t xml:space="preserve">, on the other hand, increases the risk of being developmentally vulnerable by 2 per cent. The risk ratio for the group not attending formal </w:t>
      </w:r>
      <w:proofErr w:type="gramStart"/>
      <w:r w:rsidRPr="009A3B03">
        <w:rPr>
          <w:rFonts w:ascii="Calibri" w:eastAsia="Calibri" w:hAnsi="Calibri" w:cs="Times New Roman"/>
        </w:rPr>
        <w:t>child care</w:t>
      </w:r>
      <w:proofErr w:type="gramEnd"/>
      <w:r w:rsidRPr="009A3B03">
        <w:rPr>
          <w:rFonts w:ascii="Calibri" w:eastAsia="Calibri" w:hAnsi="Calibri" w:cs="Times New Roman"/>
        </w:rPr>
        <w:t xml:space="preserve"> is comparable with those attending </w:t>
      </w:r>
      <w:proofErr w:type="gramStart"/>
      <w:r w:rsidRPr="009A3B03">
        <w:rPr>
          <w:rFonts w:ascii="Calibri" w:eastAsia="Calibri" w:hAnsi="Calibri" w:cs="Times New Roman"/>
        </w:rPr>
        <w:t>At</w:t>
      </w:r>
      <w:proofErr w:type="gramEnd"/>
      <w:r w:rsidRPr="009A3B03">
        <w:rPr>
          <w:rFonts w:ascii="Calibri" w:eastAsia="Calibri" w:hAnsi="Calibri" w:cs="Times New Roman"/>
        </w:rPr>
        <w:t xml:space="preserve"> standard </w:t>
      </w:r>
      <w:proofErr w:type="gramStart"/>
      <w:r w:rsidRPr="009A3B03">
        <w:rPr>
          <w:rFonts w:ascii="Calibri" w:eastAsia="Calibri" w:hAnsi="Calibri" w:cs="Times New Roman"/>
        </w:rPr>
        <w:t>child care</w:t>
      </w:r>
      <w:proofErr w:type="gramEnd"/>
      <w:r w:rsidRPr="009A3B03">
        <w:rPr>
          <w:rFonts w:ascii="Calibri" w:eastAsia="Calibri" w:hAnsi="Calibri" w:cs="Times New Roman"/>
        </w:rPr>
        <w:t xml:space="preserve"> before </w:t>
      </w:r>
      <w:proofErr w:type="gramStart"/>
      <w:r w:rsidRPr="009A3B03">
        <w:rPr>
          <w:rFonts w:ascii="Calibri" w:eastAsia="Calibri" w:hAnsi="Calibri" w:cs="Times New Roman"/>
        </w:rPr>
        <w:t>adjustment, and</w:t>
      </w:r>
      <w:proofErr w:type="gramEnd"/>
      <w:r w:rsidRPr="009A3B03">
        <w:rPr>
          <w:rFonts w:ascii="Calibri" w:eastAsia="Calibri" w:hAnsi="Calibri" w:cs="Times New Roman"/>
        </w:rPr>
        <w:t xml:space="preserve"> shows an </w:t>
      </w:r>
      <w:proofErr w:type="gramStart"/>
      <w:r w:rsidRPr="009A3B03">
        <w:rPr>
          <w:rFonts w:ascii="Calibri" w:eastAsia="Calibri" w:hAnsi="Calibri" w:cs="Times New Roman"/>
        </w:rPr>
        <w:t>8 percentage</w:t>
      </w:r>
      <w:proofErr w:type="gramEnd"/>
      <w:r w:rsidRPr="009A3B03">
        <w:rPr>
          <w:rFonts w:ascii="Calibri" w:eastAsia="Calibri" w:hAnsi="Calibri" w:cs="Times New Roman"/>
        </w:rPr>
        <w:t xml:space="preserve"> point lower risk of being developmentally vulnerable.</w:t>
      </w:r>
    </w:p>
    <w:p w14:paraId="4570281D" w14:textId="3DAF3442" w:rsidR="009A3B03" w:rsidRDefault="009A3B03" w:rsidP="00324AC3">
      <w:pPr>
        <w:pStyle w:val="Caption"/>
        <w:rPr>
          <w:noProof/>
        </w:rPr>
      </w:pPr>
      <w:r w:rsidRPr="009A3B03">
        <w:t xml:space="preserve">Figure 4. Risk ratios for the effect of </w:t>
      </w:r>
      <w:proofErr w:type="gramStart"/>
      <w:r w:rsidRPr="009A3B03">
        <w:t>child care</w:t>
      </w:r>
      <w:proofErr w:type="gramEnd"/>
      <w:r w:rsidRPr="009A3B03">
        <w:t xml:space="preserve"> quality on developmental vulnerability on one or more domains compared to attending </w:t>
      </w:r>
      <w:proofErr w:type="gramStart"/>
      <w:r w:rsidRPr="009A3B03">
        <w:rPr>
          <w:i/>
        </w:rPr>
        <w:t>At</w:t>
      </w:r>
      <w:proofErr w:type="gramEnd"/>
      <w:r w:rsidRPr="009A3B03">
        <w:rPr>
          <w:i/>
        </w:rPr>
        <w:t xml:space="preserve"> standard </w:t>
      </w:r>
      <w:proofErr w:type="gramStart"/>
      <w:r w:rsidRPr="009A3B03">
        <w:rPr>
          <w:i/>
        </w:rPr>
        <w:t>child care</w:t>
      </w:r>
      <w:proofErr w:type="gramEnd"/>
      <w:r w:rsidRPr="009A3B03">
        <w:t>.</w:t>
      </w:r>
      <w:r w:rsidR="007D0AC4" w:rsidRPr="007D0AC4">
        <w:rPr>
          <w:noProof/>
        </w:rPr>
        <w:t xml:space="preserve"> </w:t>
      </w:r>
    </w:p>
    <w:p w14:paraId="74363681" w14:textId="10EE40E6" w:rsidR="001D29AC" w:rsidRPr="001D29AC" w:rsidRDefault="001D29AC" w:rsidP="000E6C07">
      <w:r>
        <w:rPr>
          <w:noProof/>
        </w:rPr>
        <w:drawing>
          <wp:inline distT="0" distB="0" distL="0" distR="0" wp14:anchorId="1F3C615E" wp14:editId="20A16EFC">
            <wp:extent cx="5731510" cy="2527300"/>
            <wp:effectExtent l="0" t="0" r="2540" b="6350"/>
            <wp:docPr id="985243282" name="Chart 1" descr="Figure 4 shows risk ratios for being developmentally vulnerable in one or more domains (DV1), by quality of child care attendance.">
              <a:extLst xmlns:a="http://schemas.openxmlformats.org/drawingml/2006/main">
                <a:ext uri="{FF2B5EF4-FFF2-40B4-BE49-F238E27FC236}">
                  <a16:creationId xmlns:a16="http://schemas.microsoft.com/office/drawing/2014/main" id="{B895A927-FE01-E6C8-E493-08F2EDEA6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BFB533" w14:textId="00F38E2F" w:rsidR="009A3B03" w:rsidRPr="009A3B03" w:rsidRDefault="009A3B03" w:rsidP="00007C9D">
      <w:pPr>
        <w:pStyle w:val="Source"/>
      </w:pPr>
      <w:r w:rsidRPr="009A3B03">
        <w:rPr>
          <w:b/>
          <w:bCs/>
        </w:rPr>
        <w:t>Source:</w:t>
      </w:r>
      <w:r w:rsidRPr="009A3B03">
        <w:t xml:space="preserve"> Custom Multi-Agency Data Integration Project (MADIP) extract linked to Australian Early Development Census (AEDC) 2018 and Child Care Management System (CCMS). </w:t>
      </w:r>
    </w:p>
    <w:p w14:paraId="27976F79" w14:textId="5E6D6F98" w:rsidR="009A3B03" w:rsidRPr="009A3B03" w:rsidRDefault="009A3B03" w:rsidP="00007C9D">
      <w:pPr>
        <w:pStyle w:val="Source"/>
      </w:pPr>
      <w:r w:rsidRPr="009A3B03">
        <w:rPr>
          <w:b/>
          <w:bCs/>
        </w:rPr>
        <w:t>Notes</w:t>
      </w:r>
      <w:r w:rsidRPr="009A3B03">
        <w:t xml:space="preserve">: </w:t>
      </w:r>
      <w:r w:rsidRPr="009A3B03">
        <w:rPr>
          <w:rFonts w:ascii="Calibri" w:hAnsi="Calibri" w:cs="Calibri"/>
          <w:color w:val="000000"/>
          <w:shd w:val="clear" w:color="auto" w:fill="FFFFFF"/>
        </w:rPr>
        <w:t>This figure compares children from the 2018 cohort of the Australian Early Development Census. Error bars are 95 per cent confidence interval.</w:t>
      </w:r>
      <w:r w:rsidRPr="009A3B03">
        <w:t xml:space="preserve"> (N=53,795 not attending formal </w:t>
      </w:r>
      <w:proofErr w:type="gramStart"/>
      <w:r w:rsidRPr="009A3B03">
        <w:t>child care</w:t>
      </w:r>
      <w:proofErr w:type="gramEnd"/>
      <w:r w:rsidRPr="009A3B03">
        <w:t xml:space="preserve">; 41,873 attending above standard quality; 53,368 attending at standard quality; 48,566 attending </w:t>
      </w:r>
      <w:r w:rsidR="00C77C6C">
        <w:t>not yet at</w:t>
      </w:r>
      <w:r w:rsidR="00C77C6C" w:rsidRPr="009A3B03">
        <w:t xml:space="preserve"> </w:t>
      </w:r>
      <w:r w:rsidRPr="009A3B03">
        <w:t xml:space="preserve">standard quality; 35,106 attended </w:t>
      </w:r>
      <w:proofErr w:type="gramStart"/>
      <w:r w:rsidRPr="009A3B03">
        <w:t>child care</w:t>
      </w:r>
      <w:proofErr w:type="gramEnd"/>
      <w:r w:rsidRPr="009A3B03">
        <w:t xml:space="preserve"> with unknown quality were removed from this analysis). For simplicity, results from G-computation were the only statistical inference results shown. Further discussion available in methodology. Children may have </w:t>
      </w:r>
      <w:r w:rsidR="001D2B0F">
        <w:t xml:space="preserve">separately </w:t>
      </w:r>
      <w:r w:rsidRPr="009A3B03">
        <w:t xml:space="preserve">attended preschool, which was not captured in the CCMS data.   </w:t>
      </w:r>
    </w:p>
    <w:p w14:paraId="779C37DD" w14:textId="77777777" w:rsidR="009A3B03" w:rsidRPr="009A3B03" w:rsidRDefault="009A3B03" w:rsidP="009A3B03">
      <w:pPr>
        <w:keepNext/>
        <w:keepLines/>
        <w:spacing w:before="320" w:after="60"/>
        <w:outlineLvl w:val="2"/>
        <w:rPr>
          <w:rFonts w:asciiTheme="majorHAnsi" w:eastAsiaTheme="majorEastAsia" w:hAnsiTheme="majorHAnsi" w:cstheme="majorBidi"/>
          <w:b/>
          <w:color w:val="008599" w:themeColor="accent1"/>
          <w:sz w:val="32"/>
          <w:szCs w:val="24"/>
        </w:rPr>
      </w:pPr>
      <w:r w:rsidRPr="009A3B03">
        <w:rPr>
          <w:rFonts w:asciiTheme="majorHAnsi" w:eastAsiaTheme="majorEastAsia" w:hAnsiTheme="majorHAnsi" w:cstheme="majorBidi"/>
          <w:b/>
          <w:color w:val="008599" w:themeColor="accent1"/>
          <w:sz w:val="32"/>
          <w:szCs w:val="24"/>
        </w:rPr>
        <w:lastRenderedPageBreak/>
        <w:t>Cognitive Domains</w:t>
      </w:r>
    </w:p>
    <w:p w14:paraId="3F18215B" w14:textId="275F12F8" w:rsidR="009A3B03" w:rsidRPr="009A3B03" w:rsidRDefault="009A3B03" w:rsidP="009A3B03">
      <w:r w:rsidRPr="009A3B03">
        <w:t xml:space="preserve">The pattern of results for different quality levels on cognitive domains showed that attendance across the quality ratings (compared with not attending formal </w:t>
      </w:r>
      <w:proofErr w:type="gramStart"/>
      <w:r w:rsidRPr="009A3B03">
        <w:t>child care</w:t>
      </w:r>
      <w:proofErr w:type="gramEnd"/>
      <w:r w:rsidRPr="009A3B03">
        <w:t xml:space="preserve">) generally has a protective effect. </w:t>
      </w:r>
    </w:p>
    <w:p w14:paraId="1BC47481" w14:textId="05676FBE" w:rsidR="009A3B03" w:rsidRPr="009A3B03" w:rsidRDefault="009A3B03" w:rsidP="009A3B03">
      <w:r>
        <w:t>In the Language and cognitive skills (school</w:t>
      </w:r>
      <w:r w:rsidR="18EE246C">
        <w:t>-</w:t>
      </w:r>
      <w:r>
        <w:t xml:space="preserve">based) domain (Figure 5), attending Above standard </w:t>
      </w:r>
      <w:proofErr w:type="gramStart"/>
      <w:r>
        <w:t>child care</w:t>
      </w:r>
      <w:proofErr w:type="gramEnd"/>
      <w:r>
        <w:t xml:space="preserve"> lowered the risk of being developmentally vulnerable by 5 per cent. Both attending </w:t>
      </w:r>
      <w:r w:rsidR="00181D6F">
        <w:t xml:space="preserve">not yet at </w:t>
      </w:r>
      <w:r>
        <w:t xml:space="preserve">standard </w:t>
      </w:r>
      <w:proofErr w:type="gramStart"/>
      <w:r>
        <w:t>child care</w:t>
      </w:r>
      <w:proofErr w:type="gramEnd"/>
      <w:r>
        <w:t xml:space="preserve"> and no formal </w:t>
      </w:r>
      <w:proofErr w:type="gramStart"/>
      <w:r>
        <w:t>child care</w:t>
      </w:r>
      <w:proofErr w:type="gramEnd"/>
      <w:r>
        <w:t xml:space="preserve"> increased the risk of being developmentally vulnerable.</w:t>
      </w:r>
    </w:p>
    <w:p w14:paraId="41CD734E" w14:textId="16660920" w:rsidR="00324AC3" w:rsidRDefault="009A3B03" w:rsidP="00324AC3">
      <w:pPr>
        <w:pStyle w:val="Caption"/>
      </w:pPr>
      <w:r>
        <w:t xml:space="preserve">Figure 5. Risk ratios for the effect of </w:t>
      </w:r>
      <w:proofErr w:type="gramStart"/>
      <w:r>
        <w:t>child care</w:t>
      </w:r>
      <w:proofErr w:type="gramEnd"/>
      <w:r>
        <w:t xml:space="preserve"> quality on developmental vulnerability in the Language and cognitive skills (school</w:t>
      </w:r>
      <w:r w:rsidR="12B9403D">
        <w:t>-</w:t>
      </w:r>
      <w:r>
        <w:t xml:space="preserve">based) domain, compared to attending </w:t>
      </w:r>
      <w:proofErr w:type="gramStart"/>
      <w:r w:rsidRPr="610E5706">
        <w:rPr>
          <w:i/>
        </w:rPr>
        <w:t>At</w:t>
      </w:r>
      <w:proofErr w:type="gramEnd"/>
      <w:r w:rsidRPr="610E5706">
        <w:rPr>
          <w:i/>
        </w:rPr>
        <w:t xml:space="preserve"> standard </w:t>
      </w:r>
      <w:proofErr w:type="gramStart"/>
      <w:r w:rsidRPr="610E5706">
        <w:rPr>
          <w:i/>
        </w:rPr>
        <w:t>child care</w:t>
      </w:r>
      <w:proofErr w:type="gramEnd"/>
      <w:r>
        <w:t xml:space="preserve">. </w:t>
      </w:r>
    </w:p>
    <w:p w14:paraId="335ABE7F" w14:textId="6C366F9D" w:rsidR="009A3B03" w:rsidRPr="009A3B03" w:rsidRDefault="00E15E0A" w:rsidP="00324AC3">
      <w:pPr>
        <w:pStyle w:val="Caption"/>
      </w:pPr>
      <w:r w:rsidRPr="00E15E0A">
        <w:rPr>
          <w:noProof/>
        </w:rPr>
        <w:t xml:space="preserve"> </w:t>
      </w:r>
      <w:r>
        <w:rPr>
          <w:noProof/>
        </w:rPr>
        <w:drawing>
          <wp:inline distT="0" distB="0" distL="0" distR="0" wp14:anchorId="15E8EAE9" wp14:editId="7DE0A4A1">
            <wp:extent cx="5731510" cy="2432050"/>
            <wp:effectExtent l="0" t="0" r="2540" b="6350"/>
            <wp:docPr id="2096951194" name="Chart 1" descr="Figure 5 shows risk ratios for being developmentally vulnerable in the Language and cognitive skills (school-based) domain, by quality of child care attendance.">
              <a:extLst xmlns:a="http://schemas.openxmlformats.org/drawingml/2006/main">
                <a:ext uri="{FF2B5EF4-FFF2-40B4-BE49-F238E27FC236}">
                  <a16:creationId xmlns:a16="http://schemas.microsoft.com/office/drawing/2014/main" id="{56B1590A-E689-E64B-60E8-E3816F1008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4ACAE7" w14:textId="3A362C43"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3F56E5AC" w14:textId="4B4CD3E4"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Error bars are 95 per cent confidence intervals. N =232,693. For simplicity, results from G-computation were the only statistical inference results shown. Further discussion available in methodology. Children may have</w:t>
      </w:r>
      <w:r w:rsidR="0076230D">
        <w:t xml:space="preserve"> </w:t>
      </w:r>
      <w:proofErr w:type="gramStart"/>
      <w:r w:rsidR="0076230D">
        <w:t xml:space="preserve">separately </w:t>
      </w:r>
      <w:r w:rsidRPr="009A3B03">
        <w:t xml:space="preserve"> attended</w:t>
      </w:r>
      <w:proofErr w:type="gramEnd"/>
      <w:r w:rsidRPr="009A3B03">
        <w:t xml:space="preserve"> preschool, which was not captured in the CCMS data.   </w:t>
      </w:r>
    </w:p>
    <w:p w14:paraId="03B5C497" w14:textId="5D69AB97" w:rsidR="009A3B03" w:rsidRPr="009A3B03" w:rsidRDefault="009A3B03" w:rsidP="009A3B03">
      <w:r>
        <w:t xml:space="preserve">Attending above standard quality </w:t>
      </w:r>
      <w:proofErr w:type="gramStart"/>
      <w:r>
        <w:t>child care</w:t>
      </w:r>
      <w:proofErr w:type="gramEnd"/>
      <w:r>
        <w:t xml:space="preserve"> was a protective factor for developmental vulnerabilities both before and after adjustment. Adjusting for the different characteristics of the groups lowers the apparent risk ratios of groups using </w:t>
      </w:r>
      <w:r w:rsidR="009B3E56">
        <w:t xml:space="preserve">not yet at </w:t>
      </w:r>
      <w:r>
        <w:t xml:space="preserve">standard or no formal </w:t>
      </w:r>
      <w:proofErr w:type="gramStart"/>
      <w:r>
        <w:t>child care</w:t>
      </w:r>
      <w:proofErr w:type="gramEnd"/>
      <w:r>
        <w:t>, though the point estimates still show higher risks of being</w:t>
      </w:r>
      <w:r w:rsidR="50025EB7">
        <w:t xml:space="preserve"> developmentally</w:t>
      </w:r>
      <w:r>
        <w:t xml:space="preserve"> vulnerable than for children in at standard quality care. </w:t>
      </w:r>
    </w:p>
    <w:p w14:paraId="6F4384CF" w14:textId="77777777" w:rsidR="009A3B03" w:rsidRPr="009A3B03" w:rsidRDefault="009A3B03" w:rsidP="00007C9D">
      <w:pPr>
        <w:pStyle w:val="Caption"/>
      </w:pPr>
      <w:r w:rsidRPr="009A3B03">
        <w:rPr>
          <w:bCs/>
        </w:rPr>
        <w:lastRenderedPageBreak/>
        <w:t xml:space="preserve">Figure 6. </w:t>
      </w:r>
      <w:r w:rsidRPr="009A3B03">
        <w:t xml:space="preserve">Risk ratios for the effect of </w:t>
      </w:r>
      <w:proofErr w:type="gramStart"/>
      <w:r w:rsidRPr="009A3B03">
        <w:t>child care</w:t>
      </w:r>
      <w:proofErr w:type="gramEnd"/>
      <w:r w:rsidRPr="009A3B03">
        <w:t xml:space="preserve"> </w:t>
      </w:r>
      <w:r w:rsidRPr="009A3B03">
        <w:rPr>
          <w:bCs/>
        </w:rPr>
        <w:t>quality</w:t>
      </w:r>
      <w:r w:rsidRPr="009A3B03">
        <w:t xml:space="preserve"> on </w:t>
      </w:r>
      <w:r w:rsidRPr="009A3B03">
        <w:rPr>
          <w:bCs/>
        </w:rPr>
        <w:t>developmental</w:t>
      </w:r>
      <w:r w:rsidRPr="009A3B03">
        <w:t xml:space="preserve"> vulnerability</w:t>
      </w:r>
      <w:r w:rsidRPr="009A3B03">
        <w:rPr>
          <w:bCs/>
        </w:rPr>
        <w:t xml:space="preserve"> in the Communication skills and general knowledge </w:t>
      </w:r>
      <w:r w:rsidRPr="00007C9D">
        <w:t>domain</w:t>
      </w:r>
      <w:r w:rsidRPr="009A3B03">
        <w:t xml:space="preserve">, compared to attending </w:t>
      </w:r>
      <w:proofErr w:type="gramStart"/>
      <w:r w:rsidRPr="009A3B03">
        <w:rPr>
          <w:i/>
        </w:rPr>
        <w:t>At</w:t>
      </w:r>
      <w:proofErr w:type="gramEnd"/>
      <w:r w:rsidRPr="009A3B03">
        <w:rPr>
          <w:i/>
        </w:rPr>
        <w:t xml:space="preserve"> standard </w:t>
      </w:r>
      <w:proofErr w:type="gramStart"/>
      <w:r w:rsidRPr="009A3B03">
        <w:rPr>
          <w:i/>
        </w:rPr>
        <w:t>child care</w:t>
      </w:r>
      <w:proofErr w:type="gramEnd"/>
      <w:r w:rsidRPr="009A3B03" w:rsidDel="001761B1">
        <w:t>.</w:t>
      </w:r>
      <w:r w:rsidRPr="009A3B03">
        <w:t xml:space="preserve"> </w:t>
      </w:r>
    </w:p>
    <w:p w14:paraId="2EFEE7D4" w14:textId="39E8B0EC" w:rsidR="009A3B03" w:rsidRPr="009A3B03" w:rsidRDefault="005F52A3" w:rsidP="00324AC3">
      <w:pPr>
        <w:pStyle w:val="Source"/>
      </w:pPr>
      <w:r w:rsidRPr="005F52A3">
        <w:rPr>
          <w:noProof/>
        </w:rPr>
        <w:t xml:space="preserve"> </w:t>
      </w:r>
      <w:r>
        <w:rPr>
          <w:noProof/>
        </w:rPr>
        <w:drawing>
          <wp:inline distT="0" distB="0" distL="0" distR="0" wp14:anchorId="165D289F" wp14:editId="27D8DC5A">
            <wp:extent cx="5731510" cy="2355215"/>
            <wp:effectExtent l="0" t="0" r="2540" b="6985"/>
            <wp:docPr id="1201716158" name="Chart 1" descr="Figure 6 shows risk ratios for being developmentally vulnerable in the Communication skills and general knowledge domain, by quality of child care attendance.">
              <a:extLst xmlns:a="http://schemas.openxmlformats.org/drawingml/2006/main">
                <a:ext uri="{FF2B5EF4-FFF2-40B4-BE49-F238E27FC236}">
                  <a16:creationId xmlns:a16="http://schemas.microsoft.com/office/drawing/2014/main" id="{CCD1BD9A-AC09-2CA2-E5C3-0282E7129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FE708F" w14:textId="216E1D2C" w:rsidR="00324AC3" w:rsidRDefault="009A3B03" w:rsidP="00324AC3">
      <w:pPr>
        <w:pStyle w:val="Source"/>
      </w:pPr>
      <w:r w:rsidRPr="00324AC3">
        <w:rPr>
          <w:b/>
          <w:bCs/>
        </w:rPr>
        <w:t>Source</w:t>
      </w:r>
      <w:r w:rsidRPr="00324AC3">
        <w:t xml:space="preserve">: Customised ‘First Five Years’ extract from the Multi-Agency Data Integration Project. </w:t>
      </w:r>
    </w:p>
    <w:p w14:paraId="0410739B" w14:textId="1861E2B3" w:rsidR="009A3B03" w:rsidRPr="00324AC3" w:rsidRDefault="009A3B03" w:rsidP="00324AC3">
      <w:pPr>
        <w:pStyle w:val="Source"/>
      </w:pPr>
      <w:r w:rsidRPr="00324AC3">
        <w:rPr>
          <w:b/>
          <w:bCs/>
        </w:rPr>
        <w:t>Notes</w:t>
      </w:r>
      <w:r w:rsidRPr="00324AC3">
        <w:t xml:space="preserve">: This figure compares children from the 2018 cohort of the Australian Early Development Census. Error bars are 95 per cent confidence intervals. N =232,693. For simplicity, results from G-computation were the only statistical inference results shown. Further discussion available in methodology. Children may have </w:t>
      </w:r>
      <w:r w:rsidR="006F6B4E">
        <w:t xml:space="preserve">separately </w:t>
      </w:r>
      <w:r w:rsidRPr="00324AC3">
        <w:t xml:space="preserve">attended preschool, which was not captured in the CCMS data.   </w:t>
      </w:r>
    </w:p>
    <w:p w14:paraId="062FAEA5" w14:textId="77777777" w:rsidR="009A3B03" w:rsidRPr="009A3B03" w:rsidRDefault="009A3B03" w:rsidP="009A3B03">
      <w:r w:rsidRPr="009A3B03">
        <w:t xml:space="preserve">The same pattern was present for the communication skills and general knowledge domain. Above standard </w:t>
      </w:r>
      <w:proofErr w:type="gramStart"/>
      <w:r w:rsidRPr="009A3B03">
        <w:t>child care</w:t>
      </w:r>
      <w:proofErr w:type="gramEnd"/>
      <w:r w:rsidRPr="009A3B03">
        <w:t xml:space="preserve"> was estimated to be a statistically significant protective factor after adjustment, compared with those attending </w:t>
      </w:r>
      <w:proofErr w:type="gramStart"/>
      <w:r w:rsidRPr="009A3B03">
        <w:t>At</w:t>
      </w:r>
      <w:proofErr w:type="gramEnd"/>
      <w:r w:rsidRPr="009A3B03">
        <w:t xml:space="preserve"> standard </w:t>
      </w:r>
      <w:proofErr w:type="gramStart"/>
      <w:r w:rsidRPr="009A3B03">
        <w:t>child care</w:t>
      </w:r>
      <w:proofErr w:type="gramEnd"/>
      <w:r w:rsidRPr="009A3B03">
        <w:t xml:space="preserve">. </w:t>
      </w:r>
    </w:p>
    <w:p w14:paraId="6E4B9F4B" w14:textId="77777777" w:rsidR="009A3B03" w:rsidRPr="009A3B03" w:rsidRDefault="009A3B03" w:rsidP="009A3B03">
      <w:pPr>
        <w:keepNext/>
        <w:keepLines/>
        <w:spacing w:before="320" w:after="60"/>
        <w:outlineLvl w:val="2"/>
        <w:rPr>
          <w:rFonts w:asciiTheme="majorHAnsi" w:eastAsiaTheme="majorEastAsia" w:hAnsiTheme="majorHAnsi" w:cstheme="majorBidi"/>
          <w:b/>
          <w:color w:val="008599" w:themeColor="accent1"/>
          <w:sz w:val="32"/>
          <w:szCs w:val="24"/>
        </w:rPr>
      </w:pPr>
      <w:r w:rsidRPr="009A3B03">
        <w:rPr>
          <w:rFonts w:asciiTheme="majorHAnsi" w:eastAsiaTheme="majorEastAsia" w:hAnsiTheme="majorHAnsi" w:cstheme="majorBidi"/>
          <w:b/>
          <w:color w:val="008599" w:themeColor="accent1"/>
          <w:sz w:val="32"/>
          <w:szCs w:val="24"/>
        </w:rPr>
        <w:t>Non-Cognitive Domains</w:t>
      </w:r>
    </w:p>
    <w:p w14:paraId="662AF8A7" w14:textId="77777777" w:rsidR="009A3B03" w:rsidRPr="009A3B03" w:rsidRDefault="009A3B03" w:rsidP="009A3B03">
      <w:r w:rsidRPr="009A3B03">
        <w:t>Results for social competence and emotional maturity domains were broadly similar, while the physical health and wellbeing domain displayed a different pattern.</w:t>
      </w:r>
    </w:p>
    <w:p w14:paraId="19921AFA" w14:textId="1DA1C601" w:rsidR="009A3B03" w:rsidRPr="009A3B03" w:rsidRDefault="009A3B03" w:rsidP="009A3B03">
      <w:r>
        <w:t xml:space="preserve">Adjusting for the different characteristics of the different groups had a relatively smaller effect for the emotional maturity domain (figure 7). Above standard </w:t>
      </w:r>
      <w:proofErr w:type="gramStart"/>
      <w:r>
        <w:t>child care</w:t>
      </w:r>
      <w:proofErr w:type="gramEnd"/>
      <w:r>
        <w:t xml:space="preserve"> was estimated to have a lower risk of </w:t>
      </w:r>
      <w:r w:rsidR="23120011">
        <w:t xml:space="preserve">developmental </w:t>
      </w:r>
      <w:r>
        <w:t xml:space="preserve">vulnerability on the emotional maturity domain compared to </w:t>
      </w:r>
      <w:proofErr w:type="spellStart"/>
      <w:r>
        <w:t>at</w:t>
      </w:r>
      <w:proofErr w:type="spellEnd"/>
      <w:r>
        <w:t xml:space="preserve"> standard </w:t>
      </w:r>
      <w:proofErr w:type="gramStart"/>
      <w:r>
        <w:t>child care</w:t>
      </w:r>
      <w:proofErr w:type="gramEnd"/>
      <w:r>
        <w:t xml:space="preserve">.  The risk ratio for the group not attending formal </w:t>
      </w:r>
      <w:proofErr w:type="gramStart"/>
      <w:r>
        <w:t>child care</w:t>
      </w:r>
      <w:proofErr w:type="gramEnd"/>
      <w:r>
        <w:t xml:space="preserve"> was the lowest, both before and after adjustment.</w:t>
      </w:r>
    </w:p>
    <w:p w14:paraId="08358877" w14:textId="5EFCE2B7" w:rsidR="006A7B5A" w:rsidRPr="006A7B5A" w:rsidRDefault="009A3B03" w:rsidP="006A7B5A">
      <w:pPr>
        <w:pStyle w:val="Caption"/>
      </w:pPr>
      <w:r w:rsidRPr="009A3B03">
        <w:rPr>
          <w:bCs/>
        </w:rPr>
        <w:lastRenderedPageBreak/>
        <w:t xml:space="preserve">Figure 7. </w:t>
      </w:r>
      <w:r w:rsidRPr="009A3B03">
        <w:t xml:space="preserve">Risk ratios for the effect of </w:t>
      </w:r>
      <w:proofErr w:type="gramStart"/>
      <w:r w:rsidRPr="009A3B03">
        <w:t>child care</w:t>
      </w:r>
      <w:proofErr w:type="gramEnd"/>
      <w:r w:rsidRPr="009A3B03">
        <w:t xml:space="preserve"> </w:t>
      </w:r>
      <w:r w:rsidRPr="009A3B03">
        <w:rPr>
          <w:bCs/>
        </w:rPr>
        <w:t xml:space="preserve">quality </w:t>
      </w:r>
      <w:r w:rsidRPr="009A3B03">
        <w:t xml:space="preserve">on </w:t>
      </w:r>
      <w:r w:rsidRPr="009A3B03">
        <w:rPr>
          <w:bCs/>
        </w:rPr>
        <w:t>developmental</w:t>
      </w:r>
      <w:r w:rsidRPr="009A3B03">
        <w:t xml:space="preserve"> vulnerability</w:t>
      </w:r>
      <w:r w:rsidRPr="009A3B03">
        <w:rPr>
          <w:bCs/>
        </w:rPr>
        <w:t xml:space="preserve"> in the Emotional maturity domain</w:t>
      </w:r>
      <w:r w:rsidRPr="009A3B03">
        <w:t xml:space="preserve">, compared to attending </w:t>
      </w:r>
      <w:proofErr w:type="gramStart"/>
      <w:r w:rsidRPr="009A3B03">
        <w:rPr>
          <w:i/>
        </w:rPr>
        <w:t>At</w:t>
      </w:r>
      <w:proofErr w:type="gramEnd"/>
      <w:r w:rsidRPr="009A3B03">
        <w:rPr>
          <w:i/>
        </w:rPr>
        <w:t xml:space="preserve"> standard </w:t>
      </w:r>
      <w:proofErr w:type="gramStart"/>
      <w:r w:rsidRPr="009A3B03">
        <w:rPr>
          <w:i/>
        </w:rPr>
        <w:t>child care</w:t>
      </w:r>
      <w:proofErr w:type="gramEnd"/>
      <w:r w:rsidRPr="009A3B03" w:rsidDel="001761B1">
        <w:t>.</w:t>
      </w:r>
      <w:r w:rsidRPr="009A3B03">
        <w:t xml:space="preserve"> </w:t>
      </w:r>
    </w:p>
    <w:p w14:paraId="476CEAA6" w14:textId="7E42ABF7" w:rsidR="009A3B03" w:rsidRPr="009A3B03" w:rsidRDefault="00A60BA7" w:rsidP="009A3B03">
      <w:r w:rsidRPr="00A60BA7">
        <w:rPr>
          <w:noProof/>
        </w:rPr>
        <w:t xml:space="preserve"> </w:t>
      </w:r>
      <w:r w:rsidR="005C7402" w:rsidRPr="005C7402">
        <w:rPr>
          <w:noProof/>
        </w:rPr>
        <w:t xml:space="preserve"> </w:t>
      </w:r>
      <w:r w:rsidR="005C7402">
        <w:rPr>
          <w:noProof/>
        </w:rPr>
        <w:drawing>
          <wp:inline distT="0" distB="0" distL="0" distR="0" wp14:anchorId="5F79C514" wp14:editId="65FD94D6">
            <wp:extent cx="5722938" cy="2609850"/>
            <wp:effectExtent l="0" t="0" r="0" b="0"/>
            <wp:docPr id="2023610744" name="Chart 1" descr="Figure 7 shows risk ratios for being developmentally vulnerable in the Emotional maturity domain, by quality of child care attendance.">
              <a:extLst xmlns:a="http://schemas.openxmlformats.org/drawingml/2006/main">
                <a:ext uri="{FF2B5EF4-FFF2-40B4-BE49-F238E27FC236}">
                  <a16:creationId xmlns:a16="http://schemas.microsoft.com/office/drawing/2014/main" id="{40CE9CD3-F3B7-FAD8-7AB3-EADF8044F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72C36A" w14:textId="5333C321"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25BF7C92" w14:textId="03D1A4C8"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 xml:space="preserve">Error bars are 95 per cent confidence intervals. N =232,693. For simplicity, results from G-computation were the only statistical inference results shown. Further discussion available in methodology. Children may have </w:t>
      </w:r>
      <w:r w:rsidR="00CF3FBF">
        <w:t xml:space="preserve">separately </w:t>
      </w:r>
      <w:r w:rsidRPr="009A3B03">
        <w:t xml:space="preserve">attended preschool, which was not captured in the CCMS data.   </w:t>
      </w:r>
    </w:p>
    <w:p w14:paraId="172D6E06" w14:textId="47A7E4AE" w:rsidR="006A7B5A" w:rsidRDefault="009A3B03" w:rsidP="006A7B5A">
      <w:pPr>
        <w:pStyle w:val="Caption"/>
      </w:pPr>
      <w:r w:rsidRPr="009A3B03">
        <w:rPr>
          <w:bCs/>
        </w:rPr>
        <w:t xml:space="preserve">Figure 8. </w:t>
      </w:r>
      <w:r w:rsidRPr="009A3B03">
        <w:t xml:space="preserve">Risk ratios for the effect of </w:t>
      </w:r>
      <w:proofErr w:type="gramStart"/>
      <w:r w:rsidRPr="009A3B03">
        <w:t>child care</w:t>
      </w:r>
      <w:proofErr w:type="gramEnd"/>
      <w:r w:rsidRPr="009A3B03">
        <w:t xml:space="preserve"> </w:t>
      </w:r>
      <w:r w:rsidRPr="009A3B03">
        <w:rPr>
          <w:bCs/>
        </w:rPr>
        <w:t xml:space="preserve">quality </w:t>
      </w:r>
      <w:r w:rsidRPr="009A3B03">
        <w:t xml:space="preserve">on </w:t>
      </w:r>
      <w:r w:rsidRPr="009A3B03">
        <w:rPr>
          <w:bCs/>
        </w:rPr>
        <w:t>developmental</w:t>
      </w:r>
      <w:r w:rsidRPr="009A3B03">
        <w:t xml:space="preserve"> vulnerability</w:t>
      </w:r>
      <w:r w:rsidRPr="009A3B03">
        <w:rPr>
          <w:bCs/>
        </w:rPr>
        <w:t xml:space="preserve"> in the </w:t>
      </w:r>
      <w:proofErr w:type="gramStart"/>
      <w:r w:rsidR="00EC63E6">
        <w:rPr>
          <w:bCs/>
        </w:rPr>
        <w:t>S</w:t>
      </w:r>
      <w:r w:rsidRPr="009A3B03">
        <w:rPr>
          <w:bCs/>
        </w:rPr>
        <w:t>ocial</w:t>
      </w:r>
      <w:proofErr w:type="gramEnd"/>
      <w:r w:rsidRPr="009A3B03">
        <w:rPr>
          <w:bCs/>
        </w:rPr>
        <w:t xml:space="preserve"> competence domain</w:t>
      </w:r>
      <w:r w:rsidRPr="009A3B03">
        <w:t xml:space="preserve">, compared to </w:t>
      </w:r>
      <w:bookmarkStart w:id="9" w:name="_Hlk170980521"/>
      <w:r w:rsidRPr="009A3B03">
        <w:t xml:space="preserve">attending </w:t>
      </w:r>
      <w:proofErr w:type="gramStart"/>
      <w:r w:rsidRPr="009A3B03">
        <w:rPr>
          <w:i/>
        </w:rPr>
        <w:t>At</w:t>
      </w:r>
      <w:proofErr w:type="gramEnd"/>
      <w:r w:rsidRPr="009A3B03">
        <w:rPr>
          <w:i/>
        </w:rPr>
        <w:t xml:space="preserve"> standard </w:t>
      </w:r>
      <w:proofErr w:type="gramStart"/>
      <w:r w:rsidRPr="009A3B03">
        <w:rPr>
          <w:i/>
        </w:rPr>
        <w:t>child care</w:t>
      </w:r>
      <w:bookmarkEnd w:id="9"/>
      <w:proofErr w:type="gramEnd"/>
      <w:r w:rsidRPr="009A3B03">
        <w:t xml:space="preserve">. </w:t>
      </w:r>
    </w:p>
    <w:p w14:paraId="21D133FE" w14:textId="1CAB2D54" w:rsidR="009A3B03" w:rsidRPr="009A3B03" w:rsidRDefault="005E5C9B" w:rsidP="006A7B5A">
      <w:pPr>
        <w:pStyle w:val="Caption"/>
      </w:pPr>
      <w:r w:rsidRPr="005E5C9B">
        <w:rPr>
          <w:noProof/>
        </w:rPr>
        <w:t xml:space="preserve"> </w:t>
      </w:r>
      <w:r>
        <w:rPr>
          <w:noProof/>
        </w:rPr>
        <w:drawing>
          <wp:inline distT="0" distB="0" distL="0" distR="0" wp14:anchorId="073CD159" wp14:editId="3C054617">
            <wp:extent cx="5731510" cy="2390775"/>
            <wp:effectExtent l="0" t="0" r="2540" b="0"/>
            <wp:docPr id="815165602" name="Chart 1" descr="Figure 8 shows risk ratios for being developmentally vulnerable in the Social competence domain, by quality of child care attendance.">
              <a:extLst xmlns:a="http://schemas.openxmlformats.org/drawingml/2006/main">
                <a:ext uri="{FF2B5EF4-FFF2-40B4-BE49-F238E27FC236}">
                  <a16:creationId xmlns:a16="http://schemas.microsoft.com/office/drawing/2014/main" id="{FB999314-7119-DDEF-6821-8E6B920678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C466B2" w14:textId="04AA113D" w:rsidR="009A3B03" w:rsidRPr="009A3B03" w:rsidRDefault="009A3B03" w:rsidP="00007C9D">
      <w:pPr>
        <w:pStyle w:val="Source"/>
        <w:rPr>
          <w:shd w:val="clear" w:color="auto" w:fill="FFFFFF"/>
        </w:rPr>
      </w:pPr>
      <w:r w:rsidRPr="009A3B03">
        <w:rPr>
          <w:b/>
          <w:bCs/>
          <w:shd w:val="clear" w:color="auto" w:fill="FFFFFF"/>
        </w:rPr>
        <w:t>Source</w:t>
      </w:r>
      <w:r w:rsidRPr="009A3B03">
        <w:rPr>
          <w:shd w:val="clear" w:color="auto" w:fill="FFFFFF"/>
        </w:rPr>
        <w:t>: Customised ‘First Five Years’ extract from the Multi-Agency Data Integration Project.</w:t>
      </w:r>
    </w:p>
    <w:p w14:paraId="16A4A930" w14:textId="0B64005E"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rPr>
          <w:sz w:val="16"/>
          <w:szCs w:val="16"/>
        </w:rPr>
        <w:t xml:space="preserve"> </w:t>
      </w:r>
      <w:r w:rsidRPr="009A3B03">
        <w:t>Error bars are 95 per cent confidence intervals. N =232,693. For simplicity, results from G-computation were the only statistical inference results shown. Further discussion available in methodology. Children may have</w:t>
      </w:r>
      <w:r w:rsidR="004D48E3">
        <w:t xml:space="preserve"> separately</w:t>
      </w:r>
      <w:r w:rsidRPr="009A3B03">
        <w:t xml:space="preserve"> attended preschool, which was not captured in the CCMS data.   </w:t>
      </w:r>
    </w:p>
    <w:p w14:paraId="45FB46EB" w14:textId="166EDA43" w:rsidR="009A3B03" w:rsidRPr="009A3B03" w:rsidRDefault="009A3B03" w:rsidP="009A3B03">
      <w:r>
        <w:t xml:space="preserve">Adjusting for the different characteristics of the groups accessing different quality </w:t>
      </w:r>
      <w:proofErr w:type="gramStart"/>
      <w:r>
        <w:t>child care</w:t>
      </w:r>
      <w:proofErr w:type="gramEnd"/>
      <w:r>
        <w:t xml:space="preserve"> produced a broadly similar pattern to the unadjusted results for the social competence domain </w:t>
      </w:r>
      <w:r>
        <w:lastRenderedPageBreak/>
        <w:t xml:space="preserve">(Figure 8).  Central estimates showed higher quality </w:t>
      </w:r>
      <w:proofErr w:type="gramStart"/>
      <w:r>
        <w:t>child care</w:t>
      </w:r>
      <w:proofErr w:type="gramEnd"/>
      <w:r>
        <w:t xml:space="preserve"> had lower risk ratios for </w:t>
      </w:r>
      <w:r w:rsidR="01ED8B2F">
        <w:t xml:space="preserve">developmental </w:t>
      </w:r>
      <w:r>
        <w:t xml:space="preserve">vulnerabilities on this domain, with a statistically significant difference between above and </w:t>
      </w:r>
      <w:r w:rsidR="0023572A">
        <w:t xml:space="preserve">not yet at </w:t>
      </w:r>
      <w:r>
        <w:t xml:space="preserve">standard care. The group not attending formal </w:t>
      </w:r>
      <w:proofErr w:type="gramStart"/>
      <w:r>
        <w:t>child care</w:t>
      </w:r>
      <w:proofErr w:type="gramEnd"/>
      <w:r>
        <w:t xml:space="preserve"> had the lowest risk ratio</w:t>
      </w:r>
      <w:r w:rsidR="007C6B50">
        <w:t xml:space="preserve">, recognising </w:t>
      </w:r>
      <w:proofErr w:type="gramStart"/>
      <w:r w:rsidR="007C6B50">
        <w:t>the majority of</w:t>
      </w:r>
      <w:proofErr w:type="gramEnd"/>
      <w:r w:rsidR="007C6B50">
        <w:t xml:space="preserve"> these children attended preschool</w:t>
      </w:r>
      <w:r>
        <w:t>.</w:t>
      </w:r>
    </w:p>
    <w:p w14:paraId="4A48CBF9" w14:textId="35B7F416" w:rsidR="009A3B03" w:rsidRPr="009A3B03" w:rsidRDefault="009A3B03" w:rsidP="00007C9D">
      <w:pPr>
        <w:pStyle w:val="Caption"/>
      </w:pPr>
      <w:r w:rsidRPr="009A3B03">
        <w:rPr>
          <w:bCs/>
        </w:rPr>
        <w:t xml:space="preserve">Figure 9. </w:t>
      </w:r>
      <w:r w:rsidRPr="009A3B03">
        <w:t xml:space="preserve">Risk ratios for the effect of </w:t>
      </w:r>
      <w:proofErr w:type="gramStart"/>
      <w:r w:rsidRPr="009A3B03">
        <w:t>child care</w:t>
      </w:r>
      <w:proofErr w:type="gramEnd"/>
      <w:r w:rsidRPr="009A3B03">
        <w:t xml:space="preserve"> </w:t>
      </w:r>
      <w:r w:rsidRPr="009A3B03">
        <w:rPr>
          <w:bCs/>
        </w:rPr>
        <w:t xml:space="preserve">quality </w:t>
      </w:r>
      <w:r w:rsidRPr="009A3B03">
        <w:t xml:space="preserve">on </w:t>
      </w:r>
      <w:r w:rsidRPr="009A3B03">
        <w:rPr>
          <w:bCs/>
        </w:rPr>
        <w:t>developmental</w:t>
      </w:r>
      <w:r w:rsidRPr="009A3B03">
        <w:t xml:space="preserve"> vulnerability</w:t>
      </w:r>
      <w:r w:rsidRPr="009A3B03">
        <w:rPr>
          <w:bCs/>
        </w:rPr>
        <w:t xml:space="preserve"> in the </w:t>
      </w:r>
      <w:r w:rsidR="00D14C3B">
        <w:rPr>
          <w:bCs/>
        </w:rPr>
        <w:t>P</w:t>
      </w:r>
      <w:r w:rsidRPr="009A3B03">
        <w:rPr>
          <w:bCs/>
        </w:rPr>
        <w:t>hysical health and wellbeing domain</w:t>
      </w:r>
      <w:r w:rsidRPr="009A3B03">
        <w:t xml:space="preserve">, compared to attending </w:t>
      </w:r>
      <w:proofErr w:type="gramStart"/>
      <w:r w:rsidRPr="009A3B03">
        <w:rPr>
          <w:i/>
        </w:rPr>
        <w:t>At</w:t>
      </w:r>
      <w:proofErr w:type="gramEnd"/>
      <w:r w:rsidRPr="009A3B03">
        <w:rPr>
          <w:i/>
        </w:rPr>
        <w:t xml:space="preserve"> standard </w:t>
      </w:r>
      <w:proofErr w:type="gramStart"/>
      <w:r w:rsidRPr="009A3B03">
        <w:rPr>
          <w:i/>
        </w:rPr>
        <w:t>child care</w:t>
      </w:r>
      <w:proofErr w:type="gramEnd"/>
      <w:r w:rsidRPr="009A3B03">
        <w:t xml:space="preserve">. </w:t>
      </w:r>
      <w:r w:rsidRPr="009A3B03">
        <w:br/>
      </w:r>
      <w:r w:rsidR="002A6AF5" w:rsidRPr="002A6AF5">
        <w:rPr>
          <w:noProof/>
        </w:rPr>
        <w:t xml:space="preserve"> </w:t>
      </w:r>
      <w:r w:rsidR="002A6AF5">
        <w:rPr>
          <w:noProof/>
        </w:rPr>
        <w:drawing>
          <wp:inline distT="0" distB="0" distL="0" distR="0" wp14:anchorId="7F33130D" wp14:editId="02EEC008">
            <wp:extent cx="5731510" cy="2801620"/>
            <wp:effectExtent l="0" t="0" r="2540" b="0"/>
            <wp:docPr id="2139242759" name="Chart 1" descr="Figure 9 shows risk ratios for being developmentally vulnerable in the Physical health and wellbeing domain, by quality of child care attendance.">
              <a:extLst xmlns:a="http://schemas.openxmlformats.org/drawingml/2006/main">
                <a:ext uri="{FF2B5EF4-FFF2-40B4-BE49-F238E27FC236}">
                  <a16:creationId xmlns:a16="http://schemas.microsoft.com/office/drawing/2014/main" id="{98F222A4-3050-22F6-E25A-4E17069D8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C5F50F" w14:textId="2A4A67C7" w:rsidR="009A3B03" w:rsidRPr="009A3B03" w:rsidRDefault="009A3B03" w:rsidP="00007C9D">
      <w:pPr>
        <w:pStyle w:val="Source"/>
        <w:rPr>
          <w:sz w:val="16"/>
          <w:szCs w:val="16"/>
        </w:rPr>
      </w:pPr>
      <w:r w:rsidRPr="009A3B03">
        <w:rPr>
          <w:b/>
          <w:bCs/>
          <w:shd w:val="clear" w:color="auto" w:fill="FFFFFF"/>
        </w:rPr>
        <w:t>Source</w:t>
      </w:r>
      <w:r w:rsidRPr="009A3B03">
        <w:rPr>
          <w:shd w:val="clear" w:color="auto" w:fill="FFFFFF"/>
        </w:rPr>
        <w:t>: Customised ‘First Five Years’ extract from the Multi-Agency Data Integration Project.</w:t>
      </w:r>
      <w:r w:rsidRPr="009A3B03">
        <w:rPr>
          <w:sz w:val="16"/>
          <w:szCs w:val="16"/>
        </w:rPr>
        <w:t xml:space="preserve"> </w:t>
      </w:r>
    </w:p>
    <w:p w14:paraId="765725F9" w14:textId="037C090D" w:rsidR="009A3B03" w:rsidRPr="009A3B03" w:rsidRDefault="009A3B03" w:rsidP="00007C9D">
      <w:pPr>
        <w:pStyle w:val="Source"/>
      </w:pPr>
      <w:r w:rsidRPr="009A3B03">
        <w:rPr>
          <w:b/>
          <w:bCs/>
        </w:rPr>
        <w:t>Notes</w:t>
      </w:r>
      <w:r w:rsidRPr="009A3B03">
        <w:t xml:space="preserve">: </w:t>
      </w:r>
      <w:r w:rsidRPr="009A3B03">
        <w:rPr>
          <w:shd w:val="clear" w:color="auto" w:fill="FFFFFF"/>
        </w:rPr>
        <w:t xml:space="preserve">This figure compares children from the 2018 cohort of the Australian Early Development Census. </w:t>
      </w:r>
      <w:r w:rsidRPr="009A3B03">
        <w:t>Error bars are 95 per cent confidence intervals. N =232,693. For simplicity, results from G-computation were the only statistical inference results shown. Further discussion available in methodology. Children may have</w:t>
      </w:r>
      <w:r w:rsidR="005D3FFB">
        <w:t xml:space="preserve"> separately</w:t>
      </w:r>
      <w:r w:rsidRPr="009A3B03">
        <w:t xml:space="preserve"> attended preschool, which was not captured in the CCMS data.   </w:t>
      </w:r>
    </w:p>
    <w:p w14:paraId="0858C662" w14:textId="77777777" w:rsidR="009A3B03" w:rsidRPr="009A3B03" w:rsidRDefault="009A3B03" w:rsidP="009A3B03">
      <w:r w:rsidRPr="009A3B03">
        <w:t xml:space="preserve">For the physical health and wellbeing domain (figure 9), the differences in the risk ratio for different groups are smaller after adjusting for the different characteristics of the cohorts. Central estimates were lower for higher quality </w:t>
      </w:r>
      <w:proofErr w:type="gramStart"/>
      <w:r w:rsidRPr="009A3B03">
        <w:t>child care</w:t>
      </w:r>
      <w:proofErr w:type="gramEnd"/>
      <w:r w:rsidRPr="009A3B03">
        <w:t>, ranging from being a slight protective factor through to a slight risk factor, though results were generally not statistically significant.</w:t>
      </w:r>
    </w:p>
    <w:p w14:paraId="57EF2E6B" w14:textId="77777777" w:rsidR="009A3B03" w:rsidRPr="009A3B03" w:rsidRDefault="009A3B03" w:rsidP="00007C9D">
      <w:pPr>
        <w:pStyle w:val="Heading2"/>
      </w:pPr>
      <w:r w:rsidRPr="009A3B03">
        <w:t>References</w:t>
      </w:r>
    </w:p>
    <w:p w14:paraId="30830953" w14:textId="5B85AB60" w:rsidR="009A3B03" w:rsidRPr="00B73D06" w:rsidRDefault="009A3B03" w:rsidP="009A3B03">
      <w:r w:rsidRPr="00B73D06">
        <w:t>Hernan M and Robins J</w:t>
      </w:r>
      <w:r w:rsidR="00B818F1" w:rsidRPr="00B73D06">
        <w:t xml:space="preserve"> (2020)</w:t>
      </w:r>
      <w:r w:rsidRPr="00B73D06">
        <w:t xml:space="preserve"> </w:t>
      </w:r>
      <w:r w:rsidR="00532534" w:rsidRPr="00B73D06">
        <w:t>‘</w:t>
      </w:r>
      <w:r w:rsidRPr="00B73D06">
        <w:t>Causal Inference: What If</w:t>
      </w:r>
      <w:r w:rsidR="00532534" w:rsidRPr="00B73D06">
        <w:t>’</w:t>
      </w:r>
      <w:r w:rsidR="00D5141A">
        <w:t>,</w:t>
      </w:r>
      <w:r w:rsidRPr="00B73D06">
        <w:t xml:space="preserve"> </w:t>
      </w:r>
      <w:r w:rsidRPr="00B73D06">
        <w:rPr>
          <w:i/>
          <w:iCs/>
        </w:rPr>
        <w:t>Boca Raton: Chapman &amp; Hall/CRC</w:t>
      </w:r>
      <w:r w:rsidRPr="00B73D06">
        <w:t>.</w:t>
      </w:r>
    </w:p>
    <w:p w14:paraId="3D8C114B" w14:textId="32E5D0C4" w:rsidR="009A3B03" w:rsidRPr="00B73D06" w:rsidRDefault="009A3B03" w:rsidP="009A3B03">
      <w:r w:rsidRPr="00B73D06">
        <w:t>Rankin P, Staton S, Jones A, Potia AH, Houen S, Healey B and Thorpe K (2024)</w:t>
      </w:r>
      <w:r w:rsidR="006200F9" w:rsidRPr="00B73D06">
        <w:t xml:space="preserve"> ‘</w:t>
      </w:r>
      <w:hyperlink r:id="rId29" w:history="1">
        <w:r w:rsidRPr="00D5141A">
          <w:rPr>
            <w:rStyle w:val="Hyperlink"/>
          </w:rPr>
          <w:t>Linking quality and child development in early childhood education and care: Technical report</w:t>
        </w:r>
      </w:hyperlink>
      <w:r w:rsidR="006200F9" w:rsidRPr="00B73D06">
        <w:t>’</w:t>
      </w:r>
      <w:r w:rsidR="00D5141A">
        <w:t>,</w:t>
      </w:r>
      <w:r w:rsidRPr="00B73D06">
        <w:t xml:space="preserve"> </w:t>
      </w:r>
      <w:r w:rsidRPr="00B73D06">
        <w:rPr>
          <w:i/>
          <w:iCs/>
        </w:rPr>
        <w:t>Australian Education</w:t>
      </w:r>
      <w:r w:rsidR="00E744C5" w:rsidRPr="00B73D06">
        <w:rPr>
          <w:i/>
          <w:iCs/>
        </w:rPr>
        <w:t xml:space="preserve"> </w:t>
      </w:r>
      <w:r w:rsidRPr="00B73D06">
        <w:rPr>
          <w:i/>
          <w:iCs/>
        </w:rPr>
        <w:t>Research Organisation</w:t>
      </w:r>
      <w:r w:rsidR="005D74E3" w:rsidRPr="00B73D06">
        <w:rPr>
          <w:i/>
          <w:iCs/>
        </w:rPr>
        <w:t xml:space="preserve"> (AERO)</w:t>
      </w:r>
      <w:r w:rsidRPr="00B73D06">
        <w:t>.</w:t>
      </w:r>
    </w:p>
    <w:p w14:paraId="09E196A6" w14:textId="3586B856" w:rsidR="00C032B0" w:rsidRPr="009A3B03" w:rsidRDefault="00C032B0" w:rsidP="00C032B0">
      <w:r w:rsidRPr="00B73D06">
        <w:t>Tang A, Rankin P, Staton S and Thorpe K (2024) ‘Access to high-quality early care and education: Analysis of Australia’s national integrated data’</w:t>
      </w:r>
      <w:r w:rsidR="00D5141A">
        <w:t>,</w:t>
      </w:r>
      <w:r w:rsidRPr="00B73D06">
        <w:t xml:space="preserve"> </w:t>
      </w:r>
      <w:r w:rsidRPr="00C14AF1">
        <w:rPr>
          <w:i/>
          <w:iCs/>
        </w:rPr>
        <w:t>Early Childhood Research Quarterly</w:t>
      </w:r>
      <w:r w:rsidRPr="00B73D06">
        <w:t xml:space="preserve"> 67:352, </w:t>
      </w:r>
      <w:proofErr w:type="spellStart"/>
      <w:r w:rsidRPr="00B73D06">
        <w:t>doi</w:t>
      </w:r>
      <w:proofErr w:type="spellEnd"/>
      <w:r w:rsidRPr="00B73D06">
        <w:t>:/10.1016/j.ecresq.2024.02.001.</w:t>
      </w:r>
    </w:p>
    <w:p w14:paraId="418045BC" w14:textId="287CED00" w:rsidR="009A3B03" w:rsidRPr="00B73D06" w:rsidRDefault="009A3B03" w:rsidP="009A3B03">
      <w:r w:rsidRPr="00B73D06">
        <w:lastRenderedPageBreak/>
        <w:t>Tartaglia E and Knapp S (</w:t>
      </w:r>
      <w:r w:rsidR="00B818F1" w:rsidRPr="00B73D06">
        <w:t>unpublished</w:t>
      </w:r>
      <w:r w:rsidRPr="00B73D06">
        <w:t xml:space="preserve">) </w:t>
      </w:r>
      <w:r w:rsidR="00A866C1" w:rsidRPr="00B73D06">
        <w:t>‘</w:t>
      </w:r>
      <w:r w:rsidRPr="00B73D06">
        <w:t>Causal Inference in Education Data</w:t>
      </w:r>
      <w:r w:rsidR="00A866C1" w:rsidRPr="00B73D06">
        <w:t>’</w:t>
      </w:r>
      <w:r w:rsidR="00D5141A">
        <w:t>,</w:t>
      </w:r>
      <w:r w:rsidR="00A866C1" w:rsidRPr="00B73D06">
        <w:t xml:space="preserve"> </w:t>
      </w:r>
      <w:r w:rsidR="00B818F1" w:rsidRPr="00412B22">
        <w:rPr>
          <w:i/>
          <w:iCs/>
        </w:rPr>
        <w:t>Australian Government Department of Education, Skills and Employment</w:t>
      </w:r>
      <w:r w:rsidR="00A866C1" w:rsidRPr="00412B22">
        <w:rPr>
          <w:i/>
          <w:iCs/>
        </w:rPr>
        <w:t xml:space="preserve"> (DESE)</w:t>
      </w:r>
      <w:r w:rsidRPr="00B73D06">
        <w:t>.</w:t>
      </w:r>
      <w:bookmarkEnd w:id="3"/>
    </w:p>
    <w:sectPr w:rsidR="009A3B03" w:rsidRPr="00B73D06" w:rsidSect="00D86284">
      <w:footerReference w:type="default" r:id="rId3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B65F" w14:textId="77777777" w:rsidR="00E34E85" w:rsidRDefault="00E34E85" w:rsidP="000A6228">
      <w:pPr>
        <w:spacing w:after="0" w:line="240" w:lineRule="auto"/>
      </w:pPr>
      <w:r>
        <w:separator/>
      </w:r>
    </w:p>
  </w:endnote>
  <w:endnote w:type="continuationSeparator" w:id="0">
    <w:p w14:paraId="5164ECE1" w14:textId="77777777" w:rsidR="00E34E85" w:rsidRDefault="00E34E8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mbusSan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98C3" w14:textId="77777777" w:rsidR="00D86284" w:rsidRDefault="00D86284">
    <w:pPr>
      <w:pStyle w:val="Footer"/>
    </w:pPr>
    <w:r>
      <w:rPr>
        <w:noProof/>
      </w:rPr>
      <w:drawing>
        <wp:anchor distT="0" distB="0" distL="114300" distR="114300" simplePos="0" relativeHeight="251658240" behindDoc="1" locked="1" layoutInCell="1" allowOverlap="1" wp14:anchorId="02672831" wp14:editId="4A7D8FD4">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E0FC" w14:textId="77777777" w:rsidR="00E34E85" w:rsidRDefault="00E34E85" w:rsidP="000A6228">
      <w:pPr>
        <w:spacing w:after="0" w:line="240" w:lineRule="auto"/>
      </w:pPr>
      <w:r>
        <w:separator/>
      </w:r>
    </w:p>
  </w:footnote>
  <w:footnote w:type="continuationSeparator" w:id="0">
    <w:p w14:paraId="6FD12E10" w14:textId="77777777" w:rsidR="00E34E85" w:rsidRDefault="00E34E8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5D161D5"/>
    <w:multiLevelType w:val="hybridMultilevel"/>
    <w:tmpl w:val="C7EE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18"/>
  </w:num>
  <w:num w:numId="17" w16cid:durableId="2029670193">
    <w:abstractNumId w:val="15"/>
  </w:num>
  <w:num w:numId="18" w16cid:durableId="887570554">
    <w:abstractNumId w:val="9"/>
  </w:num>
  <w:num w:numId="19" w16cid:durableId="147789394">
    <w:abstractNumId w:val="16"/>
  </w:num>
  <w:num w:numId="20" w16cid:durableId="1758790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C9D"/>
    <w:rsid w:val="00012366"/>
    <w:rsid w:val="00021FBE"/>
    <w:rsid w:val="00032027"/>
    <w:rsid w:val="000367AA"/>
    <w:rsid w:val="000521D7"/>
    <w:rsid w:val="00065843"/>
    <w:rsid w:val="000A0B58"/>
    <w:rsid w:val="000A6228"/>
    <w:rsid w:val="000A7EAB"/>
    <w:rsid w:val="000B5D40"/>
    <w:rsid w:val="000B7EC6"/>
    <w:rsid w:val="000C6EE6"/>
    <w:rsid w:val="000E6C07"/>
    <w:rsid w:val="000F5588"/>
    <w:rsid w:val="00100EEB"/>
    <w:rsid w:val="00101D3D"/>
    <w:rsid w:val="00107D87"/>
    <w:rsid w:val="00107DD5"/>
    <w:rsid w:val="00112C43"/>
    <w:rsid w:val="00114106"/>
    <w:rsid w:val="001221C3"/>
    <w:rsid w:val="0012343A"/>
    <w:rsid w:val="00133B8D"/>
    <w:rsid w:val="0013611E"/>
    <w:rsid w:val="001515BF"/>
    <w:rsid w:val="001617D1"/>
    <w:rsid w:val="00164F76"/>
    <w:rsid w:val="00170ECD"/>
    <w:rsid w:val="0017134D"/>
    <w:rsid w:val="00175F66"/>
    <w:rsid w:val="00181D6F"/>
    <w:rsid w:val="001A7458"/>
    <w:rsid w:val="001B1489"/>
    <w:rsid w:val="001C1523"/>
    <w:rsid w:val="001D29AC"/>
    <w:rsid w:val="001D2B0F"/>
    <w:rsid w:val="001D44BB"/>
    <w:rsid w:val="001E1BBD"/>
    <w:rsid w:val="001E660B"/>
    <w:rsid w:val="001F42A4"/>
    <w:rsid w:val="00212EAA"/>
    <w:rsid w:val="00221D8F"/>
    <w:rsid w:val="002272DB"/>
    <w:rsid w:val="0023572A"/>
    <w:rsid w:val="002360CB"/>
    <w:rsid w:val="00243EA0"/>
    <w:rsid w:val="00257090"/>
    <w:rsid w:val="00267E29"/>
    <w:rsid w:val="00275432"/>
    <w:rsid w:val="00276047"/>
    <w:rsid w:val="002A0B03"/>
    <w:rsid w:val="002A4458"/>
    <w:rsid w:val="002A6AF5"/>
    <w:rsid w:val="002D589A"/>
    <w:rsid w:val="002E491A"/>
    <w:rsid w:val="00314DAA"/>
    <w:rsid w:val="00324AC3"/>
    <w:rsid w:val="003406FF"/>
    <w:rsid w:val="0035561F"/>
    <w:rsid w:val="00365994"/>
    <w:rsid w:val="003832D9"/>
    <w:rsid w:val="003B635A"/>
    <w:rsid w:val="003D1C3C"/>
    <w:rsid w:val="003E2DEC"/>
    <w:rsid w:val="0040155D"/>
    <w:rsid w:val="00412B22"/>
    <w:rsid w:val="0041713E"/>
    <w:rsid w:val="00421D3F"/>
    <w:rsid w:val="00423785"/>
    <w:rsid w:val="00452D26"/>
    <w:rsid w:val="0046637F"/>
    <w:rsid w:val="004A06CD"/>
    <w:rsid w:val="004A2E9A"/>
    <w:rsid w:val="004A2F64"/>
    <w:rsid w:val="004A4B6F"/>
    <w:rsid w:val="004A4CF9"/>
    <w:rsid w:val="004B01CA"/>
    <w:rsid w:val="004C0438"/>
    <w:rsid w:val="004C51BE"/>
    <w:rsid w:val="004C7BAC"/>
    <w:rsid w:val="004D2965"/>
    <w:rsid w:val="004D2CB4"/>
    <w:rsid w:val="004D2D9D"/>
    <w:rsid w:val="004D48E3"/>
    <w:rsid w:val="004D49D9"/>
    <w:rsid w:val="004E25D9"/>
    <w:rsid w:val="00532534"/>
    <w:rsid w:val="0054254B"/>
    <w:rsid w:val="00542D58"/>
    <w:rsid w:val="005520D7"/>
    <w:rsid w:val="00565708"/>
    <w:rsid w:val="00577311"/>
    <w:rsid w:val="005A63BF"/>
    <w:rsid w:val="005A75C9"/>
    <w:rsid w:val="005B1123"/>
    <w:rsid w:val="005B187D"/>
    <w:rsid w:val="005B76B6"/>
    <w:rsid w:val="005C7402"/>
    <w:rsid w:val="005D3FFB"/>
    <w:rsid w:val="005D5C28"/>
    <w:rsid w:val="005D74E3"/>
    <w:rsid w:val="005E4AA6"/>
    <w:rsid w:val="005E5C9B"/>
    <w:rsid w:val="005F52A3"/>
    <w:rsid w:val="006200F9"/>
    <w:rsid w:val="006232DC"/>
    <w:rsid w:val="00627342"/>
    <w:rsid w:val="0063094F"/>
    <w:rsid w:val="006344BA"/>
    <w:rsid w:val="006A5E2E"/>
    <w:rsid w:val="006A7B5A"/>
    <w:rsid w:val="006C64A7"/>
    <w:rsid w:val="006D2E1E"/>
    <w:rsid w:val="006D67F3"/>
    <w:rsid w:val="006E15A0"/>
    <w:rsid w:val="006F1FFF"/>
    <w:rsid w:val="006F6B4E"/>
    <w:rsid w:val="006F6D10"/>
    <w:rsid w:val="00712B94"/>
    <w:rsid w:val="00727E2D"/>
    <w:rsid w:val="007328B9"/>
    <w:rsid w:val="0076230D"/>
    <w:rsid w:val="007710EB"/>
    <w:rsid w:val="0077517D"/>
    <w:rsid w:val="0078059A"/>
    <w:rsid w:val="00790B45"/>
    <w:rsid w:val="007B2CA1"/>
    <w:rsid w:val="007C653F"/>
    <w:rsid w:val="007C6B50"/>
    <w:rsid w:val="007D0ABC"/>
    <w:rsid w:val="007D0AC4"/>
    <w:rsid w:val="007D6454"/>
    <w:rsid w:val="007F0398"/>
    <w:rsid w:val="007F1A26"/>
    <w:rsid w:val="008042F5"/>
    <w:rsid w:val="00807551"/>
    <w:rsid w:val="008100A7"/>
    <w:rsid w:val="008128E4"/>
    <w:rsid w:val="00824DBC"/>
    <w:rsid w:val="00841473"/>
    <w:rsid w:val="00843C42"/>
    <w:rsid w:val="008476D5"/>
    <w:rsid w:val="008562BA"/>
    <w:rsid w:val="00857155"/>
    <w:rsid w:val="008610AD"/>
    <w:rsid w:val="00862CF9"/>
    <w:rsid w:val="0088369C"/>
    <w:rsid w:val="00886959"/>
    <w:rsid w:val="00892375"/>
    <w:rsid w:val="00893A34"/>
    <w:rsid w:val="008A36E1"/>
    <w:rsid w:val="008A37A7"/>
    <w:rsid w:val="008B0736"/>
    <w:rsid w:val="008B5371"/>
    <w:rsid w:val="008C31C6"/>
    <w:rsid w:val="008D25F0"/>
    <w:rsid w:val="008E04C7"/>
    <w:rsid w:val="008E70F5"/>
    <w:rsid w:val="008F548E"/>
    <w:rsid w:val="009318A0"/>
    <w:rsid w:val="00950B06"/>
    <w:rsid w:val="00953509"/>
    <w:rsid w:val="00970069"/>
    <w:rsid w:val="009721EB"/>
    <w:rsid w:val="00977B01"/>
    <w:rsid w:val="009801B2"/>
    <w:rsid w:val="009A3B03"/>
    <w:rsid w:val="009A5395"/>
    <w:rsid w:val="009B3E56"/>
    <w:rsid w:val="009B706E"/>
    <w:rsid w:val="009C423A"/>
    <w:rsid w:val="009E79ED"/>
    <w:rsid w:val="009F2C9E"/>
    <w:rsid w:val="00A07596"/>
    <w:rsid w:val="00A15494"/>
    <w:rsid w:val="00A17A08"/>
    <w:rsid w:val="00A53EAE"/>
    <w:rsid w:val="00A60673"/>
    <w:rsid w:val="00A60BA7"/>
    <w:rsid w:val="00A866C1"/>
    <w:rsid w:val="00AB5930"/>
    <w:rsid w:val="00AC1872"/>
    <w:rsid w:val="00AC6CE8"/>
    <w:rsid w:val="00AC7CAA"/>
    <w:rsid w:val="00AD49FF"/>
    <w:rsid w:val="00AD631F"/>
    <w:rsid w:val="00AE21FF"/>
    <w:rsid w:val="00AE2F81"/>
    <w:rsid w:val="00AF1F18"/>
    <w:rsid w:val="00AF3BF0"/>
    <w:rsid w:val="00AF66D5"/>
    <w:rsid w:val="00B03AC7"/>
    <w:rsid w:val="00B0726E"/>
    <w:rsid w:val="00B126DA"/>
    <w:rsid w:val="00B219D1"/>
    <w:rsid w:val="00B25D4F"/>
    <w:rsid w:val="00B3254B"/>
    <w:rsid w:val="00B32DF1"/>
    <w:rsid w:val="00B452D2"/>
    <w:rsid w:val="00B73D06"/>
    <w:rsid w:val="00B7603E"/>
    <w:rsid w:val="00B818F1"/>
    <w:rsid w:val="00B81FA4"/>
    <w:rsid w:val="00B8794C"/>
    <w:rsid w:val="00B95EF4"/>
    <w:rsid w:val="00BB1244"/>
    <w:rsid w:val="00BB1863"/>
    <w:rsid w:val="00BB38DF"/>
    <w:rsid w:val="00BB6509"/>
    <w:rsid w:val="00BC248C"/>
    <w:rsid w:val="00C01EC0"/>
    <w:rsid w:val="00C032B0"/>
    <w:rsid w:val="00C05DBC"/>
    <w:rsid w:val="00C14AF1"/>
    <w:rsid w:val="00C1503F"/>
    <w:rsid w:val="00C244EE"/>
    <w:rsid w:val="00C57694"/>
    <w:rsid w:val="00C72224"/>
    <w:rsid w:val="00C75706"/>
    <w:rsid w:val="00C77C6C"/>
    <w:rsid w:val="00C85404"/>
    <w:rsid w:val="00CA0197"/>
    <w:rsid w:val="00CA4815"/>
    <w:rsid w:val="00CA56FA"/>
    <w:rsid w:val="00CC1360"/>
    <w:rsid w:val="00CD4C43"/>
    <w:rsid w:val="00CE2DD1"/>
    <w:rsid w:val="00CE3040"/>
    <w:rsid w:val="00CF3FBF"/>
    <w:rsid w:val="00CF5B3C"/>
    <w:rsid w:val="00CF6562"/>
    <w:rsid w:val="00D12120"/>
    <w:rsid w:val="00D14C3B"/>
    <w:rsid w:val="00D2211F"/>
    <w:rsid w:val="00D24133"/>
    <w:rsid w:val="00D5141A"/>
    <w:rsid w:val="00D5688A"/>
    <w:rsid w:val="00D86284"/>
    <w:rsid w:val="00DA4848"/>
    <w:rsid w:val="00DA5056"/>
    <w:rsid w:val="00DA5234"/>
    <w:rsid w:val="00DA75CF"/>
    <w:rsid w:val="00DC5980"/>
    <w:rsid w:val="00DC7AE0"/>
    <w:rsid w:val="00DD2B46"/>
    <w:rsid w:val="00DD50C3"/>
    <w:rsid w:val="00DE3208"/>
    <w:rsid w:val="00E02A61"/>
    <w:rsid w:val="00E06ED6"/>
    <w:rsid w:val="00E15E0A"/>
    <w:rsid w:val="00E2207C"/>
    <w:rsid w:val="00E3277F"/>
    <w:rsid w:val="00E34E85"/>
    <w:rsid w:val="00E36A97"/>
    <w:rsid w:val="00E42AA6"/>
    <w:rsid w:val="00E529E5"/>
    <w:rsid w:val="00E744C5"/>
    <w:rsid w:val="00EA78E8"/>
    <w:rsid w:val="00EB4C2F"/>
    <w:rsid w:val="00EC2732"/>
    <w:rsid w:val="00EC63E6"/>
    <w:rsid w:val="00EC7161"/>
    <w:rsid w:val="00ED0DDF"/>
    <w:rsid w:val="00EF6C0F"/>
    <w:rsid w:val="00F1000D"/>
    <w:rsid w:val="00F311A4"/>
    <w:rsid w:val="00F417FE"/>
    <w:rsid w:val="00F54868"/>
    <w:rsid w:val="00F574E1"/>
    <w:rsid w:val="00F61A9C"/>
    <w:rsid w:val="00F81BEC"/>
    <w:rsid w:val="00F81C35"/>
    <w:rsid w:val="00F82C2C"/>
    <w:rsid w:val="00F85913"/>
    <w:rsid w:val="00FA52CE"/>
    <w:rsid w:val="00FD4D6E"/>
    <w:rsid w:val="00FD6383"/>
    <w:rsid w:val="00FE017D"/>
    <w:rsid w:val="00FF1379"/>
    <w:rsid w:val="00FF5BC8"/>
    <w:rsid w:val="01ED8B2F"/>
    <w:rsid w:val="03AFB81F"/>
    <w:rsid w:val="05370FFD"/>
    <w:rsid w:val="06B03DAE"/>
    <w:rsid w:val="073737E2"/>
    <w:rsid w:val="09A6E6D2"/>
    <w:rsid w:val="0B672661"/>
    <w:rsid w:val="0CAF4EB9"/>
    <w:rsid w:val="0D1E9EA3"/>
    <w:rsid w:val="0D8F9A38"/>
    <w:rsid w:val="0DA33B3D"/>
    <w:rsid w:val="0DCA456A"/>
    <w:rsid w:val="12B9403D"/>
    <w:rsid w:val="12FF060D"/>
    <w:rsid w:val="16114DB0"/>
    <w:rsid w:val="177BEF44"/>
    <w:rsid w:val="1788B0F6"/>
    <w:rsid w:val="18EE246C"/>
    <w:rsid w:val="1EF57F00"/>
    <w:rsid w:val="1FD89DCD"/>
    <w:rsid w:val="23120011"/>
    <w:rsid w:val="2396B256"/>
    <w:rsid w:val="257CEC5A"/>
    <w:rsid w:val="28F7AD99"/>
    <w:rsid w:val="2DCFDE9A"/>
    <w:rsid w:val="2F09CED9"/>
    <w:rsid w:val="332C87A2"/>
    <w:rsid w:val="33F35280"/>
    <w:rsid w:val="34DF7DAF"/>
    <w:rsid w:val="38CF629F"/>
    <w:rsid w:val="3901E238"/>
    <w:rsid w:val="4204EA88"/>
    <w:rsid w:val="42D19C7D"/>
    <w:rsid w:val="45B914BE"/>
    <w:rsid w:val="48B583C0"/>
    <w:rsid w:val="4935AA0C"/>
    <w:rsid w:val="4CEB0F79"/>
    <w:rsid w:val="4ED6835A"/>
    <w:rsid w:val="50025EB7"/>
    <w:rsid w:val="52031334"/>
    <w:rsid w:val="5226B2E5"/>
    <w:rsid w:val="528826BE"/>
    <w:rsid w:val="5578F38B"/>
    <w:rsid w:val="5D821723"/>
    <w:rsid w:val="5D93AB34"/>
    <w:rsid w:val="610E5706"/>
    <w:rsid w:val="687D10C9"/>
    <w:rsid w:val="691798E0"/>
    <w:rsid w:val="6C1629C2"/>
    <w:rsid w:val="6C43785D"/>
    <w:rsid w:val="6EA2E5D3"/>
    <w:rsid w:val="7279027A"/>
    <w:rsid w:val="76D6BAE0"/>
    <w:rsid w:val="780C6B2D"/>
    <w:rsid w:val="79096542"/>
    <w:rsid w:val="7EF46D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AAAA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24AC3"/>
    <w:pPr>
      <w:keepNext/>
      <w:spacing w:after="120" w:line="240" w:lineRule="auto"/>
    </w:pPr>
    <w:rPr>
      <w:b/>
      <w:iCs/>
      <w:color w:val="00254A" w:themeColor="text2"/>
      <w:szCs w:val="18"/>
    </w:rPr>
  </w:style>
  <w:style w:type="paragraph" w:customStyle="1" w:styleId="Source">
    <w:name w:val="Source"/>
    <w:basedOn w:val="Normal"/>
    <w:uiPriority w:val="97"/>
    <w:qFormat/>
    <w:rsid w:val="00324AC3"/>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CommentText">
    <w:name w:val="annotation text"/>
    <w:basedOn w:val="Normal"/>
    <w:link w:val="CommentTextChar"/>
    <w:uiPriority w:val="99"/>
    <w:unhideWhenUsed/>
    <w:rsid w:val="009A3B03"/>
    <w:pPr>
      <w:spacing w:line="240" w:lineRule="auto"/>
    </w:pPr>
    <w:rPr>
      <w:sz w:val="20"/>
      <w:szCs w:val="20"/>
    </w:rPr>
  </w:style>
  <w:style w:type="character" w:customStyle="1" w:styleId="CommentTextChar">
    <w:name w:val="Comment Text Char"/>
    <w:basedOn w:val="DefaultParagraphFont"/>
    <w:link w:val="CommentText"/>
    <w:uiPriority w:val="99"/>
    <w:rsid w:val="009A3B03"/>
    <w:rPr>
      <w:sz w:val="20"/>
      <w:szCs w:val="20"/>
    </w:rPr>
  </w:style>
  <w:style w:type="character" w:styleId="CommentReference">
    <w:name w:val="annotation reference"/>
    <w:basedOn w:val="DefaultParagraphFont"/>
    <w:uiPriority w:val="99"/>
    <w:semiHidden/>
    <w:unhideWhenUsed/>
    <w:rsid w:val="009A3B03"/>
    <w:rPr>
      <w:sz w:val="16"/>
      <w:szCs w:val="16"/>
    </w:rPr>
  </w:style>
  <w:style w:type="character" w:styleId="FollowedHyperlink">
    <w:name w:val="FollowedHyperlink"/>
    <w:basedOn w:val="DefaultParagraphFont"/>
    <w:uiPriority w:val="99"/>
    <w:semiHidden/>
    <w:unhideWhenUsed/>
    <w:rsid w:val="00CE2DD1"/>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EC2732"/>
    <w:rPr>
      <w:b/>
      <w:bCs/>
    </w:rPr>
  </w:style>
  <w:style w:type="character" w:customStyle="1" w:styleId="CommentSubjectChar">
    <w:name w:val="Comment Subject Char"/>
    <w:basedOn w:val="CommentTextChar"/>
    <w:link w:val="CommentSubject"/>
    <w:uiPriority w:val="99"/>
    <w:semiHidden/>
    <w:rsid w:val="00EC2732"/>
    <w:rPr>
      <w:b/>
      <w:bCs/>
      <w:sz w:val="20"/>
      <w:szCs w:val="20"/>
    </w:rPr>
  </w:style>
  <w:style w:type="paragraph" w:styleId="Revision">
    <w:name w:val="Revision"/>
    <w:hidden/>
    <w:uiPriority w:val="99"/>
    <w:semiHidden/>
    <w:rsid w:val="003B635A"/>
    <w:pPr>
      <w:spacing w:after="0" w:line="240" w:lineRule="auto"/>
    </w:pPr>
  </w:style>
  <w:style w:type="paragraph" w:styleId="ListParagraph">
    <w:name w:val="List Paragraph"/>
    <w:basedOn w:val="Normal"/>
    <w:uiPriority w:val="34"/>
    <w:semiHidden/>
    <w:qFormat/>
    <w:rsid w:val="00812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5.emf"/><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hyperlink" Target="https://www.edresearch.edu.au/research/technical-papers/linking-quality-and-child-development-early-childhood-education-and-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9.emf"/><Relationship Id="rId27" Type="http://schemas.openxmlformats.org/officeDocument/2006/relationships/chart" Target="charts/chart8.xm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4.xml"/><Relationship Id="rId4"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https://sharedservicescentre.sharepoint.com/sites/EDU-AnalysisDataandMeasurementBranch-TEAM/Shared%20Documents/02.%20Projects/IDA/2023/30%20-%20FFY%20DIPA%20publication/final_chart_data/3_4_Child_Care_Causal_Inferenc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kern="1200" spc="0" baseline="0">
                <a:solidFill>
                  <a:sysClr val="windowText" lastClr="000000">
                    <a:lumMod val="65000"/>
                    <a:lumOff val="35000"/>
                  </a:sysClr>
                </a:solidFill>
              </a:rPr>
              <a:t>Any domains (DV1)</a:t>
            </a:r>
          </a:p>
        </c:rich>
      </c:tx>
      <c:overlay val="0"/>
      <c:spPr>
        <a:noFill/>
        <a:ln>
          <a:noFill/>
        </a:ln>
        <a:effectLst/>
      </c:spPr>
    </c:title>
    <c:autoTitleDeleted val="0"/>
    <c:plotArea>
      <c:layout>
        <c:manualLayout>
          <c:layoutTarget val="inner"/>
          <c:xMode val="edge"/>
          <c:yMode val="edge"/>
          <c:x val="0.23130479303656049"/>
          <c:y val="0.12791492451671718"/>
          <c:w val="0.73833642571312708"/>
          <c:h val="0.7373065531269628"/>
        </c:manualLayout>
      </c:layout>
      <c:barChart>
        <c:barDir val="bar"/>
        <c:grouping val="clustered"/>
        <c:varyColors val="0"/>
        <c:ser>
          <c:idx val="0"/>
          <c:order val="1"/>
          <c:tx>
            <c:v>Unadjusted</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'3_4 Figure 1 and 2'!$B$8:$G$8</c:f>
              <c:strCache>
                <c:ptCount val="6"/>
                <c:pt idx="0">
                  <c:v>No formal
child care</c:v>
                </c:pt>
                <c:pt idx="1">
                  <c:v>&lt;10</c:v>
                </c:pt>
                <c:pt idx="2">
                  <c:v> 10-19</c:v>
                </c:pt>
                <c:pt idx="3">
                  <c:v> 20-29</c:v>
                </c:pt>
                <c:pt idx="4">
                  <c:v> 30-39</c:v>
                </c:pt>
                <c:pt idx="5">
                  <c:v> 40-49</c:v>
                </c:pt>
              </c:strCache>
            </c:strRef>
          </c:cat>
          <c:val>
            <c:numRef>
              <c:f>'3_4 Figure 1 and 2'!$B$19:$G$19</c:f>
              <c:numCache>
                <c:formatCode>0.00</c:formatCode>
                <c:ptCount val="6"/>
                <c:pt idx="0" formatCode="General">
                  <c:v>1</c:v>
                </c:pt>
                <c:pt idx="1">
                  <c:v>1.05</c:v>
                </c:pt>
                <c:pt idx="2">
                  <c:v>0.96495327715560997</c:v>
                </c:pt>
                <c:pt idx="3">
                  <c:v>0.99699539247025704</c:v>
                </c:pt>
                <c:pt idx="4">
                  <c:v>1.12178913041677</c:v>
                </c:pt>
                <c:pt idx="5">
                  <c:v>1.31110111117609</c:v>
                </c:pt>
              </c:numCache>
            </c:numRef>
          </c:val>
          <c:extLst>
            <c:ext xmlns:c16="http://schemas.microsoft.com/office/drawing/2014/chart" uri="{C3380CC4-5D6E-409C-BE32-E72D297353CC}">
              <c16:uniqueId val="{00000000-7319-42DE-855C-2CE3357A5A52}"/>
            </c:ext>
          </c:extLst>
        </c:ser>
        <c:ser>
          <c:idx val="4"/>
          <c:order val="2"/>
          <c:tx>
            <c:v>Adjusted</c:v>
          </c:tx>
          <c:spPr>
            <a:solidFill>
              <a:schemeClr val="accent3"/>
            </a:solidFill>
          </c:spPr>
          <c:invertIfNegative val="0"/>
          <c:dLbls>
            <c:spPr>
              <a:noFill/>
              <a:ln>
                <a:noFill/>
              </a:ln>
              <a:effectLst/>
            </c:spPr>
            <c:txPr>
              <a:bodyPr wrap="square" lIns="38100" tIns="19050" rIns="38100" bIns="19050" anchor="ctr">
                <a:spAutoFit/>
              </a:bodyPr>
              <a:lstStyle/>
              <a:p>
                <a:pPr>
                  <a:defRPr b="1">
                    <a:solidFill>
                      <a:schemeClr val="tx1"/>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 Figure 1 and 2'!$B$22:$G$22</c:f>
                <c:numCache>
                  <c:formatCode>General</c:formatCode>
                  <c:ptCount val="6"/>
                  <c:pt idx="1">
                    <c:v>2.8999999999999915E-2</c:v>
                  </c:pt>
                  <c:pt idx="2">
                    <c:v>2.2589996013087088E-2</c:v>
                  </c:pt>
                  <c:pt idx="3">
                    <c:v>2.1786621177830146E-2</c:v>
                  </c:pt>
                  <c:pt idx="4">
                    <c:v>2.9680784323580012E-2</c:v>
                  </c:pt>
                  <c:pt idx="5">
                    <c:v>4.2152065226029878E-2</c:v>
                  </c:pt>
                </c:numCache>
              </c:numRef>
            </c:plus>
            <c:minus>
              <c:numRef>
                <c:f>'3_4 Figure 1 and 2'!$B$24:$G$24</c:f>
                <c:numCache>
                  <c:formatCode>General</c:formatCode>
                  <c:ptCount val="6"/>
                  <c:pt idx="1">
                    <c:v>3.7000000000000033E-2</c:v>
                  </c:pt>
                  <c:pt idx="2">
                    <c:v>2.4410003986912843E-2</c:v>
                  </c:pt>
                  <c:pt idx="3">
                    <c:v>2.3213378822170005E-2</c:v>
                  </c:pt>
                  <c:pt idx="4">
                    <c:v>3.0319215676420042E-2</c:v>
                  </c:pt>
                  <c:pt idx="5">
                    <c:v>3.5847934773969969E-2</c:v>
                  </c:pt>
                </c:numCache>
              </c:numRef>
            </c:minus>
            <c:spPr>
              <a:ln w="15875">
                <a:solidFill>
                  <a:schemeClr val="bg1">
                    <a:lumMod val="75000"/>
                  </a:schemeClr>
                </a:solidFill>
              </a:ln>
            </c:spPr>
          </c:errBars>
          <c:cat>
            <c:strRef>
              <c:f>'3_4 Figure 1 and 2'!$B$8:$G$8</c:f>
              <c:strCache>
                <c:ptCount val="6"/>
                <c:pt idx="0">
                  <c:v>No formal
child care</c:v>
                </c:pt>
                <c:pt idx="1">
                  <c:v>&lt;10</c:v>
                </c:pt>
                <c:pt idx="2">
                  <c:v> 10-19</c:v>
                </c:pt>
                <c:pt idx="3">
                  <c:v> 20-29</c:v>
                </c:pt>
                <c:pt idx="4">
                  <c:v> 30-39</c:v>
                </c:pt>
                <c:pt idx="5">
                  <c:v> 40-49</c:v>
                </c:pt>
              </c:strCache>
            </c:strRef>
          </c:cat>
          <c:val>
            <c:numRef>
              <c:f>'3_4 Figure 1 and 2'!$B$18:$G$18</c:f>
              <c:numCache>
                <c:formatCode>0.00</c:formatCode>
                <c:ptCount val="6"/>
                <c:pt idx="1">
                  <c:v>0.95</c:v>
                </c:pt>
                <c:pt idx="2">
                  <c:v>0.98258999601308705</c:v>
                </c:pt>
                <c:pt idx="3">
                  <c:v>1.0667866211778301</c:v>
                </c:pt>
                <c:pt idx="4">
                  <c:v>1.21568078432358</c:v>
                </c:pt>
                <c:pt idx="5">
                  <c:v>1.3521520652260299</c:v>
                </c:pt>
              </c:numCache>
            </c:numRef>
          </c:val>
          <c:extLst>
            <c:ext xmlns:c16="http://schemas.microsoft.com/office/drawing/2014/chart" uri="{C3380CC4-5D6E-409C-BE32-E72D297353CC}">
              <c16:uniqueId val="{00000001-7319-42DE-855C-2CE3357A5A52}"/>
            </c:ext>
          </c:extLst>
        </c:ser>
        <c:dLbls>
          <c:showLegendKey val="0"/>
          <c:showVal val="0"/>
          <c:showCatName val="0"/>
          <c:showSerName val="0"/>
          <c:showPercent val="0"/>
          <c:showBubbleSize val="0"/>
        </c:dLbls>
        <c:gapWidth val="75"/>
        <c:axId val="1138801904"/>
        <c:axId val="1138799504"/>
      </c:barChart>
      <c:scatterChart>
        <c:scatterStyle val="lineMarker"/>
        <c:varyColors val="0"/>
        <c:ser>
          <c:idx val="2"/>
          <c:order val="0"/>
          <c:tx>
            <c:v>Line</c:v>
          </c:tx>
          <c:spPr>
            <a:ln w="25400" cap="rnd">
              <a:noFill/>
              <a:round/>
            </a:ln>
            <a:effectLst/>
          </c:spPr>
          <c:marker>
            <c:symbol val="none"/>
          </c:marker>
          <c:errBars>
            <c:errDir val="x"/>
            <c:errBarType val="both"/>
            <c:errValType val="fixedVal"/>
            <c:noEndCap val="0"/>
            <c:val val="0"/>
            <c:spPr>
              <a:noFill/>
              <a:ln w="15875" cap="flat" cmpd="sng" algn="ctr">
                <a:solidFill>
                  <a:schemeClr val="tx1">
                    <a:lumMod val="65000"/>
                    <a:lumOff val="35000"/>
                  </a:schemeClr>
                </a:solidFill>
                <a:round/>
              </a:ln>
              <a:effectLst/>
            </c:spPr>
          </c:errBars>
          <c:errBars>
            <c:errDir val="y"/>
            <c:errBarType val="both"/>
            <c:errValType val="fixedVal"/>
            <c:noEndCap val="1"/>
            <c:val val="2"/>
            <c:spPr>
              <a:noFill/>
              <a:ln w="15875" cap="flat" cmpd="sng" algn="ctr">
                <a:solidFill>
                  <a:schemeClr val="bg1">
                    <a:lumMod val="65000"/>
                  </a:schemeClr>
                </a:solidFill>
                <a:prstDash val="sysDash"/>
                <a:round/>
              </a:ln>
              <a:effectLst/>
            </c:spPr>
          </c:errBars>
          <c:yVal>
            <c:numRef>
              <c:f>'3_4 Figure 1 and 2'!$B$31</c:f>
              <c:numCache>
                <c:formatCode>General</c:formatCode>
                <c:ptCount val="1"/>
                <c:pt idx="0">
                  <c:v>1</c:v>
                </c:pt>
              </c:numCache>
            </c:numRef>
          </c:yVal>
          <c:smooth val="0"/>
          <c:extLst>
            <c:ext xmlns:c16="http://schemas.microsoft.com/office/drawing/2014/chart" uri="{C3380CC4-5D6E-409C-BE32-E72D297353CC}">
              <c16:uniqueId val="{00000002-7319-42DE-855C-2CE3357A5A52}"/>
            </c:ext>
          </c:extLst>
        </c:ser>
        <c:dLbls>
          <c:showLegendKey val="0"/>
          <c:showVal val="0"/>
          <c:showCatName val="0"/>
          <c:showSerName val="0"/>
          <c:showPercent val="0"/>
          <c:showBubbleSize val="0"/>
        </c:dLbls>
        <c:axId val="945915616"/>
        <c:axId val="945913216"/>
      </c:scatterChart>
      <c:catAx>
        <c:axId val="1138801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kern="1200" baseline="0">
                    <a:solidFill>
                      <a:sysClr val="windowText" lastClr="000000">
                        <a:lumMod val="65000"/>
                        <a:lumOff val="35000"/>
                      </a:sysClr>
                    </a:solidFill>
                  </a:rPr>
                  <a:t>Average Weekly Hours</a:t>
                </a:r>
              </a:p>
            </c:rich>
          </c:tx>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799504"/>
        <c:crosses val="autoZero"/>
        <c:auto val="1"/>
        <c:lblAlgn val="ctr"/>
        <c:lblOffset val="100"/>
        <c:noMultiLvlLbl val="0"/>
      </c:catAx>
      <c:valAx>
        <c:axId val="1138799504"/>
        <c:scaling>
          <c:orientation val="minMax"/>
          <c:max val="1.6"/>
          <c:min val="0"/>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kern="1200" baseline="0">
                    <a:solidFill>
                      <a:sysClr val="windowText" lastClr="000000">
                        <a:lumMod val="65000"/>
                        <a:lumOff val="35000"/>
                      </a:sysClr>
                    </a:solidFill>
                  </a:rPr>
                  <a:t>Risk Ratio</a:t>
                </a:r>
              </a:p>
            </c:rich>
          </c:tx>
          <c:layout>
            <c:manualLayout>
              <c:xMode val="edge"/>
              <c:yMode val="edge"/>
              <c:x val="0.50802367159143902"/>
              <c:y val="0.91005550349208442"/>
            </c:manualLayout>
          </c:layout>
          <c:overlay val="0"/>
          <c:spPr>
            <a:noFill/>
            <a:ln>
              <a:noFill/>
            </a:ln>
            <a:effectLst/>
          </c:spPr>
        </c:title>
        <c:numFmt formatCode="General" sourceLinked="1"/>
        <c:majorTickMark val="none"/>
        <c:minorTickMark val="none"/>
        <c:tickLblPos val="nextTo"/>
        <c:crossAx val="1138801904"/>
        <c:crosses val="autoZero"/>
        <c:crossBetween val="between"/>
      </c:valAx>
      <c:valAx>
        <c:axId val="945913216"/>
        <c:scaling>
          <c:orientation val="minMax"/>
          <c:max val="2.5"/>
          <c:min val="0"/>
        </c:scaling>
        <c:delete val="1"/>
        <c:axPos val="r"/>
        <c:numFmt formatCode="General" sourceLinked="1"/>
        <c:majorTickMark val="out"/>
        <c:minorTickMark val="none"/>
        <c:tickLblPos val="nextTo"/>
        <c:crossAx val="945915616"/>
        <c:crosses val="max"/>
        <c:crossBetween val="midCat"/>
      </c:valAx>
      <c:valAx>
        <c:axId val="94591561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Increased risk of developmental vulnerability</a:t>
                </a:r>
              </a:p>
            </c:rich>
          </c:tx>
          <c:layout>
            <c:manualLayout>
              <c:xMode val="edge"/>
              <c:yMode val="edge"/>
              <c:x val="0.53711471533253718"/>
              <c:y val="7.1226475334943098E-2"/>
            </c:manualLayout>
          </c:layout>
          <c:overlay val="0"/>
          <c:spPr>
            <a:noFill/>
            <a:ln>
              <a:noFill/>
            </a:ln>
            <a:effectLst/>
          </c:spPr>
        </c:title>
        <c:majorTickMark val="out"/>
        <c:minorTickMark val="none"/>
        <c:tickLblPos val="nextTo"/>
        <c:crossAx val="945913216"/>
        <c:crosses val="autoZero"/>
        <c:crossBetween val="midCat"/>
      </c:valAx>
    </c:plotArea>
    <c:legend>
      <c:legendPos val="b"/>
      <c:legendEntry>
        <c:idx val="2"/>
        <c:delete val="1"/>
      </c:legendEntry>
      <c:layout>
        <c:manualLayout>
          <c:xMode val="edge"/>
          <c:yMode val="edge"/>
          <c:x val="0.10889349305051206"/>
          <c:y val="0.87282615396020768"/>
          <c:w val="0.31303184912142079"/>
          <c:h val="5.819842165763151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kern="1200" spc="0" baseline="0">
                <a:solidFill>
                  <a:sysClr val="windowText" lastClr="000000">
                    <a:lumMod val="65000"/>
                    <a:lumOff val="35000"/>
                  </a:sysClr>
                </a:solidFill>
              </a:rPr>
              <a:t>Any domains (DV1)</a:t>
            </a:r>
          </a:p>
        </c:rich>
      </c:tx>
      <c:layout>
        <c:manualLayout>
          <c:xMode val="edge"/>
          <c:yMode val="edge"/>
          <c:x val="0.36629884486855957"/>
          <c:y val="3.110822944940148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618433949498003"/>
          <c:y val="0.12112667871137094"/>
          <c:w val="0.68667429706137872"/>
          <c:h val="0.7473119274972575"/>
        </c:manualLayout>
      </c:layout>
      <c:barChart>
        <c:barDir val="bar"/>
        <c:grouping val="clustered"/>
        <c:varyColors val="0"/>
        <c:ser>
          <c:idx val="0"/>
          <c:order val="0"/>
          <c:tx>
            <c:strRef>
              <c:f>'3_4 Figure 1 and 2'!$J$7</c:f>
              <c:strCache>
                <c:ptCount val="1"/>
                <c:pt idx="0">
                  <c:v>Unadjusted</c:v>
                </c:pt>
              </c:strCache>
            </c:strRef>
          </c:tx>
          <c:spPr>
            <a:solidFill>
              <a:schemeClr val="accent1"/>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5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'3_4 Figure 1 and 2'!$B$8:$B$15</c:f>
              <c:strCache>
                <c:ptCount val="8"/>
                <c:pt idx="0">
                  <c:v>No formal
child care</c:v>
                </c:pt>
                <c:pt idx="1">
                  <c:v> 1-2,000</c:v>
                </c:pt>
                <c:pt idx="2">
                  <c:v> 2,001-4,000</c:v>
                </c:pt>
                <c:pt idx="3">
                  <c:v> 4,001-6,000</c:v>
                </c:pt>
                <c:pt idx="4">
                  <c:v> 6,001-8,000</c:v>
                </c:pt>
                <c:pt idx="5">
                  <c:v> 8,001-10,000</c:v>
                </c:pt>
                <c:pt idx="6">
                  <c:v> 10,001-12,000</c:v>
                </c:pt>
                <c:pt idx="7">
                  <c:v> 12,000+</c:v>
                </c:pt>
              </c:strCache>
            </c:strRef>
          </c:cat>
          <c:val>
            <c:numRef>
              <c:f>'3_4 Figure 1 and 2'!$J$8:$J$15</c:f>
              <c:numCache>
                <c:formatCode>0.00</c:formatCode>
                <c:ptCount val="8"/>
                <c:pt idx="0" formatCode="General">
                  <c:v>1</c:v>
                </c:pt>
                <c:pt idx="1">
                  <c:v>0.95440105752381599</c:v>
                </c:pt>
                <c:pt idx="2">
                  <c:v>0.90593783478863898</c:v>
                </c:pt>
                <c:pt idx="3">
                  <c:v>0.89067524973156098</c:v>
                </c:pt>
                <c:pt idx="4">
                  <c:v>0.92648460191344395</c:v>
                </c:pt>
                <c:pt idx="5">
                  <c:v>1.0335709040407599</c:v>
                </c:pt>
                <c:pt idx="6">
                  <c:v>1.1759537860264899</c:v>
                </c:pt>
                <c:pt idx="7">
                  <c:v>1.28104174910772</c:v>
                </c:pt>
              </c:numCache>
            </c:numRef>
          </c:val>
          <c:extLst>
            <c:ext xmlns:c16="http://schemas.microsoft.com/office/drawing/2014/chart" uri="{C3380CC4-5D6E-409C-BE32-E72D297353CC}">
              <c16:uniqueId val="{00000000-0F8B-4C48-B140-3D41F579CEC7}"/>
            </c:ext>
          </c:extLst>
        </c:ser>
        <c:ser>
          <c:idx val="1"/>
          <c:order val="1"/>
          <c:tx>
            <c:strRef>
              <c:f>'3_4 Figure 1 and 2'!$I$7</c:f>
              <c:strCache>
                <c:ptCount val="1"/>
                <c:pt idx="0">
                  <c:v>Adjusted</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'3_4 Figure 1 and 2'!$O$8:$O$15</c:f>
                <c:numCache>
                  <c:formatCode>General</c:formatCode>
                  <c:ptCount val="8"/>
                  <c:pt idx="1">
                    <c:v>2.5913165135240002E-2</c:v>
                  </c:pt>
                  <c:pt idx="2">
                    <c:v>2.5005990456040017E-2</c:v>
                  </c:pt>
                  <c:pt idx="3">
                    <c:v>2.6933845366889919E-2</c:v>
                  </c:pt>
                  <c:pt idx="4">
                    <c:v>3.3555694185950058E-2</c:v>
                  </c:pt>
                  <c:pt idx="5">
                    <c:v>4.302283972824994E-2</c:v>
                  </c:pt>
                  <c:pt idx="6">
                    <c:v>5.6416991665080074E-2</c:v>
                  </c:pt>
                  <c:pt idx="7">
                    <c:v>8.2246643852430079E-2</c:v>
                  </c:pt>
                </c:numCache>
              </c:numRef>
            </c:plus>
            <c:minus>
              <c:numRef>
                <c:f>'3_4 Figure 1 and 2'!$M$8:$M$15</c:f>
                <c:numCache>
                  <c:formatCode>General</c:formatCode>
                  <c:ptCount val="8"/>
                  <c:pt idx="1">
                    <c:v>2.1086834864760151E-2</c:v>
                  </c:pt>
                  <c:pt idx="2">
                    <c:v>2.6994009543960029E-2</c:v>
                  </c:pt>
                  <c:pt idx="3">
                    <c:v>2.5066154633110127E-2</c:v>
                  </c:pt>
                  <c:pt idx="4">
                    <c:v>3.2444305814050001E-2</c:v>
                  </c:pt>
                  <c:pt idx="5">
                    <c:v>3.6977160271750131E-2</c:v>
                  </c:pt>
                  <c:pt idx="6">
                    <c:v>6.5583008334920034E-2</c:v>
                  </c:pt>
                  <c:pt idx="7">
                    <c:v>8.575335614757007E-2</c:v>
                  </c:pt>
                </c:numCache>
              </c:numRef>
            </c:minus>
            <c:spPr>
              <a:noFill/>
              <a:ln w="15875" cap="flat" cmpd="sng" algn="ctr">
                <a:solidFill>
                  <a:schemeClr val="bg1">
                    <a:lumMod val="75000"/>
                  </a:schemeClr>
                </a:solidFill>
                <a:round/>
              </a:ln>
              <a:effectLst/>
            </c:spPr>
          </c:errBars>
          <c:cat>
            <c:strRef>
              <c:f>'3_4 Figure 1 and 2'!$B$8:$B$15</c:f>
              <c:strCache>
                <c:ptCount val="8"/>
                <c:pt idx="0">
                  <c:v>No formal
child care</c:v>
                </c:pt>
                <c:pt idx="1">
                  <c:v> 1-2,000</c:v>
                </c:pt>
                <c:pt idx="2">
                  <c:v> 2,001-4,000</c:v>
                </c:pt>
                <c:pt idx="3">
                  <c:v> 4,001-6,000</c:v>
                </c:pt>
                <c:pt idx="4">
                  <c:v> 6,001-8,000</c:v>
                </c:pt>
                <c:pt idx="5">
                  <c:v> 8,001-10,000</c:v>
                </c:pt>
                <c:pt idx="6">
                  <c:v> 10,001-12,000</c:v>
                </c:pt>
                <c:pt idx="7">
                  <c:v> 12,000+</c:v>
                </c:pt>
              </c:strCache>
            </c:strRef>
          </c:cat>
          <c:val>
            <c:numRef>
              <c:f>'3_4 Figure 1 and 2'!$I$8:$I$15</c:f>
              <c:numCache>
                <c:formatCode>0.00</c:formatCode>
                <c:ptCount val="8"/>
                <c:pt idx="1">
                  <c:v>1.03008683486476</c:v>
                </c:pt>
                <c:pt idx="2">
                  <c:v>1.0319940095439599</c:v>
                </c:pt>
                <c:pt idx="3">
                  <c:v>1.0820661546331101</c:v>
                </c:pt>
                <c:pt idx="4">
                  <c:v>1.17544430581405</c:v>
                </c:pt>
                <c:pt idx="5">
                  <c:v>1.29197716027175</c:v>
                </c:pt>
                <c:pt idx="6">
                  <c:v>1.40658300833492</c:v>
                </c:pt>
                <c:pt idx="7">
                  <c:v>1.51975335614757</c:v>
                </c:pt>
              </c:numCache>
            </c:numRef>
          </c:val>
          <c:extLst>
            <c:ext xmlns:c16="http://schemas.microsoft.com/office/drawing/2014/chart" uri="{C3380CC4-5D6E-409C-BE32-E72D297353CC}">
              <c16:uniqueId val="{00000001-0F8B-4C48-B140-3D41F579CEC7}"/>
            </c:ext>
          </c:extLst>
        </c:ser>
        <c:dLbls>
          <c:showLegendKey val="0"/>
          <c:showVal val="0"/>
          <c:showCatName val="0"/>
          <c:showSerName val="0"/>
          <c:showPercent val="0"/>
          <c:showBubbleSize val="0"/>
        </c:dLbls>
        <c:gapWidth val="50"/>
        <c:axId val="862533456"/>
        <c:axId val="862532976"/>
      </c:barChart>
      <c:scatterChart>
        <c:scatterStyle val="lineMarker"/>
        <c:varyColors val="0"/>
        <c:ser>
          <c:idx val="2"/>
          <c:order val="2"/>
          <c:tx>
            <c:v>Line</c:v>
          </c:tx>
          <c:spPr>
            <a:ln w="25400" cap="rnd">
              <a:no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fixedVal"/>
            <c:noEndCap val="1"/>
            <c:val val="2"/>
            <c:spPr>
              <a:noFill/>
              <a:ln w="15875" cap="flat" cmpd="sng" algn="ctr">
                <a:solidFill>
                  <a:schemeClr val="bg1">
                    <a:lumMod val="65000"/>
                  </a:schemeClr>
                </a:solidFill>
                <a:prstDash val="sysDash"/>
                <a:round/>
              </a:ln>
              <a:effectLst/>
            </c:spPr>
          </c:errBars>
          <c:yVal>
            <c:numRef>
              <c:f>'3_4 Figure 1 and 2'!$B$31</c:f>
              <c:numCache>
                <c:formatCode>General</c:formatCode>
                <c:ptCount val="1"/>
                <c:pt idx="0">
                  <c:v>1</c:v>
                </c:pt>
              </c:numCache>
            </c:numRef>
          </c:yVal>
          <c:smooth val="0"/>
          <c:extLst>
            <c:ext xmlns:c16="http://schemas.microsoft.com/office/drawing/2014/chart" uri="{C3380CC4-5D6E-409C-BE32-E72D297353CC}">
              <c16:uniqueId val="{00000002-0F8B-4C48-B140-3D41F579CEC7}"/>
            </c:ext>
          </c:extLst>
        </c:ser>
        <c:dLbls>
          <c:showLegendKey val="0"/>
          <c:showVal val="0"/>
          <c:showCatName val="0"/>
          <c:showSerName val="0"/>
          <c:showPercent val="0"/>
          <c:showBubbleSize val="0"/>
        </c:dLbls>
        <c:axId val="1135736480"/>
        <c:axId val="1135736000"/>
      </c:scatterChart>
      <c:catAx>
        <c:axId val="862533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kern="1200" baseline="0">
                    <a:solidFill>
                      <a:sysClr val="windowText" lastClr="000000">
                        <a:lumMod val="65000"/>
                        <a:lumOff val="35000"/>
                      </a:sysClr>
                    </a:solidFill>
                  </a:rPr>
                  <a:t>Total Hours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532976"/>
        <c:crosses val="autoZero"/>
        <c:auto val="1"/>
        <c:lblAlgn val="ctr"/>
        <c:lblOffset val="100"/>
        <c:noMultiLvlLbl val="0"/>
      </c:catAx>
      <c:valAx>
        <c:axId val="862532976"/>
        <c:scaling>
          <c:orientation val="minMax"/>
          <c:max val="1.6"/>
          <c:min val="0"/>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i="0" u="none" strike="noStrike" kern="1200" baseline="0">
                    <a:solidFill>
                      <a:sysClr val="windowText" lastClr="000000">
                        <a:lumMod val="65000"/>
                        <a:lumOff val="35000"/>
                      </a:sysClr>
                    </a:solidFill>
                  </a:rPr>
                  <a:t>Risk Ratio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62533456"/>
        <c:crosses val="autoZero"/>
        <c:crossBetween val="between"/>
      </c:valAx>
      <c:valAx>
        <c:axId val="1135736000"/>
        <c:scaling>
          <c:orientation val="minMax"/>
          <c:max val="2.5"/>
          <c:min val="0"/>
        </c:scaling>
        <c:delete val="1"/>
        <c:axPos val="r"/>
        <c:numFmt formatCode="General" sourceLinked="1"/>
        <c:majorTickMark val="out"/>
        <c:minorTickMark val="none"/>
        <c:tickLblPos val="nextTo"/>
        <c:crossAx val="1135736480"/>
        <c:crosses val="max"/>
        <c:crossBetween val="midCat"/>
      </c:valAx>
      <c:valAx>
        <c:axId val="113573648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Increased risk of developmental vulnerability</a:t>
                </a:r>
              </a:p>
            </c:rich>
          </c:tx>
          <c:layout>
            <c:manualLayout>
              <c:xMode val="edge"/>
              <c:yMode val="edge"/>
              <c:x val="0.55770849134225997"/>
              <c:y val="5.59362707503525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crossAx val="1135736000"/>
        <c:crosses val="autoZero"/>
        <c:crossBetween val="midCat"/>
      </c:valAx>
      <c:spPr>
        <a:noFill/>
        <a:ln>
          <a:noFill/>
        </a:ln>
        <a:effectLst/>
      </c:spPr>
    </c:plotArea>
    <c:legend>
      <c:legendPos val="b"/>
      <c:legendEntry>
        <c:idx val="2"/>
        <c:delete val="1"/>
      </c:legendEntry>
      <c:layout>
        <c:manualLayout>
          <c:xMode val="edge"/>
          <c:yMode val="edge"/>
          <c:x val="0.17861669702937202"/>
          <c:y val="0.88610657248962799"/>
          <c:w val="0.30706437049862056"/>
          <c:h val="5.510992206942624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31382696881196"/>
          <c:y val="9.8219122497465505E-2"/>
          <c:w val="0.78425776003351688"/>
          <c:h val="0.75832240303706744"/>
        </c:manualLayout>
      </c:layout>
      <c:barChart>
        <c:barDir val="bar"/>
        <c:grouping val="clustered"/>
        <c:varyColors val="0"/>
        <c:ser>
          <c:idx val="0"/>
          <c:order val="0"/>
          <c:tx>
            <c:strRef>
              <c:f>'3_4 Figure 3'!$B$5</c:f>
              <c:strCache>
                <c:ptCount val="1"/>
                <c:pt idx="0">
                  <c:v>Language and cognitive skills (school based)</c:v>
                </c:pt>
              </c:strCache>
            </c:strRef>
          </c:tx>
          <c:spPr>
            <a:solidFill>
              <a:schemeClr val="accent1"/>
            </a:solidFill>
            <a:ln>
              <a:noFill/>
            </a:ln>
            <a:effectLst/>
          </c:spPr>
          <c:invertIfNegative val="0"/>
          <c:cat>
            <c:strRef>
              <c:f>'3_4 Figure 3'!$C$4:$H$4</c:f>
              <c:strCache>
                <c:ptCount val="6"/>
                <c:pt idx="0">
                  <c:v>No formal child care</c:v>
                </c:pt>
                <c:pt idx="1">
                  <c:v>&lt;10</c:v>
                </c:pt>
                <c:pt idx="2">
                  <c:v> 10-19</c:v>
                </c:pt>
                <c:pt idx="3">
                  <c:v> 20-29</c:v>
                </c:pt>
                <c:pt idx="4">
                  <c:v> 30-39</c:v>
                </c:pt>
                <c:pt idx="5">
                  <c:v> 40-49</c:v>
                </c:pt>
              </c:strCache>
            </c:strRef>
          </c:cat>
          <c:val>
            <c:numRef>
              <c:f>'3_4 Figure 3'!$C$5:$H$5</c:f>
              <c:numCache>
                <c:formatCode>0.00</c:formatCode>
                <c:ptCount val="6"/>
                <c:pt idx="0" formatCode="General">
                  <c:v>1</c:v>
                </c:pt>
                <c:pt idx="1">
                  <c:v>0.94478936727149698</c:v>
                </c:pt>
                <c:pt idx="2">
                  <c:v>0.90018025675359703</c:v>
                </c:pt>
                <c:pt idx="3">
                  <c:v>0.93544839896635001</c:v>
                </c:pt>
                <c:pt idx="4">
                  <c:v>1.0111631641567</c:v>
                </c:pt>
                <c:pt idx="5">
                  <c:v>1.14197685451136</c:v>
                </c:pt>
              </c:numCache>
            </c:numRef>
          </c:val>
          <c:extLst>
            <c:ext xmlns:c16="http://schemas.microsoft.com/office/drawing/2014/chart" uri="{C3380CC4-5D6E-409C-BE32-E72D297353CC}">
              <c16:uniqueId val="{00000000-AF6D-48FC-8A52-A18F478B19CA}"/>
            </c:ext>
          </c:extLst>
        </c:ser>
        <c:ser>
          <c:idx val="1"/>
          <c:order val="1"/>
          <c:tx>
            <c:strRef>
              <c:f>'3_4 Figure 3'!$B$6</c:f>
              <c:strCache>
                <c:ptCount val="1"/>
                <c:pt idx="0">
                  <c:v>Communication skills and general knowledge</c:v>
                </c:pt>
              </c:strCache>
            </c:strRef>
          </c:tx>
          <c:spPr>
            <a:solidFill>
              <a:schemeClr val="accent2"/>
            </a:solidFill>
            <a:ln>
              <a:noFill/>
            </a:ln>
            <a:effectLst/>
          </c:spPr>
          <c:invertIfNegative val="0"/>
          <c:cat>
            <c:strRef>
              <c:f>'3_4 Figure 3'!$C$4:$H$4</c:f>
              <c:strCache>
                <c:ptCount val="6"/>
                <c:pt idx="0">
                  <c:v>No formal child care</c:v>
                </c:pt>
                <c:pt idx="1">
                  <c:v>&lt;10</c:v>
                </c:pt>
                <c:pt idx="2">
                  <c:v> 10-19</c:v>
                </c:pt>
                <c:pt idx="3">
                  <c:v> 20-29</c:v>
                </c:pt>
                <c:pt idx="4">
                  <c:v> 30-39</c:v>
                </c:pt>
                <c:pt idx="5">
                  <c:v> 40-49</c:v>
                </c:pt>
              </c:strCache>
            </c:strRef>
          </c:cat>
          <c:val>
            <c:numRef>
              <c:f>'3_4 Figure 3'!$C$6:$H$6</c:f>
              <c:numCache>
                <c:formatCode>0.00</c:formatCode>
                <c:ptCount val="6"/>
                <c:pt idx="0" formatCode="General">
                  <c:v>1</c:v>
                </c:pt>
                <c:pt idx="1">
                  <c:v>0.934864493152048</c:v>
                </c:pt>
                <c:pt idx="2">
                  <c:v>0.98236983985953796</c:v>
                </c:pt>
                <c:pt idx="3">
                  <c:v>0.95763203257364504</c:v>
                </c:pt>
                <c:pt idx="4">
                  <c:v>0.94093827877816405</c:v>
                </c:pt>
                <c:pt idx="5">
                  <c:v>0.96688446059774003</c:v>
                </c:pt>
              </c:numCache>
            </c:numRef>
          </c:val>
          <c:extLst>
            <c:ext xmlns:c16="http://schemas.microsoft.com/office/drawing/2014/chart" uri="{C3380CC4-5D6E-409C-BE32-E72D297353CC}">
              <c16:uniqueId val="{00000001-AF6D-48FC-8A52-A18F478B19CA}"/>
            </c:ext>
          </c:extLst>
        </c:ser>
        <c:ser>
          <c:idx val="2"/>
          <c:order val="2"/>
          <c:tx>
            <c:strRef>
              <c:f>'3_4 Figure 3'!$B$7</c:f>
              <c:strCache>
                <c:ptCount val="1"/>
                <c:pt idx="0">
                  <c:v>Emotional maturity</c:v>
                </c:pt>
              </c:strCache>
            </c:strRef>
          </c:tx>
          <c:spPr>
            <a:solidFill>
              <a:schemeClr val="accent3"/>
            </a:solidFill>
            <a:ln>
              <a:noFill/>
            </a:ln>
            <a:effectLst/>
          </c:spPr>
          <c:invertIfNegative val="0"/>
          <c:cat>
            <c:strRef>
              <c:f>'3_4 Figure 3'!$C$4:$H$4</c:f>
              <c:strCache>
                <c:ptCount val="6"/>
                <c:pt idx="0">
                  <c:v>No formal child care</c:v>
                </c:pt>
                <c:pt idx="1">
                  <c:v>&lt;10</c:v>
                </c:pt>
                <c:pt idx="2">
                  <c:v> 10-19</c:v>
                </c:pt>
                <c:pt idx="3">
                  <c:v> 20-29</c:v>
                </c:pt>
                <c:pt idx="4">
                  <c:v> 30-39</c:v>
                </c:pt>
                <c:pt idx="5">
                  <c:v> 40-49</c:v>
                </c:pt>
              </c:strCache>
            </c:strRef>
          </c:cat>
          <c:val>
            <c:numRef>
              <c:f>'3_4 Figure 3'!$C$7:$H$7</c:f>
              <c:numCache>
                <c:formatCode>0.00</c:formatCode>
                <c:ptCount val="6"/>
                <c:pt idx="0" formatCode="General">
                  <c:v>1</c:v>
                </c:pt>
                <c:pt idx="1">
                  <c:v>0.96</c:v>
                </c:pt>
                <c:pt idx="2">
                  <c:v>1.04</c:v>
                </c:pt>
                <c:pt idx="3">
                  <c:v>1.27</c:v>
                </c:pt>
                <c:pt idx="4">
                  <c:v>1.63</c:v>
                </c:pt>
                <c:pt idx="5">
                  <c:v>1.98</c:v>
                </c:pt>
              </c:numCache>
            </c:numRef>
          </c:val>
          <c:extLst>
            <c:ext xmlns:c16="http://schemas.microsoft.com/office/drawing/2014/chart" uri="{C3380CC4-5D6E-409C-BE32-E72D297353CC}">
              <c16:uniqueId val="{00000002-AF6D-48FC-8A52-A18F478B19CA}"/>
            </c:ext>
          </c:extLst>
        </c:ser>
        <c:ser>
          <c:idx val="3"/>
          <c:order val="3"/>
          <c:tx>
            <c:strRef>
              <c:f>'3_4 Figure 3'!$B$8</c:f>
              <c:strCache>
                <c:ptCount val="1"/>
                <c:pt idx="0">
                  <c:v>Social competence</c:v>
                </c:pt>
              </c:strCache>
            </c:strRef>
          </c:tx>
          <c:spPr>
            <a:solidFill>
              <a:schemeClr val="accent4"/>
            </a:solidFill>
            <a:ln>
              <a:noFill/>
            </a:ln>
            <a:effectLst/>
          </c:spPr>
          <c:invertIfNegative val="0"/>
          <c:cat>
            <c:strRef>
              <c:f>'3_4 Figure 3'!$C$4:$H$4</c:f>
              <c:strCache>
                <c:ptCount val="6"/>
                <c:pt idx="0">
                  <c:v>No formal child care</c:v>
                </c:pt>
                <c:pt idx="1">
                  <c:v>&lt;10</c:v>
                </c:pt>
                <c:pt idx="2">
                  <c:v> 10-19</c:v>
                </c:pt>
                <c:pt idx="3">
                  <c:v> 20-29</c:v>
                </c:pt>
                <c:pt idx="4">
                  <c:v> 30-39</c:v>
                </c:pt>
                <c:pt idx="5">
                  <c:v> 40-49</c:v>
                </c:pt>
              </c:strCache>
            </c:strRef>
          </c:cat>
          <c:val>
            <c:numRef>
              <c:f>'3_4 Figure 3'!$C$8:$H$8</c:f>
              <c:numCache>
                <c:formatCode>0.00</c:formatCode>
                <c:ptCount val="6"/>
                <c:pt idx="0" formatCode="General">
                  <c:v>1</c:v>
                </c:pt>
                <c:pt idx="1">
                  <c:v>0.99582034904713801</c:v>
                </c:pt>
                <c:pt idx="2">
                  <c:v>1.06202101520303</c:v>
                </c:pt>
                <c:pt idx="3">
                  <c:v>1.25890517406325</c:v>
                </c:pt>
                <c:pt idx="4">
                  <c:v>1.58922857416173</c:v>
                </c:pt>
                <c:pt idx="5">
                  <c:v>1.81946873005732</c:v>
                </c:pt>
              </c:numCache>
            </c:numRef>
          </c:val>
          <c:extLst>
            <c:ext xmlns:c16="http://schemas.microsoft.com/office/drawing/2014/chart" uri="{C3380CC4-5D6E-409C-BE32-E72D297353CC}">
              <c16:uniqueId val="{00000003-AF6D-48FC-8A52-A18F478B19CA}"/>
            </c:ext>
          </c:extLst>
        </c:ser>
        <c:ser>
          <c:idx val="4"/>
          <c:order val="4"/>
          <c:tx>
            <c:strRef>
              <c:f>'3_4 Figure 3'!$B$9</c:f>
              <c:strCache>
                <c:ptCount val="1"/>
                <c:pt idx="0">
                  <c:v>Physical health and wellbeing</c:v>
                </c:pt>
              </c:strCache>
            </c:strRef>
          </c:tx>
          <c:spPr>
            <a:solidFill>
              <a:schemeClr val="accent5"/>
            </a:solidFill>
            <a:ln>
              <a:noFill/>
            </a:ln>
            <a:effectLst/>
          </c:spPr>
          <c:invertIfNegative val="0"/>
          <c:cat>
            <c:strRef>
              <c:f>'3_4 Figure 3'!$C$4:$H$4</c:f>
              <c:strCache>
                <c:ptCount val="6"/>
                <c:pt idx="0">
                  <c:v>No formal child care</c:v>
                </c:pt>
                <c:pt idx="1">
                  <c:v>&lt;10</c:v>
                </c:pt>
                <c:pt idx="2">
                  <c:v> 10-19</c:v>
                </c:pt>
                <c:pt idx="3">
                  <c:v> 20-29</c:v>
                </c:pt>
                <c:pt idx="4">
                  <c:v> 30-39</c:v>
                </c:pt>
                <c:pt idx="5">
                  <c:v> 40-49</c:v>
                </c:pt>
              </c:strCache>
            </c:strRef>
          </c:cat>
          <c:val>
            <c:numRef>
              <c:f>'3_4 Figure 3'!$C$9:$H$9</c:f>
              <c:numCache>
                <c:formatCode>0.00</c:formatCode>
                <c:ptCount val="6"/>
                <c:pt idx="0" formatCode="General">
                  <c:v>1</c:v>
                </c:pt>
                <c:pt idx="1">
                  <c:v>0.95264386918864097</c:v>
                </c:pt>
                <c:pt idx="2">
                  <c:v>0.95730755326426697</c:v>
                </c:pt>
                <c:pt idx="3">
                  <c:v>0.98150614977122597</c:v>
                </c:pt>
                <c:pt idx="4">
                  <c:v>1.0764553281654801</c:v>
                </c:pt>
                <c:pt idx="5">
                  <c:v>1.2146867054710599</c:v>
                </c:pt>
              </c:numCache>
            </c:numRef>
          </c:val>
          <c:extLst>
            <c:ext xmlns:c16="http://schemas.microsoft.com/office/drawing/2014/chart" uri="{C3380CC4-5D6E-409C-BE32-E72D297353CC}">
              <c16:uniqueId val="{00000004-AF6D-48FC-8A52-A18F478B19CA}"/>
            </c:ext>
          </c:extLst>
        </c:ser>
        <c:dLbls>
          <c:showLegendKey val="0"/>
          <c:showVal val="0"/>
          <c:showCatName val="0"/>
          <c:showSerName val="0"/>
          <c:showPercent val="0"/>
          <c:showBubbleSize val="0"/>
        </c:dLbls>
        <c:gapWidth val="219"/>
        <c:axId val="186845935"/>
        <c:axId val="186846415"/>
      </c:barChart>
      <c:scatterChart>
        <c:scatterStyle val="lineMarker"/>
        <c:varyColors val="0"/>
        <c:ser>
          <c:idx val="5"/>
          <c:order val="5"/>
          <c:tx>
            <c:strRef>
              <c:f>'3_4 Figure 3'!$B$10</c:f>
              <c:strCache>
                <c:ptCount val="1"/>
              </c:strCache>
            </c:strRef>
          </c:tx>
          <c:spPr>
            <a:ln w="28575" cap="rnd">
              <a:noFill/>
              <a:round/>
            </a:ln>
            <a:effectLst/>
          </c:spPr>
          <c:marker>
            <c:symbol val="none"/>
          </c:marker>
          <c:errBars>
            <c:errDir val="y"/>
            <c:errBarType val="both"/>
            <c:errValType val="fixedVal"/>
            <c:noEndCap val="1"/>
            <c:val val="1"/>
            <c:spPr>
              <a:noFill/>
              <a:ln w="9525" cap="flat" cmpd="sng" algn="ctr">
                <a:solidFill>
                  <a:schemeClr val="tx1">
                    <a:lumMod val="50000"/>
                    <a:lumOff val="50000"/>
                  </a:schemeClr>
                </a:solidFill>
                <a:prstDash val="dash"/>
                <a:round/>
              </a:ln>
              <a:effectLst/>
            </c:spPr>
          </c:errBars>
          <c:xVal>
            <c:strRef>
              <c:f>'3_4 Figure 3'!$C$4:$H$4</c:f>
              <c:strCache>
                <c:ptCount val="6"/>
                <c:pt idx="0">
                  <c:v>No formal child care</c:v>
                </c:pt>
                <c:pt idx="1">
                  <c:v>&lt;10</c:v>
                </c:pt>
                <c:pt idx="2">
                  <c:v> 10-19</c:v>
                </c:pt>
                <c:pt idx="3">
                  <c:v> 20-29</c:v>
                </c:pt>
                <c:pt idx="4">
                  <c:v> 30-39</c:v>
                </c:pt>
                <c:pt idx="5">
                  <c:v> 40-49</c:v>
                </c:pt>
              </c:strCache>
            </c:strRef>
          </c:xVal>
          <c:yVal>
            <c:numRef>
              <c:f>'3_4 Figure 3'!$C$10:$H$10</c:f>
              <c:numCache>
                <c:formatCode>General</c:formatCode>
                <c:ptCount val="6"/>
                <c:pt idx="0" formatCode="0.00">
                  <c:v>1</c:v>
                </c:pt>
              </c:numCache>
            </c:numRef>
          </c:yVal>
          <c:smooth val="0"/>
          <c:extLst>
            <c:ext xmlns:c16="http://schemas.microsoft.com/office/drawing/2014/chart" uri="{C3380CC4-5D6E-409C-BE32-E72D297353CC}">
              <c16:uniqueId val="{00000005-AF6D-48FC-8A52-A18F478B19CA}"/>
            </c:ext>
          </c:extLst>
        </c:ser>
        <c:dLbls>
          <c:showLegendKey val="0"/>
          <c:showVal val="0"/>
          <c:showCatName val="0"/>
          <c:showSerName val="0"/>
          <c:showPercent val="0"/>
          <c:showBubbleSize val="0"/>
        </c:dLbls>
        <c:axId val="2065046304"/>
        <c:axId val="1778385407"/>
      </c:scatterChart>
      <c:catAx>
        <c:axId val="186845935"/>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Average weekly charged</a:t>
                </a:r>
                <a:r>
                  <a:rPr lang="en-AU" baseline="0"/>
                  <a:t> hours</a:t>
                </a:r>
                <a:endParaRPr lang="en-AU"/>
              </a:p>
            </c:rich>
          </c:tx>
          <c:layout>
            <c:manualLayout>
              <c:xMode val="edge"/>
              <c:yMode val="edge"/>
              <c:x val="1.8030224482809214E-2"/>
              <c:y val="0.3013231951877330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6846415"/>
        <c:crosses val="autoZero"/>
        <c:auto val="1"/>
        <c:lblAlgn val="ctr"/>
        <c:lblOffset val="100"/>
        <c:noMultiLvlLbl val="0"/>
      </c:catAx>
      <c:valAx>
        <c:axId val="186846415"/>
        <c:scaling>
          <c:orientation val="minMax"/>
          <c:max val="2"/>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Adjusted</a:t>
                </a:r>
                <a:r>
                  <a:rPr lang="en-AU" baseline="0"/>
                  <a:t> risk ratio relative to not attending formal child care</a:t>
                </a:r>
                <a:endParaRPr lang="en-AU"/>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AU"/>
            </a:p>
          </c:txPr>
        </c:title>
        <c:numFmt formatCode="0" sourceLinked="0"/>
        <c:majorTickMark val="none"/>
        <c:minorTickMark val="none"/>
        <c:tickLblPos val="nextTo"/>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6845935"/>
        <c:crosses val="autoZero"/>
        <c:crossBetween val="between"/>
        <c:majorUnit val="1"/>
      </c:valAx>
      <c:valAx>
        <c:axId val="1778385407"/>
        <c:scaling>
          <c:orientation val="minMax"/>
          <c:max val="2"/>
          <c:min val="0"/>
        </c:scaling>
        <c:delete val="1"/>
        <c:axPos val="r"/>
        <c:numFmt formatCode="0.00" sourceLinked="1"/>
        <c:majorTickMark val="out"/>
        <c:minorTickMark val="none"/>
        <c:tickLblPos val="nextTo"/>
        <c:crossAx val="2065046304"/>
        <c:crosses val="max"/>
        <c:crossBetween val="midCat"/>
      </c:valAx>
      <c:valAx>
        <c:axId val="2065046304"/>
        <c:scaling>
          <c:orientation val="minMax"/>
        </c:scaling>
        <c:delete val="1"/>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Increased risk of developmental vulnerability</a:t>
                </a:r>
              </a:p>
            </c:rich>
          </c:tx>
          <c:layout>
            <c:manualLayout>
              <c:xMode val="edge"/>
              <c:yMode val="edge"/>
              <c:x val="0.64861496186216161"/>
              <c:y val="4.144068622137828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1778385407"/>
        <c:crosses val="autoZero"/>
        <c:crossBetween val="midCat"/>
      </c:valAx>
      <c:spPr>
        <a:noFill/>
        <a:ln>
          <a:noFill/>
        </a:ln>
        <a:effectLst/>
      </c:spPr>
    </c:plotArea>
    <c:legend>
      <c:legendPos val="b"/>
      <c:legendEntry>
        <c:idx val="5"/>
        <c:delete val="1"/>
      </c:legendEntry>
      <c:layout>
        <c:manualLayout>
          <c:xMode val="edge"/>
          <c:yMode val="edge"/>
          <c:x val="0.59108328850198077"/>
          <c:y val="0.41959773918005822"/>
          <c:w val="0.39423080810550853"/>
          <c:h val="0.4369395151743271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Any Domain (DV1)</a:t>
            </a:r>
          </a:p>
        </c:rich>
      </c:tx>
      <c:layout>
        <c:manualLayout>
          <c:xMode val="edge"/>
          <c:yMode val="edge"/>
          <c:x val="0.37779747396410368"/>
          <c:y val="1.5075376884422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576910257826665"/>
          <c:y val="0.1653035921648337"/>
          <c:w val="0.67339290287791798"/>
          <c:h val="0.665714398765481"/>
        </c:manualLayout>
      </c:layout>
      <c:barChart>
        <c:barDir val="bar"/>
        <c:grouping val="clustered"/>
        <c:varyColors val="0"/>
        <c:ser>
          <c:idx val="0"/>
          <c:order val="0"/>
          <c:tx>
            <c:strRef>
              <c:f>'[3_4_Child_Care_Causal_Inference.xlsx]3_4 Figure 4'!$C$6</c:f>
              <c:strCache>
                <c:ptCount val="1"/>
                <c:pt idx="0">
                  <c:v>Unadjusted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'[3_4_Child_Care_Causal_Inference.xlsx]3_4 Figure 4'!$B$7:$B$10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4'!$C$7:$C$10</c:f>
              <c:numCache>
                <c:formatCode>0.00</c:formatCode>
                <c:ptCount val="4"/>
                <c:pt idx="0">
                  <c:v>0.87732691008494301</c:v>
                </c:pt>
                <c:pt idx="1">
                  <c:v>1.0626145786304799</c:v>
                </c:pt>
                <c:pt idx="2">
                  <c:v>1</c:v>
                </c:pt>
                <c:pt idx="3">
                  <c:v>0.99306832965182401</c:v>
                </c:pt>
              </c:numCache>
            </c:numRef>
          </c:val>
          <c:extLst>
            <c:ext xmlns:c16="http://schemas.microsoft.com/office/drawing/2014/chart" uri="{C3380CC4-5D6E-409C-BE32-E72D297353CC}">
              <c16:uniqueId val="{00000000-494F-4997-89B3-4FFD6A99EBD0}"/>
            </c:ext>
          </c:extLst>
        </c:ser>
        <c:ser>
          <c:idx val="1"/>
          <c:order val="1"/>
          <c:tx>
            <c:strRef>
              <c:f>'[3_4_Child_Care_Causal_Inference.xlsx]3_4 Figure 4'!$H$6</c:f>
              <c:strCache>
                <c:ptCount val="1"/>
                <c:pt idx="0">
                  <c:v>Adjusted</c:v>
                </c:pt>
              </c:strCache>
            </c:strRef>
          </c:tx>
          <c:spPr>
            <a:solidFill>
              <a:srgbClr val="47BFAF">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'[3_4_Child_Care_Causal_Inference.xlsx]3_4 Figure 4'!$K$7:$K$10</c:f>
                <c:numCache>
                  <c:formatCode>General</c:formatCode>
                  <c:ptCount val="4"/>
                  <c:pt idx="0">
                    <c:v>2.1090706341071908E-2</c:v>
                  </c:pt>
                  <c:pt idx="1">
                    <c:v>2.1954334090266037E-2</c:v>
                  </c:pt>
                  <c:pt idx="3">
                    <c:v>2.0163161236978921E-2</c:v>
                  </c:pt>
                </c:numCache>
              </c:numRef>
            </c:plus>
            <c:minus>
              <c:numRef>
                <c:f>'[3_4_Child_Care_Causal_Inference.xlsx]3_4 Figure 4'!$L$7:$L$10</c:f>
                <c:numCache>
                  <c:formatCode>General</c:formatCode>
                  <c:ptCount val="4"/>
                  <c:pt idx="0">
                    <c:v>2.231963559775807E-2</c:v>
                  </c:pt>
                  <c:pt idx="1">
                    <c:v>2.286986152219006E-2</c:v>
                  </c:pt>
                  <c:pt idx="3">
                    <c:v>2.149928201000606E-2</c:v>
                  </c:pt>
                </c:numCache>
              </c:numRef>
            </c:minus>
            <c:spPr>
              <a:noFill/>
              <a:ln w="15875" cap="flat" cmpd="sng" algn="ctr">
                <a:solidFill>
                  <a:schemeClr val="bg1">
                    <a:lumMod val="75000"/>
                  </a:schemeClr>
                </a:solidFill>
                <a:round/>
              </a:ln>
              <a:effectLst/>
            </c:spPr>
          </c:errBars>
          <c:cat>
            <c:strRef>
              <c:f>'[3_4_Child_Care_Causal_Inference.xlsx]3_4 Figure 4'!$B$7:$B$10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4'!$H$7:$H$10</c:f>
              <c:numCache>
                <c:formatCode>0.00</c:formatCode>
                <c:ptCount val="4"/>
                <c:pt idx="0">
                  <c:v>0.95620863137075296</c:v>
                </c:pt>
                <c:pt idx="1">
                  <c:v>1.01832913324603</c:v>
                </c:pt>
                <c:pt idx="3">
                  <c:v>0.91517366734971195</c:v>
                </c:pt>
              </c:numCache>
            </c:numRef>
          </c:val>
          <c:extLst>
            <c:ext xmlns:c16="http://schemas.microsoft.com/office/drawing/2014/chart" uri="{C3380CC4-5D6E-409C-BE32-E72D297353CC}">
              <c16:uniqueId val="{00000001-494F-4997-89B3-4FFD6A99EBD0}"/>
            </c:ext>
          </c:extLst>
        </c:ser>
        <c:dLbls>
          <c:showLegendKey val="0"/>
          <c:showVal val="0"/>
          <c:showCatName val="0"/>
          <c:showSerName val="0"/>
          <c:showPercent val="0"/>
          <c:showBubbleSize val="0"/>
        </c:dLbls>
        <c:gapWidth val="50"/>
        <c:axId val="1017519440"/>
        <c:axId val="1191837264"/>
      </c:barChart>
      <c:scatterChart>
        <c:scatterStyle val="lineMarker"/>
        <c:varyColors val="0"/>
        <c:ser>
          <c:idx val="2"/>
          <c:order val="2"/>
          <c:spPr>
            <a:ln w="25400" cap="rnd">
              <a:noFill/>
              <a:round/>
            </a:ln>
            <a:effectLst/>
          </c:spPr>
          <c:marker>
            <c:symbol val="circle"/>
            <c:size val="5"/>
            <c:spPr>
              <a:solidFill>
                <a:schemeClr val="accent3"/>
              </a:solidFill>
              <a:ln w="9525">
                <a:solidFill>
                  <a:schemeClr val="accent3"/>
                </a:solidFill>
              </a:ln>
              <a:effectLst/>
            </c:spPr>
          </c:marker>
          <c:errBars>
            <c:errDir val="x"/>
            <c:errBarType val="both"/>
            <c:errValType val="stdErr"/>
            <c:noEndCap val="0"/>
            <c:spPr>
              <a:noFill/>
              <a:ln w="9525" cap="flat" cmpd="sng" algn="ctr">
                <a:noFill/>
                <a:round/>
              </a:ln>
              <a:effectLst/>
            </c:spPr>
          </c:errBars>
          <c:errBars>
            <c:errDir val="y"/>
            <c:errBarType val="both"/>
            <c:errValType val="fixedVal"/>
            <c:noEndCap val="1"/>
            <c:val val="1"/>
            <c:spPr>
              <a:noFill/>
              <a:ln w="15875" cap="flat" cmpd="sng" algn="ctr">
                <a:solidFill>
                  <a:schemeClr val="bg2">
                    <a:lumMod val="75000"/>
                  </a:schemeClr>
                </a:solidFill>
                <a:prstDash val="sysDash"/>
                <a:round/>
              </a:ln>
              <a:effectLst/>
            </c:spPr>
          </c:errBars>
          <c:yVal>
            <c:numLit>
              <c:formatCode>General</c:formatCode>
              <c:ptCount val="1"/>
              <c:pt idx="0">
                <c:v>1</c:v>
              </c:pt>
            </c:numLit>
          </c:yVal>
          <c:smooth val="0"/>
          <c:extLst>
            <c:ext xmlns:c16="http://schemas.microsoft.com/office/drawing/2014/chart" uri="{C3380CC4-5D6E-409C-BE32-E72D297353CC}">
              <c16:uniqueId val="{00000002-494F-4997-89B3-4FFD6A99EBD0}"/>
            </c:ext>
          </c:extLst>
        </c:ser>
        <c:dLbls>
          <c:showLegendKey val="0"/>
          <c:showVal val="0"/>
          <c:showCatName val="0"/>
          <c:showSerName val="0"/>
          <c:showPercent val="0"/>
          <c:showBubbleSize val="0"/>
        </c:dLbls>
        <c:axId val="871644080"/>
        <c:axId val="871651024"/>
      </c:scatterChart>
      <c:catAx>
        <c:axId val="1017519440"/>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837264"/>
        <c:crosses val="autoZero"/>
        <c:auto val="1"/>
        <c:lblAlgn val="ctr"/>
        <c:lblOffset val="100"/>
        <c:noMultiLvlLbl val="0"/>
      </c:catAx>
      <c:valAx>
        <c:axId val="1191837264"/>
        <c:scaling>
          <c:orientation val="minMax"/>
        </c:scaling>
        <c:delete val="1"/>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Increased risk of developmental</a:t>
                </a:r>
                <a:r>
                  <a:rPr lang="en-AU" baseline="0"/>
                  <a:t> </a:t>
                </a:r>
                <a:r>
                  <a:rPr lang="en-AU"/>
                  <a:t>vulnerablity</a:t>
                </a:r>
              </a:p>
            </c:rich>
          </c:tx>
          <c:layout>
            <c:manualLayout>
              <c:xMode val="edge"/>
              <c:yMode val="edge"/>
              <c:x val="0.61017002438043211"/>
              <c:y val="8.684942049921501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1017519440"/>
        <c:crosses val="autoZero"/>
        <c:crossBetween val="between"/>
      </c:valAx>
      <c:valAx>
        <c:axId val="871651024"/>
        <c:scaling>
          <c:orientation val="minMax"/>
          <c:max val="0.9"/>
        </c:scaling>
        <c:delete val="1"/>
        <c:axPos val="r"/>
        <c:numFmt formatCode="General" sourceLinked="1"/>
        <c:majorTickMark val="out"/>
        <c:minorTickMark val="none"/>
        <c:tickLblPos val="nextTo"/>
        <c:crossAx val="871644080"/>
        <c:crosses val="max"/>
        <c:crossBetween val="midCat"/>
      </c:valAx>
      <c:valAx>
        <c:axId val="87164408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Risk</a:t>
                </a:r>
                <a:r>
                  <a:rPr lang="en-AU" baseline="0"/>
                  <a:t> ratio</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majorTickMark val="out"/>
        <c:minorTickMark val="none"/>
        <c:tickLblPos val="nextTo"/>
        <c:crossAx val="871651024"/>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egendEntry>
        <c:idx val="2"/>
        <c:delete val="1"/>
      </c:legendEntry>
      <c:layout>
        <c:manualLayout>
          <c:xMode val="edge"/>
          <c:yMode val="edge"/>
          <c:x val="0.40075337912696651"/>
          <c:y val="0.91520476397736716"/>
          <c:w val="0.24490550248406537"/>
          <c:h val="7.52933191118006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i="0" u="none" strike="noStrike" kern="1200" spc="0" baseline="0">
                <a:solidFill>
                  <a:sysClr val="windowText" lastClr="000000">
                    <a:lumMod val="65000"/>
                    <a:lumOff val="35000"/>
                  </a:sysClr>
                </a:solidFill>
              </a:rPr>
              <a:t>Language and cognitive skills (school-based)</a:t>
            </a:r>
          </a:p>
        </c:rich>
      </c:tx>
      <c:layout>
        <c:manualLayout>
          <c:xMode val="edge"/>
          <c:yMode val="edge"/>
          <c:x val="0.2165465994127202"/>
          <c:y val="0"/>
        </c:manualLayout>
      </c:layout>
      <c:overlay val="0"/>
    </c:title>
    <c:autoTitleDeleted val="0"/>
    <c:plotArea>
      <c:layout>
        <c:manualLayout>
          <c:layoutTarget val="inner"/>
          <c:xMode val="edge"/>
          <c:yMode val="edge"/>
          <c:x val="0.26835476065856689"/>
          <c:y val="0.18048661800486618"/>
          <c:w val="0.61972563633942201"/>
          <c:h val="0.63448736662486382"/>
        </c:manualLayout>
      </c:layout>
      <c:barChart>
        <c:barDir val="bar"/>
        <c:grouping val="clustered"/>
        <c:varyColors val="0"/>
        <c:ser>
          <c:idx val="0"/>
          <c:order val="0"/>
          <c:tx>
            <c:strRef>
              <c:f>'[3_4_Child_Care_Causal_Inference.xlsx]3_4 Figure 5'!$C$6</c:f>
              <c:strCache>
                <c:ptCount val="1"/>
                <c:pt idx="0">
                  <c:v>Unadjusted</c:v>
                </c:pt>
              </c:strCache>
            </c:strRef>
          </c:tx>
          <c:invertIfNegative val="0"/>
          <c:dLbls>
            <c:spPr>
              <a:noFill/>
              <a:ln>
                <a:noFill/>
              </a:ln>
              <a:effectLst/>
            </c:spPr>
            <c:txPr>
              <a:bodyPr lIns="38100" tIns="19050" rIns="38100" bIns="19050">
                <a:spAutoFit/>
              </a:bodyPr>
              <a:lstStyle/>
              <a:p>
                <a:pPr>
                  <a:defRPr sz="1000" b="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5'!$F$7:$F$10</c:f>
                <c:numCache>
                  <c:formatCode>General</c:formatCode>
                  <c:ptCount val="4"/>
                  <c:pt idx="0">
                    <c:v>4.4748310171073058E-2</c:v>
                  </c:pt>
                  <c:pt idx="1">
                    <c:v>5.4123571030920026E-2</c:v>
                  </c:pt>
                  <c:pt idx="3">
                    <c:v>6.1986229878480126E-2</c:v>
                  </c:pt>
                </c:numCache>
              </c:numRef>
            </c:plus>
            <c:minus>
              <c:numRef>
                <c:f>'[3_4_Child_Care_Causal_Inference.xlsx]3_4 Figure 5'!$G$7:$G$10</c:f>
                <c:numCache>
                  <c:formatCode>General</c:formatCode>
                  <c:ptCount val="4"/>
                  <c:pt idx="0">
                    <c:v>4.7177911747292911E-2</c:v>
                  </c:pt>
                  <c:pt idx="1">
                    <c:v>5.6920920747929982E-2</c:v>
                  </c:pt>
                  <c:pt idx="3">
                    <c:v>6.5132071616760046E-2</c:v>
                  </c:pt>
                </c:numCache>
              </c:numRef>
            </c:minus>
          </c:errBars>
          <c:cat>
            <c:strRef>
              <c:f>'[3_4_Child_Care_Causal_Inference.xlsx]3_4 Figure 5'!$B$7:$B$10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5'!$C$7:$C$10</c:f>
              <c:numCache>
                <c:formatCode>0.00</c:formatCode>
                <c:ptCount val="4"/>
                <c:pt idx="0">
                  <c:v>0.79506870945072305</c:v>
                </c:pt>
                <c:pt idx="1">
                  <c:v>1.1019549169012299</c:v>
                </c:pt>
                <c:pt idx="2">
                  <c:v>1</c:v>
                </c:pt>
                <c:pt idx="3">
                  <c:v>1.35935143008612</c:v>
                </c:pt>
              </c:numCache>
            </c:numRef>
          </c:val>
          <c:extLst>
            <c:ext xmlns:c16="http://schemas.microsoft.com/office/drawing/2014/chart" uri="{C3380CC4-5D6E-409C-BE32-E72D297353CC}">
              <c16:uniqueId val="{00000000-43FE-44E8-AD7C-AF73838CF7E3}"/>
            </c:ext>
          </c:extLst>
        </c:ser>
        <c:ser>
          <c:idx val="1"/>
          <c:order val="1"/>
          <c:tx>
            <c:strRef>
              <c:f>'[3_4_Child_Care_Causal_Inference.xlsx]3_4 Figure 5'!$H$6</c:f>
              <c:strCache>
                <c:ptCount val="1"/>
                <c:pt idx="0">
                  <c:v> Adjusted</c:v>
                </c:pt>
              </c:strCache>
            </c:strRef>
          </c:tx>
          <c:spPr>
            <a:solidFill>
              <a:schemeClr val="accent6">
                <a:lumMod val="75000"/>
              </a:schemeClr>
            </a:solidFill>
          </c:spPr>
          <c:invertIfNegative val="0"/>
          <c:dLbls>
            <c:spPr>
              <a:noFill/>
              <a:ln>
                <a:noFill/>
              </a:ln>
              <a:effectLst/>
            </c:spPr>
            <c:txPr>
              <a:bodyPr wrap="square" lIns="38100" tIns="19050" rIns="38100" bIns="19050" anchor="ctr">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5'!$K$7:$K$10</c:f>
                <c:numCache>
                  <c:formatCode>General</c:formatCode>
                  <c:ptCount val="4"/>
                  <c:pt idx="0">
                    <c:v>4.9435184427448986E-2</c:v>
                  </c:pt>
                  <c:pt idx="1">
                    <c:v>5.0884988924495E-2</c:v>
                  </c:pt>
                  <c:pt idx="3">
                    <c:v>5.123800590483607E-2</c:v>
                  </c:pt>
                </c:numCache>
              </c:numRef>
            </c:plus>
            <c:minus>
              <c:numRef>
                <c:f>'[3_4_Child_Care_Causal_Inference.xlsx]3_4 Figure 5'!$L$7:$L$10</c:f>
                <c:numCache>
                  <c:formatCode>General</c:formatCode>
                  <c:ptCount val="4"/>
                  <c:pt idx="0">
                    <c:v>4.9505315215088053E-2</c:v>
                  </c:pt>
                  <c:pt idx="1">
                    <c:v>4.8476445336530061E-2</c:v>
                  </c:pt>
                  <c:pt idx="3">
                    <c:v>4.3403660526609933E-2</c:v>
                  </c:pt>
                </c:numCache>
              </c:numRef>
            </c:minus>
            <c:spPr>
              <a:ln w="15875">
                <a:solidFill>
                  <a:schemeClr val="bg1">
                    <a:lumMod val="65000"/>
                  </a:schemeClr>
                </a:solidFill>
              </a:ln>
            </c:spPr>
          </c:errBars>
          <c:cat>
            <c:strRef>
              <c:f>'[3_4_Child_Care_Causal_Inference.xlsx]3_4 Figure 5'!$B$7:$B$10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5'!$H$7:$H$10</c:f>
              <c:numCache>
                <c:formatCode>0.00</c:formatCode>
                <c:ptCount val="4"/>
                <c:pt idx="0">
                  <c:v>0.95132061333017204</c:v>
                </c:pt>
                <c:pt idx="1">
                  <c:v>1.01902166210017</c:v>
                </c:pt>
                <c:pt idx="3">
                  <c:v>1.0480426557640301</c:v>
                </c:pt>
              </c:numCache>
            </c:numRef>
          </c:val>
          <c:extLst>
            <c:ext xmlns:c16="http://schemas.microsoft.com/office/drawing/2014/chart" uri="{C3380CC4-5D6E-409C-BE32-E72D297353CC}">
              <c16:uniqueId val="{00000001-43FE-44E8-AD7C-AF73838CF7E3}"/>
            </c:ext>
          </c:extLst>
        </c:ser>
        <c:dLbls>
          <c:showLegendKey val="0"/>
          <c:showVal val="0"/>
          <c:showCatName val="0"/>
          <c:showSerName val="0"/>
          <c:showPercent val="0"/>
          <c:showBubbleSize val="0"/>
        </c:dLbls>
        <c:gapWidth val="50"/>
        <c:axId val="1017519440"/>
        <c:axId val="1191837264"/>
      </c:barChart>
      <c:scatterChart>
        <c:scatterStyle val="lineMarker"/>
        <c:varyColors val="0"/>
        <c:ser>
          <c:idx val="2"/>
          <c:order val="2"/>
          <c:tx>
            <c:v>Line</c:v>
          </c:tx>
          <c:spPr>
            <a:ln w="25400">
              <a:noFill/>
            </a:ln>
          </c:spPr>
          <c:marker>
            <c:symbol val="circle"/>
            <c:size val="5"/>
          </c:marker>
          <c:errBars>
            <c:errDir val="x"/>
            <c:errBarType val="both"/>
            <c:errValType val="stdErr"/>
            <c:noEndCap val="0"/>
            <c:spPr>
              <a:ln>
                <a:solidFill>
                  <a:schemeClr val="bg2">
                    <a:lumMod val="75000"/>
                  </a:schemeClr>
                </a:solidFill>
              </a:ln>
            </c:spPr>
          </c:errBars>
          <c:errBars>
            <c:errDir val="y"/>
            <c:errBarType val="both"/>
            <c:errValType val="fixedVal"/>
            <c:noEndCap val="1"/>
            <c:val val="1"/>
            <c:spPr>
              <a:ln w="15875">
                <a:solidFill>
                  <a:schemeClr val="bg2">
                    <a:lumMod val="75000"/>
                  </a:schemeClr>
                </a:solidFill>
                <a:prstDash val="sysDash"/>
              </a:ln>
            </c:spPr>
          </c:errBars>
          <c:yVal>
            <c:numLit>
              <c:formatCode>General</c:formatCode>
              <c:ptCount val="1"/>
              <c:pt idx="0">
                <c:v>1</c:v>
              </c:pt>
            </c:numLit>
          </c:yVal>
          <c:smooth val="0"/>
          <c:extLst>
            <c:ext xmlns:c16="http://schemas.microsoft.com/office/drawing/2014/chart" uri="{C3380CC4-5D6E-409C-BE32-E72D297353CC}">
              <c16:uniqueId val="{00000002-43FE-44E8-AD7C-AF73838CF7E3}"/>
            </c:ext>
          </c:extLst>
        </c:ser>
        <c:dLbls>
          <c:showLegendKey val="0"/>
          <c:showVal val="0"/>
          <c:showCatName val="0"/>
          <c:showSerName val="0"/>
          <c:showPercent val="0"/>
          <c:showBubbleSize val="0"/>
        </c:dLbls>
        <c:axId val="871644080"/>
        <c:axId val="871651024"/>
      </c:scatterChart>
      <c:catAx>
        <c:axId val="1017519440"/>
        <c:scaling>
          <c:orientation val="maxMin"/>
        </c:scaling>
        <c:delete val="0"/>
        <c:axPos val="l"/>
        <c:numFmt formatCode="General" sourceLinked="1"/>
        <c:majorTickMark val="none"/>
        <c:minorTickMark val="none"/>
        <c:tickLblPos val="nextTo"/>
        <c:spPr>
          <a:ln>
            <a:noFill/>
          </a:ln>
        </c:spPr>
        <c:crossAx val="1191837264"/>
        <c:crosses val="autoZero"/>
        <c:auto val="1"/>
        <c:lblAlgn val="ctr"/>
        <c:lblOffset val="100"/>
        <c:noMultiLvlLbl val="0"/>
      </c:catAx>
      <c:valAx>
        <c:axId val="1191837264"/>
        <c:scaling>
          <c:orientation val="minMax"/>
        </c:scaling>
        <c:delete val="1"/>
        <c:axPos val="t"/>
        <c:title>
          <c:tx>
            <c:rich>
              <a:bodyPr/>
              <a:lstStyle/>
              <a:p>
                <a:pPr>
                  <a:defRPr b="0">
                    <a:solidFill>
                      <a:sysClr val="windowText" lastClr="000000"/>
                    </a:solidFill>
                  </a:defRPr>
                </a:pPr>
                <a:r>
                  <a:rPr lang="en-AU" b="0">
                    <a:solidFill>
                      <a:sysClr val="windowText" lastClr="000000"/>
                    </a:solidFill>
                  </a:rPr>
                  <a:t>Increased risk of developmental vulnerability</a:t>
                </a:r>
              </a:p>
            </c:rich>
          </c:tx>
          <c:layout>
            <c:manualLayout>
              <c:xMode val="edge"/>
              <c:yMode val="edge"/>
              <c:x val="0.71661803614821318"/>
              <c:y val="0.10162997873441003"/>
            </c:manualLayout>
          </c:layout>
          <c:overlay val="0"/>
        </c:title>
        <c:numFmt formatCode="0.00" sourceLinked="1"/>
        <c:majorTickMark val="none"/>
        <c:minorTickMark val="none"/>
        <c:tickLblPos val="nextTo"/>
        <c:crossAx val="1017519440"/>
        <c:crosses val="autoZero"/>
        <c:crossBetween val="between"/>
      </c:valAx>
      <c:valAx>
        <c:axId val="871651024"/>
        <c:scaling>
          <c:orientation val="minMax"/>
          <c:max val="0.9"/>
        </c:scaling>
        <c:delete val="1"/>
        <c:axPos val="r"/>
        <c:numFmt formatCode="General" sourceLinked="1"/>
        <c:majorTickMark val="out"/>
        <c:minorTickMark val="none"/>
        <c:tickLblPos val="nextTo"/>
        <c:crossAx val="871644080"/>
        <c:crosses val="max"/>
        <c:crossBetween val="midCat"/>
      </c:valAx>
      <c:valAx>
        <c:axId val="871644080"/>
        <c:scaling>
          <c:orientation val="minMax"/>
        </c:scaling>
        <c:delete val="1"/>
        <c:axPos val="b"/>
        <c:title>
          <c:tx>
            <c:rich>
              <a:bodyPr/>
              <a:lstStyle/>
              <a:p>
                <a:pPr>
                  <a:defRPr b="0"/>
                </a:pPr>
                <a:r>
                  <a:rPr lang="en-AU" b="0"/>
                  <a:t>Risk ratio</a:t>
                </a:r>
              </a:p>
            </c:rich>
          </c:tx>
          <c:layout>
            <c:manualLayout>
              <c:xMode val="edge"/>
              <c:yMode val="edge"/>
              <c:x val="0.46561499500131726"/>
              <c:y val="0.81497378754548633"/>
            </c:manualLayout>
          </c:layout>
          <c:overlay val="0"/>
        </c:title>
        <c:majorTickMark val="out"/>
        <c:minorTickMark val="none"/>
        <c:tickLblPos val="nextTo"/>
        <c:crossAx val="871651024"/>
        <c:crosses val="autoZero"/>
        <c:crossBetween val="midCat"/>
      </c:valAx>
    </c:plotArea>
    <c:legend>
      <c:legendPos val="b"/>
      <c:legendEntry>
        <c:idx val="2"/>
        <c:delete val="1"/>
      </c:legendEntry>
      <c:layout>
        <c:manualLayout>
          <c:xMode val="edge"/>
          <c:yMode val="edge"/>
          <c:x val="0.39309571125235759"/>
          <c:y val="0.91586233835653053"/>
          <c:w val="0.25527717313707871"/>
          <c:h val="8.2117363066842919E-2"/>
        </c:manualLayout>
      </c:layout>
      <c:overlay val="0"/>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i="0" u="none" strike="noStrike" kern="1200" spc="0" baseline="0">
                <a:solidFill>
                  <a:sysClr val="windowText" lastClr="000000">
                    <a:lumMod val="65000"/>
                    <a:lumOff val="35000"/>
                  </a:sysClr>
                </a:solidFill>
              </a:rPr>
              <a:t>Communication skills and general knowledge</a:t>
            </a:r>
          </a:p>
        </c:rich>
      </c:tx>
      <c:overlay val="0"/>
    </c:title>
    <c:autoTitleDeleted val="0"/>
    <c:plotArea>
      <c:layout>
        <c:manualLayout>
          <c:layoutTarget val="inner"/>
          <c:xMode val="edge"/>
          <c:yMode val="edge"/>
          <c:x val="0.29547576510357509"/>
          <c:y val="0.21537889696037993"/>
          <c:w val="0.60293392816901226"/>
          <c:h val="0.6020527569446803"/>
        </c:manualLayout>
      </c:layout>
      <c:barChart>
        <c:barDir val="bar"/>
        <c:grouping val="clustered"/>
        <c:varyColors val="0"/>
        <c:ser>
          <c:idx val="0"/>
          <c:order val="0"/>
          <c:tx>
            <c:strRef>
              <c:f>'[3_4_Child_Care_Causal_Inference.xlsx]3_4 Figure 6'!$C$6</c:f>
              <c:strCache>
                <c:ptCount val="1"/>
                <c:pt idx="0">
                  <c:v>Unadjusted</c:v>
                </c:pt>
              </c:strCache>
            </c:strRef>
          </c:tx>
          <c:invertIfNegative val="0"/>
          <c:dLbls>
            <c:spPr>
              <a:noFill/>
              <a:ln>
                <a:noFill/>
              </a:ln>
              <a:effectLst/>
            </c:spPr>
            <c:txPr>
              <a:bodyPr lIns="38100" tIns="19050" rIns="38100" bIns="19050">
                <a:spAutoFit/>
              </a:bodyPr>
              <a:lstStyle/>
              <a:p>
                <a:pPr>
                  <a:defRPr sz="1000" b="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6'!$F$7:$F$10</c:f>
                <c:numCache>
                  <c:formatCode>General</c:formatCode>
                  <c:ptCount val="4"/>
                  <c:pt idx="0">
                    <c:v>4.0349206250283931E-2</c:v>
                  </c:pt>
                  <c:pt idx="1">
                    <c:v>5.0602141908539844E-2</c:v>
                  </c:pt>
                  <c:pt idx="3">
                    <c:v>5.3763057582860041E-2</c:v>
                  </c:pt>
                </c:numCache>
              </c:numRef>
            </c:plus>
            <c:minus>
              <c:numRef>
                <c:f>'[3_4_Child_Care_Causal_Inference.xlsx]3_4 Figure 6'!$G$7:$G$10</c:f>
                <c:numCache>
                  <c:formatCode>General</c:formatCode>
                  <c:ptCount val="4"/>
                  <c:pt idx="0">
                    <c:v>4.2315472983327052E-2</c:v>
                  </c:pt>
                  <c:pt idx="1">
                    <c:v>5.2942352722410213E-2</c:v>
                  </c:pt>
                  <c:pt idx="3">
                    <c:v>5.622164531082996E-2</c:v>
                  </c:pt>
                </c:numCache>
              </c:numRef>
            </c:minus>
          </c:errBars>
          <c:cat>
            <c:strRef>
              <c:f>'[3_4_Child_Care_Causal_Inference.xlsx]3_4 Figure 6'!$B$7:$B$10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6'!$C$7:$C$10</c:f>
              <c:numCache>
                <c:formatCode>0.00</c:formatCode>
                <c:ptCount val="4"/>
                <c:pt idx="0">
                  <c:v>0.79249740810380398</c:v>
                </c:pt>
                <c:pt idx="1">
                  <c:v>1.1560792397336599</c:v>
                </c:pt>
                <c:pt idx="2">
                  <c:v>1</c:v>
                </c:pt>
                <c:pt idx="3">
                  <c:v>1.29222055686004</c:v>
                </c:pt>
              </c:numCache>
            </c:numRef>
          </c:val>
          <c:extLst>
            <c:ext xmlns:c16="http://schemas.microsoft.com/office/drawing/2014/chart" uri="{C3380CC4-5D6E-409C-BE32-E72D297353CC}">
              <c16:uniqueId val="{00000000-14F8-4570-AAA0-90B67350395A}"/>
            </c:ext>
          </c:extLst>
        </c:ser>
        <c:ser>
          <c:idx val="1"/>
          <c:order val="1"/>
          <c:tx>
            <c:strRef>
              <c:f>'[3_4_Child_Care_Causal_Inference.xlsx]3_4 Figure 6'!$H$6</c:f>
              <c:strCache>
                <c:ptCount val="1"/>
                <c:pt idx="0">
                  <c:v>Adjusted</c:v>
                </c:pt>
              </c:strCache>
            </c:strRef>
          </c:tx>
          <c:spPr>
            <a:solidFill>
              <a:schemeClr val="accent6">
                <a:lumMod val="75000"/>
              </a:schemeClr>
            </a:solidFill>
          </c:spPr>
          <c:invertIfNegative val="0"/>
          <c:dLbls>
            <c:spPr>
              <a:noFill/>
              <a:ln>
                <a:noFill/>
              </a:ln>
              <a:effectLst/>
            </c:spPr>
            <c:txPr>
              <a:bodyPr lIns="38100" tIns="19050" rIns="38100" bIns="19050">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6'!$K$7:$K$10</c:f>
                <c:numCache>
                  <c:formatCode>General</c:formatCode>
                  <c:ptCount val="4"/>
                  <c:pt idx="0">
                    <c:v>4.5470141432743971E-2</c:v>
                  </c:pt>
                  <c:pt idx="1">
                    <c:v>3.9751179755899924E-2</c:v>
                  </c:pt>
                  <c:pt idx="3">
                    <c:v>4.1948855393660001E-2</c:v>
                  </c:pt>
                </c:numCache>
              </c:numRef>
            </c:plus>
            <c:minus>
              <c:numRef>
                <c:f>'[3_4_Child_Care_Causal_Inference.xlsx]3_4 Figure 6'!$L$7:$L$10</c:f>
                <c:numCache>
                  <c:formatCode>General</c:formatCode>
                  <c:ptCount val="4"/>
                  <c:pt idx="0">
                    <c:v>4.6058147521924053E-2</c:v>
                  </c:pt>
                  <c:pt idx="1">
                    <c:v>4.5732821245729971E-2</c:v>
                  </c:pt>
                  <c:pt idx="3">
                    <c:v>4.4661749668299944E-2</c:v>
                  </c:pt>
                </c:numCache>
              </c:numRef>
            </c:minus>
            <c:spPr>
              <a:ln w="19050">
                <a:solidFill>
                  <a:schemeClr val="bg1">
                    <a:lumMod val="65000"/>
                  </a:schemeClr>
                </a:solidFill>
              </a:ln>
            </c:spPr>
          </c:errBars>
          <c:cat>
            <c:strRef>
              <c:f>'[3_4_Child_Care_Causal_Inference.xlsx]3_4 Figure 6'!$B$7:$B$10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6'!$H$7:$H$10</c:f>
              <c:numCache>
                <c:formatCode>0.00</c:formatCode>
                <c:ptCount val="4"/>
                <c:pt idx="0">
                  <c:v>0.92835407099951095</c:v>
                </c:pt>
                <c:pt idx="1">
                  <c:v>1.0136458079316299</c:v>
                </c:pt>
                <c:pt idx="3">
                  <c:v>1.0443550321351001</c:v>
                </c:pt>
              </c:numCache>
            </c:numRef>
          </c:val>
          <c:extLst>
            <c:ext xmlns:c16="http://schemas.microsoft.com/office/drawing/2014/chart" uri="{C3380CC4-5D6E-409C-BE32-E72D297353CC}">
              <c16:uniqueId val="{00000001-14F8-4570-AAA0-90B67350395A}"/>
            </c:ext>
          </c:extLst>
        </c:ser>
        <c:dLbls>
          <c:showLegendKey val="0"/>
          <c:showVal val="0"/>
          <c:showCatName val="0"/>
          <c:showSerName val="0"/>
          <c:showPercent val="0"/>
          <c:showBubbleSize val="0"/>
        </c:dLbls>
        <c:gapWidth val="50"/>
        <c:axId val="921888096"/>
        <c:axId val="1025197664"/>
      </c:barChart>
      <c:scatterChart>
        <c:scatterStyle val="lineMarker"/>
        <c:varyColors val="0"/>
        <c:ser>
          <c:idx val="2"/>
          <c:order val="2"/>
          <c:tx>
            <c:strRef>
              <c:f>'[3_4_Child_Care_Causal_Inference.xlsx]3_4 Figure 6'!$B$11</c:f>
              <c:strCache>
                <c:ptCount val="1"/>
              </c:strCache>
            </c:strRef>
          </c:tx>
          <c:spPr>
            <a:ln w="25400">
              <a:noFill/>
            </a:ln>
          </c:spPr>
          <c:marker>
            <c:symbol val="circle"/>
            <c:size val="5"/>
            <c:spPr>
              <a:noFill/>
              <a:ln>
                <a:noFill/>
              </a:ln>
            </c:spPr>
          </c:marker>
          <c:errBars>
            <c:errDir val="y"/>
            <c:errBarType val="minus"/>
            <c:errValType val="fixedVal"/>
            <c:noEndCap val="1"/>
            <c:val val="1"/>
            <c:spPr>
              <a:ln w="15875">
                <a:solidFill>
                  <a:schemeClr val="bg2">
                    <a:lumMod val="75000"/>
                  </a:schemeClr>
                </a:solidFill>
                <a:prstDash val="sysDash"/>
              </a:ln>
            </c:spPr>
          </c:errBars>
          <c:yVal>
            <c:numLit>
              <c:formatCode>General</c:formatCode>
              <c:ptCount val="1"/>
              <c:pt idx="0">
                <c:v>1</c:v>
              </c:pt>
            </c:numLit>
          </c:yVal>
          <c:smooth val="0"/>
          <c:extLst>
            <c:ext xmlns:c16="http://schemas.microsoft.com/office/drawing/2014/chart" uri="{C3380CC4-5D6E-409C-BE32-E72D297353CC}">
              <c16:uniqueId val="{00000002-14F8-4570-AAA0-90B67350395A}"/>
            </c:ext>
          </c:extLst>
        </c:ser>
        <c:dLbls>
          <c:showLegendKey val="0"/>
          <c:showVal val="0"/>
          <c:showCatName val="0"/>
          <c:showSerName val="0"/>
          <c:showPercent val="0"/>
          <c:showBubbleSize val="0"/>
        </c:dLbls>
        <c:axId val="1177478368"/>
        <c:axId val="1177454560"/>
      </c:scatterChart>
      <c:catAx>
        <c:axId val="921888096"/>
        <c:scaling>
          <c:orientation val="maxMin"/>
        </c:scaling>
        <c:delete val="0"/>
        <c:axPos val="l"/>
        <c:numFmt formatCode="General" sourceLinked="1"/>
        <c:majorTickMark val="none"/>
        <c:minorTickMark val="none"/>
        <c:tickLblPos val="nextTo"/>
        <c:spPr>
          <a:ln>
            <a:noFill/>
          </a:ln>
        </c:spPr>
        <c:crossAx val="1025197664"/>
        <c:crosses val="autoZero"/>
        <c:auto val="1"/>
        <c:lblAlgn val="ctr"/>
        <c:lblOffset val="100"/>
        <c:noMultiLvlLbl val="0"/>
      </c:catAx>
      <c:valAx>
        <c:axId val="1025197664"/>
        <c:scaling>
          <c:orientation val="minMax"/>
        </c:scaling>
        <c:delete val="1"/>
        <c:axPos val="t"/>
        <c:title>
          <c:tx>
            <c:rich>
              <a:bodyPr/>
              <a:lstStyle/>
              <a:p>
                <a:pPr>
                  <a:defRPr b="0"/>
                </a:pPr>
                <a:r>
                  <a:rPr lang="en-US" b="0"/>
                  <a:t>Increased risk of developmental vulnerability</a:t>
                </a:r>
              </a:p>
            </c:rich>
          </c:tx>
          <c:layout>
            <c:manualLayout>
              <c:xMode val="edge"/>
              <c:yMode val="edge"/>
              <c:x val="0.68133790658594418"/>
              <c:y val="0.13285802556012258"/>
            </c:manualLayout>
          </c:layout>
          <c:overlay val="0"/>
        </c:title>
        <c:numFmt formatCode="0.00" sourceLinked="1"/>
        <c:majorTickMark val="none"/>
        <c:minorTickMark val="none"/>
        <c:tickLblPos val="nextTo"/>
        <c:crossAx val="921888096"/>
        <c:crosses val="autoZero"/>
        <c:crossBetween val="between"/>
      </c:valAx>
      <c:valAx>
        <c:axId val="1177454560"/>
        <c:scaling>
          <c:orientation val="minMax"/>
          <c:max val="1"/>
          <c:min val="0"/>
        </c:scaling>
        <c:delete val="1"/>
        <c:axPos val="r"/>
        <c:numFmt formatCode="General" sourceLinked="1"/>
        <c:majorTickMark val="out"/>
        <c:minorTickMark val="none"/>
        <c:tickLblPos val="nextTo"/>
        <c:crossAx val="1177478368"/>
        <c:crosses val="max"/>
        <c:crossBetween val="midCat"/>
      </c:valAx>
      <c:valAx>
        <c:axId val="1177478368"/>
        <c:scaling>
          <c:orientation val="minMax"/>
        </c:scaling>
        <c:delete val="1"/>
        <c:axPos val="b"/>
        <c:title>
          <c:tx>
            <c:rich>
              <a:bodyPr/>
              <a:lstStyle/>
              <a:p>
                <a:pPr>
                  <a:defRPr b="0"/>
                </a:pPr>
                <a:r>
                  <a:rPr lang="en-US" b="0"/>
                  <a:t>Risk ratio</a:t>
                </a:r>
              </a:p>
            </c:rich>
          </c:tx>
          <c:layout>
            <c:manualLayout>
              <c:xMode val="edge"/>
              <c:yMode val="edge"/>
              <c:x val="0.47214451340048258"/>
              <c:y val="0.81999562672622239"/>
            </c:manualLayout>
          </c:layout>
          <c:overlay val="0"/>
        </c:title>
        <c:majorTickMark val="out"/>
        <c:minorTickMark val="none"/>
        <c:tickLblPos val="nextTo"/>
        <c:crossAx val="1177454560"/>
        <c:crosses val="autoZero"/>
        <c:crossBetween val="midCat"/>
      </c:valAx>
    </c:plotArea>
    <c:legend>
      <c:legendPos val="b"/>
      <c:layout>
        <c:manualLayout>
          <c:xMode val="edge"/>
          <c:yMode val="edge"/>
          <c:x val="0.34615973800970423"/>
          <c:y val="0.89174703795619503"/>
          <c:w val="0.34484176668218225"/>
          <c:h val="9.2083563388871442E-2"/>
        </c:manualLayout>
      </c:layout>
      <c:overlay val="0"/>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a:solidFill>
                  <a:schemeClr val="tx1">
                    <a:lumMod val="65000"/>
                    <a:lumOff val="35000"/>
                  </a:schemeClr>
                </a:solidFill>
              </a:defRPr>
            </a:pPr>
            <a:r>
              <a:rPr lang="en-AU" sz="1400" b="0">
                <a:solidFill>
                  <a:schemeClr val="tx1">
                    <a:lumMod val="65000"/>
                    <a:lumOff val="35000"/>
                  </a:schemeClr>
                </a:solidFill>
              </a:rPr>
              <a:t>Emotional maturity</a:t>
            </a:r>
          </a:p>
        </c:rich>
      </c:tx>
      <c:layout>
        <c:manualLayout>
          <c:xMode val="edge"/>
          <c:yMode val="edge"/>
          <c:x val="0.39340878828229037"/>
          <c:y val="3.8929440389294405E-2"/>
        </c:manualLayout>
      </c:layout>
      <c:overlay val="0"/>
    </c:title>
    <c:autoTitleDeleted val="0"/>
    <c:plotArea>
      <c:layout>
        <c:manualLayout>
          <c:layoutTarget val="inner"/>
          <c:xMode val="edge"/>
          <c:yMode val="edge"/>
          <c:x val="0.33940373798349888"/>
          <c:y val="0.22732247010790319"/>
          <c:w val="0.52834334563675789"/>
          <c:h val="0.64985819480898221"/>
        </c:manualLayout>
      </c:layout>
      <c:barChart>
        <c:barDir val="bar"/>
        <c:grouping val="clustered"/>
        <c:varyColors val="0"/>
        <c:ser>
          <c:idx val="0"/>
          <c:order val="0"/>
          <c:tx>
            <c:strRef>
              <c:f>'[3_4_Child_Care_Causal_Inference.xlsx]3_4 Figure 7'!$C$6</c:f>
              <c:strCache>
                <c:ptCount val="1"/>
                <c:pt idx="0">
                  <c:v>Unadjusted</c:v>
                </c:pt>
              </c:strCache>
            </c:strRef>
          </c:tx>
          <c:invertIfNegative val="0"/>
          <c:dLbls>
            <c:spPr>
              <a:noFill/>
              <a:ln>
                <a:noFill/>
              </a:ln>
              <a:effectLst/>
            </c:spPr>
            <c:txPr>
              <a:bodyPr lIns="38100" tIns="19050" rIns="38100" bIns="19050">
                <a:spAutoFit/>
              </a:bodyPr>
              <a:lstStyle/>
              <a:p>
                <a:pPr>
                  <a:defRPr sz="1000" b="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7'!$F$7:$F$10</c:f>
                <c:numCache>
                  <c:formatCode>General</c:formatCode>
                  <c:ptCount val="4"/>
                  <c:pt idx="0">
                    <c:v>3.6786895299472988E-2</c:v>
                  </c:pt>
                  <c:pt idx="1">
                    <c:v>3.9439393317010074E-2</c:v>
                  </c:pt>
                  <c:pt idx="3">
                    <c:v>3.0359606645022019E-2</c:v>
                  </c:pt>
                </c:numCache>
              </c:numRef>
            </c:plus>
            <c:minus>
              <c:numRef>
                <c:f>'[3_4_Child_Care_Causal_Inference.xlsx]3_4 Figure 7'!$G$7:$G$10</c:f>
                <c:numCache>
                  <c:formatCode>General</c:formatCode>
                  <c:ptCount val="4"/>
                  <c:pt idx="0">
                    <c:v>3.8270807517331917E-2</c:v>
                  </c:pt>
                  <c:pt idx="1">
                    <c:v>4.0987312137909848E-2</c:v>
                  </c:pt>
                  <c:pt idx="3">
                    <c:v>3.1581498975378985E-2</c:v>
                  </c:pt>
                </c:numCache>
              </c:numRef>
            </c:minus>
          </c:errBars>
          <c:cat>
            <c:strRef>
              <c:f>'[3_4_Child_Care_Causal_Inference.xlsx]3_4 Figure 7'!$B$7:$B$10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7'!$C$7:$C$10</c:f>
              <c:numCache>
                <c:formatCode>0.00</c:formatCode>
                <c:ptCount val="4"/>
                <c:pt idx="0">
                  <c:v>0.88019228368038904</c:v>
                </c:pt>
                <c:pt idx="1">
                  <c:v>1.0310639208189301</c:v>
                </c:pt>
                <c:pt idx="2">
                  <c:v>1</c:v>
                </c:pt>
                <c:pt idx="3">
                  <c:v>0.74007692346217702</c:v>
                </c:pt>
              </c:numCache>
            </c:numRef>
          </c:val>
          <c:extLst>
            <c:ext xmlns:c16="http://schemas.microsoft.com/office/drawing/2014/chart" uri="{C3380CC4-5D6E-409C-BE32-E72D297353CC}">
              <c16:uniqueId val="{00000000-93E3-4FAE-B541-A947AADE53A1}"/>
            </c:ext>
          </c:extLst>
        </c:ser>
        <c:ser>
          <c:idx val="1"/>
          <c:order val="1"/>
          <c:tx>
            <c:strRef>
              <c:f>'[3_4_Child_Care_Causal_Inference.xlsx]3_4 Figure 7'!$I$6</c:f>
              <c:strCache>
                <c:ptCount val="1"/>
                <c:pt idx="0">
                  <c:v>Adjusted</c:v>
                </c:pt>
              </c:strCache>
            </c:strRef>
          </c:tx>
          <c:spPr>
            <a:solidFill>
              <a:schemeClr val="accent6">
                <a:lumMod val="75000"/>
              </a:schemeClr>
            </a:solidFill>
          </c:spPr>
          <c:invertIfNegative val="0"/>
          <c:dLbls>
            <c:spPr>
              <a:noFill/>
              <a:ln>
                <a:noFill/>
              </a:ln>
              <a:effectLst/>
            </c:spPr>
            <c:txPr>
              <a:bodyPr wrap="square" lIns="38100" tIns="19050" rIns="38100" bIns="19050" anchor="ctr">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7'!$L$7:$L$10</c:f>
                <c:numCache>
                  <c:formatCode>General</c:formatCode>
                  <c:ptCount val="4"/>
                  <c:pt idx="0">
                    <c:v>3.9025554449621969E-2</c:v>
                  </c:pt>
                  <c:pt idx="1">
                    <c:v>3.5086464073040058E-2</c:v>
                  </c:pt>
                  <c:pt idx="3">
                    <c:v>2.9720500879452993E-2</c:v>
                  </c:pt>
                </c:numCache>
              </c:numRef>
            </c:plus>
            <c:minus>
              <c:numRef>
                <c:f>'[3_4_Child_Care_Causal_Inference.xlsx]3_4 Figure 7'!$M$7:$M$10</c:f>
                <c:numCache>
                  <c:formatCode>General</c:formatCode>
                  <c:ptCount val="4"/>
                  <c:pt idx="0">
                    <c:v>3.5210112928608983E-2</c:v>
                  </c:pt>
                  <c:pt idx="1">
                    <c:v>3.3852538630379847E-2</c:v>
                  </c:pt>
                  <c:pt idx="3">
                    <c:v>3.2049217463509971E-2</c:v>
                  </c:pt>
                </c:numCache>
              </c:numRef>
            </c:minus>
            <c:spPr>
              <a:ln w="15875">
                <a:solidFill>
                  <a:schemeClr val="bg2">
                    <a:lumMod val="75000"/>
                  </a:schemeClr>
                </a:solidFill>
              </a:ln>
            </c:spPr>
          </c:errBars>
          <c:cat>
            <c:strRef>
              <c:f>'[3_4_Child_Care_Causal_Inference.xlsx]3_4 Figure 7'!$B$7:$B$10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7'!$I$7:$I$10</c:f>
              <c:numCache>
                <c:formatCode>0.00</c:formatCode>
                <c:ptCount val="4"/>
                <c:pt idx="0">
                  <c:v>0.95614651801497597</c:v>
                </c:pt>
                <c:pt idx="1">
                  <c:v>1.0196075831868101</c:v>
                </c:pt>
                <c:pt idx="3">
                  <c:v>0.74870128792137203</c:v>
                </c:pt>
              </c:numCache>
            </c:numRef>
          </c:val>
          <c:extLst>
            <c:ext xmlns:c16="http://schemas.microsoft.com/office/drawing/2014/chart" uri="{C3380CC4-5D6E-409C-BE32-E72D297353CC}">
              <c16:uniqueId val="{00000001-93E3-4FAE-B541-A947AADE53A1}"/>
            </c:ext>
          </c:extLst>
        </c:ser>
        <c:dLbls>
          <c:showLegendKey val="0"/>
          <c:showVal val="0"/>
          <c:showCatName val="0"/>
          <c:showSerName val="0"/>
          <c:showPercent val="0"/>
          <c:showBubbleSize val="0"/>
        </c:dLbls>
        <c:gapWidth val="50"/>
        <c:axId val="921886656"/>
        <c:axId val="1025198656"/>
      </c:barChart>
      <c:scatterChart>
        <c:scatterStyle val="lineMarker"/>
        <c:varyColors val="0"/>
        <c:ser>
          <c:idx val="2"/>
          <c:order val="2"/>
          <c:tx>
            <c:v>Line</c:v>
          </c:tx>
          <c:spPr>
            <a:ln w="25400">
              <a:noFill/>
            </a:ln>
          </c:spPr>
          <c:marker>
            <c:symbol val="circle"/>
            <c:size val="5"/>
            <c:spPr>
              <a:noFill/>
              <a:ln>
                <a:noFill/>
              </a:ln>
            </c:spPr>
          </c:marker>
          <c:errBars>
            <c:errDir val="y"/>
            <c:errBarType val="minus"/>
            <c:errValType val="fixedVal"/>
            <c:noEndCap val="1"/>
            <c:val val="1"/>
            <c:spPr>
              <a:ln w="15875">
                <a:solidFill>
                  <a:schemeClr val="bg2">
                    <a:lumMod val="75000"/>
                  </a:schemeClr>
                </a:solidFill>
                <a:prstDash val="sysDash"/>
              </a:ln>
            </c:spPr>
          </c:errBars>
          <c:yVal>
            <c:numLit>
              <c:formatCode>General</c:formatCode>
              <c:ptCount val="1"/>
              <c:pt idx="0">
                <c:v>1</c:v>
              </c:pt>
            </c:numLit>
          </c:yVal>
          <c:smooth val="0"/>
          <c:extLst>
            <c:ext xmlns:c16="http://schemas.microsoft.com/office/drawing/2014/chart" uri="{C3380CC4-5D6E-409C-BE32-E72D297353CC}">
              <c16:uniqueId val="{00000002-93E3-4FAE-B541-A947AADE53A1}"/>
            </c:ext>
          </c:extLst>
        </c:ser>
        <c:dLbls>
          <c:showLegendKey val="0"/>
          <c:showVal val="0"/>
          <c:showCatName val="0"/>
          <c:showSerName val="0"/>
          <c:showPercent val="0"/>
          <c:showBubbleSize val="0"/>
        </c:dLbls>
        <c:axId val="726167472"/>
        <c:axId val="726166976"/>
      </c:scatterChart>
      <c:catAx>
        <c:axId val="921886656"/>
        <c:scaling>
          <c:orientation val="maxMin"/>
        </c:scaling>
        <c:delete val="0"/>
        <c:axPos val="l"/>
        <c:numFmt formatCode="General" sourceLinked="1"/>
        <c:majorTickMark val="none"/>
        <c:minorTickMark val="none"/>
        <c:tickLblPos val="nextTo"/>
        <c:spPr>
          <a:ln>
            <a:noFill/>
          </a:ln>
        </c:spPr>
        <c:crossAx val="1025198656"/>
        <c:crosses val="autoZero"/>
        <c:auto val="1"/>
        <c:lblAlgn val="ctr"/>
        <c:lblOffset val="100"/>
        <c:noMultiLvlLbl val="0"/>
      </c:catAx>
      <c:valAx>
        <c:axId val="1025198656"/>
        <c:scaling>
          <c:orientation val="minMax"/>
        </c:scaling>
        <c:delete val="1"/>
        <c:axPos val="t"/>
        <c:title>
          <c:tx>
            <c:rich>
              <a:bodyPr/>
              <a:lstStyle/>
              <a:p>
                <a:pPr>
                  <a:defRPr b="0"/>
                </a:pPr>
                <a:r>
                  <a:rPr lang="en-AU" b="0"/>
                  <a:t>Increased</a:t>
                </a:r>
                <a:r>
                  <a:rPr lang="en-AU" b="0" baseline="0"/>
                  <a:t> risk of developmental vulnerability</a:t>
                </a:r>
                <a:endParaRPr lang="en-AU" b="0"/>
              </a:p>
            </c:rich>
          </c:tx>
          <c:layout>
            <c:manualLayout>
              <c:xMode val="edge"/>
              <c:yMode val="edge"/>
              <c:x val="0.65675061769843723"/>
              <c:y val="0.14586393854052915"/>
            </c:manualLayout>
          </c:layout>
          <c:overlay val="0"/>
        </c:title>
        <c:numFmt formatCode="0.00" sourceLinked="1"/>
        <c:majorTickMark val="none"/>
        <c:minorTickMark val="none"/>
        <c:tickLblPos val="nextTo"/>
        <c:crossAx val="921886656"/>
        <c:crosses val="autoZero"/>
        <c:crossBetween val="between"/>
      </c:valAx>
      <c:valAx>
        <c:axId val="726166976"/>
        <c:scaling>
          <c:orientation val="minMax"/>
          <c:max val="1"/>
          <c:min val="0"/>
        </c:scaling>
        <c:delete val="1"/>
        <c:axPos val="r"/>
        <c:numFmt formatCode="General" sourceLinked="1"/>
        <c:majorTickMark val="out"/>
        <c:minorTickMark val="none"/>
        <c:tickLblPos val="nextTo"/>
        <c:crossAx val="726167472"/>
        <c:crosses val="max"/>
        <c:crossBetween val="midCat"/>
      </c:valAx>
      <c:valAx>
        <c:axId val="726167472"/>
        <c:scaling>
          <c:orientation val="minMax"/>
        </c:scaling>
        <c:delete val="1"/>
        <c:axPos val="b"/>
        <c:title>
          <c:tx>
            <c:rich>
              <a:bodyPr/>
              <a:lstStyle/>
              <a:p>
                <a:pPr>
                  <a:defRPr b="0"/>
                </a:pPr>
                <a:r>
                  <a:rPr lang="en-AU" b="0"/>
                  <a:t>Risk ratio</a:t>
                </a:r>
              </a:p>
            </c:rich>
          </c:tx>
          <c:layout>
            <c:manualLayout>
              <c:xMode val="edge"/>
              <c:yMode val="edge"/>
              <c:x val="0.50633276366419577"/>
              <c:y val="0.87231450083338125"/>
            </c:manualLayout>
          </c:layout>
          <c:overlay val="0"/>
        </c:title>
        <c:majorTickMark val="out"/>
        <c:minorTickMark val="none"/>
        <c:tickLblPos val="nextTo"/>
        <c:crossAx val="726166976"/>
        <c:crosses val="autoZero"/>
        <c:crossBetween val="midCat"/>
      </c:valAx>
    </c:plotArea>
    <c:legend>
      <c:legendPos val="b"/>
      <c:legendEntry>
        <c:idx val="2"/>
        <c:delete val="1"/>
      </c:legendEntry>
      <c:layout>
        <c:manualLayout>
          <c:xMode val="edge"/>
          <c:yMode val="edge"/>
          <c:x val="0.37747185729613358"/>
          <c:y val="0.91200528766021038"/>
          <c:w val="0.33601427821522312"/>
          <c:h val="8.7994712339789644E-2"/>
        </c:manualLayout>
      </c:layout>
      <c:overlay val="0"/>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i="0" u="none" strike="noStrike" kern="1200" spc="0" baseline="0">
                <a:solidFill>
                  <a:sysClr val="windowText" lastClr="000000">
                    <a:lumMod val="65000"/>
                    <a:lumOff val="35000"/>
                  </a:sysClr>
                </a:solidFill>
              </a:rPr>
              <a:t>Social competence</a:t>
            </a:r>
          </a:p>
        </c:rich>
      </c:tx>
      <c:overlay val="0"/>
    </c:title>
    <c:autoTitleDeleted val="0"/>
    <c:plotArea>
      <c:layout>
        <c:manualLayout>
          <c:layoutTarget val="inner"/>
          <c:xMode val="edge"/>
          <c:yMode val="edge"/>
          <c:x val="0.32314834729602837"/>
          <c:y val="0.23501235703201334"/>
          <c:w val="0.55013291823183919"/>
          <c:h val="0.61358806244836916"/>
        </c:manualLayout>
      </c:layout>
      <c:barChart>
        <c:barDir val="bar"/>
        <c:grouping val="clustered"/>
        <c:varyColors val="0"/>
        <c:ser>
          <c:idx val="0"/>
          <c:order val="0"/>
          <c:tx>
            <c:strRef>
              <c:f>'[3_4_Child_Care_Causal_Inference.xlsx]3_4 Figure 8'!$C$6</c:f>
              <c:strCache>
                <c:ptCount val="1"/>
                <c:pt idx="0">
                  <c:v>Unadjusted</c:v>
                </c:pt>
              </c:strCache>
            </c:strRef>
          </c:tx>
          <c:invertIfNegative val="0"/>
          <c:dLbls>
            <c:spPr>
              <a:noFill/>
              <a:ln>
                <a:noFill/>
              </a:ln>
              <a:effectLst/>
            </c:spPr>
            <c:txPr>
              <a:bodyPr lIns="38100" tIns="19050" rIns="38100" bIns="19050">
                <a:spAutoFit/>
              </a:bodyPr>
              <a:lstStyle/>
              <a:p>
                <a:pPr>
                  <a:defRPr sz="1000" b="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8'!$F$7:$F$10</c:f>
                <c:numCache>
                  <c:formatCode>General</c:formatCode>
                  <c:ptCount val="4"/>
                  <c:pt idx="0">
                    <c:v>3.4226338121064015E-2</c:v>
                  </c:pt>
                  <c:pt idx="1">
                    <c:v>3.8781784417229792E-2</c:v>
                  </c:pt>
                  <c:pt idx="3">
                    <c:v>3.0462005852217922E-2</c:v>
                  </c:pt>
                </c:numCache>
              </c:numRef>
            </c:plus>
            <c:minus>
              <c:numRef>
                <c:f>'[3_4_Child_Care_Causal_Inference.xlsx]3_4 Figure 8'!$G$7:$G$10</c:f>
                <c:numCache>
                  <c:formatCode>General</c:formatCode>
                  <c:ptCount val="4"/>
                  <c:pt idx="0">
                    <c:v>3.5537806164648078E-2</c:v>
                  </c:pt>
                  <c:pt idx="1">
                    <c:v>4.0217572242680077E-2</c:v>
                  </c:pt>
                  <c:pt idx="3">
                    <c:v>3.1613121377712994E-2</c:v>
                  </c:pt>
                </c:numCache>
              </c:numRef>
            </c:minus>
          </c:errBars>
          <c:cat>
            <c:strRef>
              <c:f>'[3_4_Child_Care_Causal_Inference.xlsx]3_4 Figure 8'!$B$7:$B$10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8'!$C$7:$C$10</c:f>
              <c:numCache>
                <c:formatCode>0.00</c:formatCode>
                <c:ptCount val="4"/>
                <c:pt idx="0">
                  <c:v>0.85406771696261197</c:v>
                </c:pt>
                <c:pt idx="1">
                  <c:v>1.0833246367798699</c:v>
                </c:pt>
                <c:pt idx="2">
                  <c:v>1</c:v>
                </c:pt>
                <c:pt idx="3">
                  <c:v>0.80082150341687897</c:v>
                </c:pt>
              </c:numCache>
            </c:numRef>
          </c:val>
          <c:extLst>
            <c:ext xmlns:c16="http://schemas.microsoft.com/office/drawing/2014/chart" uri="{C3380CC4-5D6E-409C-BE32-E72D297353CC}">
              <c16:uniqueId val="{00000000-BBA7-45AA-A294-555DEBB465DB}"/>
            </c:ext>
          </c:extLst>
        </c:ser>
        <c:ser>
          <c:idx val="1"/>
          <c:order val="1"/>
          <c:tx>
            <c:strRef>
              <c:f>'[3_4_Child_Care_Causal_Inference.xlsx]3_4 Figure 8'!$I$6</c:f>
              <c:strCache>
                <c:ptCount val="1"/>
                <c:pt idx="0">
                  <c:v> Adjusted</c:v>
                </c:pt>
              </c:strCache>
            </c:strRef>
          </c:tx>
          <c:spPr>
            <a:solidFill>
              <a:schemeClr val="accent6">
                <a:lumMod val="75000"/>
              </a:schemeClr>
            </a:solidFill>
          </c:spPr>
          <c:invertIfNegative val="0"/>
          <c:dLbls>
            <c:spPr>
              <a:noFill/>
              <a:ln>
                <a:noFill/>
              </a:ln>
              <a:effectLst/>
            </c:spPr>
            <c:txPr>
              <a:bodyPr lIns="38100" tIns="19050" rIns="38100" bIns="19050">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8'!$L$7:$L$10</c:f>
                <c:numCache>
                  <c:formatCode>General</c:formatCode>
                  <c:ptCount val="4"/>
                  <c:pt idx="0">
                    <c:v>3.5897007972549022E-2</c:v>
                  </c:pt>
                  <c:pt idx="1">
                    <c:v>3.4075208289010117E-2</c:v>
                  </c:pt>
                  <c:pt idx="3">
                    <c:v>3.0904474290311956E-2</c:v>
                  </c:pt>
                </c:numCache>
              </c:numRef>
            </c:plus>
            <c:minus>
              <c:numRef>
                <c:f>'[3_4_Child_Care_Causal_Inference.xlsx]3_4 Figure 8'!$M$7:$M$10</c:f>
                <c:numCache>
                  <c:formatCode>General</c:formatCode>
                  <c:ptCount val="4"/>
                  <c:pt idx="0">
                    <c:v>3.703134501417793E-2</c:v>
                  </c:pt>
                  <c:pt idx="1">
                    <c:v>3.4748210176299921E-2</c:v>
                  </c:pt>
                  <c:pt idx="3">
                    <c:v>2.7068997262028049E-2</c:v>
                  </c:pt>
                </c:numCache>
              </c:numRef>
            </c:minus>
            <c:spPr>
              <a:ln w="15875">
                <a:solidFill>
                  <a:schemeClr val="bg1">
                    <a:lumMod val="65000"/>
                  </a:schemeClr>
                </a:solidFill>
              </a:ln>
            </c:spPr>
          </c:errBars>
          <c:cat>
            <c:strRef>
              <c:f>'[3_4_Child_Care_Causal_Inference.xlsx]3_4 Figure 8'!$B$7:$B$10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8'!$I$7:$I$10</c:f>
              <c:numCache>
                <c:formatCode>0.00</c:formatCode>
                <c:ptCount val="4"/>
                <c:pt idx="0">
                  <c:v>0.94480960806015502</c:v>
                </c:pt>
                <c:pt idx="1">
                  <c:v>1.0420547923902701</c:v>
                </c:pt>
                <c:pt idx="3">
                  <c:v>0.75912699053655497</c:v>
                </c:pt>
              </c:numCache>
            </c:numRef>
          </c:val>
          <c:extLst>
            <c:ext xmlns:c16="http://schemas.microsoft.com/office/drawing/2014/chart" uri="{C3380CC4-5D6E-409C-BE32-E72D297353CC}">
              <c16:uniqueId val="{00000001-BBA7-45AA-A294-555DEBB465DB}"/>
            </c:ext>
          </c:extLst>
        </c:ser>
        <c:dLbls>
          <c:showLegendKey val="0"/>
          <c:showVal val="0"/>
          <c:showCatName val="0"/>
          <c:showSerName val="0"/>
          <c:showPercent val="0"/>
          <c:showBubbleSize val="0"/>
        </c:dLbls>
        <c:gapWidth val="50"/>
        <c:axId val="1163814240"/>
        <c:axId val="1485247648"/>
      </c:barChart>
      <c:scatterChart>
        <c:scatterStyle val="lineMarker"/>
        <c:varyColors val="0"/>
        <c:ser>
          <c:idx val="2"/>
          <c:order val="2"/>
          <c:tx>
            <c:v>Line</c:v>
          </c:tx>
          <c:spPr>
            <a:ln w="25400">
              <a:noFill/>
            </a:ln>
          </c:spPr>
          <c:marker>
            <c:symbol val="circle"/>
            <c:size val="5"/>
            <c:spPr>
              <a:noFill/>
              <a:ln>
                <a:noFill/>
              </a:ln>
            </c:spPr>
          </c:marker>
          <c:errBars>
            <c:errDir val="x"/>
            <c:errBarType val="both"/>
            <c:errValType val="stdErr"/>
            <c:noEndCap val="0"/>
          </c:errBars>
          <c:errBars>
            <c:errDir val="y"/>
            <c:errBarType val="minus"/>
            <c:errValType val="fixedVal"/>
            <c:noEndCap val="1"/>
            <c:val val="1"/>
            <c:spPr>
              <a:ln w="15875">
                <a:solidFill>
                  <a:schemeClr val="bg2">
                    <a:lumMod val="75000"/>
                  </a:schemeClr>
                </a:solidFill>
                <a:prstDash val="sysDash"/>
              </a:ln>
            </c:spPr>
          </c:errBars>
          <c:yVal>
            <c:numLit>
              <c:formatCode>General</c:formatCode>
              <c:ptCount val="1"/>
              <c:pt idx="0">
                <c:v>1</c:v>
              </c:pt>
            </c:numLit>
          </c:yVal>
          <c:smooth val="0"/>
          <c:extLst>
            <c:ext xmlns:c16="http://schemas.microsoft.com/office/drawing/2014/chart" uri="{C3380CC4-5D6E-409C-BE32-E72D297353CC}">
              <c16:uniqueId val="{00000002-BBA7-45AA-A294-555DEBB465DB}"/>
            </c:ext>
          </c:extLst>
        </c:ser>
        <c:dLbls>
          <c:showLegendKey val="0"/>
          <c:showVal val="0"/>
          <c:showCatName val="0"/>
          <c:showSerName val="0"/>
          <c:showPercent val="0"/>
          <c:showBubbleSize val="0"/>
        </c:dLbls>
        <c:axId val="925053216"/>
        <c:axId val="925046272"/>
      </c:scatterChart>
      <c:catAx>
        <c:axId val="1163814240"/>
        <c:scaling>
          <c:orientation val="maxMin"/>
        </c:scaling>
        <c:delete val="0"/>
        <c:axPos val="l"/>
        <c:numFmt formatCode="General" sourceLinked="1"/>
        <c:majorTickMark val="none"/>
        <c:minorTickMark val="none"/>
        <c:tickLblPos val="nextTo"/>
        <c:spPr>
          <a:ln>
            <a:noFill/>
          </a:ln>
        </c:spPr>
        <c:crossAx val="1485247648"/>
        <c:crosses val="autoZero"/>
        <c:auto val="1"/>
        <c:lblAlgn val="ctr"/>
        <c:lblOffset val="100"/>
        <c:noMultiLvlLbl val="0"/>
      </c:catAx>
      <c:valAx>
        <c:axId val="1485247648"/>
        <c:scaling>
          <c:orientation val="minMax"/>
        </c:scaling>
        <c:delete val="1"/>
        <c:axPos val="t"/>
        <c:majorGridlines>
          <c:spPr>
            <a:ln>
              <a:noFill/>
            </a:ln>
          </c:spPr>
        </c:majorGridlines>
        <c:title>
          <c:tx>
            <c:rich>
              <a:bodyPr/>
              <a:lstStyle/>
              <a:p>
                <a:pPr>
                  <a:defRPr b="0"/>
                </a:pPr>
                <a:r>
                  <a:rPr lang="en-US" b="0"/>
                  <a:t>Increased risk of developmental vulnerablity</a:t>
                </a:r>
              </a:p>
            </c:rich>
          </c:tx>
          <c:layout>
            <c:manualLayout>
              <c:xMode val="edge"/>
              <c:yMode val="edge"/>
              <c:x val="0.81251344248191493"/>
              <c:y val="0.1220924574209246"/>
            </c:manualLayout>
          </c:layout>
          <c:overlay val="0"/>
        </c:title>
        <c:numFmt formatCode="0.00" sourceLinked="1"/>
        <c:majorTickMark val="none"/>
        <c:minorTickMark val="none"/>
        <c:tickLblPos val="nextTo"/>
        <c:crossAx val="1163814240"/>
        <c:crosses val="autoZero"/>
        <c:crossBetween val="between"/>
      </c:valAx>
      <c:valAx>
        <c:axId val="925046272"/>
        <c:scaling>
          <c:orientation val="minMax"/>
          <c:max val="1"/>
        </c:scaling>
        <c:delete val="1"/>
        <c:axPos val="r"/>
        <c:numFmt formatCode="General" sourceLinked="1"/>
        <c:majorTickMark val="out"/>
        <c:minorTickMark val="none"/>
        <c:tickLblPos val="nextTo"/>
        <c:crossAx val="925053216"/>
        <c:crosses val="max"/>
        <c:crossBetween val="midCat"/>
      </c:valAx>
      <c:valAx>
        <c:axId val="925053216"/>
        <c:scaling>
          <c:orientation val="minMax"/>
        </c:scaling>
        <c:delete val="1"/>
        <c:axPos val="b"/>
        <c:title>
          <c:tx>
            <c:rich>
              <a:bodyPr/>
              <a:lstStyle/>
              <a:p>
                <a:pPr>
                  <a:defRPr b="0"/>
                </a:pPr>
                <a:r>
                  <a:rPr lang="en-AU" b="0"/>
                  <a:t>Risk</a:t>
                </a:r>
                <a:r>
                  <a:rPr lang="en-AU" b="0" baseline="0"/>
                  <a:t> ratio</a:t>
                </a:r>
                <a:endParaRPr lang="en-AU" b="0"/>
              </a:p>
            </c:rich>
          </c:tx>
          <c:layout>
            <c:manualLayout>
              <c:xMode val="edge"/>
              <c:yMode val="edge"/>
              <c:x val="0.47010142178937137"/>
              <c:y val="0.84860055839633597"/>
            </c:manualLayout>
          </c:layout>
          <c:overlay val="0"/>
        </c:title>
        <c:majorTickMark val="out"/>
        <c:minorTickMark val="none"/>
        <c:tickLblPos val="nextTo"/>
        <c:crossAx val="925046272"/>
        <c:crosses val="autoZero"/>
        <c:crossBetween val="midCat"/>
      </c:valAx>
    </c:plotArea>
    <c:legend>
      <c:legendPos val="b"/>
      <c:legendEntry>
        <c:idx val="2"/>
        <c:delete val="1"/>
      </c:legendEntry>
      <c:layout>
        <c:manualLayout>
          <c:xMode val="edge"/>
          <c:yMode val="edge"/>
          <c:x val="0.33191270712255583"/>
          <c:y val="0.91070636090807378"/>
          <c:w val="0.34301751588180057"/>
          <c:h val="8.7994712339789644E-2"/>
        </c:manualLayout>
      </c:layout>
      <c:overlay val="0"/>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i="0" u="none" strike="noStrike" kern="1200" spc="0" baseline="0">
                <a:solidFill>
                  <a:sysClr val="windowText" lastClr="000000">
                    <a:lumMod val="65000"/>
                    <a:lumOff val="35000"/>
                  </a:sysClr>
                </a:solidFill>
              </a:rPr>
              <a:t>Physical health and wellbeing</a:t>
            </a:r>
          </a:p>
        </c:rich>
      </c:tx>
      <c:overlay val="0"/>
    </c:title>
    <c:autoTitleDeleted val="0"/>
    <c:plotArea>
      <c:layout>
        <c:manualLayout>
          <c:layoutTarget val="inner"/>
          <c:xMode val="edge"/>
          <c:yMode val="edge"/>
          <c:x val="0.26250668716297304"/>
          <c:y val="0.19778461677416612"/>
          <c:w val="0.69223584361012713"/>
          <c:h val="0.65503610664293777"/>
        </c:manualLayout>
      </c:layout>
      <c:barChart>
        <c:barDir val="bar"/>
        <c:grouping val="clustered"/>
        <c:varyColors val="0"/>
        <c:ser>
          <c:idx val="0"/>
          <c:order val="0"/>
          <c:tx>
            <c:strRef>
              <c:f>'[3_4_Child_Care_Causal_Inference.xlsx]3_4 Figure 9'!$C$6</c:f>
              <c:strCache>
                <c:ptCount val="1"/>
                <c:pt idx="0">
                  <c:v>Unadjusted</c:v>
                </c:pt>
              </c:strCache>
            </c:strRef>
          </c:tx>
          <c:invertIfNegative val="0"/>
          <c:dLbls>
            <c:spPr>
              <a:noFill/>
              <a:ln>
                <a:noFill/>
              </a:ln>
              <a:effectLst/>
            </c:spPr>
            <c:txPr>
              <a:bodyPr lIns="38100" tIns="19050" rIns="38100" bIns="19050">
                <a:spAutoFit/>
              </a:bodyPr>
              <a:lstStyle/>
              <a:p>
                <a:pPr>
                  <a:defRPr sz="1000" b="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9'!$F$7:$F$10</c:f>
                <c:numCache>
                  <c:formatCode>General</c:formatCode>
                  <c:ptCount val="4"/>
                  <c:pt idx="0">
                    <c:v>3.6059727269523001E-2</c:v>
                  </c:pt>
                  <c:pt idx="1">
                    <c:v>4.0268936384250109E-2</c:v>
                  </c:pt>
                  <c:pt idx="3">
                    <c:v>4.0441313227770115E-2</c:v>
                  </c:pt>
                </c:numCache>
              </c:numRef>
            </c:plus>
            <c:minus>
              <c:numRef>
                <c:f>'[3_4_Child_Care_Causal_Inference.xlsx]3_4 Figure 9'!$G$7:$G$10</c:f>
                <c:numCache>
                  <c:formatCode>General</c:formatCode>
                  <c:ptCount val="4"/>
                  <c:pt idx="0">
                    <c:v>3.7512620443157951E-2</c:v>
                  </c:pt>
                  <c:pt idx="1">
                    <c:v>4.1838574976279963E-2</c:v>
                  </c:pt>
                  <c:pt idx="3">
                    <c:v>4.2006105193290066E-2</c:v>
                  </c:pt>
                </c:numCache>
              </c:numRef>
            </c:minus>
          </c:errBars>
          <c:cat>
            <c:strRef>
              <c:f>'[3_4_Child_Care_Causal_Inference.xlsx]3_4 Figure 9'!$B$7:$B$10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9'!$C$7:$C$10</c:f>
              <c:numCache>
                <c:formatCode>0.00</c:formatCode>
                <c:ptCount val="4"/>
                <c:pt idx="0">
                  <c:v>0.85962855374621705</c:v>
                </c:pt>
                <c:pt idx="1">
                  <c:v>1.0671707902505001</c:v>
                </c:pt>
                <c:pt idx="2">
                  <c:v>1</c:v>
                </c:pt>
                <c:pt idx="3">
                  <c:v>1.11049600817878</c:v>
                </c:pt>
              </c:numCache>
            </c:numRef>
          </c:val>
          <c:extLst>
            <c:ext xmlns:c16="http://schemas.microsoft.com/office/drawing/2014/chart" uri="{C3380CC4-5D6E-409C-BE32-E72D297353CC}">
              <c16:uniqueId val="{00000000-041A-4C11-B069-B7AC4E65C230}"/>
            </c:ext>
          </c:extLst>
        </c:ser>
        <c:ser>
          <c:idx val="1"/>
          <c:order val="1"/>
          <c:tx>
            <c:strRef>
              <c:f>'[3_4_Child_Care_Causal_Inference.xlsx]3_4 Figure 9'!$I$6</c:f>
              <c:strCache>
                <c:ptCount val="1"/>
                <c:pt idx="0">
                  <c:v> Adjusted</c:v>
                </c:pt>
              </c:strCache>
            </c:strRef>
          </c:tx>
          <c:spPr>
            <a:solidFill>
              <a:schemeClr val="accent6">
                <a:lumMod val="75000"/>
              </a:schemeClr>
            </a:solidFill>
          </c:spPr>
          <c:invertIfNegative val="0"/>
          <c:dLbls>
            <c:spPr>
              <a:noFill/>
              <a:ln>
                <a:noFill/>
              </a:ln>
              <a:effectLst/>
            </c:spPr>
            <c:txPr>
              <a:bodyPr lIns="38100" tIns="19050" rIns="38100" bIns="19050">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'[3_4_Child_Care_Causal_Inference.xlsx]3_4 Figure 9'!$L$7:$L$10</c:f>
                <c:numCache>
                  <c:formatCode>General</c:formatCode>
                  <c:ptCount val="4"/>
                  <c:pt idx="0">
                    <c:v>3.9262786797780058E-2</c:v>
                  </c:pt>
                  <c:pt idx="1">
                    <c:v>3.9450459662444981E-2</c:v>
                  </c:pt>
                  <c:pt idx="3">
                    <c:v>3.5485991913407067E-2</c:v>
                  </c:pt>
                </c:numCache>
              </c:numRef>
            </c:plus>
            <c:minus>
              <c:numRef>
                <c:f>'[3_4_Child_Care_Causal_Inference.xlsx]3_4 Figure 9'!$M$7:$M$10</c:f>
                <c:numCache>
                  <c:formatCode>General</c:formatCode>
                  <c:ptCount val="4"/>
                  <c:pt idx="0">
                    <c:v>4.0165163002299997E-2</c:v>
                  </c:pt>
                  <c:pt idx="1">
                    <c:v>3.8132238492579962E-2</c:v>
                  </c:pt>
                  <c:pt idx="3">
                    <c:v>3.4704127531003048E-2</c:v>
                  </c:pt>
                </c:numCache>
              </c:numRef>
            </c:minus>
            <c:spPr>
              <a:ln w="19050">
                <a:solidFill>
                  <a:schemeClr val="bg1">
                    <a:lumMod val="65000"/>
                  </a:schemeClr>
                </a:solidFill>
              </a:ln>
            </c:spPr>
          </c:errBars>
          <c:cat>
            <c:strRef>
              <c:f>'[3_4_Child_Care_Causal_Inference.xlsx]3_4 Figure 9'!$B$7:$B$10</c:f>
              <c:strCache>
                <c:ptCount val="4"/>
                <c:pt idx="0">
                  <c:v>Above standard child care</c:v>
                </c:pt>
                <c:pt idx="1">
                  <c:v>Not yet at standard child care</c:v>
                </c:pt>
                <c:pt idx="2">
                  <c:v>At standard child care</c:v>
                </c:pt>
                <c:pt idx="3">
                  <c:v>No formal child care</c:v>
                </c:pt>
              </c:strCache>
            </c:strRef>
          </c:cat>
          <c:val>
            <c:numRef>
              <c:f>'[3_4_Child_Care_Causal_Inference.xlsx]3_4 Figure 9'!$I$7:$I$10</c:f>
              <c:numCache>
                <c:formatCode>0.00</c:formatCode>
                <c:ptCount val="4"/>
                <c:pt idx="0">
                  <c:v>0.95550895357495802</c:v>
                </c:pt>
                <c:pt idx="1">
                  <c:v>1.0311958657270099</c:v>
                </c:pt>
                <c:pt idx="3">
                  <c:v>0.99122128768739703</c:v>
                </c:pt>
              </c:numCache>
            </c:numRef>
          </c:val>
          <c:extLst>
            <c:ext xmlns:c16="http://schemas.microsoft.com/office/drawing/2014/chart" uri="{C3380CC4-5D6E-409C-BE32-E72D297353CC}">
              <c16:uniqueId val="{00000001-041A-4C11-B069-B7AC4E65C230}"/>
            </c:ext>
          </c:extLst>
        </c:ser>
        <c:dLbls>
          <c:showLegendKey val="0"/>
          <c:showVal val="0"/>
          <c:showCatName val="0"/>
          <c:showSerName val="0"/>
          <c:showPercent val="0"/>
          <c:showBubbleSize val="0"/>
        </c:dLbls>
        <c:gapWidth val="50"/>
        <c:axId val="921496400"/>
        <c:axId val="1529671200"/>
      </c:barChart>
      <c:scatterChart>
        <c:scatterStyle val="lineMarker"/>
        <c:varyColors val="0"/>
        <c:ser>
          <c:idx val="2"/>
          <c:order val="2"/>
          <c:tx>
            <c:v>Line</c:v>
          </c:tx>
          <c:spPr>
            <a:ln w="25400">
              <a:noFill/>
            </a:ln>
          </c:spPr>
          <c:marker>
            <c:symbol val="circle"/>
            <c:size val="5"/>
            <c:spPr>
              <a:noFill/>
              <a:ln>
                <a:noFill/>
              </a:ln>
            </c:spPr>
          </c:marker>
          <c:errBars>
            <c:errDir val="x"/>
            <c:errBarType val="both"/>
            <c:errValType val="stdErr"/>
            <c:noEndCap val="0"/>
          </c:errBars>
          <c:errBars>
            <c:errDir val="y"/>
            <c:errBarType val="minus"/>
            <c:errValType val="fixedVal"/>
            <c:noEndCap val="1"/>
            <c:val val="1"/>
            <c:spPr>
              <a:ln w="15875">
                <a:solidFill>
                  <a:schemeClr val="bg2">
                    <a:lumMod val="75000"/>
                  </a:schemeClr>
                </a:solidFill>
                <a:prstDash val="sysDash"/>
              </a:ln>
            </c:spPr>
          </c:errBars>
          <c:yVal>
            <c:numLit>
              <c:formatCode>General</c:formatCode>
              <c:ptCount val="1"/>
              <c:pt idx="0">
                <c:v>1</c:v>
              </c:pt>
            </c:numLit>
          </c:yVal>
          <c:smooth val="0"/>
          <c:extLst>
            <c:ext xmlns:c16="http://schemas.microsoft.com/office/drawing/2014/chart" uri="{C3380CC4-5D6E-409C-BE32-E72D297353CC}">
              <c16:uniqueId val="{00000002-041A-4C11-B069-B7AC4E65C230}"/>
            </c:ext>
          </c:extLst>
        </c:ser>
        <c:dLbls>
          <c:showLegendKey val="0"/>
          <c:showVal val="0"/>
          <c:showCatName val="0"/>
          <c:showSerName val="0"/>
          <c:showPercent val="0"/>
          <c:showBubbleSize val="0"/>
        </c:dLbls>
        <c:axId val="1174490688"/>
        <c:axId val="1174507552"/>
      </c:scatterChart>
      <c:catAx>
        <c:axId val="921496400"/>
        <c:scaling>
          <c:orientation val="maxMin"/>
        </c:scaling>
        <c:delete val="0"/>
        <c:axPos val="l"/>
        <c:numFmt formatCode="General" sourceLinked="1"/>
        <c:majorTickMark val="none"/>
        <c:minorTickMark val="none"/>
        <c:tickLblPos val="nextTo"/>
        <c:crossAx val="1529671200"/>
        <c:crosses val="autoZero"/>
        <c:auto val="1"/>
        <c:lblAlgn val="ctr"/>
        <c:lblOffset val="100"/>
        <c:noMultiLvlLbl val="0"/>
      </c:catAx>
      <c:valAx>
        <c:axId val="1529671200"/>
        <c:scaling>
          <c:orientation val="minMax"/>
        </c:scaling>
        <c:delete val="1"/>
        <c:axPos val="t"/>
        <c:title>
          <c:tx>
            <c:rich>
              <a:bodyPr/>
              <a:lstStyle/>
              <a:p>
                <a:pPr>
                  <a:defRPr b="0"/>
                </a:pPr>
                <a:r>
                  <a:rPr lang="en-US" b="0"/>
                  <a:t>Increased risk of developmental vulnerablity</a:t>
                </a:r>
              </a:p>
            </c:rich>
          </c:tx>
          <c:layout>
            <c:manualLayout>
              <c:xMode val="edge"/>
              <c:yMode val="edge"/>
              <c:x val="0.71526051381712819"/>
              <c:y val="9.9057675142653734E-2"/>
            </c:manualLayout>
          </c:layout>
          <c:overlay val="0"/>
        </c:title>
        <c:numFmt formatCode="0.00" sourceLinked="1"/>
        <c:majorTickMark val="none"/>
        <c:minorTickMark val="none"/>
        <c:tickLblPos val="nextTo"/>
        <c:crossAx val="921496400"/>
        <c:crosses val="autoZero"/>
        <c:crossBetween val="between"/>
      </c:valAx>
      <c:valAx>
        <c:axId val="1174507552"/>
        <c:scaling>
          <c:orientation val="minMax"/>
          <c:max val="1"/>
        </c:scaling>
        <c:delete val="1"/>
        <c:axPos val="r"/>
        <c:numFmt formatCode="General" sourceLinked="1"/>
        <c:majorTickMark val="out"/>
        <c:minorTickMark val="none"/>
        <c:tickLblPos val="nextTo"/>
        <c:crossAx val="1174490688"/>
        <c:crosses val="max"/>
        <c:crossBetween val="midCat"/>
      </c:valAx>
      <c:valAx>
        <c:axId val="1174490688"/>
        <c:scaling>
          <c:orientation val="minMax"/>
        </c:scaling>
        <c:delete val="1"/>
        <c:axPos val="b"/>
        <c:title>
          <c:tx>
            <c:rich>
              <a:bodyPr/>
              <a:lstStyle/>
              <a:p>
                <a:pPr>
                  <a:defRPr b="0"/>
                </a:pPr>
                <a:r>
                  <a:rPr lang="en-AU" b="0"/>
                  <a:t>Risk ratio</a:t>
                </a:r>
              </a:p>
            </c:rich>
          </c:tx>
          <c:layout>
            <c:manualLayout>
              <c:xMode val="edge"/>
              <c:yMode val="edge"/>
              <c:x val="0.46056902980191955"/>
              <c:y val="0.85735360255851967"/>
            </c:manualLayout>
          </c:layout>
          <c:overlay val="0"/>
        </c:title>
        <c:majorTickMark val="out"/>
        <c:minorTickMark val="none"/>
        <c:tickLblPos val="nextTo"/>
        <c:crossAx val="1174507552"/>
        <c:crosses val="autoZero"/>
        <c:crossBetween val="midCat"/>
      </c:valAx>
    </c:plotArea>
    <c:legend>
      <c:legendPos val="b"/>
      <c:legendEntry>
        <c:idx val="2"/>
        <c:delete val="1"/>
      </c:legendEntry>
      <c:layout>
        <c:manualLayout>
          <c:xMode val="edge"/>
          <c:yMode val="edge"/>
          <c:x val="0.36492809050320069"/>
          <c:y val="0.91667999229017494"/>
          <c:w val="0.27162714247568176"/>
          <c:h val="8.0057156542203495E-2"/>
        </c:manualLayout>
      </c:layout>
      <c:overlay val="0"/>
    </c:legend>
    <c:plotVisOnly val="1"/>
    <c:dispBlanksAs val="gap"/>
    <c:showDLblsOverMax val="0"/>
  </c:chart>
  <c:spPr>
    <a:ln>
      <a:noFill/>
    </a:ln>
  </c:spPr>
  <c:txPr>
    <a:bodyPr/>
    <a:lstStyle/>
    <a:p>
      <a:pPr>
        <a:defRPr/>
      </a:pPr>
      <a:endParaRPr lang="en-US"/>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0.69774</cdr:x>
      <cdr:y>0.11604</cdr:y>
    </cdr:from>
    <cdr:to>
      <cdr:x>0.90987</cdr:x>
      <cdr:y>0.11619</cdr:y>
    </cdr:to>
    <cdr:cxnSp macro="">
      <cdr:nvCxnSpPr>
        <cdr:cNvPr id="2" name="Straight Arrow Connector 1">
          <a:extLst xmlns:a="http://schemas.openxmlformats.org/drawingml/2006/main">
            <a:ext uri="{FF2B5EF4-FFF2-40B4-BE49-F238E27FC236}">
              <a16:creationId xmlns:a16="http://schemas.microsoft.com/office/drawing/2014/main" id="{CE69F7CB-7693-A750-F56A-82505B197815}"/>
            </a:ext>
          </a:extLst>
        </cdr:cNvPr>
        <cdr:cNvCxnSpPr/>
      </cdr:nvCxnSpPr>
      <cdr:spPr>
        <a:xfrm xmlns:a="http://schemas.openxmlformats.org/drawingml/2006/main" flipV="1">
          <a:off x="3613917" y="470652"/>
          <a:ext cx="1098723" cy="60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0.68045</cdr:x>
      <cdr:y>0.11106</cdr:y>
    </cdr:from>
    <cdr:to>
      <cdr:x>0.92132</cdr:x>
      <cdr:y>0.11106</cdr:y>
    </cdr:to>
    <cdr:cxnSp macro="">
      <cdr:nvCxnSpPr>
        <cdr:cNvPr id="2" name="Straight Arrow Connector 1">
          <a:extLst xmlns:a="http://schemas.openxmlformats.org/drawingml/2006/main">
            <a:ext uri="{FF2B5EF4-FFF2-40B4-BE49-F238E27FC236}">
              <a16:creationId xmlns:a16="http://schemas.microsoft.com/office/drawing/2014/main" id="{CE69F7CB-7693-A750-F56A-82505B197815}"/>
            </a:ext>
          </a:extLst>
        </cdr:cNvPr>
        <cdr:cNvCxnSpPr/>
      </cdr:nvCxnSpPr>
      <cdr:spPr>
        <a:xfrm xmlns:a="http://schemas.openxmlformats.org/drawingml/2006/main">
          <a:off x="3700802" y="453405"/>
          <a:ext cx="1310038"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0.58201</cdr:x>
      <cdr:y>0.08647</cdr:y>
    </cdr:from>
    <cdr:to>
      <cdr:x>0.93075</cdr:x>
      <cdr:y>0.08647</cdr:y>
    </cdr:to>
    <cdr:cxnSp macro="">
      <cdr:nvCxnSpPr>
        <cdr:cNvPr id="3" name="Straight Arrow Connector 2">
          <a:extLst xmlns:a="http://schemas.openxmlformats.org/drawingml/2006/main">
            <a:ext uri="{FF2B5EF4-FFF2-40B4-BE49-F238E27FC236}">
              <a16:creationId xmlns:a16="http://schemas.microsoft.com/office/drawing/2014/main" id="{E3A9D409-D6B2-F0C4-FCB5-14EE38E9585B}"/>
            </a:ext>
          </a:extLst>
        </cdr:cNvPr>
        <cdr:cNvCxnSpPr/>
      </cdr:nvCxnSpPr>
      <cdr:spPr>
        <a:xfrm xmlns:a="http://schemas.openxmlformats.org/drawingml/2006/main">
          <a:off x="4723152" y="504205"/>
          <a:ext cx="2830173"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0.78372</cdr:x>
      <cdr:y>0.15951</cdr:y>
    </cdr:from>
    <cdr:to>
      <cdr:x>0.98746</cdr:x>
      <cdr:y>0.16252</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a:off x="4761368" y="478326"/>
          <a:ext cx="1237796" cy="903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0.68544</cdr:x>
      <cdr:y>0.1749</cdr:y>
    </cdr:from>
    <cdr:to>
      <cdr:x>0.94778</cdr:x>
      <cdr:y>0.1784</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a:off x="4040267" y="479780"/>
          <a:ext cx="1546334" cy="9601"/>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0.7038</cdr:x>
      <cdr:y>0.22229</cdr:y>
    </cdr:from>
    <cdr:to>
      <cdr:x>0.97868</cdr:x>
      <cdr:y>0.22277</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flipV="1">
          <a:off x="4088116" y="582613"/>
          <a:ext cx="1596722" cy="124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0.70177</cdr:x>
      <cdr:y>0.22975</cdr:y>
    </cdr:from>
    <cdr:to>
      <cdr:x>0.93203</cdr:x>
      <cdr:y>0.23039</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a:off x="3837960" y="630238"/>
          <a:ext cx="1259256" cy="17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0.77985</cdr:x>
      <cdr:y>0.2109</cdr:y>
    </cdr:from>
    <cdr:to>
      <cdr:x>1</cdr:x>
      <cdr:y>0.21238</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flipV="1">
          <a:off x="4656138" y="578541"/>
          <a:ext cx="1314450" cy="407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0.7624</cdr:x>
      <cdr:y>0.18196</cdr:y>
    </cdr:from>
    <cdr:to>
      <cdr:x>0.98016</cdr:x>
      <cdr:y>0.18269</cdr:y>
    </cdr:to>
    <cdr:cxnSp macro="">
      <cdr:nvCxnSpPr>
        <cdr:cNvPr id="6" name="Straight Arrow Connector 5">
          <a:extLst xmlns:a="http://schemas.openxmlformats.org/drawingml/2006/main">
            <a:ext uri="{FF2B5EF4-FFF2-40B4-BE49-F238E27FC236}">
              <a16:creationId xmlns:a16="http://schemas.microsoft.com/office/drawing/2014/main" id="{B9BC6ED9-3C59-9865-52CE-CE00B16AC968}"/>
            </a:ext>
          </a:extLst>
        </cdr:cNvPr>
        <cdr:cNvCxnSpPr/>
      </cdr:nvCxnSpPr>
      <cdr:spPr>
        <a:xfrm xmlns:a="http://schemas.openxmlformats.org/drawingml/2006/main" flipV="1">
          <a:off x="4392196" y="563564"/>
          <a:ext cx="1254542" cy="225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mbusSanL-Regu">
    <w:altName w:val="Calibri"/>
    <w:panose1 w:val="00000000000000000000"/>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A7EAB"/>
    <w:rsid w:val="00164F76"/>
    <w:rsid w:val="00170ECD"/>
    <w:rsid w:val="001A2B03"/>
    <w:rsid w:val="001A7458"/>
    <w:rsid w:val="002B3ACA"/>
    <w:rsid w:val="003D1C3C"/>
    <w:rsid w:val="004A2F64"/>
    <w:rsid w:val="004D2CB4"/>
    <w:rsid w:val="0054254B"/>
    <w:rsid w:val="006D2E1E"/>
    <w:rsid w:val="00785B1E"/>
    <w:rsid w:val="007F0398"/>
    <w:rsid w:val="007F1A26"/>
    <w:rsid w:val="007F29DB"/>
    <w:rsid w:val="008562BA"/>
    <w:rsid w:val="00862CF9"/>
    <w:rsid w:val="00892375"/>
    <w:rsid w:val="00AC6CE8"/>
    <w:rsid w:val="00AF66D5"/>
    <w:rsid w:val="00B03AC7"/>
    <w:rsid w:val="00B30308"/>
    <w:rsid w:val="00C1503F"/>
    <w:rsid w:val="00CC1360"/>
    <w:rsid w:val="00DB022B"/>
    <w:rsid w:val="00E42AA6"/>
    <w:rsid w:val="00EB7B78"/>
    <w:rsid w:val="00F139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C0398-BD93-48A8-BA20-13375385962D}">
  <ds:schemaRefs>
    <ds:schemaRef ds:uri="http://schemas.microsoft.com/office/2006/metadata/properties"/>
    <ds:schemaRef ds:uri="http://schemas.microsoft.com/office/infopath/2007/PartnerControls"/>
    <ds:schemaRef ds:uri="bdbd165b-f361-4017-b20b-1154cf7fd284"/>
    <ds:schemaRef ds:uri="ed5dd72a-e6fa-4bff-8950-363366e3c2fb"/>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F706B57-DDCE-40D6-9E38-2DF2635DD008}"/>
</file>

<file path=customXml/itemProps4.xml><?xml version="1.0" encoding="utf-8"?>
<ds:datastoreItem xmlns:ds="http://schemas.openxmlformats.org/officeDocument/2006/customXml" ds:itemID="{FDCFAEDE-EECA-4845-A571-5551F17AB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4672</Words>
  <Characters>25556</Characters>
  <Application>Microsoft Office Word</Application>
  <DocSecurity>0</DocSecurity>
  <Lines>399</Lines>
  <Paragraphs>136</Paragraphs>
  <ScaleCrop>false</ScaleCrop>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Five Years: What makes a difference?</dc:title>
  <dc:subject/>
  <dc:creator>XIA,Hua</dc:creator>
  <cp:keywords/>
  <dc:description/>
  <cp:lastModifiedBy>XIA,Hua</cp:lastModifiedBy>
  <cp:revision>141</cp:revision>
  <dcterms:created xsi:type="dcterms:W3CDTF">2024-08-22T00:18:00Z</dcterms:created>
  <dcterms:modified xsi:type="dcterms:W3CDTF">2025-10-21T03:46:00Z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0x010100DBE4CFC06C38FD429762EA454E4407CB</vt:lpwstr>
  </property>
</Properties>
</file>